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bidi w:val="0"/>
        <w:rPr>
          <w:rFonts w:hint="eastAsia"/>
          <w:color w:val="auto"/>
        </w:rPr>
      </w:pPr>
      <w:r>
        <w:rPr>
          <w:rFonts w:hint="eastAsia" w:ascii="宋体" w:hAnsi="宋体" w:eastAsia="宋体" w:cs="宋体"/>
          <w:color w:val="auto"/>
          <w:szCs w:val="20"/>
        </w:rPr>
        <w:drawing>
          <wp:anchor distT="0" distB="0" distL="114300" distR="114300" simplePos="0" relativeHeight="251662336" behindDoc="0" locked="0" layoutInCell="1" allowOverlap="1">
            <wp:simplePos x="0" y="0"/>
            <wp:positionH relativeFrom="margin">
              <wp:posOffset>-287020</wp:posOffset>
            </wp:positionH>
            <wp:positionV relativeFrom="paragraph">
              <wp:posOffset>-353695</wp:posOffset>
            </wp:positionV>
            <wp:extent cx="3068320" cy="318770"/>
            <wp:effectExtent l="0" t="0" r="17780" b="5080"/>
            <wp:wrapNone/>
            <wp:docPr id="9" name="图片 1" descr="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公司logo"/>
                    <pic:cNvPicPr>
                      <a:picLocks noChangeAspect="1"/>
                    </pic:cNvPicPr>
                  </pic:nvPicPr>
                  <pic:blipFill>
                    <a:blip r:embed="rId9"/>
                    <a:srcRect t="16318" b="20084"/>
                    <a:stretch>
                      <a:fillRect/>
                    </a:stretch>
                  </pic:blipFill>
                  <pic:spPr>
                    <a:xfrm>
                      <a:off x="0" y="0"/>
                      <a:ext cx="3068320" cy="318770"/>
                    </a:xfrm>
                    <a:prstGeom prst="rect">
                      <a:avLst/>
                    </a:prstGeom>
                    <a:noFill/>
                    <a:ln>
                      <a:noFill/>
                    </a:ln>
                  </pic:spPr>
                </pic:pic>
              </a:graphicData>
            </a:graphic>
          </wp:anchor>
        </w:drawing>
      </w:r>
    </w:p>
    <w:p>
      <w:pPr>
        <w:pStyle w:val="49"/>
        <w:jc w:val="center"/>
        <w:rPr>
          <w:rFonts w:hint="default"/>
          <w:color w:val="auto"/>
          <w:lang w:val="en-US" w:eastAsia="zh-CN"/>
        </w:rPr>
      </w:pPr>
      <w:r>
        <w:rPr>
          <w:rFonts w:hint="eastAsia" w:ascii="宋体" w:hAnsi="宋体" w:cs="宋体"/>
          <w:b/>
          <w:bCs/>
          <w:color w:val="auto"/>
          <w:sz w:val="48"/>
          <w:szCs w:val="48"/>
          <w:lang w:val="en-US" w:eastAsia="zh-CN"/>
        </w:rPr>
        <w:t>阿图什市城区园林绿化养护服务采购项目（标段三）</w:t>
      </w:r>
    </w:p>
    <w:p>
      <w:pPr>
        <w:pStyle w:val="49"/>
        <w:rPr>
          <w:rFonts w:hint="default"/>
          <w:color w:val="auto"/>
          <w:lang w:val="en-US" w:eastAsia="zh-CN"/>
        </w:rPr>
      </w:pP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招</w:t>
      </w: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标</w:t>
      </w: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文</w:t>
      </w:r>
    </w:p>
    <w:p>
      <w:pPr>
        <w:autoSpaceDE w:val="0"/>
        <w:autoSpaceDN w:val="0"/>
        <w:jc w:val="center"/>
        <w:rPr>
          <w:rFonts w:hint="eastAsia" w:ascii="宋体" w:hAnsi="宋体" w:eastAsia="宋体" w:cs="楷体"/>
          <w:b/>
          <w:bCs/>
          <w:color w:val="auto"/>
          <w:sz w:val="72"/>
          <w:szCs w:val="72"/>
          <w:lang w:val="en-US" w:eastAsia="zh-CN"/>
        </w:rPr>
      </w:pPr>
      <w:r>
        <w:rPr>
          <w:rFonts w:hint="eastAsia" w:ascii="宋体" w:hAnsi="宋体" w:eastAsia="宋体" w:cs="楷体"/>
          <w:b/>
          <w:bCs/>
          <w:color w:val="auto"/>
          <w:sz w:val="72"/>
          <w:szCs w:val="72"/>
          <w:lang w:val="en-US" w:eastAsia="zh-CN"/>
        </w:rPr>
        <w:t>件</w:t>
      </w:r>
    </w:p>
    <w:p>
      <w:pPr>
        <w:pStyle w:val="49"/>
        <w:ind w:left="0" w:leftChars="0" w:firstLine="0" w:firstLineChars="0"/>
        <w:rPr>
          <w:rFonts w:hint="eastAsia"/>
          <w:color w:val="auto"/>
          <w:lang w:val="zh-CN"/>
        </w:rPr>
      </w:pPr>
    </w:p>
    <w:p>
      <w:pPr>
        <w:pStyle w:val="49"/>
        <w:ind w:left="0" w:leftChars="0" w:firstLine="0" w:firstLineChars="0"/>
        <w:rPr>
          <w:rFonts w:hint="eastAsia"/>
          <w:color w:val="auto"/>
          <w:lang w:val="zh-CN"/>
        </w:rPr>
      </w:pPr>
    </w:p>
    <w:p>
      <w:pPr>
        <w:widowControl/>
        <w:autoSpaceDE w:val="0"/>
        <w:autoSpaceDN w:val="0"/>
        <w:spacing w:line="600" w:lineRule="auto"/>
        <w:ind w:right="-28" w:firstLine="843" w:firstLineChars="300"/>
        <w:textAlignment w:val="bottom"/>
        <w:rPr>
          <w:rFonts w:hint="eastAsia" w:ascii="宋体" w:hAnsi="宋体" w:cs="宋体"/>
          <w:b/>
          <w:color w:val="auto"/>
          <w:kern w:val="2"/>
          <w:sz w:val="28"/>
          <w:szCs w:val="22"/>
          <w:lang w:val="en-US" w:eastAsia="zh-CN" w:bidi="ar-SA"/>
        </w:rPr>
      </w:pPr>
      <w:r>
        <w:rPr>
          <w:rFonts w:hint="eastAsia" w:ascii="宋体" w:hAnsi="宋体"/>
          <w:b/>
          <w:color w:val="auto"/>
          <w:sz w:val="28"/>
          <w:szCs w:val="22"/>
        </w:rPr>
        <w:t>采 购 人：</w:t>
      </w:r>
      <w:r>
        <w:rPr>
          <w:rFonts w:hint="eastAsia" w:ascii="宋体" w:hAnsi="宋体" w:cs="宋体"/>
          <w:b/>
          <w:color w:val="auto"/>
          <w:kern w:val="2"/>
          <w:sz w:val="28"/>
          <w:szCs w:val="22"/>
          <w:lang w:val="en-US" w:eastAsia="zh-CN" w:bidi="ar-SA"/>
        </w:rPr>
        <w:t>阿图什市市政公用事业服务中心（盖章）</w:t>
      </w:r>
    </w:p>
    <w:p>
      <w:pPr>
        <w:pStyle w:val="2"/>
        <w:spacing w:line="600" w:lineRule="auto"/>
        <w:ind w:firstLine="843" w:firstLineChars="300"/>
        <w:rPr>
          <w:rFonts w:hint="default"/>
          <w:color w:val="auto"/>
          <w:lang w:val="en-US" w:eastAsia="zh-CN"/>
        </w:rPr>
      </w:pPr>
      <w:r>
        <w:rPr>
          <w:rFonts w:hint="eastAsia" w:ascii="宋体" w:hAnsi="宋体" w:cs="宋体"/>
          <w:b/>
          <w:color w:val="auto"/>
          <w:kern w:val="2"/>
          <w:sz w:val="28"/>
          <w:szCs w:val="22"/>
          <w:lang w:val="en-US" w:eastAsia="zh-CN" w:bidi="ar-SA"/>
        </w:rPr>
        <w:t xml:space="preserve">法定代表人或授权人： </w:t>
      </w:r>
      <w:r>
        <w:rPr>
          <w:rFonts w:hint="eastAsia" w:ascii="宋体" w:hAnsi="宋体" w:cs="宋体"/>
          <w:b/>
          <w:color w:val="auto"/>
          <w:kern w:val="2"/>
          <w:sz w:val="28"/>
          <w:szCs w:val="22"/>
          <w:u w:val="single"/>
          <w:lang w:val="en-US" w:eastAsia="zh-CN" w:bidi="ar-SA"/>
        </w:rPr>
        <w:t xml:space="preserve">                    </w:t>
      </w:r>
      <w:r>
        <w:rPr>
          <w:rFonts w:hint="eastAsia" w:ascii="宋体" w:hAnsi="宋体" w:cs="宋体"/>
          <w:b/>
          <w:color w:val="auto"/>
          <w:kern w:val="2"/>
          <w:sz w:val="28"/>
          <w:szCs w:val="22"/>
          <w:lang w:val="en-US" w:eastAsia="zh-CN" w:bidi="ar-SA"/>
        </w:rPr>
        <w:t>（签字或盖章）</w:t>
      </w:r>
    </w:p>
    <w:p>
      <w:pPr>
        <w:widowControl/>
        <w:autoSpaceDE w:val="0"/>
        <w:autoSpaceDN w:val="0"/>
        <w:spacing w:line="600" w:lineRule="auto"/>
        <w:ind w:right="-28" w:firstLine="843" w:firstLineChars="300"/>
        <w:textAlignment w:val="bottom"/>
        <w:rPr>
          <w:rFonts w:hint="default" w:ascii="宋体" w:hAnsi="宋体"/>
          <w:b/>
          <w:color w:val="auto"/>
          <w:sz w:val="28"/>
          <w:szCs w:val="22"/>
          <w:lang w:val="en-US" w:eastAsia="zh-CN"/>
        </w:rPr>
      </w:pPr>
      <w:r>
        <w:rPr>
          <w:rFonts w:hint="eastAsia" w:ascii="宋体" w:hAnsi="宋体"/>
          <w:b/>
          <w:color w:val="auto"/>
          <w:sz w:val="28"/>
          <w:szCs w:val="22"/>
        </w:rPr>
        <w:t>联系人</w:t>
      </w:r>
      <w:r>
        <w:rPr>
          <w:rFonts w:hint="eastAsia" w:ascii="宋体" w:hAnsi="宋体"/>
          <w:b/>
          <w:color w:val="auto"/>
          <w:sz w:val="28"/>
          <w:szCs w:val="22"/>
          <w:lang w:eastAsia="zh-CN"/>
        </w:rPr>
        <w:t>：</w:t>
      </w:r>
      <w:r>
        <w:rPr>
          <w:rFonts w:hint="eastAsia" w:ascii="宋体" w:hAnsi="宋体"/>
          <w:b/>
          <w:color w:val="auto"/>
          <w:sz w:val="28"/>
          <w:szCs w:val="22"/>
          <w:lang w:val="en-US" w:eastAsia="zh-CN"/>
        </w:rPr>
        <w:t xml:space="preserve">李先生            </w:t>
      </w:r>
      <w:r>
        <w:rPr>
          <w:rFonts w:hint="eastAsia" w:ascii="宋体" w:hAnsi="宋体"/>
          <w:b/>
          <w:color w:val="auto"/>
          <w:sz w:val="28"/>
          <w:szCs w:val="22"/>
          <w:lang w:eastAsia="zh-CN"/>
        </w:rPr>
        <w:t>联系电话</w:t>
      </w:r>
      <w:r>
        <w:rPr>
          <w:rFonts w:hint="eastAsia" w:ascii="宋体" w:hAnsi="宋体"/>
          <w:b/>
          <w:color w:val="auto"/>
          <w:sz w:val="28"/>
          <w:szCs w:val="22"/>
        </w:rPr>
        <w:t xml:space="preserve">   </w:t>
      </w:r>
      <w:r>
        <w:rPr>
          <w:rFonts w:hint="eastAsia" w:ascii="宋体" w:hAnsi="宋体"/>
          <w:b/>
          <w:color w:val="auto"/>
          <w:sz w:val="28"/>
          <w:szCs w:val="22"/>
          <w:lang w:val="en-US" w:eastAsia="zh-CN"/>
        </w:rPr>
        <w:t>13080135286</w:t>
      </w:r>
    </w:p>
    <w:p>
      <w:pPr>
        <w:widowControl/>
        <w:autoSpaceDE w:val="0"/>
        <w:autoSpaceDN w:val="0"/>
        <w:spacing w:line="600" w:lineRule="auto"/>
        <w:ind w:right="-28" w:firstLine="843" w:firstLineChars="300"/>
        <w:textAlignment w:val="bottom"/>
        <w:rPr>
          <w:rFonts w:hint="eastAsia" w:ascii="宋体" w:hAnsi="宋体"/>
          <w:b/>
          <w:color w:val="auto"/>
          <w:sz w:val="28"/>
          <w:szCs w:val="22"/>
          <w:lang w:val="en-US" w:eastAsia="zh-CN"/>
        </w:rPr>
      </w:pPr>
      <w:r>
        <w:rPr>
          <w:rFonts w:hint="eastAsia" w:ascii="宋体" w:hAnsi="宋体"/>
          <w:b/>
          <w:color w:val="auto"/>
          <w:sz w:val="28"/>
          <w:szCs w:val="22"/>
        </w:rPr>
        <w:t>代理机构：</w:t>
      </w:r>
      <w:r>
        <w:rPr>
          <w:rFonts w:hint="eastAsia" w:ascii="宋体" w:hAnsi="宋体"/>
          <w:b/>
          <w:color w:val="auto"/>
          <w:sz w:val="28"/>
          <w:szCs w:val="22"/>
          <w:lang w:val="en-US" w:eastAsia="zh-CN"/>
        </w:rPr>
        <w:t>新疆惠文建设工程项目管理咨询有限公司（盖章）</w:t>
      </w:r>
    </w:p>
    <w:p>
      <w:pPr>
        <w:pStyle w:val="2"/>
        <w:spacing w:line="600" w:lineRule="auto"/>
        <w:ind w:firstLine="843" w:firstLineChars="300"/>
        <w:rPr>
          <w:rFonts w:hint="eastAsia"/>
          <w:color w:val="auto"/>
          <w:lang w:eastAsia="zh-CN"/>
        </w:rPr>
      </w:pPr>
      <w:r>
        <w:rPr>
          <w:rFonts w:hint="eastAsia" w:ascii="宋体" w:hAnsi="宋体" w:cs="宋体"/>
          <w:b/>
          <w:color w:val="auto"/>
          <w:kern w:val="2"/>
          <w:sz w:val="28"/>
          <w:szCs w:val="22"/>
          <w:lang w:val="en-US" w:eastAsia="zh-CN" w:bidi="ar-SA"/>
        </w:rPr>
        <w:t>法定代表人或授权人：</w:t>
      </w:r>
      <w:r>
        <w:rPr>
          <w:rFonts w:hint="eastAsia" w:ascii="宋体" w:hAnsi="宋体" w:cs="宋体"/>
          <w:b/>
          <w:color w:val="auto"/>
          <w:kern w:val="2"/>
          <w:sz w:val="28"/>
          <w:szCs w:val="22"/>
          <w:u w:val="single"/>
          <w:lang w:val="en-US" w:eastAsia="zh-CN" w:bidi="ar-SA"/>
        </w:rPr>
        <w:t xml:space="preserve">                     </w:t>
      </w:r>
      <w:r>
        <w:rPr>
          <w:rFonts w:hint="eastAsia" w:ascii="宋体" w:hAnsi="宋体" w:cs="宋体"/>
          <w:b/>
          <w:color w:val="auto"/>
          <w:kern w:val="2"/>
          <w:sz w:val="28"/>
          <w:szCs w:val="22"/>
          <w:lang w:val="en-US" w:eastAsia="zh-CN" w:bidi="ar-SA"/>
        </w:rPr>
        <w:t>（签字或盖章）</w:t>
      </w:r>
    </w:p>
    <w:p>
      <w:pPr>
        <w:widowControl/>
        <w:autoSpaceDE w:val="0"/>
        <w:autoSpaceDN w:val="0"/>
        <w:spacing w:line="600" w:lineRule="auto"/>
        <w:ind w:right="-28" w:firstLine="843" w:firstLineChars="300"/>
        <w:textAlignment w:val="bottom"/>
        <w:rPr>
          <w:rFonts w:hint="default" w:ascii="宋体" w:hAnsi="宋体"/>
          <w:b/>
          <w:color w:val="auto"/>
          <w:sz w:val="28"/>
          <w:szCs w:val="22"/>
          <w:lang w:val="en-US" w:eastAsia="zh-CN"/>
        </w:rPr>
      </w:pPr>
      <w:r>
        <w:rPr>
          <w:rFonts w:hint="eastAsia" w:ascii="宋体" w:hAnsi="宋体"/>
          <w:b/>
          <w:color w:val="auto"/>
          <w:sz w:val="28"/>
          <w:szCs w:val="22"/>
        </w:rPr>
        <w:t>联系人：</w:t>
      </w:r>
      <w:r>
        <w:rPr>
          <w:rFonts w:hint="eastAsia" w:ascii="宋体" w:hAnsi="宋体"/>
          <w:b/>
          <w:color w:val="auto"/>
          <w:sz w:val="28"/>
          <w:szCs w:val="22"/>
          <w:lang w:val="en-US" w:eastAsia="zh-CN"/>
        </w:rPr>
        <w:t>刘女士</w:t>
      </w:r>
      <w:r>
        <w:rPr>
          <w:rFonts w:hint="eastAsia" w:ascii="宋体" w:hAnsi="宋体"/>
          <w:b/>
          <w:color w:val="auto"/>
          <w:sz w:val="28"/>
          <w:szCs w:val="22"/>
        </w:rPr>
        <w:t xml:space="preserve">    </w:t>
      </w:r>
      <w:r>
        <w:rPr>
          <w:rFonts w:hint="eastAsia" w:ascii="宋体" w:hAnsi="宋体"/>
          <w:b/>
          <w:color w:val="auto"/>
          <w:sz w:val="28"/>
          <w:szCs w:val="22"/>
          <w:lang w:val="en-US" w:eastAsia="zh-CN"/>
        </w:rPr>
        <w:t xml:space="preserve">     </w:t>
      </w:r>
      <w:r>
        <w:rPr>
          <w:rFonts w:hint="eastAsia" w:ascii="宋体" w:hAnsi="宋体"/>
          <w:b/>
          <w:color w:val="auto"/>
          <w:sz w:val="28"/>
          <w:szCs w:val="22"/>
        </w:rPr>
        <w:t xml:space="preserve"> </w:t>
      </w:r>
      <w:r>
        <w:rPr>
          <w:rFonts w:hint="eastAsia" w:ascii="宋体" w:hAnsi="宋体"/>
          <w:b/>
          <w:color w:val="auto"/>
          <w:sz w:val="28"/>
          <w:szCs w:val="22"/>
          <w:lang w:val="en-US" w:eastAsia="zh-CN"/>
        </w:rPr>
        <w:t xml:space="preserve">  </w:t>
      </w:r>
      <w:r>
        <w:rPr>
          <w:rFonts w:hint="eastAsia" w:ascii="宋体" w:hAnsi="宋体"/>
          <w:b/>
          <w:color w:val="auto"/>
          <w:sz w:val="28"/>
          <w:szCs w:val="22"/>
          <w:lang w:eastAsia="zh-CN"/>
        </w:rPr>
        <w:t>联系电话：</w:t>
      </w:r>
      <w:r>
        <w:rPr>
          <w:rFonts w:hint="eastAsia" w:ascii="宋体" w:hAnsi="宋体"/>
          <w:b/>
          <w:color w:val="auto"/>
          <w:sz w:val="28"/>
          <w:szCs w:val="22"/>
          <w:lang w:val="en-US" w:eastAsia="zh-CN"/>
        </w:rPr>
        <w:t>18609081081</w:t>
      </w:r>
    </w:p>
    <w:p>
      <w:pPr>
        <w:pStyle w:val="26"/>
        <w:rPr>
          <w:rFonts w:hint="default"/>
          <w:color w:val="auto"/>
          <w:lang w:val="en-US" w:eastAsia="zh-CN"/>
        </w:rPr>
      </w:pPr>
    </w:p>
    <w:p>
      <w:pPr>
        <w:rPr>
          <w:rFonts w:hint="default"/>
          <w:color w:val="auto"/>
          <w:lang w:val="en-US" w:eastAsia="zh-CN"/>
        </w:rPr>
      </w:pPr>
    </w:p>
    <w:p>
      <w:pPr>
        <w:pStyle w:val="2"/>
        <w:rPr>
          <w:rFonts w:hint="default"/>
          <w:color w:val="auto"/>
          <w:lang w:val="en-US" w:eastAsia="zh-CN"/>
        </w:rPr>
      </w:pPr>
    </w:p>
    <w:p>
      <w:pPr>
        <w:rPr>
          <w:rFonts w:hint="default"/>
          <w:color w:val="auto"/>
          <w:lang w:val="en-US" w:eastAsia="zh-CN"/>
        </w:rPr>
      </w:pPr>
    </w:p>
    <w:p>
      <w:pPr>
        <w:pStyle w:val="2"/>
        <w:rPr>
          <w:rFonts w:hint="default"/>
          <w:color w:val="auto"/>
          <w:lang w:val="en-US" w:eastAsia="zh-CN"/>
        </w:rPr>
      </w:pPr>
    </w:p>
    <w:p>
      <w:pPr>
        <w:widowControl/>
        <w:autoSpaceDE w:val="0"/>
        <w:autoSpaceDN w:val="0"/>
        <w:spacing w:line="360" w:lineRule="auto"/>
        <w:ind w:right="-26" w:firstLine="1807" w:firstLineChars="500"/>
        <w:jc w:val="both"/>
        <w:textAlignment w:val="bottom"/>
        <w:rPr>
          <w:rFonts w:hint="eastAsia" w:ascii="宋体" w:hAnsi="宋体" w:cs="宋体"/>
          <w:color w:val="auto"/>
          <w:sz w:val="32"/>
          <w:szCs w:val="32"/>
        </w:rPr>
      </w:pPr>
      <w:r>
        <w:rPr>
          <w:rFonts w:hint="eastAsia" w:ascii="宋体" w:hAnsi="宋体" w:cs="宋体"/>
          <w:b/>
          <w:color w:val="auto"/>
          <w:sz w:val="36"/>
          <w:szCs w:val="36"/>
        </w:rPr>
        <w:t>招投标监督管理机构备案登记栏</w:t>
      </w:r>
    </w:p>
    <w:tbl>
      <w:tblPr>
        <w:tblStyle w:val="27"/>
        <w:tblpPr w:leftFromText="180" w:rightFromText="180" w:vertAnchor="text" w:horzAnchor="page" w:tblpXSpec="center" w:tblpY="2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3" w:hRule="atLeast"/>
          <w:jc w:val="center"/>
        </w:trPr>
        <w:tc>
          <w:tcPr>
            <w:tcW w:w="8248" w:type="dxa"/>
            <w:noWrap w:val="0"/>
            <w:vAlign w:val="top"/>
          </w:tcPr>
          <w:p>
            <w:pPr>
              <w:pStyle w:val="4"/>
              <w:numPr>
                <w:ilvl w:val="0"/>
                <w:numId w:val="0"/>
              </w:numPr>
              <w:rPr>
                <w:rFonts w:hint="eastAsia" w:ascii="宋体" w:hAnsi="宋体" w:cs="宋体"/>
                <w:color w:val="auto"/>
              </w:rPr>
            </w:pPr>
            <w:bookmarkStart w:id="0" w:name="_Hlt10524029"/>
            <w:bookmarkEnd w:id="0"/>
            <w:bookmarkStart w:id="1" w:name="_Hlt10523642"/>
            <w:bookmarkEnd w:id="1"/>
            <w:bookmarkStart w:id="2" w:name="_Hlt10462525"/>
            <w:bookmarkEnd w:id="2"/>
            <w:bookmarkStart w:id="3" w:name="_Hlt10567911"/>
            <w:bookmarkEnd w:id="3"/>
            <w:bookmarkStart w:id="4" w:name="_Hlt10529670"/>
            <w:bookmarkEnd w:id="4"/>
            <w:bookmarkStart w:id="5" w:name="_Hlt10524010"/>
            <w:bookmarkEnd w:id="5"/>
            <w:bookmarkStart w:id="6" w:name="_Hlt10524018"/>
            <w:bookmarkEnd w:id="6"/>
            <w:bookmarkStart w:id="7" w:name="_Hlt42956379"/>
            <w:bookmarkEnd w:id="7"/>
            <w:bookmarkStart w:id="8" w:name="_Hlt10519329"/>
            <w:bookmarkEnd w:id="8"/>
            <w:bookmarkStart w:id="9" w:name="_Hlt42956360"/>
            <w:bookmarkEnd w:id="9"/>
          </w:p>
          <w:p>
            <w:pPr>
              <w:rPr>
                <w:rFonts w:hint="eastAsia" w:ascii="宋体" w:hAnsi="宋体" w:cs="宋体"/>
                <w:color w:val="auto"/>
              </w:rPr>
            </w:pPr>
          </w:p>
          <w:p>
            <w:pPr>
              <w:pStyle w:val="49"/>
              <w:rPr>
                <w:rFonts w:hint="eastAsia"/>
                <w:color w:val="auto"/>
              </w:rPr>
            </w:pPr>
          </w:p>
          <w:p>
            <w:pPr>
              <w:widowControl/>
              <w:adjustRightInd w:val="0"/>
              <w:spacing w:before="100" w:after="100" w:line="360" w:lineRule="auto"/>
              <w:jc w:val="left"/>
              <w:rPr>
                <w:rFonts w:hint="eastAsia" w:ascii="宋体" w:hAnsi="宋体" w:cs="宋体"/>
                <w:color w:val="auto"/>
                <w:sz w:val="30"/>
                <w:szCs w:val="30"/>
                <w:lang w:val="zh-CN"/>
              </w:rPr>
            </w:pPr>
            <w:r>
              <w:rPr>
                <w:rFonts w:hint="eastAsia" w:ascii="宋体" w:hAnsi="宋体" w:cs="宋体"/>
                <w:color w:val="auto"/>
                <w:sz w:val="30"/>
                <w:szCs w:val="30"/>
              </w:rPr>
              <w:t>招 标 人:</w:t>
            </w:r>
            <w:r>
              <w:rPr>
                <w:rFonts w:hint="eastAsia" w:ascii="宋体" w:hAnsi="宋体" w:cs="宋体"/>
                <w:color w:val="auto"/>
                <w:sz w:val="30"/>
                <w:szCs w:val="30"/>
                <w:lang w:eastAsia="zh-CN"/>
              </w:rPr>
              <w:t>阿图什市市政公用事业服务中心</w:t>
            </w:r>
          </w:p>
          <w:p>
            <w:pPr>
              <w:pStyle w:val="4"/>
              <w:numPr>
                <w:ilvl w:val="0"/>
                <w:numId w:val="0"/>
              </w:numPr>
              <w:rPr>
                <w:rFonts w:hint="eastAsia" w:ascii="宋体" w:hAnsi="宋体" w:cs="宋体"/>
                <w:color w:val="auto"/>
              </w:rPr>
            </w:pPr>
          </w:p>
          <w:p>
            <w:pPr>
              <w:rPr>
                <w:rFonts w:hint="eastAsia" w:ascii="宋体" w:hAnsi="宋体" w:cs="宋体"/>
                <w:color w:val="auto"/>
              </w:rPr>
            </w:pPr>
          </w:p>
          <w:p>
            <w:pPr>
              <w:pStyle w:val="49"/>
              <w:rPr>
                <w:rFonts w:hint="eastAsia"/>
                <w:color w:val="auto"/>
              </w:rPr>
            </w:pPr>
          </w:p>
          <w:p>
            <w:pPr>
              <w:widowControl/>
              <w:adjustRightInd w:val="0"/>
              <w:spacing w:before="100" w:after="100" w:line="360" w:lineRule="auto"/>
              <w:jc w:val="left"/>
              <w:rPr>
                <w:rFonts w:hint="eastAsia" w:ascii="宋体" w:hAnsi="宋体" w:cs="宋体"/>
                <w:b/>
                <w:color w:val="auto"/>
                <w:sz w:val="32"/>
              </w:rPr>
            </w:pPr>
          </w:p>
          <w:p>
            <w:pPr>
              <w:widowControl/>
              <w:adjustRightInd w:val="0"/>
              <w:spacing w:before="100" w:after="100" w:line="360" w:lineRule="auto"/>
              <w:jc w:val="left"/>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项目名称：</w:t>
            </w:r>
            <w:r>
              <w:rPr>
                <w:rFonts w:hint="eastAsia" w:ascii="宋体" w:hAnsi="宋体" w:cs="宋体"/>
                <w:color w:val="auto"/>
                <w:sz w:val="30"/>
                <w:szCs w:val="30"/>
                <w:lang w:val="en-US" w:eastAsia="zh-CN"/>
              </w:rPr>
              <w:t>阿图什市城区园林绿化养护服务采购项目（标段三）</w:t>
            </w:r>
          </w:p>
          <w:p>
            <w:pPr>
              <w:pStyle w:val="26"/>
              <w:rPr>
                <w:rFonts w:hint="eastAsia" w:ascii="宋体" w:hAnsi="宋体" w:eastAsia="宋体" w:cs="宋体"/>
                <w:color w:val="auto"/>
                <w:sz w:val="30"/>
                <w:szCs w:val="30"/>
                <w:lang w:eastAsia="zh-CN"/>
              </w:rPr>
            </w:pPr>
          </w:p>
          <w:p>
            <w:pPr>
              <w:rPr>
                <w:rFonts w:hint="eastAsia" w:ascii="宋体" w:hAnsi="宋体" w:eastAsia="宋体" w:cs="宋体"/>
                <w:color w:val="auto"/>
                <w:sz w:val="30"/>
                <w:szCs w:val="30"/>
                <w:lang w:eastAsia="zh-CN"/>
              </w:rPr>
            </w:pPr>
          </w:p>
          <w:p>
            <w:pPr>
              <w:pStyle w:val="26"/>
              <w:rPr>
                <w:rFonts w:hint="eastAsia"/>
                <w:color w:val="auto"/>
                <w:lang w:eastAsia="zh-CN"/>
              </w:rPr>
            </w:pPr>
          </w:p>
          <w:p>
            <w:pPr>
              <w:widowControl/>
              <w:adjustRightInd w:val="0"/>
              <w:spacing w:before="100" w:after="100" w:line="360" w:lineRule="auto"/>
              <w:jc w:val="left"/>
              <w:rPr>
                <w:rFonts w:hint="eastAsia" w:ascii="宋体" w:hAnsi="宋体" w:eastAsia="宋体" w:cs="宋体"/>
                <w:color w:val="auto"/>
                <w:sz w:val="30"/>
                <w:szCs w:val="30"/>
                <w:lang w:eastAsia="zh-CN"/>
              </w:rPr>
            </w:pPr>
          </w:p>
          <w:p>
            <w:pPr>
              <w:widowControl/>
              <w:adjustRightInd w:val="0"/>
              <w:spacing w:before="100" w:after="100" w:line="360" w:lineRule="auto"/>
              <w:jc w:val="left"/>
              <w:rPr>
                <w:rFonts w:hint="eastAsia" w:ascii="宋体" w:hAnsi="宋体" w:cs="宋体"/>
                <w:color w:val="auto"/>
                <w:sz w:val="30"/>
                <w:szCs w:val="30"/>
                <w:lang w:val="zh-CN" w:eastAsia="zh-CN"/>
              </w:rPr>
            </w:pPr>
            <w:r>
              <w:rPr>
                <w:rFonts w:hint="eastAsia" w:ascii="宋体" w:hAnsi="宋体" w:eastAsia="宋体" w:cs="宋体"/>
                <w:color w:val="auto"/>
                <w:sz w:val="30"/>
                <w:szCs w:val="30"/>
                <w:lang w:val="en-US" w:eastAsia="zh-CN"/>
              </w:rPr>
              <w:t>招标代理机构：</w:t>
            </w:r>
            <w:r>
              <w:rPr>
                <w:rFonts w:hint="eastAsia" w:ascii="宋体" w:hAnsi="宋体" w:cs="宋体"/>
                <w:color w:val="auto"/>
                <w:sz w:val="30"/>
                <w:szCs w:val="30"/>
                <w:lang w:val="zh-CN" w:eastAsia="zh-CN"/>
              </w:rPr>
              <w:t>新疆惠文建设工程项目管理咨询有限公司</w:t>
            </w:r>
          </w:p>
          <w:p>
            <w:pPr>
              <w:widowControl/>
              <w:adjustRightInd w:val="0"/>
              <w:spacing w:before="100" w:after="100" w:line="360" w:lineRule="auto"/>
              <w:jc w:val="left"/>
              <w:rPr>
                <w:rFonts w:hint="eastAsia" w:ascii="宋体" w:hAnsi="宋体" w:eastAsia="宋体" w:cs="宋体"/>
                <w:color w:val="auto"/>
                <w:sz w:val="30"/>
                <w:szCs w:val="30"/>
                <w:lang w:eastAsia="zh-CN"/>
              </w:rPr>
            </w:pPr>
          </w:p>
          <w:p>
            <w:pPr>
              <w:pStyle w:val="26"/>
              <w:ind w:left="0" w:leftChars="0" w:firstLine="0" w:firstLineChars="0"/>
              <w:rPr>
                <w:rFonts w:hint="eastAsia" w:ascii="宋体" w:hAnsi="宋体" w:eastAsia="宋体" w:cs="宋体"/>
                <w:color w:val="auto"/>
                <w:sz w:val="30"/>
                <w:szCs w:val="30"/>
                <w:lang w:eastAsia="zh-CN"/>
              </w:rPr>
            </w:pPr>
          </w:p>
          <w:p>
            <w:pPr>
              <w:rPr>
                <w:rFonts w:hint="eastAsia"/>
                <w:color w:val="auto"/>
                <w:lang w:eastAsia="zh-CN"/>
              </w:rPr>
            </w:pPr>
          </w:p>
          <w:p>
            <w:pPr>
              <w:pStyle w:val="26"/>
              <w:rPr>
                <w:rFonts w:hint="eastAsia"/>
                <w:color w:val="auto"/>
                <w:lang w:eastAsia="zh-CN"/>
              </w:rPr>
            </w:pPr>
          </w:p>
          <w:p>
            <w:pPr>
              <w:widowControl/>
              <w:adjustRightInd w:val="0"/>
              <w:spacing w:before="100" w:after="100" w:line="360" w:lineRule="auto"/>
              <w:ind w:firstLine="2100" w:firstLineChars="700"/>
              <w:jc w:val="left"/>
              <w:rPr>
                <w:rFonts w:hint="eastAsia" w:ascii="宋体" w:hAnsi="宋体" w:cs="宋体"/>
                <w:color w:val="auto"/>
                <w:sz w:val="32"/>
                <w:szCs w:val="32"/>
              </w:rPr>
            </w:pPr>
            <w:r>
              <w:rPr>
                <w:rFonts w:hint="eastAsia" w:ascii="宋体" w:hAnsi="宋体" w:eastAsia="宋体" w:cs="宋体"/>
                <w:color w:val="auto"/>
                <w:sz w:val="30"/>
                <w:szCs w:val="30"/>
                <w:lang w:eastAsia="zh-CN"/>
              </w:rPr>
              <w:t>本采购项目招标文件已报备</w:t>
            </w:r>
          </w:p>
        </w:tc>
      </w:tr>
    </w:tbl>
    <w:p>
      <w:pPr>
        <w:pStyle w:val="49"/>
        <w:spacing w:line="240" w:lineRule="auto"/>
        <w:ind w:left="0" w:leftChars="0" w:firstLine="0" w:firstLineChars="0"/>
        <w:rPr>
          <w:rFonts w:hint="eastAsia"/>
          <w:color w:val="auto"/>
        </w:rPr>
      </w:pPr>
    </w:p>
    <w:p>
      <w:pPr>
        <w:pStyle w:val="49"/>
        <w:spacing w:line="240" w:lineRule="auto"/>
        <w:ind w:left="0" w:leftChars="0" w:firstLine="0" w:firstLineChars="0"/>
        <w:rPr>
          <w:rFonts w:hint="eastAsia"/>
          <w:color w:val="auto"/>
        </w:rPr>
      </w:pPr>
    </w:p>
    <w:p>
      <w:pPr>
        <w:pStyle w:val="49"/>
        <w:spacing w:line="240" w:lineRule="auto"/>
        <w:ind w:left="0" w:leftChars="0" w:firstLine="0" w:firstLineChars="0"/>
        <w:rPr>
          <w:rFonts w:hint="eastAsia"/>
          <w:color w:val="auto"/>
        </w:rPr>
      </w:pPr>
    </w:p>
    <w:p>
      <w:pPr>
        <w:shd w:val="clear" w:color="auto" w:fill="auto"/>
        <w:jc w:val="center"/>
        <w:rPr>
          <w:rFonts w:hint="eastAsia"/>
          <w:b/>
          <w:color w:val="auto"/>
          <w:sz w:val="36"/>
          <w:highlight w:val="none"/>
        </w:rPr>
      </w:pPr>
      <w:r>
        <w:rPr>
          <w:rFonts w:hint="eastAsia"/>
          <w:b/>
          <w:color w:val="auto"/>
          <w:sz w:val="36"/>
          <w:highlight w:val="none"/>
        </w:rPr>
        <w:t>目  录</w:t>
      </w:r>
    </w:p>
    <w:p>
      <w:pPr>
        <w:pStyle w:val="19"/>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ascii="宋体" w:hAnsi="宋体"/>
          <w:color w:val="auto"/>
          <w:szCs w:val="22"/>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TOC \o "1-3" \h \z \u </w:instrText>
      </w:r>
      <w:r>
        <w:rPr>
          <w:rFonts w:hint="eastAsia" w:ascii="宋体" w:hAnsi="宋体" w:cs="宋体"/>
          <w:color w:val="auto"/>
          <w:sz w:val="24"/>
          <w:highlight w:val="none"/>
        </w:rPr>
        <w:fldChar w:fldCharType="separate"/>
      </w: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"_Toc469495720"</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bCs/>
          <w:color w:val="auto"/>
          <w:highlight w:val="none"/>
        </w:rPr>
        <w:t>第一章</w:t>
      </w:r>
      <w:r>
        <w:rPr>
          <w:rStyle w:val="37"/>
          <w:rFonts w:hint="eastAsia" w:ascii="宋体" w:hAnsi="宋体"/>
          <w:bCs/>
          <w:color w:val="auto"/>
          <w:highlight w:val="none"/>
          <w:lang w:val="en-US" w:eastAsia="zh-CN"/>
        </w:rPr>
        <w:t xml:space="preserve"> </w:t>
      </w:r>
      <w:r>
        <w:rPr>
          <w:rStyle w:val="37"/>
          <w:rFonts w:hint="eastAsia" w:ascii="宋体" w:hAnsi="宋体"/>
          <w:bCs/>
          <w:color w:val="auto"/>
          <w:highlight w:val="none"/>
        </w:rPr>
        <w:t>招标公告</w:t>
      </w:r>
      <w:r>
        <w:rPr>
          <w:rFonts w:ascii="宋体" w:hAnsi="宋体"/>
          <w:color w:val="auto"/>
          <w:szCs w:val="22"/>
          <w:highlight w:val="none"/>
        </w:rPr>
        <w:tab/>
      </w:r>
      <w:r>
        <w:rPr>
          <w:rFonts w:hint="eastAsia" w:ascii="宋体" w:hAnsi="宋体"/>
          <w:color w:val="auto"/>
          <w:szCs w:val="22"/>
          <w:highlight w:val="none"/>
          <w:lang w:val="en-US" w:eastAsia="zh-CN"/>
        </w:rPr>
        <w:t>.</w:t>
      </w:r>
      <w:r>
        <w:rPr>
          <w:rFonts w:ascii="宋体" w:hAnsi="宋体"/>
          <w:color w:val="auto"/>
          <w:highlight w:val="none"/>
        </w:rPr>
        <w:fldChar w:fldCharType="end"/>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ascii="宋体" w:hAnsi="宋体"/>
          <w:color w:val="auto"/>
          <w:szCs w:val="22"/>
          <w:highlight w:val="none"/>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"_Toc469495721"</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第二章</w:t>
      </w:r>
      <w:r>
        <w:rPr>
          <w:rStyle w:val="37"/>
          <w:rFonts w:ascii="宋体" w:hAnsi="宋体"/>
          <w:color w:val="auto"/>
          <w:highlight w:val="none"/>
        </w:rPr>
        <w:t xml:space="preserve"> </w:t>
      </w:r>
      <w:r>
        <w:rPr>
          <w:rStyle w:val="37"/>
          <w:rFonts w:hint="eastAsia" w:ascii="宋体" w:hAnsi="宋体"/>
          <w:color w:val="auto"/>
          <w:highlight w:val="none"/>
        </w:rPr>
        <w:t>投标人须知</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ascii="宋体" w:hAnsi="宋体"/>
          <w:color w:val="auto"/>
          <w:szCs w:val="22"/>
          <w:highlight w:val="none"/>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"_Toc469495722"</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一、投标人须知前附表</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color w:val="auto"/>
          <w:highlight w:val="none"/>
          <w:lang w:val="en-US" w:eastAsia="zh-CN"/>
        </w:rPr>
      </w:pPr>
      <w:r>
        <w:rPr>
          <w:rFonts w:ascii="宋体" w:hAnsi="宋体"/>
          <w:color w:val="auto"/>
          <w:highlight w:val="none"/>
        </w:rPr>
        <w:fldChar w:fldCharType="begin"/>
      </w:r>
      <w:r>
        <w:rPr>
          <w:rFonts w:ascii="宋体" w:hAnsi="宋体"/>
          <w:color w:val="auto"/>
          <w:highlight w:val="none"/>
        </w:rPr>
        <w:instrText xml:space="preserve"> HYPERLINK \l "_Toc469495723" </w:instrText>
      </w:r>
      <w:r>
        <w:rPr>
          <w:rFonts w:ascii="宋体" w:hAnsi="宋体"/>
          <w:color w:val="auto"/>
          <w:highlight w:val="none"/>
        </w:rPr>
        <w:fldChar w:fldCharType="separate"/>
      </w:r>
      <w:r>
        <w:rPr>
          <w:rFonts w:hint="eastAsia" w:ascii="宋体" w:hAnsi="宋体"/>
          <w:color w:val="auto"/>
          <w:highlight w:val="none"/>
        </w:rPr>
        <w:t>二、投标人须知</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1.政府采购投诉书(范本、质疑函范本）....................................</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630" w:firstLineChars="3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政府采购投诉书范本...................................................</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color w:val="auto"/>
          <w:highlight w:val="none"/>
          <w:lang w:val="en-US" w:eastAsia="zh-CN"/>
        </w:rPr>
      </w:pPr>
      <w:r>
        <w:rPr>
          <w:rFonts w:hint="eastAsia" w:ascii="宋体" w:hAnsi="宋体"/>
          <w:color w:val="auto"/>
          <w:highlight w:val="none"/>
          <w:lang w:val="en-US" w:eastAsia="zh-CN"/>
        </w:rPr>
        <w:t>2.投诉相关说明.........................................................</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3.质疑函范本...........................................................</w:t>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"_Toc469495731"</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第三章</w:t>
      </w:r>
      <w:r>
        <w:rPr>
          <w:rStyle w:val="37"/>
          <w:rFonts w:ascii="宋体" w:hAnsi="宋体"/>
          <w:color w:val="auto"/>
          <w:highlight w:val="none"/>
        </w:rPr>
        <w:t xml:space="preserve">  </w:t>
      </w:r>
      <w:r>
        <w:rPr>
          <w:rStyle w:val="37"/>
          <w:rFonts w:hint="eastAsia" w:ascii="宋体" w:hAnsi="宋体"/>
          <w:color w:val="auto"/>
          <w:highlight w:val="none"/>
        </w:rPr>
        <w:t>评标办法</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"_Toc469495732"</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一</w:t>
      </w:r>
      <w:r>
        <w:rPr>
          <w:rStyle w:val="37"/>
          <w:rFonts w:ascii="宋体" w:hAnsi="宋体"/>
          <w:color w:val="auto"/>
          <w:highlight w:val="none"/>
        </w:rPr>
        <w:t xml:space="preserve">  </w:t>
      </w:r>
      <w:r>
        <w:rPr>
          <w:rStyle w:val="37"/>
          <w:rFonts w:hint="eastAsia" w:ascii="宋体" w:hAnsi="宋体"/>
          <w:color w:val="auto"/>
          <w:highlight w:val="none"/>
        </w:rPr>
        <w:t>总则</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"_Toc469495733"</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二</w:t>
      </w:r>
      <w:r>
        <w:rPr>
          <w:rStyle w:val="37"/>
          <w:rFonts w:ascii="宋体" w:hAnsi="宋体"/>
          <w:color w:val="auto"/>
          <w:highlight w:val="none"/>
        </w:rPr>
        <w:t xml:space="preserve">  </w:t>
      </w:r>
      <w:r>
        <w:rPr>
          <w:rStyle w:val="37"/>
          <w:rFonts w:hint="eastAsia" w:ascii="宋体" w:hAnsi="宋体"/>
          <w:color w:val="auto"/>
          <w:highlight w:val="none"/>
        </w:rPr>
        <w:t>投标文件初审</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"_Toc469495734"</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三</w:t>
      </w:r>
      <w:r>
        <w:rPr>
          <w:rStyle w:val="37"/>
          <w:rFonts w:ascii="宋体" w:hAnsi="宋体"/>
          <w:color w:val="auto"/>
          <w:highlight w:val="none"/>
        </w:rPr>
        <w:t xml:space="preserve">  </w:t>
      </w:r>
      <w:r>
        <w:rPr>
          <w:rStyle w:val="37"/>
          <w:rFonts w:hint="eastAsia" w:ascii="宋体" w:hAnsi="宋体"/>
          <w:color w:val="auto"/>
          <w:highlight w:val="none"/>
        </w:rPr>
        <w:t>投标文件的澄清和补正</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"_Toc469495735"</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四</w:t>
      </w:r>
      <w:r>
        <w:rPr>
          <w:rStyle w:val="37"/>
          <w:rFonts w:ascii="宋体" w:hAnsi="宋体"/>
          <w:color w:val="auto"/>
          <w:highlight w:val="none"/>
        </w:rPr>
        <w:t xml:space="preserve"> </w:t>
      </w:r>
      <w:r>
        <w:rPr>
          <w:rStyle w:val="37"/>
          <w:rFonts w:hint="eastAsia" w:ascii="宋体" w:hAnsi="宋体"/>
          <w:color w:val="auto"/>
          <w:highlight w:val="none"/>
          <w:lang w:val="en-US" w:eastAsia="zh-CN"/>
        </w:rPr>
        <w:t xml:space="preserve"> </w:t>
      </w:r>
      <w:r>
        <w:rPr>
          <w:rStyle w:val="37"/>
          <w:rFonts w:hint="eastAsia" w:ascii="宋体" w:hAnsi="宋体"/>
          <w:color w:val="auto"/>
          <w:highlight w:val="none"/>
        </w:rPr>
        <w:t>比较与评价</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color w:val="auto"/>
          <w:highlight w:val="none"/>
          <w:lang w:val="en-US" w:eastAsia="zh-CN"/>
        </w:rPr>
      </w:pPr>
      <w:r>
        <w:rPr>
          <w:rFonts w:ascii="宋体" w:hAnsi="宋体"/>
          <w:color w:val="auto"/>
          <w:highlight w:val="none"/>
        </w:rPr>
        <w:fldChar w:fldCharType="begin"/>
      </w:r>
      <w:r>
        <w:rPr>
          <w:rFonts w:ascii="宋体" w:hAnsi="宋体"/>
          <w:color w:val="auto"/>
          <w:highlight w:val="none"/>
        </w:rPr>
        <w:instrText xml:space="preserve"> HYPERLINK \l "_Toc469495736" </w:instrText>
      </w:r>
      <w:r>
        <w:rPr>
          <w:rFonts w:ascii="宋体" w:hAnsi="宋体"/>
          <w:color w:val="auto"/>
          <w:highlight w:val="none"/>
        </w:rPr>
        <w:fldChar w:fldCharType="separate"/>
      </w:r>
      <w:r>
        <w:rPr>
          <w:rFonts w:hint="eastAsia" w:ascii="宋体" w:hAnsi="宋体"/>
          <w:color w:val="auto"/>
          <w:highlight w:val="none"/>
        </w:rPr>
        <w:t>五</w:t>
      </w:r>
      <w:r>
        <w:rPr>
          <w:rFonts w:ascii="宋体" w:hAnsi="宋体"/>
          <w:color w:val="auto"/>
          <w:highlight w:val="none"/>
        </w:rPr>
        <w:t xml:space="preserve">  </w:t>
      </w:r>
      <w:r>
        <w:rPr>
          <w:rFonts w:hint="eastAsia" w:ascii="宋体" w:hAnsi="宋体"/>
          <w:color w:val="auto"/>
          <w:highlight w:val="none"/>
        </w:rPr>
        <w:t>推荐中标候选人</w:t>
      </w:r>
      <w:r>
        <w:rPr>
          <w:rFonts w:ascii="宋体" w:hAnsi="宋体"/>
          <w:color w:val="auto"/>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textAlignment w:val="auto"/>
        <w:rPr>
          <w:rFonts w:hint="default" w:ascii="宋体" w:hAnsi="宋体"/>
          <w:color w:val="auto"/>
          <w:highlight w:val="none"/>
          <w:lang w:val="en-US" w:eastAsia="zh-CN"/>
        </w:rPr>
      </w:pPr>
      <w:r>
        <w:rPr>
          <w:rFonts w:hint="eastAsia" w:ascii="宋体" w:hAnsi="宋体"/>
          <w:color w:val="auto"/>
          <w:highlight w:val="none"/>
          <w:lang w:val="en-US" w:eastAsia="zh-CN"/>
        </w:rPr>
        <w:t>第四章  采购内容及技术要求.................................................</w:t>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default"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"_Toc469495740"</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第五章</w:t>
      </w:r>
      <w:r>
        <w:rPr>
          <w:rStyle w:val="37"/>
          <w:rFonts w:ascii="宋体" w:hAnsi="宋体"/>
          <w:color w:val="auto"/>
          <w:highlight w:val="none"/>
        </w:rPr>
        <w:t xml:space="preserve">  </w:t>
      </w:r>
      <w:r>
        <w:rPr>
          <w:rStyle w:val="37"/>
          <w:rFonts w:hint="eastAsia" w:ascii="宋体" w:hAnsi="宋体"/>
          <w:color w:val="auto"/>
          <w:highlight w:val="none"/>
        </w:rPr>
        <w:t>合同条款及格式</w:t>
      </w:r>
      <w:r>
        <w:rPr>
          <w:rFonts w:ascii="宋体" w:hAnsi="宋体"/>
          <w:color w:val="auto"/>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"_Toc469495741"</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一</w:t>
      </w:r>
      <w:r>
        <w:rPr>
          <w:rStyle w:val="37"/>
          <w:rFonts w:hint="eastAsia" w:ascii="宋体" w:hAnsi="宋体"/>
          <w:color w:val="auto"/>
          <w:highlight w:val="none"/>
          <w:lang w:val="en-US" w:eastAsia="zh-CN"/>
        </w:rPr>
        <w:t xml:space="preserve">  </w:t>
      </w:r>
      <w:r>
        <w:rPr>
          <w:rStyle w:val="37"/>
          <w:rFonts w:hint="eastAsia" w:ascii="宋体" w:hAnsi="宋体"/>
          <w:color w:val="auto"/>
          <w:highlight w:val="none"/>
        </w:rPr>
        <w:t>合同协议书</w:t>
      </w:r>
      <w:r>
        <w:rPr>
          <w:rFonts w:ascii="宋体" w:hAnsi="宋体"/>
          <w:color w:val="auto"/>
          <w:highlight w:val="none"/>
        </w:rPr>
        <w:tab/>
      </w:r>
      <w:r>
        <w:rPr>
          <w:rFonts w:ascii="宋体" w:hAnsi="宋体"/>
          <w:color w:val="auto"/>
          <w:highlight w:val="none"/>
        </w:rPr>
        <w:fldChar w:fldCharType="end"/>
      </w:r>
      <w:r>
        <w:rPr>
          <w:rFonts w:hint="eastAsia" w:ascii="宋体" w:hAnsi="宋体"/>
          <w:color w:val="auto"/>
          <w:highlight w:val="none"/>
          <w:lang w:val="en-US" w:eastAsia="zh-CN"/>
        </w:rPr>
        <w:t>..</w:t>
      </w:r>
    </w:p>
    <w:p>
      <w:pPr>
        <w:pStyle w:val="22"/>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default"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"_Toc469495742"</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二</w:t>
      </w:r>
      <w:r>
        <w:rPr>
          <w:rStyle w:val="37"/>
          <w:rFonts w:ascii="宋体" w:hAnsi="宋体"/>
          <w:color w:val="auto"/>
          <w:highlight w:val="none"/>
        </w:rPr>
        <w:t xml:space="preserve">  </w:t>
      </w:r>
      <w:r>
        <w:rPr>
          <w:rStyle w:val="37"/>
          <w:rFonts w:hint="eastAsia" w:ascii="宋体" w:hAnsi="宋体"/>
          <w:color w:val="auto"/>
          <w:highlight w:val="none"/>
        </w:rPr>
        <w:t>合同条款</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r>
        <w:rPr>
          <w:rFonts w:hint="eastAsia" w:ascii="宋体" w:hAnsi="宋体"/>
          <w:color w:val="auto"/>
          <w:highlight w:val="none"/>
          <w:lang w:val="en-US" w:eastAsia="zh-CN"/>
        </w:rPr>
        <w:t>..</w:t>
      </w:r>
    </w:p>
    <w:p>
      <w:pPr>
        <w:pStyle w:val="19"/>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olor w:val="auto"/>
          <w:szCs w:val="22"/>
          <w:highlight w:val="none"/>
          <w:lang w:val="en-US" w:eastAsia="zh-CN"/>
        </w:rPr>
      </w:pPr>
      <w:r>
        <w:rPr>
          <w:rFonts w:ascii="宋体" w:hAnsi="宋体"/>
          <w:color w:val="auto"/>
          <w:highlight w:val="none"/>
        </w:rPr>
        <w:fldChar w:fldCharType="begin"/>
      </w:r>
      <w:r>
        <w:rPr>
          <w:rStyle w:val="37"/>
          <w:rFonts w:ascii="宋体" w:hAnsi="宋体"/>
          <w:color w:val="auto"/>
          <w:highlight w:val="none"/>
        </w:rPr>
        <w:instrText xml:space="preserve"> </w:instrText>
      </w:r>
      <w:r>
        <w:rPr>
          <w:rFonts w:ascii="宋体" w:hAnsi="宋体"/>
          <w:color w:val="auto"/>
          <w:highlight w:val="none"/>
        </w:rPr>
        <w:instrText xml:space="preserve">HYPERLINK \l "_Toc469495743"</w:instrText>
      </w:r>
      <w:r>
        <w:rPr>
          <w:rStyle w:val="37"/>
          <w:rFonts w:ascii="宋体" w:hAnsi="宋体"/>
          <w:color w:val="auto"/>
          <w:highlight w:val="none"/>
        </w:rPr>
        <w:instrText xml:space="preserve"> </w:instrText>
      </w:r>
      <w:r>
        <w:rPr>
          <w:rFonts w:ascii="宋体" w:hAnsi="宋体"/>
          <w:color w:val="auto"/>
          <w:highlight w:val="none"/>
        </w:rPr>
        <w:fldChar w:fldCharType="separate"/>
      </w:r>
      <w:r>
        <w:rPr>
          <w:rStyle w:val="37"/>
          <w:rFonts w:hint="eastAsia" w:ascii="宋体" w:hAnsi="宋体"/>
          <w:color w:val="auto"/>
          <w:highlight w:val="none"/>
        </w:rPr>
        <w:t>第六章</w:t>
      </w:r>
      <w:r>
        <w:rPr>
          <w:rStyle w:val="37"/>
          <w:rFonts w:ascii="宋体" w:hAnsi="宋体"/>
          <w:color w:val="auto"/>
          <w:highlight w:val="none"/>
        </w:rPr>
        <w:t xml:space="preserve">  </w:t>
      </w:r>
      <w:r>
        <w:rPr>
          <w:rStyle w:val="37"/>
          <w:rFonts w:hint="eastAsia" w:ascii="宋体" w:hAnsi="宋体"/>
          <w:color w:val="auto"/>
          <w:highlight w:val="none"/>
        </w:rPr>
        <w:t>投标文件格式</w:t>
      </w:r>
      <w:r>
        <w:rPr>
          <w:rFonts w:ascii="宋体" w:hAnsi="宋体"/>
          <w:color w:val="auto"/>
          <w:highlight w:val="none"/>
        </w:rPr>
        <w:tab/>
      </w:r>
      <w:r>
        <w:rPr>
          <w:rFonts w:hint="eastAsia" w:ascii="宋体" w:hAnsi="宋体"/>
          <w:color w:val="auto"/>
          <w:highlight w:val="none"/>
          <w:lang w:val="en-US" w:eastAsia="zh-CN"/>
        </w:rPr>
        <w:t>..</w:t>
      </w:r>
      <w:r>
        <w:rPr>
          <w:rFonts w:ascii="宋体" w:hAnsi="宋体"/>
          <w:color w:val="auto"/>
          <w:highlight w:val="none"/>
        </w:rPr>
        <w:fldChar w:fldCharType="end"/>
      </w:r>
      <w:r>
        <w:rPr>
          <w:rFonts w:hint="eastAsia" w:ascii="宋体" w:hAnsi="宋体"/>
          <w:color w:val="auto"/>
          <w:highlight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宋体" w:hAnsi="宋体" w:cs="宋体"/>
          <w:color w:val="auto"/>
          <w:sz w:val="24"/>
          <w:highlight w:val="none"/>
        </w:rPr>
      </w:pPr>
      <w:r>
        <w:rPr>
          <w:rFonts w:hint="eastAsia" w:ascii="宋体" w:hAnsi="宋体" w:cs="宋体"/>
          <w:color w:val="auto"/>
          <w:sz w:val="24"/>
          <w:highlight w:val="none"/>
        </w:rPr>
        <w:fldChar w:fldCharType="end"/>
      </w:r>
    </w:p>
    <w:p>
      <w:pPr>
        <w:spacing w:line="240" w:lineRule="auto"/>
        <w:jc w:val="center"/>
        <w:rPr>
          <w:rFonts w:hint="eastAsia" w:ascii="宋体" w:hAnsi="宋体" w:cs="宋体"/>
          <w:b/>
          <w:bCs/>
          <w:color w:val="auto"/>
          <w:kern w:val="36"/>
          <w:sz w:val="36"/>
          <w:szCs w:val="36"/>
        </w:rPr>
      </w:pPr>
      <w:r>
        <w:rPr>
          <w:rFonts w:hint="eastAsia" w:ascii="宋体" w:hAnsi="宋体" w:cs="宋体"/>
          <w:color w:val="auto"/>
          <w:sz w:val="24"/>
          <w:highlight w:val="none"/>
        </w:rPr>
        <w:br w:type="page"/>
      </w:r>
      <w:r>
        <w:rPr>
          <w:rFonts w:ascii="宋体" w:hAnsi="宋体" w:cs="宋体"/>
          <w:b/>
          <w:bCs/>
          <w:color w:val="auto"/>
          <w:kern w:val="36"/>
          <w:sz w:val="36"/>
          <w:szCs w:val="36"/>
        </w:rPr>
        <w:t>第一部分 招标公告</w:t>
      </w:r>
    </w:p>
    <w:p>
      <w:pPr>
        <w:pStyle w:val="4"/>
        <w:keepNext w:val="0"/>
        <w:keepLines w:val="0"/>
        <w:widowControl/>
        <w:numPr>
          <w:ilvl w:val="0"/>
          <w:numId w:val="0"/>
        </w:numPr>
        <w:suppressLineNumbers w:val="0"/>
        <w:spacing w:before="0" w:beforeAutospacing="0" w:after="0" w:afterAutospacing="0" w:line="240" w:lineRule="auto"/>
        <w:ind w:left="-420" w:leftChars="0" w:right="0" w:rightChars="0"/>
        <w:jc w:val="center"/>
        <w:rPr>
          <w:rFonts w:hint="eastAsia" w:ascii="宋体" w:hAnsi="宋体" w:eastAsia="宋体" w:cs="宋体"/>
          <w:b/>
          <w:bCs/>
          <w:kern w:val="2"/>
          <w:sz w:val="28"/>
          <w:szCs w:val="28"/>
          <w:lang w:val="en-US" w:eastAsia="zh-CN" w:bidi="ar-SA"/>
        </w:rPr>
      </w:pPr>
      <w:bookmarkStart w:id="10" w:name="_Toc469495721"/>
      <w:bookmarkStart w:id="11" w:name="_Toc469495723"/>
      <w:r>
        <w:rPr>
          <w:rFonts w:hint="eastAsia" w:ascii="宋体" w:hAnsi="宋体" w:cs="宋体"/>
          <w:b/>
          <w:bCs/>
          <w:kern w:val="2"/>
          <w:sz w:val="28"/>
          <w:szCs w:val="28"/>
          <w:lang w:val="en-US" w:eastAsia="zh-CN" w:bidi="ar-SA"/>
        </w:rPr>
        <w:t>阿图什市城区园林绿化养护服务采购项目</w:t>
      </w:r>
      <w:r>
        <w:rPr>
          <w:rFonts w:hint="eastAsia" w:ascii="宋体" w:hAnsi="宋体" w:eastAsia="宋体" w:cs="宋体"/>
          <w:b/>
          <w:bCs/>
          <w:kern w:val="2"/>
          <w:sz w:val="28"/>
          <w:szCs w:val="28"/>
          <w:lang w:val="en-US" w:eastAsia="zh-CN" w:bidi="ar-SA"/>
        </w:rPr>
        <w:t>公开招标公告</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 xml:space="preserve">项目概况 </w:t>
      </w:r>
    </w:p>
    <w:p>
      <w:pPr>
        <w:pStyle w:val="24"/>
        <w:keepNext w:val="0"/>
        <w:keepLines w:val="0"/>
        <w:pageBreakBefore w:val="0"/>
        <w:widowControl/>
        <w:suppressLineNumbers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kern w:val="2"/>
          <w:sz w:val="21"/>
          <w:szCs w:val="21"/>
          <w:lang w:val="en-US" w:eastAsia="zh-CN" w:bidi="ar-SA"/>
        </w:rPr>
      </w:pPr>
      <w:r>
        <w:rPr>
          <w:rFonts w:hint="eastAsia" w:cs="宋体"/>
          <w:kern w:val="2"/>
          <w:sz w:val="21"/>
          <w:szCs w:val="21"/>
          <w:lang w:val="en-US" w:eastAsia="zh-CN" w:bidi="ar-SA"/>
        </w:rPr>
        <w:t>阿图什市城区园林绿化养护服务采购项目</w:t>
      </w:r>
      <w:r>
        <w:rPr>
          <w:rFonts w:hint="eastAsia" w:ascii="宋体" w:hAnsi="宋体" w:eastAsia="宋体" w:cs="宋体"/>
          <w:kern w:val="2"/>
          <w:sz w:val="21"/>
          <w:szCs w:val="21"/>
          <w:lang w:val="en-US" w:eastAsia="zh-CN" w:bidi="ar-SA"/>
        </w:rPr>
        <w:t>的潜在投标人应在供应商登陆政采云平台http://www.zcygov.cn/，在线申请获取招标文件（登录政府采购云平台 → 项目采购 → 获取招标文件→申请，审核通过后可下载招标文件，如有操作性问题，可与政采云在线客服进行咨询，咨询电话：(95763），并于2023年</w:t>
      </w:r>
      <w:r>
        <w:rPr>
          <w:rFonts w:hint="eastAsia" w:cs="宋体"/>
          <w:kern w:val="2"/>
          <w:sz w:val="21"/>
          <w:szCs w:val="21"/>
          <w:lang w:val="en-US" w:eastAsia="zh-CN" w:bidi="ar-SA"/>
        </w:rPr>
        <w:t>4</w:t>
      </w:r>
      <w:r>
        <w:rPr>
          <w:rFonts w:hint="eastAsia" w:ascii="宋体" w:hAnsi="宋体" w:eastAsia="宋体" w:cs="宋体"/>
          <w:kern w:val="2"/>
          <w:sz w:val="21"/>
          <w:szCs w:val="21"/>
          <w:lang w:val="en-US" w:eastAsia="zh-CN" w:bidi="ar-SA"/>
        </w:rPr>
        <w:t>月</w:t>
      </w:r>
      <w:r>
        <w:rPr>
          <w:rFonts w:hint="eastAsia" w:cs="宋体"/>
          <w:kern w:val="2"/>
          <w:sz w:val="21"/>
          <w:szCs w:val="21"/>
          <w:lang w:val="en-US" w:eastAsia="zh-CN" w:bidi="ar-SA"/>
        </w:rPr>
        <w:t>12</w:t>
      </w:r>
      <w:r>
        <w:rPr>
          <w:rFonts w:hint="eastAsia" w:ascii="宋体" w:hAnsi="宋体" w:eastAsia="宋体" w:cs="宋体"/>
          <w:kern w:val="2"/>
          <w:sz w:val="21"/>
          <w:szCs w:val="21"/>
          <w:lang w:val="en-US" w:eastAsia="zh-CN" w:bidi="ar-SA"/>
        </w:rPr>
        <w:t>日1</w:t>
      </w:r>
      <w:r>
        <w:rPr>
          <w:rFonts w:hint="eastAsia" w:cs="宋体"/>
          <w:kern w:val="2"/>
          <w:sz w:val="21"/>
          <w:szCs w:val="21"/>
          <w:lang w:val="en-US" w:eastAsia="zh-CN" w:bidi="ar-SA"/>
        </w:rPr>
        <w:t>0</w:t>
      </w:r>
      <w:r>
        <w:rPr>
          <w:rFonts w:hint="eastAsia" w:ascii="宋体" w:hAnsi="宋体" w:eastAsia="宋体" w:cs="宋体"/>
          <w:kern w:val="2"/>
          <w:sz w:val="21"/>
          <w:szCs w:val="21"/>
          <w:lang w:val="en-US" w:eastAsia="zh-CN" w:bidi="ar-SA"/>
        </w:rPr>
        <w:t>：</w:t>
      </w: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0（北京时间）前递交投标文件。</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一、项目基本情况</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项目编号：ATSCG-2023</w:t>
      </w:r>
      <w:r>
        <w:rPr>
          <w:rFonts w:hint="eastAsia" w:cs="宋体"/>
          <w:kern w:val="2"/>
          <w:sz w:val="21"/>
          <w:szCs w:val="21"/>
          <w:lang w:val="en-US" w:eastAsia="zh-CN" w:bidi="ar-SA"/>
        </w:rPr>
        <w:t>020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cs="宋体"/>
          <w:kern w:val="2"/>
          <w:sz w:val="21"/>
          <w:szCs w:val="21"/>
          <w:lang w:val="en-US" w:eastAsia="zh-CN" w:bidi="ar-SA"/>
        </w:rPr>
      </w:pPr>
      <w:r>
        <w:rPr>
          <w:rFonts w:hint="eastAsia" w:ascii="宋体" w:hAnsi="宋体" w:eastAsia="宋体" w:cs="宋体"/>
          <w:kern w:val="2"/>
          <w:sz w:val="21"/>
          <w:szCs w:val="21"/>
          <w:lang w:val="en-US" w:eastAsia="zh-CN" w:bidi="ar-SA"/>
        </w:rPr>
        <w:t>项目名称：</w:t>
      </w:r>
      <w:r>
        <w:rPr>
          <w:rFonts w:hint="eastAsia" w:cs="宋体"/>
          <w:kern w:val="2"/>
          <w:sz w:val="21"/>
          <w:szCs w:val="21"/>
          <w:lang w:val="en-US" w:eastAsia="zh-CN" w:bidi="ar-SA"/>
        </w:rPr>
        <w:t>阿图什市城区园林绿化养护服务采购项目</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采购方式：公开招标</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预算金额（元）：</w:t>
      </w:r>
      <w:r>
        <w:rPr>
          <w:rFonts w:hint="eastAsia" w:cs="宋体"/>
          <w:kern w:val="2"/>
          <w:sz w:val="21"/>
          <w:szCs w:val="21"/>
          <w:lang w:val="en-US" w:eastAsia="zh-CN" w:bidi="ar-SA"/>
        </w:rPr>
        <w:t>17800000.00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最高限价（元）：</w:t>
      </w:r>
      <w:r>
        <w:rPr>
          <w:rFonts w:hint="eastAsia" w:cs="宋体"/>
          <w:kern w:val="2"/>
          <w:sz w:val="21"/>
          <w:szCs w:val="21"/>
          <w:lang w:val="en-US" w:eastAsia="zh-CN" w:bidi="ar-SA"/>
        </w:rPr>
        <w:t>8270000；3360000；6170000；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采购需求：</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标项一</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   标项名称:</w:t>
      </w:r>
      <w:r>
        <w:rPr>
          <w:rFonts w:hint="eastAsia" w:cs="宋体"/>
          <w:kern w:val="2"/>
          <w:sz w:val="21"/>
          <w:szCs w:val="21"/>
          <w:lang w:val="en-US" w:eastAsia="zh-CN" w:bidi="ar-SA"/>
        </w:rPr>
        <w:t>阿图什市城区园林绿化养护服务采购项目（标段一）</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eastAsia="宋体" w:cs="宋体"/>
          <w:sz w:val="21"/>
          <w:szCs w:val="21"/>
          <w:lang w:val="en-US"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rPr>
        <w:t> 数量:</w:t>
      </w:r>
      <w:r>
        <w:rPr>
          <w:rFonts w:hint="eastAsia" w:cs="宋体"/>
          <w:sz w:val="21"/>
          <w:szCs w:val="21"/>
          <w:lang w:val="en-US" w:eastAsia="zh-CN"/>
        </w:rPr>
        <w:t>1</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8270000.00</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单位：项</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简要规格描述或项目基本概况介绍、用途：中心城区绿化养护片区，养护范围：东至城东加油站、西至博古孜河、北至314国道、南至环城南路（除广场、公园外），执行一级养护标准。</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default" w:cs="宋体"/>
          <w:sz w:val="21"/>
          <w:szCs w:val="21"/>
          <w:lang w:val="en-US" w:eastAsia="zh-CN"/>
        </w:rPr>
      </w:pPr>
      <w:r>
        <w:rPr>
          <w:rFonts w:hint="eastAsia" w:cs="宋体"/>
          <w:sz w:val="21"/>
          <w:szCs w:val="21"/>
          <w:lang w:val="en-US" w:eastAsia="zh-CN"/>
        </w:rPr>
        <w:t>备注：该预</w:t>
      </w:r>
      <w:r>
        <w:rPr>
          <w:rFonts w:hint="eastAsia" w:cs="宋体"/>
          <w:kern w:val="2"/>
          <w:sz w:val="21"/>
          <w:szCs w:val="21"/>
          <w:lang w:val="en-US" w:eastAsia="zh-CN" w:bidi="ar-SA"/>
        </w:rPr>
        <w:t>算价为年估算价</w:t>
      </w:r>
      <w:r>
        <w:rPr>
          <w:rFonts w:hint="eastAsia" w:cs="宋体"/>
          <w:sz w:val="21"/>
          <w:szCs w:val="21"/>
          <w:lang w:val="en-US" w:eastAsia="zh-CN"/>
        </w:rPr>
        <w:t>，此标项为单价招标，单价最高限价为</w:t>
      </w:r>
      <w:r>
        <w:rPr>
          <w:rFonts w:hint="eastAsia"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元</w:t>
      </w:r>
      <w:r>
        <w:rPr>
          <w:rFonts w:hint="eastAsia" w:cs="宋体"/>
          <w:color w:val="auto"/>
          <w:kern w:val="2"/>
          <w:sz w:val="21"/>
          <w:szCs w:val="21"/>
          <w:lang w:val="en-US" w:eastAsia="zh-CN" w:bidi="ar-SA"/>
        </w:rPr>
        <w:t>/㎡·年</w:t>
      </w:r>
      <w:r>
        <w:rPr>
          <w:rFonts w:hint="eastAsia" w:cs="宋体"/>
          <w:sz w:val="21"/>
          <w:szCs w:val="21"/>
          <w:lang w:val="en-US" w:eastAsia="zh-CN"/>
        </w:rPr>
        <w:t>，具体详见附件及招标文件。</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标项二</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cs="宋体"/>
          <w:kern w:val="2"/>
          <w:sz w:val="21"/>
          <w:szCs w:val="21"/>
          <w:lang w:val="en-US" w:eastAsia="zh-CN" w:bidi="ar-SA"/>
        </w:rPr>
        <w:t>阿图什市城区园林绿化养护服务采购项目（标段二）</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1</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3360000.00</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单位：项</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cs="宋体"/>
          <w:sz w:val="21"/>
          <w:szCs w:val="21"/>
          <w:lang w:val="en-US" w:eastAsia="zh-CN"/>
        </w:rPr>
        <w:t>简要规格描述或项目基本概况介绍、用途：产城服务区绿化养护片区，执行一级管护标准。</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ascii="宋体" w:hAnsi="宋体" w:eastAsia="宋体" w:cs="宋体"/>
          <w:sz w:val="21"/>
          <w:szCs w:val="21"/>
        </w:rPr>
      </w:pPr>
      <w:r>
        <w:rPr>
          <w:rFonts w:hint="eastAsia" w:ascii="宋体" w:hAnsi="宋体" w:eastAsia="宋体" w:cs="宋体"/>
          <w:sz w:val="21"/>
          <w:szCs w:val="21"/>
        </w:rPr>
        <w:t>  备注：</w:t>
      </w:r>
      <w:r>
        <w:rPr>
          <w:rFonts w:hint="eastAsia" w:cs="宋体"/>
          <w:sz w:val="21"/>
          <w:szCs w:val="21"/>
          <w:lang w:val="en-US" w:eastAsia="zh-CN"/>
        </w:rPr>
        <w:t>该预</w:t>
      </w:r>
      <w:r>
        <w:rPr>
          <w:rFonts w:hint="eastAsia" w:cs="宋体"/>
          <w:kern w:val="2"/>
          <w:sz w:val="21"/>
          <w:szCs w:val="21"/>
          <w:lang w:val="en-US" w:eastAsia="zh-CN" w:bidi="ar-SA"/>
        </w:rPr>
        <w:t>算价为年估算价</w:t>
      </w:r>
      <w:r>
        <w:rPr>
          <w:rFonts w:hint="eastAsia" w:cs="宋体"/>
          <w:sz w:val="21"/>
          <w:szCs w:val="21"/>
          <w:lang w:val="en-US" w:eastAsia="zh-CN"/>
        </w:rPr>
        <w:t>，此标项为单价招标，单价最高限价为</w:t>
      </w:r>
      <w:r>
        <w:rPr>
          <w:rFonts w:hint="eastAsia"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元</w:t>
      </w:r>
      <w:r>
        <w:rPr>
          <w:rFonts w:hint="eastAsia" w:cs="宋体"/>
          <w:color w:val="auto"/>
          <w:kern w:val="2"/>
          <w:sz w:val="21"/>
          <w:szCs w:val="21"/>
          <w:lang w:val="en-US" w:eastAsia="zh-CN" w:bidi="ar-SA"/>
        </w:rPr>
        <w:t>/㎡·年</w:t>
      </w:r>
      <w:r>
        <w:rPr>
          <w:rFonts w:hint="eastAsia" w:cs="宋体"/>
          <w:sz w:val="21"/>
          <w:szCs w:val="21"/>
          <w:lang w:val="en-US" w:eastAsia="zh-CN"/>
        </w:rPr>
        <w:t>，具体详见附件及招标文件。</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标项三</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标项名称</w:t>
      </w:r>
      <w:r>
        <w:rPr>
          <w:rFonts w:hint="eastAsia" w:ascii="宋体" w:hAnsi="宋体" w:eastAsia="宋体" w:cs="宋体"/>
          <w:sz w:val="21"/>
          <w:szCs w:val="21"/>
          <w:lang w:val="en-US" w:eastAsia="zh-CN"/>
        </w:rPr>
        <w:t>:</w:t>
      </w:r>
      <w:r>
        <w:rPr>
          <w:rFonts w:hint="eastAsia" w:cs="宋体"/>
          <w:kern w:val="2"/>
          <w:sz w:val="21"/>
          <w:szCs w:val="21"/>
          <w:lang w:val="en-US" w:eastAsia="zh-CN" w:bidi="ar-SA"/>
        </w:rPr>
        <w:t>阿图什市城区园林绿化养护服务采购项目（标段三）</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textAlignment w:val="auto"/>
        <w:rPr>
          <w:rFonts w:hint="eastAsia" w:eastAsia="宋体" w:cs="宋体"/>
          <w:sz w:val="21"/>
          <w:szCs w:val="21"/>
          <w:lang w:val="en-US" w:eastAsia="zh-CN"/>
        </w:rPr>
      </w:pPr>
      <w:r>
        <w:rPr>
          <w:rFonts w:hint="eastAsia" w:ascii="宋体" w:hAnsi="宋体" w:eastAsia="宋体" w:cs="宋体"/>
          <w:sz w:val="21"/>
          <w:szCs w:val="21"/>
        </w:rPr>
        <w:t>   数量:</w:t>
      </w:r>
      <w:r>
        <w:rPr>
          <w:rFonts w:hint="eastAsia" w:cs="宋体"/>
          <w:sz w:val="21"/>
          <w:szCs w:val="21"/>
          <w:lang w:val="en-US" w:eastAsia="zh-CN"/>
        </w:rPr>
        <w:t>1</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ascii="宋体" w:hAnsi="宋体" w:eastAsia="宋体" w:cs="宋体"/>
          <w:sz w:val="21"/>
          <w:szCs w:val="21"/>
          <w:lang w:val="en-US" w:eastAsia="zh-CN"/>
        </w:rPr>
      </w:pPr>
      <w:r>
        <w:rPr>
          <w:rFonts w:hint="eastAsia" w:ascii="宋体" w:hAnsi="宋体" w:eastAsia="宋体" w:cs="宋体"/>
          <w:sz w:val="21"/>
          <w:szCs w:val="21"/>
        </w:rPr>
        <w:t>   预算金额（元）:</w:t>
      </w:r>
      <w:r>
        <w:rPr>
          <w:rFonts w:hint="eastAsia" w:cs="宋体"/>
          <w:sz w:val="21"/>
          <w:szCs w:val="21"/>
          <w:lang w:val="en-US" w:eastAsia="zh-CN"/>
        </w:rPr>
        <w:t>6170000.00</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firstLine="525" w:firstLineChars="250"/>
        <w:textAlignment w:val="auto"/>
        <w:rPr>
          <w:rFonts w:hint="eastAsia" w:ascii="宋体" w:hAnsi="宋体" w:eastAsia="宋体" w:cs="宋体"/>
          <w:sz w:val="21"/>
          <w:szCs w:val="21"/>
          <w:lang w:val="en-US" w:eastAsia="zh-CN"/>
        </w:rPr>
      </w:pPr>
      <w:r>
        <w:rPr>
          <w:rFonts w:hint="eastAsia" w:cs="宋体"/>
          <w:sz w:val="21"/>
          <w:szCs w:val="21"/>
          <w:lang w:val="en-US" w:eastAsia="zh-CN"/>
        </w:rPr>
        <w:t>单位：项</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firstLine="525" w:firstLineChars="250"/>
        <w:textAlignment w:val="auto"/>
        <w:rPr>
          <w:rFonts w:hint="eastAsia" w:ascii="宋体" w:hAnsi="宋体" w:eastAsia="宋体" w:cs="宋体"/>
          <w:sz w:val="21"/>
          <w:szCs w:val="21"/>
          <w:lang w:eastAsia="zh-CN"/>
        </w:rPr>
      </w:pPr>
      <w:r>
        <w:rPr>
          <w:rFonts w:hint="eastAsia" w:ascii="宋体" w:hAnsi="宋体" w:eastAsia="宋体" w:cs="宋体"/>
          <w:sz w:val="21"/>
          <w:szCs w:val="21"/>
        </w:rPr>
        <w:t>简要规格描述或项目基本概况介绍、用途：</w:t>
      </w:r>
      <w:r>
        <w:rPr>
          <w:rFonts w:hint="eastAsia" w:ascii="宋体" w:hAnsi="宋体" w:eastAsia="宋体" w:cs="宋体"/>
          <w:sz w:val="21"/>
          <w:szCs w:val="21"/>
          <w:lang w:val="en-US" w:eastAsia="zh-CN"/>
        </w:rPr>
        <w:t>建成区内所有广场、公园。执行一级养护标准。</w:t>
      </w:r>
      <w:r>
        <w:rPr>
          <w:rFonts w:hint="eastAsia" w:ascii="宋体" w:hAnsi="宋体" w:eastAsia="宋体" w:cs="宋体"/>
          <w:sz w:val="21"/>
          <w:szCs w:val="21"/>
        </w:rPr>
        <w:t> </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525" w:firstLineChars="250"/>
        <w:textAlignment w:val="auto"/>
        <w:rPr>
          <w:rFonts w:hint="eastAsia" w:cs="宋体"/>
          <w:sz w:val="21"/>
          <w:szCs w:val="21"/>
          <w:lang w:val="en-US" w:eastAsia="zh-CN"/>
        </w:rPr>
      </w:pPr>
      <w:r>
        <w:rPr>
          <w:rFonts w:hint="eastAsia" w:ascii="宋体" w:hAnsi="宋体" w:eastAsia="宋体" w:cs="宋体"/>
          <w:sz w:val="21"/>
          <w:szCs w:val="21"/>
        </w:rPr>
        <w:t>备注：</w:t>
      </w:r>
      <w:r>
        <w:rPr>
          <w:rFonts w:hint="eastAsia" w:cs="宋体"/>
          <w:sz w:val="21"/>
          <w:szCs w:val="21"/>
          <w:lang w:val="en-US" w:eastAsia="zh-CN"/>
        </w:rPr>
        <w:t>该预</w:t>
      </w:r>
      <w:r>
        <w:rPr>
          <w:rFonts w:hint="eastAsia" w:cs="宋体"/>
          <w:kern w:val="2"/>
          <w:sz w:val="21"/>
          <w:szCs w:val="21"/>
          <w:lang w:val="en-US" w:eastAsia="zh-CN" w:bidi="ar-SA"/>
        </w:rPr>
        <w:t>算价为年估算价</w:t>
      </w:r>
      <w:r>
        <w:rPr>
          <w:rFonts w:hint="eastAsia" w:cs="宋体"/>
          <w:sz w:val="21"/>
          <w:szCs w:val="21"/>
          <w:lang w:val="en-US" w:eastAsia="zh-CN"/>
        </w:rPr>
        <w:t>，此标项为单价招标，单价最高限价为</w:t>
      </w:r>
      <w:r>
        <w:rPr>
          <w:rFonts w:hint="eastAsia"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元</w:t>
      </w:r>
      <w:r>
        <w:rPr>
          <w:rFonts w:hint="eastAsia" w:cs="宋体"/>
          <w:color w:val="auto"/>
          <w:kern w:val="2"/>
          <w:sz w:val="21"/>
          <w:szCs w:val="21"/>
          <w:lang w:val="en-US" w:eastAsia="zh-CN" w:bidi="ar-SA"/>
        </w:rPr>
        <w:t>/㎡·年</w:t>
      </w:r>
      <w:r>
        <w:rPr>
          <w:rFonts w:hint="eastAsia" w:cs="宋体"/>
          <w:sz w:val="21"/>
          <w:szCs w:val="21"/>
          <w:lang w:val="en-US" w:eastAsia="zh-CN"/>
        </w:rPr>
        <w:t>，具体详见附件及招标文件。</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105" w:leftChars="-50" w:firstLine="630" w:firstLineChars="300"/>
        <w:textAlignment w:val="auto"/>
        <w:rPr>
          <w:rFonts w:hint="eastAsia" w:ascii="宋体" w:hAnsi="宋体" w:eastAsia="宋体" w:cs="宋体"/>
          <w:sz w:val="21"/>
          <w:szCs w:val="21"/>
        </w:rPr>
      </w:pP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105" w:leftChars="-50" w:firstLine="630" w:firstLineChars="300"/>
        <w:textAlignment w:val="auto"/>
        <w:rPr>
          <w:rFonts w:hint="eastAsia" w:cs="宋体"/>
          <w:sz w:val="21"/>
          <w:szCs w:val="21"/>
          <w:lang w:val="en-US" w:eastAsia="zh-CN"/>
        </w:rPr>
      </w:pPr>
      <w:r>
        <w:rPr>
          <w:rFonts w:hint="eastAsia" w:ascii="宋体" w:hAnsi="宋体" w:eastAsia="宋体" w:cs="宋体"/>
          <w:sz w:val="21"/>
          <w:szCs w:val="21"/>
        </w:rPr>
        <w:t xml:space="preserve">合同履约期限：标项 </w:t>
      </w:r>
      <w:r>
        <w:rPr>
          <w:rFonts w:hint="eastAsia" w:cs="宋体"/>
          <w:sz w:val="21"/>
          <w:szCs w:val="21"/>
          <w:lang w:val="en-US" w:eastAsia="zh-CN"/>
        </w:rPr>
        <w:t>1.2.3</w:t>
      </w:r>
      <w:r>
        <w:rPr>
          <w:rFonts w:hint="eastAsia" w:ascii="宋体" w:hAnsi="宋体" w:eastAsia="宋体" w:cs="宋体"/>
          <w:sz w:val="21"/>
          <w:szCs w:val="21"/>
          <w:lang w:val="en-US" w:eastAsia="zh-CN"/>
        </w:rPr>
        <w:t>，</w:t>
      </w:r>
      <w:r>
        <w:rPr>
          <w:rFonts w:hint="eastAsia" w:ascii="宋体" w:hAnsi="宋体" w:eastAsia="宋体" w:cs="宋体"/>
          <w:sz w:val="21"/>
          <w:szCs w:val="21"/>
        </w:rPr>
        <w:t>具体详见</w:t>
      </w:r>
      <w:r>
        <w:rPr>
          <w:rFonts w:hint="eastAsia" w:cs="宋体"/>
          <w:sz w:val="21"/>
          <w:szCs w:val="21"/>
          <w:lang w:val="en-US" w:eastAsia="zh-CN"/>
        </w:rPr>
        <w:t>招标</w:t>
      </w:r>
      <w:r>
        <w:rPr>
          <w:rFonts w:hint="eastAsia" w:ascii="宋体" w:hAnsi="宋体" w:eastAsia="宋体" w:cs="宋体"/>
          <w:sz w:val="21"/>
          <w:szCs w:val="21"/>
        </w:rPr>
        <w:t>文件</w:t>
      </w:r>
      <w:r>
        <w:rPr>
          <w:rFonts w:hint="eastAsia" w:ascii="宋体" w:hAnsi="宋体" w:eastAsia="宋体" w:cs="宋体"/>
          <w:sz w:val="21"/>
          <w:szCs w:val="21"/>
          <w:lang w:val="en-US" w:eastAsia="zh-CN"/>
        </w:rPr>
        <w:t>。</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firstLine="630" w:firstLineChars="3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本项目不接受联合体投标。</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二、申请人的资格要求：</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1.满足《中华人民共和国政府采购法》第二十二条规定；</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i w:val="0"/>
          <w:iCs w:val="0"/>
          <w:caps w:val="0"/>
          <w:color w:val="000000"/>
          <w:spacing w:val="0"/>
          <w:sz w:val="18"/>
          <w:szCs w:val="18"/>
        </w:rPr>
      </w:pPr>
      <w:r>
        <w:rPr>
          <w:rFonts w:hint="eastAsia" w:ascii="宋体" w:hAnsi="宋体" w:eastAsia="宋体" w:cs="宋体"/>
          <w:kern w:val="2"/>
          <w:sz w:val="21"/>
          <w:szCs w:val="21"/>
          <w:lang w:val="en-US" w:eastAsia="zh-CN" w:bidi="ar-SA"/>
        </w:rPr>
        <w:t>2.落实政府采购政策需满足的资格</w:t>
      </w:r>
      <w:r>
        <w:rPr>
          <w:rFonts w:hint="eastAsia" w:cs="宋体"/>
          <w:sz w:val="21"/>
          <w:szCs w:val="21"/>
          <w:lang w:val="en-US" w:eastAsia="zh-CN"/>
        </w:rPr>
        <w:t>要求：标项1.2.3供应商为中小企业；</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本项目的特定资格要求：</w:t>
      </w:r>
      <w:r>
        <w:rPr>
          <w:rFonts w:hint="eastAsia" w:cs="宋体"/>
          <w:sz w:val="21"/>
          <w:szCs w:val="21"/>
          <w:lang w:val="en-US" w:eastAsia="zh-CN"/>
        </w:rPr>
        <w:t>标项1.2.3</w:t>
      </w:r>
      <w:r>
        <w:rPr>
          <w:rFonts w:hint="eastAsia" w:ascii="宋体" w:hAnsi="宋体" w:eastAsia="宋体" w:cs="宋体"/>
          <w:kern w:val="2"/>
          <w:sz w:val="21"/>
          <w:szCs w:val="21"/>
          <w:lang w:val="en-US" w:eastAsia="zh-CN" w:bidi="ar-SA"/>
        </w:rPr>
        <w:t>：</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（1）具有合格有效的三证合一营业执照；</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（2）具有授权委托书及被委托人身份证（法人提供法人证明书及法人身份证）；</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 xml:space="preserve">三、获取招标文件 </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时间：2023年</w:t>
      </w:r>
      <w:r>
        <w:rPr>
          <w:rFonts w:hint="eastAsia" w:cs="宋体"/>
          <w:kern w:val="2"/>
          <w:sz w:val="21"/>
          <w:szCs w:val="21"/>
          <w:lang w:val="en-US" w:eastAsia="zh-CN" w:bidi="ar-SA"/>
        </w:rPr>
        <w:t>3</w:t>
      </w:r>
      <w:r>
        <w:rPr>
          <w:rFonts w:hint="eastAsia" w:ascii="宋体" w:hAnsi="宋体" w:eastAsia="宋体" w:cs="宋体"/>
          <w:kern w:val="2"/>
          <w:sz w:val="21"/>
          <w:szCs w:val="21"/>
          <w:lang w:val="en-US" w:eastAsia="zh-CN" w:bidi="ar-SA"/>
        </w:rPr>
        <w:t>月</w:t>
      </w:r>
      <w:r>
        <w:rPr>
          <w:rFonts w:hint="eastAsia" w:cs="宋体"/>
          <w:kern w:val="2"/>
          <w:sz w:val="21"/>
          <w:szCs w:val="21"/>
          <w:lang w:val="en-US" w:eastAsia="zh-CN" w:bidi="ar-SA"/>
        </w:rPr>
        <w:t>22</w:t>
      </w:r>
      <w:r>
        <w:rPr>
          <w:rFonts w:hint="eastAsia" w:ascii="宋体" w:hAnsi="宋体" w:eastAsia="宋体" w:cs="宋体"/>
          <w:kern w:val="2"/>
          <w:sz w:val="21"/>
          <w:szCs w:val="21"/>
          <w:lang w:val="en-US" w:eastAsia="zh-CN" w:bidi="ar-SA"/>
        </w:rPr>
        <w:t>日至2023年</w:t>
      </w:r>
      <w:r>
        <w:rPr>
          <w:rFonts w:hint="eastAsia" w:cs="宋体"/>
          <w:kern w:val="2"/>
          <w:sz w:val="21"/>
          <w:szCs w:val="21"/>
          <w:lang w:val="en-US" w:eastAsia="zh-CN" w:bidi="ar-SA"/>
        </w:rPr>
        <w:t>4</w:t>
      </w:r>
      <w:r>
        <w:rPr>
          <w:rFonts w:hint="eastAsia" w:ascii="宋体" w:hAnsi="宋体" w:eastAsia="宋体" w:cs="宋体"/>
          <w:kern w:val="2"/>
          <w:sz w:val="21"/>
          <w:szCs w:val="21"/>
          <w:lang w:val="en-US" w:eastAsia="zh-CN" w:bidi="ar-SA"/>
        </w:rPr>
        <w:t>月</w:t>
      </w:r>
      <w:r>
        <w:rPr>
          <w:rFonts w:hint="eastAsia" w:cs="宋体"/>
          <w:kern w:val="2"/>
          <w:sz w:val="21"/>
          <w:szCs w:val="21"/>
          <w:lang w:val="en-US" w:eastAsia="zh-CN" w:bidi="ar-SA"/>
        </w:rPr>
        <w:t>4</w:t>
      </w:r>
      <w:r>
        <w:rPr>
          <w:rFonts w:hint="eastAsia" w:ascii="宋体" w:hAnsi="宋体" w:eastAsia="宋体" w:cs="宋体"/>
          <w:kern w:val="2"/>
          <w:sz w:val="21"/>
          <w:szCs w:val="21"/>
          <w:lang w:val="en-US" w:eastAsia="zh-CN" w:bidi="ar-SA"/>
        </w:rPr>
        <w:t>日，每天上午10:00至14:00，下午16:00至19:30（北京时间，法定节假日除外）</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地点：供应商登陆政采云平台http://www.zcygov.cn/，在线申请获取招标文件（登录政府采购云平台 → 项目采购 → 获取招标文件→申请，审核通过后可下载招标文件，如有操作性问题，可与政采云在线客服进行咨询，咨询电话：95763）</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方式：（1）线上获取（登录政府采购云平台 → 项目采购 → 获取招标文件→ 申请，审核通过后可下载招标文件）。本次招标不提供纸质版招标文件。（2）供应商获取招标文件前应注册成为政府采购云平台正式供应商。</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售价（元）：0</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四、提交投标文件截止时间、开标时间和地点</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提交投标文件截止时间：202</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年</w:t>
      </w:r>
      <w:r>
        <w:rPr>
          <w:rFonts w:hint="eastAsia" w:cs="宋体"/>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lang w:val="en-US" w:eastAsia="zh-CN" w:bidi="ar"/>
        </w:rPr>
        <w:t>月</w:t>
      </w:r>
      <w:r>
        <w:rPr>
          <w:rFonts w:hint="eastAsia" w:cs="宋体"/>
          <w:i w:val="0"/>
          <w:iCs w:val="0"/>
          <w:caps w:val="0"/>
          <w:color w:val="000000"/>
          <w:spacing w:val="0"/>
          <w:kern w:val="0"/>
          <w:sz w:val="21"/>
          <w:szCs w:val="21"/>
          <w:lang w:val="en-US" w:eastAsia="zh-CN" w:bidi="ar"/>
        </w:rPr>
        <w:t>12</w:t>
      </w:r>
      <w:r>
        <w:rPr>
          <w:rFonts w:hint="eastAsia" w:ascii="宋体" w:hAnsi="宋体" w:eastAsia="宋体" w:cs="宋体"/>
          <w:i w:val="0"/>
          <w:iCs w:val="0"/>
          <w:caps w:val="0"/>
          <w:color w:val="000000"/>
          <w:spacing w:val="0"/>
          <w:kern w:val="0"/>
          <w:sz w:val="21"/>
          <w:szCs w:val="21"/>
          <w:lang w:val="en-US" w:eastAsia="zh-CN" w:bidi="ar"/>
        </w:rPr>
        <w:t>日 1</w:t>
      </w:r>
      <w:r>
        <w:rPr>
          <w:rFonts w:hint="eastAsia" w:cs="宋体"/>
          <w:i w:val="0"/>
          <w:iCs w:val="0"/>
          <w:caps w:val="0"/>
          <w:color w:val="000000"/>
          <w:spacing w:val="0"/>
          <w:kern w:val="0"/>
          <w:sz w:val="21"/>
          <w:szCs w:val="21"/>
          <w:lang w:val="en-US" w:eastAsia="zh-CN" w:bidi="ar"/>
        </w:rPr>
        <w:t>0</w:t>
      </w:r>
      <w:r>
        <w:rPr>
          <w:rFonts w:hint="eastAsia" w:ascii="宋体" w:hAnsi="宋体" w:eastAsia="宋体" w:cs="宋体"/>
          <w:i w:val="0"/>
          <w:iCs w:val="0"/>
          <w:caps w:val="0"/>
          <w:color w:val="000000"/>
          <w:spacing w:val="0"/>
          <w:kern w:val="0"/>
          <w:sz w:val="21"/>
          <w:szCs w:val="21"/>
          <w:lang w:val="en-US" w:eastAsia="zh-CN" w:bidi="ar"/>
        </w:rPr>
        <w:t>:</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0（北京时间）</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投标地点：政府采购云平台（www.zcygov.cn）</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开标时间：202</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年</w:t>
      </w:r>
      <w:r>
        <w:rPr>
          <w:rFonts w:hint="eastAsia" w:cs="宋体"/>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lang w:val="en-US" w:eastAsia="zh-CN" w:bidi="ar"/>
        </w:rPr>
        <w:t>月</w:t>
      </w:r>
      <w:r>
        <w:rPr>
          <w:rFonts w:hint="eastAsia" w:cs="宋体"/>
          <w:i w:val="0"/>
          <w:iCs w:val="0"/>
          <w:caps w:val="0"/>
          <w:color w:val="000000"/>
          <w:spacing w:val="0"/>
          <w:kern w:val="0"/>
          <w:sz w:val="21"/>
          <w:szCs w:val="21"/>
          <w:lang w:val="en-US" w:eastAsia="zh-CN" w:bidi="ar"/>
        </w:rPr>
        <w:t>12</w:t>
      </w:r>
      <w:r>
        <w:rPr>
          <w:rFonts w:hint="eastAsia" w:ascii="宋体" w:hAnsi="宋体" w:eastAsia="宋体" w:cs="宋体"/>
          <w:i w:val="0"/>
          <w:iCs w:val="0"/>
          <w:caps w:val="0"/>
          <w:color w:val="000000"/>
          <w:spacing w:val="0"/>
          <w:kern w:val="0"/>
          <w:sz w:val="21"/>
          <w:szCs w:val="21"/>
          <w:lang w:val="en-US" w:eastAsia="zh-CN" w:bidi="ar"/>
        </w:rPr>
        <w:t>日 1</w:t>
      </w:r>
      <w:r>
        <w:rPr>
          <w:rFonts w:hint="eastAsia" w:cs="宋体"/>
          <w:i w:val="0"/>
          <w:iCs w:val="0"/>
          <w:caps w:val="0"/>
          <w:color w:val="000000"/>
          <w:spacing w:val="0"/>
          <w:kern w:val="0"/>
          <w:sz w:val="21"/>
          <w:szCs w:val="21"/>
          <w:lang w:val="en-US" w:eastAsia="zh-CN" w:bidi="ar"/>
        </w:rPr>
        <w:t>0</w:t>
      </w:r>
      <w:r>
        <w:rPr>
          <w:rFonts w:hint="eastAsia" w:ascii="宋体" w:hAnsi="宋体" w:eastAsia="宋体" w:cs="宋体"/>
          <w:i w:val="0"/>
          <w:iCs w:val="0"/>
          <w:caps w:val="0"/>
          <w:color w:val="000000"/>
          <w:spacing w:val="0"/>
          <w:kern w:val="0"/>
          <w:sz w:val="21"/>
          <w:szCs w:val="21"/>
          <w:lang w:val="en-US" w:eastAsia="zh-CN" w:bidi="ar"/>
        </w:rPr>
        <w:t>:</w:t>
      </w:r>
      <w:r>
        <w:rPr>
          <w:rFonts w:hint="eastAsia"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0（北京时间）</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360" w:lineRule="auto"/>
        <w:ind w:left="0" w:right="0" w:firstLine="420"/>
        <w:jc w:val="left"/>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 xml:space="preserve">开标地点：政府采购云平台（www.zcygov.cn）  </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36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 xml:space="preserve">五、公告期限 </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 xml:space="preserve"> 自本公告发布之日起5个工作日。</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六、其他补充事宜</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7"/>
          <w:szCs w:val="27"/>
          <w:lang w:val="en-US" w:eastAsia="zh-CN"/>
        </w:rPr>
        <w:t xml:space="preserve"> </w:t>
      </w:r>
      <w:r>
        <w:rPr>
          <w:rFonts w:hint="eastAsia" w:ascii="宋体" w:hAnsi="宋体" w:eastAsia="宋体" w:cs="宋体"/>
          <w:sz w:val="21"/>
          <w:szCs w:val="21"/>
        </w:rPr>
        <w:t>1.本项目采用全流程不见面电子开评标，投标供应商需要使用CA加密设备，供应商可通过新疆数字证书认证中心官网（https://www.xjca.com.cn/）或下载“新疆政务通”APP自行进行申领。</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2.本项目实行网上投标，采用加密电子投标文件(供应商须使用CA加密设备通过政采云电子投标客户端制作投标文件)。若供应商参与投标，自行承担投标一切费用。</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cs="宋体"/>
          <w:sz w:val="21"/>
          <w:szCs w:val="21"/>
          <w:lang w:eastAsia="zh-CN"/>
        </w:rPr>
        <w:t xml:space="preserve">95763 </w:t>
      </w:r>
      <w:r>
        <w:rPr>
          <w:rFonts w:hint="eastAsia" w:ascii="宋体" w:hAnsi="宋体" w:eastAsia="宋体" w:cs="宋体"/>
          <w:sz w:val="21"/>
          <w:szCs w:val="21"/>
        </w:rPr>
        <w:t>进行咨询。</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val="en-US" w:eastAsia="zh-CN"/>
        </w:rPr>
      </w:pPr>
      <w:r>
        <w:rPr>
          <w:rFonts w:hint="eastAsia" w:cs="宋体"/>
          <w:sz w:val="21"/>
          <w:szCs w:val="21"/>
          <w:lang w:val="en-US" w:eastAsia="zh-CN"/>
        </w:rPr>
        <w:t xml:space="preserve">    </w:t>
      </w:r>
      <w:r>
        <w:rPr>
          <w:rFonts w:hint="eastAsia" w:ascii="宋体" w:hAnsi="宋体" w:eastAsia="宋体" w:cs="宋体"/>
          <w:sz w:val="21"/>
          <w:szCs w:val="21"/>
        </w:rPr>
        <w:t>5.供应商在开标时须使用制作加密电子投标文件所使用的CA锁及电脑，电脑须提前配置好浏览器（建议使用谷歌浏览器），以便开标时解锁。</w:t>
      </w:r>
      <w:r>
        <w:rPr>
          <w:rFonts w:hint="eastAsia" w:cs="宋体"/>
          <w:sz w:val="21"/>
          <w:szCs w:val="21"/>
          <w:lang w:val="en-US" w:eastAsia="zh-CN"/>
        </w:rPr>
        <w:t xml:space="preserve"> </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eastAsia="宋体" w:cs="宋体"/>
          <w:sz w:val="21"/>
          <w:szCs w:val="21"/>
          <w:lang w:eastAsia="zh-CN"/>
        </w:rPr>
      </w:pPr>
      <w:r>
        <w:rPr>
          <w:rFonts w:hint="eastAsia" w:cs="宋体"/>
          <w:sz w:val="21"/>
          <w:szCs w:val="21"/>
          <w:lang w:val="en-US" w:eastAsia="zh-CN"/>
        </w:rPr>
        <w:t xml:space="preserve">    </w:t>
      </w:r>
      <w:r>
        <w:rPr>
          <w:rFonts w:hint="eastAsia" w:ascii="宋体" w:hAnsi="宋体" w:eastAsia="宋体" w:cs="宋体"/>
          <w:sz w:val="21"/>
          <w:szCs w:val="21"/>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w:t>
      </w:r>
      <w:r>
        <w:rPr>
          <w:rFonts w:hint="eastAsia" w:cs="宋体"/>
          <w:sz w:val="21"/>
          <w:szCs w:val="21"/>
          <w:lang w:eastAsia="zh-CN"/>
        </w:rPr>
        <w:t>。</w:t>
      </w:r>
    </w:p>
    <w:p>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Style w:val="30"/>
          <w:rFonts w:hint="eastAsia" w:ascii="宋体" w:hAnsi="宋体" w:eastAsia="宋体" w:cs="宋体"/>
          <w:b/>
          <w:color w:val="333333"/>
          <w:sz w:val="21"/>
          <w:szCs w:val="21"/>
          <w:lang w:val="en-US" w:eastAsia="zh-CN"/>
        </w:rPr>
      </w:pPr>
      <w:r>
        <w:rPr>
          <w:rFonts w:hint="eastAsia" w:cs="宋体"/>
          <w:sz w:val="21"/>
          <w:szCs w:val="21"/>
          <w:lang w:val="en-US" w:eastAsia="zh-CN"/>
        </w:rPr>
        <w:t xml:space="preserve">   </w:t>
      </w:r>
      <w:r>
        <w:rPr>
          <w:rFonts w:hint="eastAsia" w:ascii="宋体" w:hAnsi="宋体" w:eastAsia="宋体" w:cs="宋体"/>
          <w:sz w:val="21"/>
          <w:szCs w:val="21"/>
        </w:rPr>
        <w:t>7.为了保证开评标顺利进行，政采云线上开标功能完全实现，供应商开标所使用的电脑设备须具有视频及语音功能。</w:t>
      </w:r>
    </w:p>
    <w:p>
      <w:pPr>
        <w:pStyle w:val="24"/>
        <w:keepNext w:val="0"/>
        <w:keepLines w:val="0"/>
        <w:pageBreakBefore w:val="0"/>
        <w:widowControl/>
        <w:suppressLineNumbers w:val="0"/>
        <w:kinsoku/>
        <w:wordWrap/>
        <w:overflowPunct/>
        <w:topLinePunct w:val="0"/>
        <w:autoSpaceDE/>
        <w:autoSpaceDN/>
        <w:bidi w:val="0"/>
        <w:adjustRightInd/>
        <w:snapToGrid/>
        <w:spacing w:before="256" w:beforeAutospacing="0" w:after="256" w:afterAutospacing="0" w:line="240" w:lineRule="auto"/>
        <w:ind w:left="0" w:right="0"/>
        <w:jc w:val="both"/>
        <w:textAlignment w:val="auto"/>
        <w:rPr>
          <w:rStyle w:val="30"/>
          <w:rFonts w:hint="eastAsia" w:ascii="宋体" w:hAnsi="宋体" w:eastAsia="宋体" w:cs="宋体"/>
          <w:b/>
          <w:color w:val="333333"/>
          <w:sz w:val="21"/>
          <w:szCs w:val="21"/>
          <w:lang w:val="en-US" w:eastAsia="zh-CN"/>
        </w:rPr>
      </w:pPr>
      <w:r>
        <w:rPr>
          <w:rStyle w:val="30"/>
          <w:rFonts w:hint="eastAsia" w:ascii="宋体" w:hAnsi="宋体" w:eastAsia="宋体" w:cs="宋体"/>
          <w:b/>
          <w:color w:val="333333"/>
          <w:sz w:val="21"/>
          <w:szCs w:val="21"/>
          <w:lang w:val="en-US" w:eastAsia="zh-CN"/>
        </w:rPr>
        <w:t>七、对本次采购提出询问，请按以下方式联系</w:t>
      </w:r>
    </w:p>
    <w:bookmarkEnd w:id="10"/>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1.采购人信息</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名 称：</w:t>
      </w:r>
      <w:r>
        <w:rPr>
          <w:rFonts w:hint="eastAsia" w:ascii="新宋体" w:hAnsi="新宋体" w:eastAsia="新宋体" w:cs="新宋体"/>
          <w:color w:val="auto"/>
          <w:kern w:val="2"/>
          <w:sz w:val="21"/>
          <w:szCs w:val="21"/>
          <w:lang w:val="en-US" w:eastAsia="zh-CN" w:bidi="ar-SA"/>
        </w:rPr>
        <w:t>阿图什市市政公用事业服务中心</w:t>
      </w:r>
      <w:r>
        <w:rPr>
          <w:rFonts w:hint="eastAsia" w:ascii="宋体" w:hAnsi="宋体" w:eastAsia="宋体" w:cs="宋体"/>
          <w:color w:val="auto"/>
          <w:szCs w:val="21"/>
        </w:rPr>
        <w:t xml:space="preserve">              </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地址：阿图什市</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 xml:space="preserve">联系方式：13080135286                      </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2.采购代理机构信息</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名 称：新疆惠文建设工程项目管理咨询有限公司　　　　　　　　   　</w:t>
      </w:r>
    </w:p>
    <w:p>
      <w:pPr>
        <w:spacing w:line="360" w:lineRule="auto"/>
        <w:ind w:firstLine="210" w:firstLineChars="100"/>
        <w:rPr>
          <w:rFonts w:hint="eastAsia" w:ascii="宋体" w:hAnsi="宋体" w:eastAsia="宋体" w:cs="宋体"/>
          <w:color w:val="auto"/>
          <w:szCs w:val="21"/>
        </w:rPr>
      </w:pPr>
      <w:r>
        <w:rPr>
          <w:rFonts w:hint="eastAsia" w:ascii="宋体" w:hAnsi="宋体" w:eastAsia="宋体" w:cs="宋体"/>
          <w:color w:val="auto"/>
          <w:szCs w:val="21"/>
        </w:rPr>
        <w:t>地 址：阿图什市友谊北路123-1号2楼　  　</w:t>
      </w:r>
    </w:p>
    <w:p>
      <w:pPr>
        <w:spacing w:line="360" w:lineRule="auto"/>
        <w:ind w:firstLine="210" w:firstLineChars="100"/>
        <w:rPr>
          <w:rFonts w:hint="eastAsia" w:ascii="宋体" w:hAnsi="宋体" w:eastAsia="宋体" w:cs="宋体"/>
          <w:color w:val="auto"/>
          <w:szCs w:val="21"/>
          <w:lang w:val="en-US" w:eastAsia="zh-CN"/>
        </w:rPr>
      </w:pPr>
      <w:r>
        <w:rPr>
          <w:rFonts w:hint="eastAsia" w:ascii="宋体" w:hAnsi="宋体" w:eastAsia="宋体" w:cs="宋体"/>
          <w:color w:val="auto"/>
          <w:szCs w:val="21"/>
        </w:rPr>
        <w:t>联系方式：</w:t>
      </w:r>
      <w:r>
        <w:rPr>
          <w:rFonts w:hint="eastAsia" w:ascii="宋体" w:hAnsi="宋体" w:eastAsia="宋体" w:cs="宋体"/>
          <w:color w:val="auto"/>
          <w:szCs w:val="21"/>
          <w:lang w:val="en-US" w:eastAsia="zh-CN"/>
        </w:rPr>
        <w:t>18609081081</w:t>
      </w: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3.项目联系方式</w:t>
      </w: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项目联系人：刘女士</w:t>
      </w: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电 话：18609081081</w:t>
      </w:r>
    </w:p>
    <w:p>
      <w:pPr>
        <w:rPr>
          <w:rFonts w:hint="eastAsia"/>
        </w:rPr>
      </w:pPr>
    </w:p>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60" w:lineRule="auto"/>
        <w:ind w:right="0" w:firstLine="210" w:firstLineChars="100"/>
        <w:jc w:val="left"/>
        <w:rPr>
          <w:rFonts w:hint="eastAsia" w:ascii="宋体" w:hAnsi="宋体" w:eastAsia="宋体" w:cs="宋体"/>
          <w:color w:val="auto"/>
          <w:kern w:val="2"/>
          <w:sz w:val="21"/>
          <w:szCs w:val="21"/>
          <w:lang w:val="en-US" w:eastAsia="zh-CN" w:bidi="ar-SA"/>
        </w:rPr>
      </w:pPr>
    </w:p>
    <w:p>
      <w:pPr>
        <w:rPr>
          <w:rFonts w:hint="eastAsia"/>
          <w:color w:val="auto"/>
        </w:rPr>
      </w:pPr>
    </w:p>
    <w:p>
      <w:pPr>
        <w:numPr>
          <w:ilvl w:val="0"/>
          <w:numId w:val="3"/>
        </w:numPr>
        <w:shd w:val="clear" w:color="auto" w:fill="auto"/>
        <w:spacing w:line="500" w:lineRule="exact"/>
        <w:ind w:left="-1816" w:leftChars="0" w:firstLine="3520" w:firstLineChars="0"/>
        <w:jc w:val="center"/>
        <w:outlineLvl w:val="0"/>
        <w:rPr>
          <w:rFonts w:hint="eastAsia" w:ascii="宋体"/>
          <w:b/>
          <w:color w:val="auto"/>
          <w:sz w:val="32"/>
          <w:szCs w:val="32"/>
          <w:highlight w:val="none"/>
        </w:rPr>
      </w:pPr>
      <w:r>
        <w:rPr>
          <w:rFonts w:hint="eastAsia" w:ascii="宋体"/>
          <w:b/>
          <w:color w:val="auto"/>
          <w:sz w:val="32"/>
          <w:szCs w:val="32"/>
          <w:highlight w:val="none"/>
        </w:rPr>
        <w:t>投标人须知</w:t>
      </w:r>
      <w:bookmarkStart w:id="12" w:name="_Toc469495722"/>
    </w:p>
    <w:p>
      <w:pPr>
        <w:numPr>
          <w:ilvl w:val="0"/>
          <w:numId w:val="4"/>
        </w:numPr>
        <w:shd w:val="clear" w:color="auto" w:fill="auto"/>
        <w:spacing w:line="500" w:lineRule="exact"/>
        <w:ind w:left="0" w:leftChars="0" w:firstLine="3520" w:firstLineChars="0"/>
        <w:jc w:val="both"/>
        <w:outlineLvl w:val="0"/>
        <w:rPr>
          <w:rFonts w:hint="eastAsia"/>
          <w:color w:val="auto"/>
        </w:rPr>
      </w:pPr>
      <w:r>
        <w:rPr>
          <w:rFonts w:hint="eastAsia" w:ascii="宋体"/>
          <w:b/>
          <w:color w:val="auto"/>
          <w:sz w:val="28"/>
          <w:szCs w:val="28"/>
          <w:highlight w:val="none"/>
        </w:rPr>
        <w:t>投标人须知前附表</w:t>
      </w:r>
      <w:bookmarkEnd w:id="12"/>
    </w:p>
    <w:tbl>
      <w:tblPr>
        <w:tblStyle w:val="27"/>
        <w:tblW w:w="983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012"/>
        <w:gridCol w:w="1536"/>
        <w:gridCol w:w="728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2" w:rightChars="-39"/>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条款号</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内容</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ind w:firstLine="2100" w:firstLineChars="1000"/>
              <w:jc w:val="both"/>
              <w:textAlignment w:val="auto"/>
              <w:outlineLvl w:val="9"/>
              <w:rPr>
                <w:b w:val="0"/>
                <w:bCs/>
                <w:color w:val="auto"/>
                <w:sz w:val="21"/>
                <w:szCs w:val="21"/>
                <w:highlight w:val="none"/>
                <w:lang w:val="en-US" w:eastAsia="zh-CN"/>
              </w:rPr>
            </w:pPr>
            <w:r>
              <w:rPr>
                <w:rFonts w:hint="eastAsia"/>
                <w:b w:val="0"/>
                <w:bCs/>
                <w:color w:val="auto"/>
                <w:sz w:val="21"/>
                <w:szCs w:val="21"/>
                <w:highlight w:val="none"/>
                <w:lang w:val="en-US" w:eastAsia="zh-CN"/>
              </w:rPr>
              <w:t>说明与要求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3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1</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采购人</w:t>
            </w:r>
            <w:r>
              <w:rPr>
                <w:rFonts w:hint="eastAsia" w:ascii="宋体" w:hAnsi="宋体" w:eastAsia="宋体" w:cs="宋体"/>
                <w:b/>
                <w:bCs w:val="0"/>
                <w:color w:val="auto"/>
                <w:sz w:val="21"/>
                <w:szCs w:val="21"/>
                <w:highlight w:val="none"/>
                <w:lang w:eastAsia="zh-CN"/>
              </w:rPr>
              <w:t>信</w:t>
            </w:r>
            <w:r>
              <w:rPr>
                <w:rFonts w:hint="eastAsia" w:ascii="宋体" w:hAnsi="宋体" w:eastAsia="宋体" w:cs="宋体"/>
                <w:b/>
                <w:bCs w:val="0"/>
                <w:color w:val="auto"/>
                <w:sz w:val="21"/>
                <w:szCs w:val="21"/>
                <w:highlight w:val="none"/>
              </w:rPr>
              <w:t>息</w:t>
            </w:r>
          </w:p>
        </w:tc>
        <w:tc>
          <w:tcPr>
            <w:tcW w:w="7288"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b w:val="0"/>
                <w:bCs/>
                <w:color w:val="auto"/>
                <w:sz w:val="21"/>
                <w:szCs w:val="21"/>
                <w:lang w:val="en-US" w:eastAsia="zh-CN"/>
              </w:rPr>
            </w:pPr>
            <w:r>
              <w:rPr>
                <w:rFonts w:hint="eastAsia"/>
                <w:b w:val="0"/>
                <w:bCs/>
                <w:color w:val="auto"/>
                <w:sz w:val="21"/>
                <w:szCs w:val="21"/>
                <w:highlight w:val="none"/>
                <w:lang w:val="en-US" w:eastAsia="zh-CN"/>
              </w:rPr>
              <w:t>采购单位：</w:t>
            </w:r>
            <w:r>
              <w:rPr>
                <w:rFonts w:hint="eastAsia"/>
                <w:b w:val="0"/>
                <w:bCs/>
                <w:color w:val="auto"/>
                <w:sz w:val="21"/>
                <w:szCs w:val="21"/>
                <w:lang w:val="en-US" w:eastAsia="zh-CN"/>
              </w:rPr>
              <w:t>阿图什市市政公用事业服务中心</w:t>
            </w:r>
          </w:p>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default" w:eastAsia="宋体"/>
                <w:b w:val="0"/>
                <w:bCs/>
                <w:color w:val="auto"/>
                <w:sz w:val="21"/>
                <w:szCs w:val="21"/>
                <w:lang w:val="en-US" w:eastAsia="zh-CN"/>
              </w:rPr>
            </w:pPr>
            <w:r>
              <w:rPr>
                <w:rFonts w:hint="eastAsia" w:eastAsia="宋体"/>
                <w:b w:val="0"/>
                <w:bCs/>
                <w:color w:val="auto"/>
                <w:sz w:val="21"/>
                <w:szCs w:val="21"/>
                <w:lang w:val="en-US" w:eastAsia="zh-CN"/>
              </w:rPr>
              <w:t>联系人：</w:t>
            </w:r>
            <w:r>
              <w:rPr>
                <w:rFonts w:hint="eastAsia"/>
                <w:b w:val="0"/>
                <w:bCs/>
                <w:color w:val="auto"/>
                <w:sz w:val="21"/>
                <w:szCs w:val="21"/>
                <w:lang w:val="en-US" w:eastAsia="zh-CN"/>
              </w:rPr>
              <w:t>李先生</w:t>
            </w:r>
            <w:r>
              <w:rPr>
                <w:rFonts w:hint="eastAsia" w:eastAsia="宋体"/>
                <w:b w:val="0"/>
                <w:bCs/>
                <w:color w:val="auto"/>
                <w:sz w:val="21"/>
                <w:szCs w:val="21"/>
                <w:lang w:val="en-US" w:eastAsia="zh-CN"/>
              </w:rPr>
              <w:t xml:space="preserve">        联系电话   </w:t>
            </w:r>
            <w:r>
              <w:rPr>
                <w:rFonts w:hint="eastAsia"/>
                <w:b w:val="0"/>
                <w:bCs/>
                <w:color w:val="auto"/>
                <w:sz w:val="21"/>
                <w:szCs w:val="21"/>
                <w:lang w:val="en-US" w:eastAsia="zh-CN"/>
              </w:rPr>
              <w:t>13080135286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default"/>
                <w:b/>
                <w:bCs w:val="0"/>
                <w:color w:val="auto"/>
                <w:sz w:val="21"/>
                <w:szCs w:val="21"/>
                <w:highlight w:val="none"/>
                <w:lang w:val="en-US" w:eastAsia="zh-CN"/>
              </w:rPr>
              <w:t>2</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center"/>
              <w:textAlignment w:val="auto"/>
              <w:rPr>
                <w:rFonts w:hint="eastAsia"/>
                <w:b/>
                <w:bCs w:val="0"/>
                <w:color w:val="auto"/>
                <w:sz w:val="21"/>
                <w:szCs w:val="21"/>
                <w:highlight w:val="none"/>
                <w:lang w:val="en-US" w:eastAsia="zh-CN"/>
              </w:rPr>
            </w:pPr>
            <w:r>
              <w:rPr>
                <w:rFonts w:hint="eastAsia" w:ascii="宋体" w:hAnsi="宋体" w:eastAsia="宋体" w:cs="宋体"/>
                <w:b/>
                <w:bCs w:val="0"/>
                <w:color w:val="auto"/>
                <w:sz w:val="21"/>
                <w:szCs w:val="21"/>
                <w:highlight w:val="none"/>
              </w:rPr>
              <w:t>采购代理机构</w:t>
            </w:r>
          </w:p>
        </w:tc>
        <w:tc>
          <w:tcPr>
            <w:tcW w:w="7288"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名  称：新疆惠文建设工程项目管理咨询有限公司</w:t>
            </w:r>
          </w:p>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b w:val="0"/>
                <w:bCs/>
                <w:color w:val="auto"/>
                <w:lang w:val="en-US" w:eastAsia="zh-CN"/>
              </w:rPr>
            </w:pPr>
            <w:r>
              <w:rPr>
                <w:rFonts w:hint="eastAsia" w:ascii="Times New Roman" w:hAnsi="Times New Roman" w:eastAsia="宋体" w:cs="Times New Roman"/>
                <w:b w:val="0"/>
                <w:bCs/>
                <w:color w:val="auto"/>
                <w:sz w:val="21"/>
                <w:szCs w:val="21"/>
                <w:lang w:val="en-US" w:eastAsia="zh-CN"/>
              </w:rPr>
              <w:t>地  址：阿图什市友谊北路123-1号2楼</w:t>
            </w:r>
          </w:p>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b w:val="0"/>
                <w:bCs/>
                <w:color w:val="auto"/>
                <w:sz w:val="21"/>
                <w:szCs w:val="21"/>
                <w:highlight w:val="none"/>
              </w:rPr>
            </w:pPr>
            <w:r>
              <w:rPr>
                <w:rFonts w:hint="default" w:ascii="Times New Roman" w:hAnsi="Times New Roman" w:eastAsia="宋体" w:cs="Times New Roman"/>
                <w:b w:val="0"/>
                <w:bCs/>
                <w:color w:val="auto"/>
                <w:sz w:val="21"/>
                <w:szCs w:val="21"/>
                <w:lang w:val="en-US" w:eastAsia="zh-CN"/>
              </w:rPr>
              <w:t>联系人：</w:t>
            </w:r>
            <w:r>
              <w:rPr>
                <w:rFonts w:hint="eastAsia" w:ascii="Times New Roman" w:hAnsi="Times New Roman" w:eastAsia="宋体" w:cs="Times New Roman"/>
                <w:b w:val="0"/>
                <w:bCs/>
                <w:color w:val="auto"/>
                <w:sz w:val="21"/>
                <w:szCs w:val="21"/>
                <w:lang w:val="en-US" w:eastAsia="zh-CN"/>
              </w:rPr>
              <w:t xml:space="preserve">刘女士       </w:t>
            </w:r>
            <w:r>
              <w:rPr>
                <w:rFonts w:hint="default" w:ascii="Times New Roman" w:hAnsi="Times New Roman" w:eastAsia="宋体" w:cs="Times New Roman"/>
                <w:b w:val="0"/>
                <w:bCs/>
                <w:color w:val="auto"/>
                <w:sz w:val="21"/>
                <w:szCs w:val="21"/>
                <w:lang w:val="en-US" w:eastAsia="zh-CN"/>
              </w:rPr>
              <w:t>联系电话：</w:t>
            </w:r>
            <w:r>
              <w:rPr>
                <w:rFonts w:hint="eastAsia" w:ascii="Times New Roman" w:hAnsi="Times New Roman" w:eastAsia="宋体" w:cs="Times New Roman"/>
                <w:b w:val="0"/>
                <w:bCs/>
                <w:color w:val="auto"/>
                <w:sz w:val="21"/>
                <w:szCs w:val="21"/>
                <w:lang w:val="en-US" w:eastAsia="zh-CN"/>
              </w:rPr>
              <w:t>18609081081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3"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3</w:t>
            </w:r>
          </w:p>
        </w:tc>
        <w:tc>
          <w:tcPr>
            <w:tcW w:w="1536" w:type="dxa"/>
            <w:noWrap w:val="0"/>
            <w:vAlign w:val="center"/>
          </w:tcPr>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jc w:val="center"/>
              <w:textAlignment w:val="auto"/>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项目名称</w:t>
            </w:r>
          </w:p>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jc w:val="center"/>
              <w:textAlignment w:val="auto"/>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项目编号</w:t>
            </w:r>
          </w:p>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jc w:val="center"/>
              <w:textAlignment w:val="auto"/>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采购内容</w:t>
            </w:r>
          </w:p>
        </w:tc>
        <w:tc>
          <w:tcPr>
            <w:tcW w:w="7288" w:type="dxa"/>
            <w:noWrap w:val="0"/>
            <w:vAlign w:val="center"/>
          </w:tcPr>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textAlignment w:val="auto"/>
              <w:rPr>
                <w:rFonts w:hint="eastAsia" w:ascii="Times New Roman" w:hAnsi="Times New Roman"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阿图什市城区园林绿化养护服务采购项目（标段三）</w:t>
            </w:r>
          </w:p>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textAlignment w:val="auto"/>
              <w:rPr>
                <w:rFonts w:hint="default" w:ascii="Times New Roman" w:hAnsi="Times New Roman"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项目编号：ATSCG-2023020</w:t>
            </w:r>
          </w:p>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textAlignment w:val="auto"/>
              <w:rPr>
                <w:rFonts w:hint="default" w:ascii="Times New Roman" w:hAnsi="Times New Roman" w:eastAsia="宋体"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采购内容：广场及公园绿化养护片区。养护范围：建成区内所有广场、公园(含农业小区旁公园、滨河公园、南湖公园、州体育公园、法院对面公园、人民广场、民生广场、吉祥公园等)，养护面积约为770096.66㎡。执行一级养护标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3"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4</w:t>
            </w:r>
          </w:p>
        </w:tc>
        <w:tc>
          <w:tcPr>
            <w:tcW w:w="1536" w:type="dxa"/>
            <w:noWrap w:val="0"/>
            <w:vAlign w:val="center"/>
          </w:tcPr>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jc w:val="center"/>
              <w:textAlignment w:val="auto"/>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采购预算</w:t>
            </w:r>
          </w:p>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jc w:val="center"/>
              <w:textAlignment w:val="auto"/>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最高投标限价</w:t>
            </w:r>
          </w:p>
        </w:tc>
        <w:tc>
          <w:tcPr>
            <w:tcW w:w="7288" w:type="dxa"/>
            <w:noWrap w:val="0"/>
            <w:vAlign w:val="center"/>
          </w:tcPr>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textAlignment w:val="auto"/>
              <w:rPr>
                <w:rFonts w:hint="default" w:ascii="Times New Roman" w:hAnsi="Times New Roman" w:cs="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采购预算：6170000.00元</w:t>
            </w:r>
          </w:p>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jc w:val="left"/>
              <w:textAlignment w:val="auto"/>
              <w:rPr>
                <w:rFonts w:hint="eastAsia" w:ascii="Times New Roman" w:hAnsi="Times New Roman" w:eastAsia="宋体" w:cs="Times New Roman"/>
                <w:b w:val="0"/>
                <w:bCs/>
                <w:color w:val="auto"/>
                <w:kern w:val="2"/>
                <w:sz w:val="21"/>
                <w:szCs w:val="21"/>
                <w:lang w:val="en-US" w:eastAsia="zh-CN" w:bidi="ar-SA"/>
              </w:rPr>
            </w:pPr>
            <w:r>
              <w:rPr>
                <w:rFonts w:hint="eastAsia" w:ascii="Times New Roman" w:hAnsi="Times New Roman" w:eastAsia="宋体" w:cs="Times New Roman"/>
                <w:b/>
                <w:bCs/>
                <w:color w:val="0000FF"/>
                <w:kern w:val="2"/>
                <w:sz w:val="21"/>
                <w:szCs w:val="21"/>
                <w:lang w:val="en-US" w:eastAsia="zh-CN" w:bidi="ar-SA"/>
              </w:rPr>
              <w:t>最高投标限价</w:t>
            </w:r>
            <w:r>
              <w:rPr>
                <w:rFonts w:hint="eastAsia" w:ascii="Times New Roman" w:hAnsi="Times New Roman" w:cs="Times New Roman"/>
                <w:b/>
                <w:bCs/>
                <w:color w:val="0000FF"/>
                <w:kern w:val="2"/>
                <w:sz w:val="21"/>
                <w:szCs w:val="21"/>
                <w:lang w:val="en-US" w:eastAsia="zh-CN" w:bidi="ar-SA"/>
              </w:rPr>
              <w:t>（单价）</w:t>
            </w:r>
            <w:r>
              <w:rPr>
                <w:rFonts w:hint="eastAsia" w:ascii="Times New Roman" w:hAnsi="Times New Roman" w:eastAsia="宋体" w:cs="Times New Roman"/>
                <w:b/>
                <w:bCs/>
                <w:color w:val="0000FF"/>
                <w:kern w:val="2"/>
                <w:sz w:val="21"/>
                <w:szCs w:val="21"/>
                <w:lang w:val="en-US" w:eastAsia="zh-CN" w:bidi="ar-SA"/>
              </w:rPr>
              <w:t>：</w:t>
            </w:r>
            <w:r>
              <w:rPr>
                <w:rFonts w:hint="eastAsia" w:ascii="Times New Roman" w:hAnsi="Times New Roman" w:cs="Times New Roman"/>
                <w:b/>
                <w:bCs/>
                <w:color w:val="0000FF"/>
                <w:kern w:val="2"/>
                <w:sz w:val="21"/>
                <w:szCs w:val="21"/>
                <w:lang w:val="en-US" w:eastAsia="zh-CN" w:bidi="ar-SA"/>
              </w:rPr>
              <w:t>8元/㎡·年</w:t>
            </w:r>
            <w:r>
              <w:rPr>
                <w:rFonts w:hint="eastAsia" w:ascii="Times New Roman" w:hAnsi="Times New Roman" w:eastAsia="宋体" w:cs="Times New Roman"/>
                <w:b/>
                <w:bCs/>
                <w:color w:val="0000FF"/>
                <w:kern w:val="2"/>
                <w:sz w:val="21"/>
                <w:szCs w:val="21"/>
                <w:lang w:val="en-US" w:eastAsia="zh-CN" w:bidi="ar-SA"/>
              </w:rPr>
              <w:t>，投标人的投标报价不得高于最高投标限价</w:t>
            </w:r>
            <w:r>
              <w:rPr>
                <w:rFonts w:hint="eastAsia" w:ascii="Times New Roman" w:hAnsi="Times New Roman" w:cs="Times New Roman"/>
                <w:b/>
                <w:bCs/>
                <w:color w:val="0000FF"/>
                <w:kern w:val="2"/>
                <w:sz w:val="21"/>
                <w:szCs w:val="21"/>
                <w:lang w:val="en-US" w:eastAsia="zh-CN" w:bidi="ar-SA"/>
              </w:rPr>
              <w:t>（单价）</w:t>
            </w:r>
            <w:r>
              <w:rPr>
                <w:rFonts w:hint="eastAsia" w:ascii="Times New Roman" w:hAnsi="Times New Roman" w:eastAsia="宋体" w:cs="Times New Roman"/>
                <w:b/>
                <w:bCs/>
                <w:color w:val="0000FF"/>
                <w:kern w:val="2"/>
                <w:sz w:val="21"/>
                <w:szCs w:val="21"/>
                <w:lang w:val="en-US" w:eastAsia="zh-CN" w:bidi="ar-SA"/>
              </w:rPr>
              <w:t>，否则其投标将被否决。</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6"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5</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center"/>
              <w:textAlignment w:val="auto"/>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资金来源及资金落实情况</w:t>
            </w:r>
          </w:p>
        </w:tc>
        <w:tc>
          <w:tcPr>
            <w:tcW w:w="7288"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textAlignment w:val="auto"/>
              <w:rPr>
                <w:rFonts w:hint="default" w:ascii="宋体" w:hAnsi="宋体" w:eastAsia="宋体" w:cs="宋体"/>
                <w:b w:val="0"/>
                <w:bCs/>
                <w:color w:val="auto"/>
                <w:kern w:val="0"/>
                <w:sz w:val="21"/>
                <w:szCs w:val="21"/>
                <w:highlight w:val="none"/>
                <w:lang w:val="en-US" w:eastAsia="zh-CN"/>
              </w:rPr>
            </w:pPr>
            <w:r>
              <w:rPr>
                <w:rFonts w:hint="eastAsia" w:ascii="Times New Roman" w:hAnsi="Times New Roman" w:eastAsia="宋体" w:cs="Times New Roman"/>
                <w:b/>
                <w:bCs/>
                <w:color w:val="auto"/>
                <w:kern w:val="2"/>
                <w:sz w:val="21"/>
                <w:szCs w:val="21"/>
                <w:lang w:val="en-US" w:eastAsia="zh-CN" w:bidi="ar-SA"/>
              </w:rPr>
              <w:t>地方财政资金，已经落实。</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6</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Times New Roman"/>
                <w:b/>
                <w:bCs w:val="0"/>
                <w:color w:val="auto"/>
                <w:kern w:val="2"/>
                <w:sz w:val="21"/>
                <w:szCs w:val="21"/>
                <w:lang w:val="en-US" w:eastAsia="zh-CN" w:bidi="ar-SA"/>
              </w:rPr>
            </w:pPr>
            <w:r>
              <w:rPr>
                <w:rFonts w:hint="eastAsia" w:cs="Times New Roman"/>
                <w:b/>
                <w:bCs w:val="0"/>
                <w:color w:val="auto"/>
                <w:kern w:val="2"/>
                <w:sz w:val="21"/>
                <w:szCs w:val="21"/>
                <w:lang w:val="en-US" w:eastAsia="zh-CN" w:bidi="ar-SA"/>
              </w:rPr>
              <w:t>服务</w:t>
            </w:r>
            <w:r>
              <w:rPr>
                <w:rFonts w:hint="eastAsia" w:ascii="Times New Roman" w:hAnsi="Times New Roman" w:eastAsia="宋体" w:cs="Times New Roman"/>
                <w:b/>
                <w:bCs w:val="0"/>
                <w:color w:val="auto"/>
                <w:kern w:val="2"/>
                <w:sz w:val="21"/>
                <w:szCs w:val="21"/>
                <w:lang w:val="en-US" w:eastAsia="zh-CN" w:bidi="ar-SA"/>
              </w:rPr>
              <w:t>时间</w:t>
            </w:r>
          </w:p>
          <w:p>
            <w:pPr>
              <w:keepNext w:val="0"/>
              <w:keepLines w:val="0"/>
              <w:pageBreakBefore w:val="0"/>
              <w:widowControl/>
              <w:shd w:val="clear" w:color="auto" w:fill="auto"/>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（供货期）</w:t>
            </w:r>
          </w:p>
        </w:tc>
        <w:tc>
          <w:tcPr>
            <w:tcW w:w="7288" w:type="dxa"/>
            <w:noWrap w:val="0"/>
            <w:vAlign w:val="center"/>
          </w:tcPr>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textAlignment w:val="auto"/>
              <w:rPr>
                <w:rFonts w:hint="default" w:ascii="Times New Roman" w:hAnsi="Times New Roman" w:eastAsia="宋体" w:cs="Times New Roman"/>
                <w:b w:val="0"/>
                <w:bCs/>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合同签订之日起3年。（注：根据考核情况一年一签，共计3年。如合同期内连续2个或累计3个季度综合评定考核结果不合格的，终止中标单位的承包权，并重新招标确定养护单位）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40" w:lineRule="auto"/>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7</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80" w:lineRule="exact"/>
              <w:jc w:val="center"/>
              <w:textAlignment w:val="auto"/>
              <w:outlineLvl w:val="9"/>
              <w:rPr>
                <w:rFonts w:hint="eastAsia"/>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服务</w:t>
            </w:r>
            <w:r>
              <w:rPr>
                <w:rFonts w:hint="eastAsia" w:ascii="宋体" w:hAnsi="宋体" w:eastAsia="宋体" w:cs="宋体"/>
                <w:b/>
                <w:bCs w:val="0"/>
                <w:color w:val="auto"/>
                <w:sz w:val="21"/>
                <w:szCs w:val="21"/>
                <w:highlight w:val="none"/>
                <w:lang w:eastAsia="zh-CN"/>
              </w:rPr>
              <w:t>地点</w:t>
            </w:r>
          </w:p>
        </w:tc>
        <w:tc>
          <w:tcPr>
            <w:tcW w:w="7288" w:type="dxa"/>
            <w:noWrap w:val="0"/>
            <w:vAlign w:val="center"/>
          </w:tcPr>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textAlignment w:val="auto"/>
              <w:rPr>
                <w:rFonts w:hint="eastAsia" w:ascii="Times New Roman" w:hAnsi="Times New Roman" w:eastAsia="宋体" w:cs="Times New Roman"/>
                <w:b w:val="0"/>
                <w:bCs/>
                <w:color w:val="auto"/>
                <w:kern w:val="2"/>
                <w:sz w:val="21"/>
                <w:szCs w:val="21"/>
                <w:lang w:val="en-US" w:eastAsia="zh-CN" w:bidi="ar-SA"/>
              </w:rPr>
            </w:pPr>
            <w:r>
              <w:rPr>
                <w:rFonts w:hint="eastAsia" w:ascii="Times New Roman" w:hAnsi="Times New Roman" w:eastAsia="宋体" w:cs="Times New Roman"/>
                <w:b w:val="0"/>
                <w:bCs/>
                <w:color w:val="auto"/>
                <w:kern w:val="2"/>
                <w:sz w:val="21"/>
                <w:szCs w:val="21"/>
                <w:lang w:val="en-US" w:eastAsia="zh-CN" w:bidi="ar-SA"/>
              </w:rPr>
              <w:t>广场及公园绿化养护片区（采购人指定地点）。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6"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8</w:t>
            </w:r>
          </w:p>
        </w:tc>
        <w:tc>
          <w:tcPr>
            <w:tcW w:w="1536" w:type="dxa"/>
            <w:noWrap w:val="0"/>
            <w:vAlign w:val="center"/>
          </w:tcPr>
          <w:p>
            <w:pPr>
              <w:keepNext w:val="0"/>
              <w:keepLines w:val="0"/>
              <w:pageBreakBefore w:val="0"/>
              <w:widowControl/>
              <w:shd w:val="clear" w:color="auto" w:fill="auto"/>
              <w:kinsoku/>
              <w:wordWrap/>
              <w:overflowPunct/>
              <w:topLinePunct w:val="0"/>
              <w:autoSpaceDE/>
              <w:autoSpaceDN/>
              <w:bidi w:val="0"/>
              <w:adjustRightInd/>
              <w:spacing w:line="380" w:lineRule="exact"/>
              <w:jc w:val="center"/>
              <w:textAlignment w:val="auto"/>
              <w:rPr>
                <w:rFonts w:hint="eastAsia"/>
                <w:b/>
                <w:bCs w:val="0"/>
                <w:color w:val="auto"/>
                <w:sz w:val="21"/>
                <w:szCs w:val="21"/>
                <w:highlight w:val="none"/>
                <w:lang w:val="en-US" w:eastAsia="zh-CN"/>
              </w:rPr>
            </w:pPr>
            <w:r>
              <w:rPr>
                <w:rFonts w:hint="eastAsia" w:ascii="宋体" w:hAnsi="宋体" w:eastAsia="宋体" w:cs="宋体"/>
                <w:b/>
                <w:bCs w:val="0"/>
                <w:color w:val="auto"/>
                <w:sz w:val="21"/>
                <w:szCs w:val="21"/>
                <w:highlight w:val="none"/>
              </w:rPr>
              <w:t>付款方式</w:t>
            </w:r>
          </w:p>
        </w:tc>
        <w:tc>
          <w:tcPr>
            <w:tcW w:w="7288" w:type="dxa"/>
            <w:noWrap w:val="0"/>
            <w:vAlign w:val="center"/>
          </w:tcPr>
          <w:p>
            <w:pPr>
              <w:pStyle w:val="24"/>
              <w:keepNext w:val="0"/>
              <w:keepLines w:val="0"/>
              <w:pageBreakBefore w:val="0"/>
              <w:widowControl/>
              <w:suppressLineNumbers w:val="0"/>
              <w:kinsoku/>
              <w:wordWrap/>
              <w:overflowPunct/>
              <w:topLinePunct w:val="0"/>
              <w:autoSpaceDE/>
              <w:autoSpaceDN/>
              <w:bidi w:val="0"/>
              <w:adjustRightInd/>
              <w:spacing w:before="0" w:beforeAutospacing="0" w:after="0" w:afterAutospacing="0" w:line="380" w:lineRule="exact"/>
              <w:ind w:right="0"/>
              <w:textAlignment w:val="auto"/>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考核通过后，按实际养护面积季度支付（严格参考本项目考核标准制度拨付）。</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9</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招标方式</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公开招标</w:t>
            </w:r>
            <w:r>
              <w:rPr>
                <w:rFonts w:hint="eastAsia" w:hAnsi="宋体" w:cs="宋体-18030"/>
                <w:b w:val="0"/>
                <w:bCs/>
                <w:color w:val="auto"/>
                <w:sz w:val="21"/>
                <w:szCs w:val="21"/>
                <w:highlight w:val="none"/>
                <w:lang w:val="en-US" w:eastAsia="zh-CN"/>
              </w:rPr>
              <w:t>(本项目采用网上电子招投标)</w:t>
            </w:r>
            <w:r>
              <w:rPr>
                <w:rFonts w:hint="eastAsia"/>
                <w:b w:val="0"/>
                <w:bCs/>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10</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投标人资格条件及其他要求</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1、符合《中华人民共和国政府采购法》第二十二条之规定的合格投标供应商；</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2、具有合格有效的三证合一营业执照；</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3、具有授权委托书及被委托人身份证（法人提供法人证明书及法人身份证）；</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hAnsi="Times New Roman" w:cs="Times New Roman"/>
                <w:b w:val="0"/>
                <w:bCs/>
                <w:color w:val="auto"/>
                <w:sz w:val="21"/>
                <w:szCs w:val="21"/>
                <w:highlight w:val="none"/>
                <w:lang w:val="en-US" w:eastAsia="zh-CN"/>
              </w:rPr>
            </w:pPr>
            <w:r>
              <w:rPr>
                <w:rFonts w:hint="eastAsia" w:cs="Times New Roman"/>
                <w:b w:val="0"/>
                <w:bCs/>
                <w:color w:val="auto"/>
                <w:sz w:val="21"/>
                <w:szCs w:val="21"/>
                <w:highlight w:val="none"/>
                <w:lang w:val="en-US" w:eastAsia="zh-CN"/>
              </w:rPr>
              <w:t>4</w:t>
            </w:r>
            <w:r>
              <w:rPr>
                <w:rFonts w:hint="eastAsia" w:hAnsi="Times New Roman" w:cs="Times New Roman"/>
                <w:b w:val="0"/>
                <w:bCs/>
                <w:color w:val="auto"/>
                <w:sz w:val="21"/>
                <w:szCs w:val="21"/>
                <w:highlight w:val="none"/>
                <w:lang w:val="en-US"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Times New Roman" w:eastAsia="宋体" w:cs="Times New Roman"/>
                <w:b w:val="0"/>
                <w:bCs/>
                <w:color w:val="auto"/>
                <w:sz w:val="21"/>
                <w:szCs w:val="21"/>
                <w:highlight w:val="none"/>
                <w:lang w:val="en-US" w:eastAsia="zh-CN"/>
              </w:rPr>
            </w:pPr>
            <w:r>
              <w:rPr>
                <w:rFonts w:hint="eastAsia" w:ascii="宋体" w:hAnsi="Times New Roman" w:eastAsia="宋体" w:cs="Times New Roman"/>
                <w:b w:val="0"/>
                <w:bCs/>
                <w:color w:val="auto"/>
                <w:sz w:val="21"/>
                <w:szCs w:val="21"/>
                <w:highlight w:val="none"/>
                <w:lang w:val="en-US" w:eastAsia="zh-CN"/>
              </w:rPr>
              <w:t>5、本项目不接受联合体投标。</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Times New Roman" w:eastAsia="宋体" w:cs="Times New Roman"/>
                <w:b w:val="0"/>
                <w:bCs/>
                <w:color w:val="auto"/>
                <w:sz w:val="21"/>
                <w:szCs w:val="21"/>
                <w:highlight w:val="none"/>
                <w:lang w:val="en-US" w:eastAsia="zh-CN"/>
              </w:rPr>
            </w:pPr>
            <w:r>
              <w:rPr>
                <w:rFonts w:hint="eastAsia" w:ascii="宋体" w:hAnsi="Times New Roman" w:eastAsia="宋体" w:cs="Times New Roman"/>
                <w:b w:val="0"/>
                <w:bCs/>
                <w:color w:val="auto"/>
                <w:sz w:val="21"/>
                <w:szCs w:val="21"/>
                <w:highlight w:val="none"/>
                <w:lang w:val="en-US" w:eastAsia="zh-CN"/>
              </w:rPr>
              <w:t>6、供应商为中小企业。</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default"/>
                <w:b w:val="0"/>
                <w:bCs/>
                <w:color w:val="auto"/>
                <w:lang w:val="en-US" w:eastAsia="zh-CN"/>
              </w:rPr>
            </w:pPr>
            <w:r>
              <w:rPr>
                <w:rFonts w:hint="eastAsia" w:ascii="宋体" w:hAnsi="Times New Roman" w:eastAsia="宋体" w:cs="Times New Roman"/>
                <w:b w:val="0"/>
                <w:bCs/>
                <w:color w:val="auto"/>
                <w:sz w:val="21"/>
                <w:szCs w:val="21"/>
                <w:highlight w:val="none"/>
                <w:lang w:val="en-US" w:eastAsia="zh-CN"/>
              </w:rPr>
              <w:t>7、</w:t>
            </w:r>
            <w:r>
              <w:rPr>
                <w:rFonts w:hint="eastAsia" w:hAnsi="Times New Roman" w:cs="Times New Roman"/>
                <w:b w:val="0"/>
                <w:bCs/>
                <w:color w:val="auto"/>
                <w:sz w:val="21"/>
                <w:szCs w:val="21"/>
                <w:highlight w:val="none"/>
                <w:lang w:val="en-US" w:eastAsia="zh-CN"/>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11</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供应商信用</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查询</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1、查询渠道：信用中国（网址：http://www.creditchina.gov.cn）、中国政府采购网(网址：http://www.ccgp.gov.cn）。</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2、截止时点：开标后评标前。</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3、信用信息查询记录和证据留存的具体方式：由采购组织机构在规定查询时间内打印信用信息查询记录并归入项目档案。</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12</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b/>
                <w:bCs w:val="0"/>
                <w:color w:val="auto"/>
                <w:sz w:val="21"/>
                <w:szCs w:val="21"/>
                <w:highlight w:val="none"/>
                <w:lang w:val="en-US" w:eastAsia="zh-CN"/>
              </w:rPr>
            </w:pPr>
            <w:r>
              <w:rPr>
                <w:rFonts w:hint="eastAsia"/>
                <w:b/>
                <w:bCs w:val="0"/>
                <w:color w:val="auto"/>
                <w:sz w:val="21"/>
                <w:szCs w:val="21"/>
                <w:highlight w:val="none"/>
                <w:lang w:val="en-US" w:eastAsia="zh-CN"/>
              </w:rPr>
              <w:t>踏勘现场</w:t>
            </w:r>
          </w:p>
        </w:tc>
        <w:tc>
          <w:tcPr>
            <w:tcW w:w="7288" w:type="dxa"/>
            <w:noWrap w:val="0"/>
            <w:vAlign w:val="center"/>
          </w:tcPr>
          <w:p>
            <w:pPr>
              <w:keepNext w:val="0"/>
              <w:keepLines w:val="0"/>
              <w:pageBreakBefore w:val="0"/>
              <w:widowControl/>
              <w:suppressLineNumbers w:val="0"/>
              <w:kinsoku/>
              <w:wordWrap/>
              <w:overflowPunct/>
              <w:topLinePunct w:val="0"/>
              <w:autoSpaceDE/>
              <w:autoSpaceDN/>
              <w:bidi w:val="0"/>
              <w:adjustRightInd/>
              <w:spacing w:line="380" w:lineRule="exact"/>
              <w:jc w:val="left"/>
              <w:textAlignment w:val="auto"/>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不</w:t>
            </w:r>
            <w:r>
              <w:rPr>
                <w:rFonts w:hint="eastAsia" w:ascii="宋体" w:hAnsi="Times New Roman" w:eastAsia="宋体" w:cs="Times New Roman"/>
                <w:b w:val="0"/>
                <w:bCs/>
                <w:color w:val="auto"/>
                <w:kern w:val="2"/>
                <w:sz w:val="21"/>
                <w:szCs w:val="21"/>
                <w:highlight w:val="none"/>
                <w:u w:val="none" w:color="000000"/>
                <w:lang w:val="en-US" w:eastAsia="zh-CN" w:bidi="ar-SA"/>
              </w:rPr>
              <w:t>组织,如有需要自行踏勘，费用自理。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13</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投标预备会</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不召开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15</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联合体投标</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pacing w:line="380" w:lineRule="exact"/>
              <w:textAlignment w:val="auto"/>
              <w:rPr>
                <w:rFonts w:hint="eastAsia" w:ascii="宋体" w:hAnsi="宋体" w:eastAsia="宋体" w:cs="宋体"/>
                <w:b w:val="0"/>
                <w:bCs/>
                <w:color w:val="auto"/>
                <w:sz w:val="21"/>
                <w:szCs w:val="21"/>
                <w:highlight w:val="none"/>
              </w:rPr>
            </w:pPr>
            <w:r>
              <w:rPr>
                <w:rFonts w:hint="eastAsia"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不接受</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sz w:val="21"/>
                <w:szCs w:val="21"/>
                <w:highlight w:val="none"/>
                <w:lang w:val="en-US" w:eastAsia="zh-CN"/>
              </w:rPr>
            </w:pPr>
            <w:r>
              <w:rPr>
                <w:rFonts w:hint="eastAsia"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接受，联合体投标的须在投标文件中提供联合体协议书，联合体所有成员不得超过2家，联合体的任何一方均不得再与其他投标单位联合。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16</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rPr>
              <w:t>招标代理费</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rPr>
            </w:pPr>
            <w:r>
              <w:rPr>
                <w:rFonts w:hint="eastAsia"/>
                <w:lang w:eastAsia="zh-CN"/>
              </w:rPr>
              <w:t>中标</w:t>
            </w:r>
            <w:r>
              <w:rPr>
                <w:rFonts w:hint="eastAsia"/>
              </w:rPr>
              <w:t>单位在领取本项目</w:t>
            </w:r>
            <w:r>
              <w:rPr>
                <w:rFonts w:hint="eastAsia"/>
                <w:lang w:eastAsia="zh-CN"/>
              </w:rPr>
              <w:t>中标</w:t>
            </w:r>
            <w:r>
              <w:rPr>
                <w:rFonts w:hint="eastAsia"/>
              </w:rPr>
              <w:t>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autoSpaceDE/>
              <w:autoSpaceDN/>
              <w:bidi w:val="0"/>
              <w:adjustRightInd/>
              <w:snapToGrid w:val="0"/>
              <w:spacing w:line="380" w:lineRule="exact"/>
              <w:ind w:firstLine="2100" w:firstLineChars="1000"/>
              <w:textAlignment w:val="auto"/>
              <w:outlineLvl w:val="9"/>
              <w:rPr>
                <w:rFonts w:hint="eastAsia"/>
              </w:rPr>
            </w:pPr>
            <w:r>
              <w:rPr>
                <w:rFonts w:hint="eastAsia"/>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1546"/>
              <w:gridCol w:w="1907"/>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3"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lang w:eastAsia="zh-CN"/>
                    </w:rPr>
                    <w:t>中标</w:t>
                  </w:r>
                  <w:r>
                    <w:rPr>
                      <w:rFonts w:hint="eastAsia"/>
                    </w:rPr>
                    <w:t>金额（万元）</w:t>
                  </w:r>
                </w:p>
              </w:tc>
              <w:tc>
                <w:tcPr>
                  <w:tcW w:w="1546"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货物招标</w:t>
                  </w:r>
                </w:p>
              </w:tc>
              <w:tc>
                <w:tcPr>
                  <w:tcW w:w="190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lang w:eastAsia="zh-CN"/>
                    </w:rPr>
                    <w:t>服务招标</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100以下</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1.50%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1.50%</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100-500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1.10%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lang w:val="en-US" w:eastAsia="zh-CN"/>
                    </w:rPr>
                    <w:t>0.80</w:t>
                  </w:r>
                  <w:r>
                    <w:rPr>
                      <w:rFonts w:hint="eastAsia"/>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0"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500-1000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0.80%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0.</w:t>
                  </w:r>
                  <w:r>
                    <w:rPr>
                      <w:rFonts w:hint="eastAsia"/>
                      <w:lang w:val="en-US" w:eastAsia="zh-CN"/>
                    </w:rPr>
                    <w:t>45</w:t>
                  </w:r>
                  <w:r>
                    <w:rPr>
                      <w:rFonts w:hint="eastAsia"/>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1000-5000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0.50%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r>
                    <w:rPr>
                      <w:rFonts w:hint="eastAsia"/>
                    </w:rPr>
                    <w:t>0.</w:t>
                  </w:r>
                  <w:r>
                    <w:rPr>
                      <w:rFonts w:hint="eastAsia"/>
                      <w:lang w:val="en-US" w:eastAsia="zh-CN"/>
                    </w:rPr>
                    <w:t>25</w:t>
                  </w:r>
                  <w:r>
                    <w:rPr>
                      <w:rFonts w:hint="eastAsia"/>
                    </w:rPr>
                    <w:t>%</w:t>
                  </w:r>
                </w:p>
              </w:tc>
              <w:tc>
                <w:tcPr>
                  <w:tcW w:w="154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rPr>
                  </w:pPr>
                </w:p>
              </w:tc>
            </w:tr>
          </w:tbl>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rPr>
            </w:pPr>
            <w:r>
              <w:rPr>
                <w:rFonts w:hint="eastAsia"/>
              </w:rPr>
              <w:t>招标代理服务收费按差额定率累进法计算。例如：某项目招标代理业务</w:t>
            </w:r>
            <w:r>
              <w:rPr>
                <w:rFonts w:hint="eastAsia"/>
                <w:lang w:eastAsia="zh-CN"/>
              </w:rPr>
              <w:t>中标</w:t>
            </w:r>
            <w:r>
              <w:rPr>
                <w:rFonts w:hint="eastAsia"/>
              </w:rPr>
              <w:t>金额为2000万元，计算招标代理服务收费额如下：</w:t>
            </w:r>
          </w:p>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rPr>
            </w:pPr>
            <w:r>
              <w:rPr>
                <w:rFonts w:hint="eastAsia"/>
              </w:rPr>
              <w:t xml:space="preserve"> 100万元×1.50%=1.5（万元）；</w:t>
            </w:r>
          </w:p>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rPr>
            </w:pPr>
            <w:r>
              <w:rPr>
                <w:rFonts w:hint="eastAsia"/>
              </w:rPr>
              <w:t>（500-100）万元×1.10%=4.4（万元）</w:t>
            </w:r>
          </w:p>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rPr>
            </w:pPr>
            <w:r>
              <w:rPr>
                <w:rFonts w:hint="eastAsia"/>
              </w:rPr>
              <w:t>（1000-500）万元×0.80%=4.0（万元）</w:t>
            </w:r>
          </w:p>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rPr>
            </w:pPr>
            <w:r>
              <w:rPr>
                <w:rFonts w:hint="eastAsia"/>
              </w:rPr>
              <w:t>（2000-1000）万元×0.50%=5.0（万元）</w:t>
            </w:r>
          </w:p>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rPr>
            </w:pPr>
            <w:r>
              <w:rPr>
                <w:rFonts w:hint="eastAsia"/>
              </w:rPr>
              <w:t>合计收费=1.5+4.4+4.0+5.0=14.9(万元)</w:t>
            </w:r>
          </w:p>
          <w:p>
            <w:pPr>
              <w:rPr>
                <w:rFonts w:hint="eastAsia"/>
              </w:rPr>
            </w:pPr>
            <w:r>
              <w:rPr>
                <w:rFonts w:hint="eastAsia" w:ascii="宋体" w:hAnsi="宋体" w:cs="宋体"/>
                <w:b w:val="0"/>
                <w:bCs/>
                <w:snapToGrid w:val="0"/>
                <w:color w:val="auto"/>
                <w:sz w:val="21"/>
                <w:szCs w:val="21"/>
                <w:highlight w:val="none"/>
                <w:lang w:val="en-US" w:eastAsia="zh-CN"/>
              </w:rPr>
              <w:t>注：本</w:t>
            </w:r>
            <w:r>
              <w:rPr>
                <w:rFonts w:hint="eastAsia"/>
                <w:lang w:val="en-US" w:eastAsia="zh-CN"/>
              </w:rPr>
              <w:t>标项</w:t>
            </w:r>
            <w:r>
              <w:rPr>
                <w:rFonts w:hint="eastAsia"/>
                <w:lang w:eastAsia="zh-CN"/>
              </w:rPr>
              <w:t>中标</w:t>
            </w:r>
            <w:r>
              <w:rPr>
                <w:rFonts w:hint="eastAsia"/>
              </w:rPr>
              <w:t>单位在领取本</w:t>
            </w:r>
            <w:r>
              <w:rPr>
                <w:rFonts w:hint="eastAsia"/>
                <w:lang w:val="en-US" w:eastAsia="zh-CN"/>
              </w:rPr>
              <w:t>标项</w:t>
            </w:r>
            <w:r>
              <w:rPr>
                <w:rFonts w:hint="eastAsia"/>
                <w:lang w:eastAsia="zh-CN"/>
              </w:rPr>
              <w:t>中标</w:t>
            </w:r>
            <w:r>
              <w:rPr>
                <w:rFonts w:hint="eastAsia"/>
              </w:rPr>
              <w:t>通知书时</w:t>
            </w:r>
            <w:r>
              <w:rPr>
                <w:rFonts w:hint="eastAsia"/>
                <w:lang w:eastAsia="zh-CN"/>
              </w:rPr>
              <w:t>，</w:t>
            </w:r>
            <w:r>
              <w:rPr>
                <w:rFonts w:hint="eastAsia"/>
                <w:lang w:val="en-US" w:eastAsia="zh-CN"/>
              </w:rPr>
              <w:t>按照该标项的预算价计算其代理费支付。</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17</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b/>
                <w:bCs w:val="0"/>
                <w:color w:val="auto"/>
                <w:sz w:val="21"/>
                <w:szCs w:val="21"/>
                <w:highlight w:val="none"/>
                <w:lang w:val="en-US" w:eastAsia="zh-CN"/>
              </w:rPr>
              <w:t>投标有效期</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sz w:val="21"/>
                <w:szCs w:val="21"/>
                <w:highlight w:val="none"/>
                <w:lang w:val="en-US" w:eastAsia="zh-CN"/>
              </w:rPr>
            </w:pPr>
            <w:r>
              <w:rPr>
                <w:rFonts w:hint="eastAsia"/>
                <w:b/>
                <w:bCs w:val="0"/>
                <w:color w:val="auto"/>
                <w:sz w:val="21"/>
                <w:szCs w:val="21"/>
                <w:highlight w:val="none"/>
                <w:lang w:val="en-US" w:eastAsia="zh-CN"/>
              </w:rPr>
              <w:t>投标有效期为</w:t>
            </w:r>
            <w:r>
              <w:rPr>
                <w:rFonts w:hint="eastAsia"/>
                <w:b/>
                <w:bCs w:val="0"/>
                <w:color w:val="auto"/>
                <w:sz w:val="21"/>
                <w:szCs w:val="21"/>
                <w:highlight w:val="none"/>
                <w:u w:val="single"/>
                <w:lang w:val="en-US" w:eastAsia="zh-CN"/>
              </w:rPr>
              <w:t xml:space="preserve"> </w:t>
            </w:r>
            <w:r>
              <w:rPr>
                <w:rFonts w:hint="eastAsia" w:ascii="Times New Roman" w:hAnsi="Times New Roman" w:eastAsia="宋体" w:cs="Times New Roman"/>
                <w:b/>
                <w:bCs w:val="0"/>
                <w:color w:val="auto"/>
                <w:kern w:val="2"/>
                <w:sz w:val="22"/>
                <w:szCs w:val="28"/>
                <w:u w:val="single"/>
                <w:lang w:val="en-US" w:eastAsia="zh-CN" w:bidi="ar-SA"/>
              </w:rPr>
              <w:t xml:space="preserve">60 </w:t>
            </w:r>
            <w:bookmarkStart w:id="156" w:name="_GoBack"/>
            <w:bookmarkEnd w:id="156"/>
            <w:r>
              <w:rPr>
                <w:rFonts w:hint="eastAsia" w:ascii="Times New Roman" w:hAnsi="Times New Roman" w:eastAsia="宋体" w:cs="Times New Roman"/>
                <w:b/>
                <w:bCs w:val="0"/>
                <w:color w:val="auto"/>
                <w:kern w:val="2"/>
                <w:sz w:val="22"/>
                <w:szCs w:val="28"/>
                <w:u w:val="single"/>
                <w:lang w:val="en-US" w:eastAsia="zh-CN" w:bidi="ar-SA"/>
              </w:rPr>
              <w:t>日历</w:t>
            </w:r>
            <w:r>
              <w:rPr>
                <w:rFonts w:hint="eastAsia"/>
                <w:b/>
                <w:bCs w:val="0"/>
                <w:color w:val="auto"/>
                <w:sz w:val="21"/>
                <w:szCs w:val="21"/>
                <w:highlight w:val="none"/>
                <w:lang w:val="en-US" w:eastAsia="zh-CN"/>
              </w:rPr>
              <w:t>天（从投标截止之日算起）。在此期限内，凡符合本采购文件要求的投标文件均保持有效。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18</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b/>
                <w:bCs w:val="0"/>
                <w:color w:val="auto"/>
                <w:szCs w:val="21"/>
              </w:rPr>
            </w:pPr>
            <w:r>
              <w:rPr>
                <w:rFonts w:hint="eastAsia" w:ascii="宋体"/>
                <w:b/>
                <w:bCs w:val="0"/>
                <w:color w:val="auto"/>
                <w:szCs w:val="21"/>
              </w:rPr>
              <w:t>投标保证金</w:t>
            </w:r>
          </w:p>
        </w:tc>
        <w:tc>
          <w:tcPr>
            <w:tcW w:w="7288" w:type="dxa"/>
            <w:noWrap w:val="0"/>
            <w:vAlign w:val="center"/>
          </w:tcPr>
          <w:p>
            <w:pPr>
              <w:keepNext w:val="0"/>
              <w:keepLines w:val="0"/>
              <w:pageBreakBefore w:val="0"/>
              <w:kinsoku/>
              <w:wordWrap/>
              <w:overflowPunct/>
              <w:topLinePunct w:val="0"/>
              <w:autoSpaceDE/>
              <w:autoSpaceDN/>
              <w:bidi w:val="0"/>
              <w:adjustRightInd/>
              <w:snapToGrid w:val="0"/>
              <w:spacing w:line="380" w:lineRule="exact"/>
              <w:textAlignment w:val="auto"/>
              <w:rPr>
                <w:rFonts w:hint="eastAsia" w:ascii="宋体" w:hAnsi="宋体" w:cs="宋体-18030"/>
                <w:b w:val="0"/>
                <w:bCs/>
                <w:color w:val="auto"/>
                <w:szCs w:val="21"/>
              </w:rPr>
            </w:pPr>
            <w:r>
              <w:rPr>
                <w:rFonts w:hint="eastAsia" w:ascii="宋体" w:hAnsi="宋体" w:cs="宋体-18030"/>
                <w:b w:val="0"/>
                <w:bCs/>
                <w:color w:val="auto"/>
                <w:szCs w:val="21"/>
              </w:rPr>
              <w:t>投标保证金交纳方式：投标保证金应当以支票、汇票、本票、网上银行支付或者金融机构、担保机构出具的保函等非现金形式交纳。</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ascii="宋体" w:hAnsi="宋体" w:cs="宋体-18030"/>
                <w:b w:val="0"/>
                <w:bCs/>
                <w:color w:val="auto"/>
                <w:szCs w:val="21"/>
              </w:rPr>
            </w:pPr>
            <w:r>
              <w:rPr>
                <w:rFonts w:hint="eastAsia" w:ascii="宋体" w:hAnsi="宋体" w:eastAsia="宋体" w:cs="宋体"/>
                <w:b w:val="0"/>
                <w:bCs/>
                <w:color w:val="auto"/>
                <w:kern w:val="2"/>
                <w:sz w:val="21"/>
                <w:szCs w:val="21"/>
                <w:highlight w:val="none"/>
                <w:u w:val="none"/>
                <w:lang w:val="en-US" w:eastAsia="zh-CN" w:bidi="ar-SA"/>
              </w:rPr>
              <w:t>投标保证金的金额：</w:t>
            </w:r>
            <w:r>
              <w:rPr>
                <w:rFonts w:hint="eastAsia" w:hAnsi="宋体" w:cs="宋体"/>
                <w:b w:val="0"/>
                <w:bCs/>
                <w:color w:val="auto"/>
                <w:kern w:val="2"/>
                <w:sz w:val="21"/>
                <w:szCs w:val="21"/>
                <w:highlight w:val="none"/>
                <w:u w:val="none"/>
                <w:lang w:val="en-US" w:eastAsia="zh-CN" w:bidi="ar-SA"/>
              </w:rPr>
              <w:t>100000</w:t>
            </w:r>
            <w:r>
              <w:rPr>
                <w:rFonts w:hint="eastAsia" w:ascii="宋体" w:hAnsi="宋体" w:eastAsia="宋体" w:cs="宋体"/>
                <w:b w:val="0"/>
                <w:bCs/>
                <w:color w:val="auto"/>
                <w:kern w:val="2"/>
                <w:sz w:val="21"/>
                <w:szCs w:val="21"/>
                <w:highlight w:val="none"/>
                <w:u w:val="none"/>
                <w:lang w:val="en-US" w:eastAsia="zh-CN" w:bidi="ar-SA"/>
              </w:rPr>
              <w:t xml:space="preserve"> .00元（ </w:t>
            </w:r>
            <w:r>
              <w:rPr>
                <w:rFonts w:hint="eastAsia" w:hAnsi="宋体" w:cs="宋体"/>
                <w:b w:val="0"/>
                <w:bCs/>
                <w:color w:val="auto"/>
                <w:kern w:val="2"/>
                <w:sz w:val="21"/>
                <w:szCs w:val="21"/>
                <w:highlight w:val="none"/>
                <w:u w:val="none"/>
                <w:lang w:val="en-US" w:eastAsia="zh-CN" w:bidi="ar-SA"/>
              </w:rPr>
              <w:t>壹拾万整</w:t>
            </w:r>
            <w:r>
              <w:rPr>
                <w:rFonts w:hint="eastAsia" w:ascii="宋体" w:hAnsi="宋体" w:eastAsia="宋体" w:cs="宋体"/>
                <w:b w:val="0"/>
                <w:bCs/>
                <w:color w:val="auto"/>
                <w:kern w:val="2"/>
                <w:sz w:val="21"/>
                <w:szCs w:val="21"/>
                <w:highlight w:val="none"/>
                <w:u w:val="none"/>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19</w:t>
            </w:r>
          </w:p>
        </w:tc>
        <w:tc>
          <w:tcPr>
            <w:tcW w:w="1536" w:type="dxa"/>
            <w:tcBorders>
              <w:bottom w:val="single" w:color="auto" w:sz="4" w:space="0"/>
            </w:tcBorders>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b/>
                <w:bCs w:val="0"/>
                <w:color w:val="auto"/>
                <w:sz w:val="21"/>
                <w:szCs w:val="21"/>
                <w:highlight w:val="none"/>
              </w:rPr>
            </w:pPr>
            <w:r>
              <w:rPr>
                <w:rFonts w:hint="eastAsia" w:ascii="宋体" w:hAnsi="宋体"/>
                <w:b/>
                <w:bCs w:val="0"/>
                <w:color w:val="auto"/>
                <w:sz w:val="21"/>
                <w:szCs w:val="21"/>
                <w:lang w:eastAsia="zh-CN"/>
              </w:rPr>
              <w:t>投标保证金</w:t>
            </w:r>
          </w:p>
        </w:tc>
        <w:tc>
          <w:tcPr>
            <w:tcW w:w="7288" w:type="dxa"/>
            <w:tcBorders>
              <w:bottom w:val="single" w:color="auto" w:sz="4" w:space="0"/>
            </w:tcBorders>
            <w:noWrap w:val="0"/>
            <w:vAlign w:val="top"/>
          </w:tcPr>
          <w:p>
            <w:pPr>
              <w:snapToGrid w:val="0"/>
              <w:spacing w:line="290" w:lineRule="exact"/>
              <w:rPr>
                <w:rFonts w:hint="eastAsia" w:ascii="宋体" w:hAnsi="宋体"/>
                <w:color w:val="auto"/>
                <w:szCs w:val="21"/>
              </w:rPr>
            </w:pPr>
            <w:r>
              <w:rPr>
                <w:rFonts w:hint="eastAsia" w:ascii="宋体" w:hAnsi="宋体"/>
                <w:color w:val="auto"/>
                <w:szCs w:val="21"/>
              </w:rPr>
              <w:t>投标保证金交纳要求：</w:t>
            </w:r>
          </w:p>
          <w:p>
            <w:pPr>
              <w:spacing w:line="360" w:lineRule="auto"/>
              <w:rPr>
                <w:rFonts w:hint="eastAsia" w:ascii="宋体" w:hAnsi="宋体"/>
                <w:color w:val="auto"/>
                <w:sz w:val="21"/>
                <w:szCs w:val="21"/>
                <w:highlight w:val="none"/>
                <w:lang w:val="en-US" w:eastAsia="zh-CN"/>
              </w:rPr>
            </w:pPr>
            <w:r>
              <w:rPr>
                <w:rFonts w:hint="eastAsia" w:ascii="宋体" w:hAnsi="宋体" w:eastAsia="宋体" w:cs="Times New Roman"/>
                <w:color w:val="auto"/>
                <w:szCs w:val="21"/>
                <w:lang w:val="en-US" w:eastAsia="zh-CN"/>
              </w:rPr>
              <w:t>1、投标保证金以电汇、网银等转账形式提交的，应在投标截止时间2023年4月12日上午10:30（北京时间）前以总公司的基本账户一次性汇入指定账户（以到账时间为准），不接受现金及任何个人汇款。确认到账后，手持汇款银行电子回单及基本账户信息/开户许可证复印件（两份）；（一份加盖上企业公章，另一份无需盖章留有空白），到阿图什市政务服务和公共资源交易中心财务室核查缴纳情况，缴纳成功的由阿图什市政务服务和公共资源交易中心财务室在企业携带的银行回单上加盖财务章专用章，作为该项目投标保证金的缴纳依据。</w:t>
            </w:r>
            <w:r>
              <w:rPr>
                <w:rFonts w:hint="eastAsia" w:ascii="宋体" w:hAnsi="宋体" w:eastAsia="宋体" w:cs="Times New Roman"/>
                <w:color w:val="auto"/>
                <w:sz w:val="21"/>
                <w:szCs w:val="21"/>
                <w:highlight w:val="none"/>
                <w:lang w:val="en-US" w:eastAsia="zh-CN"/>
              </w:rPr>
              <w:t>投标文件内附此票据</w:t>
            </w:r>
            <w:r>
              <w:rPr>
                <w:rFonts w:hint="eastAsia" w:ascii="宋体" w:hAnsi="宋体" w:cs="Times New Roman"/>
                <w:color w:val="auto"/>
                <w:sz w:val="21"/>
                <w:szCs w:val="21"/>
                <w:highlight w:val="none"/>
                <w:lang w:val="en-US" w:eastAsia="zh-CN"/>
              </w:rPr>
              <w:t>扫描件</w:t>
            </w:r>
            <w:r>
              <w:rPr>
                <w:rFonts w:hint="eastAsia" w:ascii="宋体" w:hAnsi="宋体" w:eastAsia="宋体" w:cs="Times New Roman"/>
                <w:color w:val="auto"/>
                <w:sz w:val="21"/>
                <w:szCs w:val="21"/>
                <w:highlight w:val="none"/>
                <w:lang w:val="en-US" w:eastAsia="zh-CN"/>
              </w:rPr>
              <w:t xml:space="preserve">。 </w:t>
            </w:r>
          </w:p>
          <w:p>
            <w:pPr>
              <w:spacing w:line="360" w:lineRule="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2、投标保证金以保函等票据形式提交的，</w:t>
            </w:r>
            <w:r>
              <w:rPr>
                <w:rFonts w:hint="eastAsia" w:ascii="宋体" w:hAnsi="宋体"/>
                <w:color w:val="auto"/>
                <w:sz w:val="21"/>
                <w:szCs w:val="21"/>
                <w:highlight w:val="none"/>
              </w:rPr>
              <w:t>标书内附</w:t>
            </w:r>
            <w:r>
              <w:rPr>
                <w:rFonts w:hint="eastAsia" w:ascii="宋体" w:hAnsi="宋体"/>
                <w:color w:val="auto"/>
                <w:sz w:val="21"/>
                <w:szCs w:val="21"/>
                <w:highlight w:val="none"/>
                <w:lang w:eastAsia="zh-CN"/>
              </w:rPr>
              <w:t>有</w:t>
            </w:r>
            <w:r>
              <w:rPr>
                <w:rFonts w:hint="eastAsia" w:ascii="宋体" w:hAnsi="宋体"/>
                <w:color w:val="auto"/>
                <w:sz w:val="21"/>
                <w:szCs w:val="21"/>
                <w:highlight w:val="none"/>
              </w:rPr>
              <w:t>此票据收据</w:t>
            </w:r>
            <w:r>
              <w:rPr>
                <w:rFonts w:hint="eastAsia" w:ascii="宋体" w:hAnsi="宋体"/>
                <w:color w:val="auto"/>
                <w:sz w:val="21"/>
                <w:szCs w:val="21"/>
                <w:highlight w:val="none"/>
                <w:lang w:val="en-US" w:eastAsia="zh-CN"/>
              </w:rPr>
              <w:t>。</w:t>
            </w:r>
          </w:p>
          <w:p>
            <w:pPr>
              <w:spacing w:line="360" w:lineRule="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3、其他特殊情况处理：有效投标保证金成功交纳后，截止开标时间，供应商无正当理由不参加该项目投标且不递交弃标函，投标保证金不予退还。</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户名：阿图什市政务服务和公共资源交易中心</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账号：30456301040005267</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行名：中国农业银行阿图什市天山分理处</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行号：103893045636</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 xml:space="preserve">联系人：祝女士 </w:t>
            </w:r>
          </w:p>
          <w:p>
            <w:pPr>
              <w:spacing w:line="360" w:lineRule="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电话：0908-4222076</w:t>
            </w:r>
          </w:p>
          <w:p>
            <w:pPr>
              <w:spacing w:line="360" w:lineRule="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（备注：1、缴纳时必须写清楚某某项目投标保证金,在核查投标保证金时请统一用A4纸打印银行回单。2、投标保证金退还（招投标结束中标结果公示后）：</w:t>
            </w:r>
          </w:p>
          <w:p>
            <w:pPr>
              <w:keepNext w:val="0"/>
              <w:keepLines w:val="0"/>
              <w:pageBreakBefore w:val="0"/>
              <w:kinsoku/>
              <w:wordWrap/>
              <w:overflowPunct/>
              <w:topLinePunct w:val="0"/>
              <w:autoSpaceDE/>
              <w:autoSpaceDN/>
              <w:bidi w:val="0"/>
              <w:adjustRightInd/>
              <w:spacing w:line="380" w:lineRule="exact"/>
              <w:textAlignment w:val="auto"/>
              <w:rPr>
                <w:rFonts w:hint="eastAsia" w:ascii="宋体" w:hAnsi="宋体" w:cs="宋体-18030"/>
                <w:b w:val="0"/>
                <w:bCs/>
                <w:color w:val="auto"/>
                <w:sz w:val="21"/>
                <w:szCs w:val="21"/>
                <w:highlight w:val="none"/>
              </w:rPr>
            </w:pPr>
            <w:r>
              <w:rPr>
                <w:rFonts w:hint="default" w:ascii="宋体" w:hAnsi="宋体" w:eastAsia="宋体" w:cs="Times New Roman"/>
                <w:color w:val="auto"/>
                <w:sz w:val="21"/>
                <w:szCs w:val="21"/>
                <w:highlight w:val="none"/>
                <w:lang w:val="en-US" w:eastAsia="zh-CN"/>
              </w:rPr>
              <w:t>①</w:t>
            </w:r>
            <w:r>
              <w:rPr>
                <w:rFonts w:hint="eastAsia" w:ascii="宋体" w:hAnsi="宋体" w:eastAsia="宋体" w:cs="Times New Roman"/>
                <w:color w:val="auto"/>
                <w:sz w:val="21"/>
                <w:szCs w:val="21"/>
                <w:highlight w:val="none"/>
                <w:lang w:val="en-US" w:eastAsia="zh-CN"/>
              </w:rPr>
              <w:t>、投标企业：待开标完成后，</w:t>
            </w:r>
            <w:r>
              <w:rPr>
                <w:rFonts w:hint="default"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lang w:val="en-US" w:eastAsia="zh-CN"/>
              </w:rPr>
              <w:t>至5个工作日以内政资中心财务人员将收取的项目投标保证金按投标企业基本户退回。</w:t>
            </w:r>
            <w:r>
              <w:rPr>
                <w:rFonts w:hint="default" w:ascii="宋体" w:hAnsi="宋体" w:eastAsia="宋体" w:cs="Times New Roman"/>
                <w:color w:val="auto"/>
                <w:sz w:val="21"/>
                <w:szCs w:val="21"/>
                <w:highlight w:val="none"/>
                <w:lang w:val="en-US" w:eastAsia="zh-CN"/>
              </w:rPr>
              <w:t>②</w:t>
            </w:r>
            <w:r>
              <w:rPr>
                <w:rFonts w:hint="eastAsia" w:ascii="宋体" w:hAnsi="宋体" w:eastAsia="宋体" w:cs="Times New Roman"/>
                <w:color w:val="auto"/>
                <w:sz w:val="21"/>
                <w:szCs w:val="21"/>
                <w:highlight w:val="none"/>
                <w:lang w:val="en-US" w:eastAsia="zh-CN"/>
              </w:rPr>
              <w:t>、中标企业：需提供已签订合同复印件一份（并携带合同原件，由中心工作人员核对后退还）。</w:t>
            </w:r>
            <w:r>
              <w:rPr>
                <w:rFonts w:hint="eastAsia" w:ascii="宋体" w:hAnsi="宋体"/>
                <w:b w:val="0"/>
                <w:bCs/>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20</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投标文件形式</w:t>
            </w:r>
          </w:p>
        </w:tc>
        <w:tc>
          <w:tcPr>
            <w:tcW w:w="7288" w:type="dxa"/>
            <w:noWrap w:val="0"/>
            <w:vAlign w:val="center"/>
          </w:tcPr>
          <w:p>
            <w:pPr>
              <w:keepNext w:val="0"/>
              <w:keepLines w:val="0"/>
              <w:pageBreakBefore w:val="0"/>
              <w:kinsoku/>
              <w:wordWrap/>
              <w:overflowPunct/>
              <w:topLinePunct w:val="0"/>
              <w:autoSpaceDE/>
              <w:autoSpaceDN/>
              <w:bidi w:val="0"/>
              <w:adjustRightInd/>
              <w:spacing w:line="380" w:lineRule="exac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电子投标文件包括“电子加密投标文件”，在投标文件编制完成后同时生成。</w:t>
            </w:r>
          </w:p>
          <w:p>
            <w:pPr>
              <w:keepNext w:val="0"/>
              <w:keepLines w:val="0"/>
              <w:pageBreakBefore w:val="0"/>
              <w:kinsoku/>
              <w:wordWrap/>
              <w:overflowPunct/>
              <w:topLinePunct w:val="0"/>
              <w:autoSpaceDE/>
              <w:autoSpaceDN/>
              <w:bidi w:val="0"/>
              <w:adjustRightInd/>
              <w:spacing w:line="380" w:lineRule="exact"/>
              <w:textAlignment w:val="auto"/>
              <w:rPr>
                <w:rFonts w:hint="eastAsia"/>
                <w:b w:val="0"/>
                <w:bCs/>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1、“电子加密投标文件”是指通过“政采云电子交易客户端”完成投标文件编制后生成并加密的数据电文形式的投标文件。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6"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21</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投标文件份数及要求</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1、一份电子加密标书（“.jmbs”格式）。</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hAnsi="Times New Roman" w:cs="Times New Roman"/>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2、每份电子投标文件应包括资格证明文件和商务、技术文件两部分。</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default"/>
                <w:b w:val="0"/>
                <w:bCs/>
                <w:color w:val="auto"/>
                <w:sz w:val="21"/>
                <w:szCs w:val="21"/>
                <w:highlight w:val="none"/>
                <w:lang w:val="en-US" w:eastAsia="zh-CN"/>
              </w:rPr>
            </w:pPr>
            <w:r>
              <w:rPr>
                <w:rFonts w:hint="eastAsia" w:hAnsi="Times New Roman" w:cs="Times New Roman"/>
                <w:b w:val="0"/>
                <w:bCs/>
                <w:color w:val="auto"/>
                <w:sz w:val="21"/>
                <w:szCs w:val="21"/>
                <w:highlight w:val="none"/>
                <w:lang w:val="en-US" w:eastAsia="zh-CN"/>
              </w:rPr>
              <w:t>3、待开标结束后，各投标企业请于2023年</w:t>
            </w:r>
            <w:r>
              <w:rPr>
                <w:rFonts w:hint="eastAsia" w:cs="Times New Roman"/>
                <w:b w:val="0"/>
                <w:bCs/>
                <w:color w:val="auto"/>
                <w:sz w:val="21"/>
                <w:szCs w:val="21"/>
                <w:highlight w:val="none"/>
                <w:lang w:val="en-US" w:eastAsia="zh-CN"/>
              </w:rPr>
              <w:t>4</w:t>
            </w:r>
            <w:r>
              <w:rPr>
                <w:rFonts w:hint="eastAsia" w:hAnsi="Times New Roman" w:cs="Times New Roman"/>
                <w:b w:val="0"/>
                <w:bCs/>
                <w:color w:val="auto"/>
                <w:sz w:val="21"/>
                <w:szCs w:val="21"/>
                <w:highlight w:val="none"/>
                <w:lang w:val="en-US" w:eastAsia="zh-CN"/>
              </w:rPr>
              <w:t>月</w:t>
            </w:r>
            <w:r>
              <w:rPr>
                <w:rFonts w:hint="eastAsia" w:cs="Times New Roman"/>
                <w:b w:val="0"/>
                <w:bCs/>
                <w:color w:val="auto"/>
                <w:sz w:val="21"/>
                <w:szCs w:val="21"/>
                <w:highlight w:val="none"/>
                <w:lang w:val="en-US" w:eastAsia="zh-CN"/>
              </w:rPr>
              <w:t>30</w:t>
            </w:r>
            <w:r>
              <w:rPr>
                <w:rFonts w:hint="eastAsia" w:hAnsi="Times New Roman" w:cs="Times New Roman"/>
                <w:b w:val="0"/>
                <w:bCs/>
                <w:color w:val="auto"/>
                <w:sz w:val="21"/>
                <w:szCs w:val="21"/>
                <w:highlight w:val="none"/>
                <w:lang w:val="en-US" w:eastAsia="zh-CN"/>
              </w:rPr>
              <w:t>日19:30前提供纸质投标文件四份并承诺与纸质投标文件内容一致的承诺书至新疆惠文建设工程项目管理咨询有限公司（阿图什市友谊北路123-1号2楼）。投标人可采用邮寄方式提供纸质版投标文件（收件地址：阿图什市友谊北路123-1号2楼，收件人：刘</w:t>
            </w:r>
            <w:r>
              <w:rPr>
                <w:rFonts w:hint="eastAsia" w:cs="Times New Roman"/>
                <w:b w:val="0"/>
                <w:bCs/>
                <w:color w:val="auto"/>
                <w:sz w:val="21"/>
                <w:szCs w:val="21"/>
                <w:highlight w:val="none"/>
                <w:lang w:val="en-US" w:eastAsia="zh-CN"/>
              </w:rPr>
              <w:t>女士</w:t>
            </w:r>
            <w:r>
              <w:rPr>
                <w:rFonts w:hint="eastAsia" w:hAnsi="Times New Roman" w:cs="Times New Roman"/>
                <w:b w:val="0"/>
                <w:bCs/>
                <w:color w:val="auto"/>
                <w:sz w:val="21"/>
                <w:szCs w:val="21"/>
                <w:highlight w:val="none"/>
                <w:lang w:val="en-US" w:eastAsia="zh-CN"/>
              </w:rPr>
              <w:t>，电话：18609081081），费用自行承担。</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90"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22</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bidi="zh-CN"/>
              </w:rPr>
              <w:t>投标文件的上传和递交</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sz w:val="21"/>
                <w:szCs w:val="21"/>
                <w:highlight w:val="none"/>
                <w:u w:val="single" w:color="auto"/>
                <w:lang w:val="en-US" w:eastAsia="zh-CN"/>
              </w:rPr>
            </w:pPr>
            <w:r>
              <w:rPr>
                <w:rFonts w:hint="eastAsia"/>
                <w:b w:val="0"/>
                <w:bCs/>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b w:val="0"/>
                <w:bCs/>
                <w:color w:val="auto"/>
                <w:sz w:val="21"/>
                <w:szCs w:val="21"/>
                <w:highlight w:val="none"/>
                <w:u w:val="single" w:color="auto"/>
                <w:lang w:val="en-US" w:eastAsia="zh-CN"/>
              </w:rPr>
              <w:t>在开标时间开始后，待采购组织机构发出解密通知后30分钟内解密投标文件。</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a.供应商未能在投标截止时间前成功上传电子加密投标文件的投标无效。</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b.供应商成功上传电子加密投标文件后，可自行打印投标文件接收回执。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1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23</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lang w:eastAsia="zh-CN"/>
              </w:rPr>
              <w:t>投标截止</w:t>
            </w:r>
            <w:r>
              <w:rPr>
                <w:rFonts w:hint="eastAsia" w:ascii="宋体"/>
                <w:b/>
                <w:bCs w:val="0"/>
                <w:color w:val="auto"/>
                <w:sz w:val="21"/>
                <w:szCs w:val="21"/>
                <w:highlight w:val="none"/>
              </w:rPr>
              <w:t>时间及地点</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ind w:firstLine="18" w:firstLineChars="9"/>
              <w:textAlignment w:val="auto"/>
              <w:outlineLvl w:val="9"/>
              <w:rPr>
                <w:rFonts w:hint="eastAsia"/>
                <w:b w:val="0"/>
                <w:bCs/>
                <w:color w:val="auto"/>
                <w:sz w:val="21"/>
                <w:szCs w:val="21"/>
                <w:highlight w:val="none"/>
              </w:rPr>
            </w:pPr>
            <w:r>
              <w:rPr>
                <w:rFonts w:hint="eastAsia" w:ascii="Times New Roman" w:hAnsi="Times New Roman" w:cs="Times New Roman"/>
                <w:b w:val="0"/>
                <w:bCs/>
                <w:color w:val="auto"/>
                <w:sz w:val="21"/>
                <w:szCs w:val="21"/>
                <w:highlight w:val="none"/>
                <w:lang w:eastAsia="zh-CN"/>
              </w:rPr>
              <w:t>投标截止</w:t>
            </w:r>
            <w:r>
              <w:rPr>
                <w:rFonts w:hint="eastAsia" w:ascii="Times New Roman" w:hAnsi="Times New Roman" w:cs="Times New Roman"/>
                <w:b w:val="0"/>
                <w:bCs/>
                <w:color w:val="auto"/>
                <w:sz w:val="21"/>
                <w:szCs w:val="21"/>
                <w:highlight w:val="none"/>
              </w:rPr>
              <w:t>时间：</w:t>
            </w:r>
            <w:r>
              <w:rPr>
                <w:rFonts w:hint="eastAsia"/>
                <w:b w:val="0"/>
                <w:bCs/>
                <w:color w:val="auto"/>
                <w:sz w:val="21"/>
                <w:szCs w:val="21"/>
                <w:highlight w:val="none"/>
                <w:lang w:val="en-US" w:eastAsia="zh-CN"/>
              </w:rPr>
              <w:t>2023</w:t>
            </w:r>
            <w:r>
              <w:rPr>
                <w:rFonts w:hint="eastAsia"/>
                <w:b w:val="0"/>
                <w:bCs/>
                <w:color w:val="auto"/>
                <w:sz w:val="21"/>
                <w:szCs w:val="21"/>
                <w:highlight w:val="none"/>
              </w:rPr>
              <w:t>年</w:t>
            </w:r>
            <w:r>
              <w:rPr>
                <w:rFonts w:hint="eastAsia"/>
                <w:b w:val="0"/>
                <w:bCs/>
                <w:color w:val="auto"/>
                <w:sz w:val="21"/>
                <w:szCs w:val="21"/>
                <w:highlight w:val="none"/>
                <w:lang w:val="en-US" w:eastAsia="zh-CN"/>
              </w:rPr>
              <w:t>4</w:t>
            </w:r>
            <w:r>
              <w:rPr>
                <w:rFonts w:hint="eastAsia"/>
                <w:b w:val="0"/>
                <w:bCs/>
                <w:color w:val="auto"/>
                <w:sz w:val="21"/>
                <w:szCs w:val="21"/>
                <w:highlight w:val="none"/>
              </w:rPr>
              <w:t>月</w:t>
            </w:r>
            <w:r>
              <w:rPr>
                <w:rFonts w:hint="eastAsia"/>
                <w:b w:val="0"/>
                <w:bCs/>
                <w:color w:val="auto"/>
                <w:sz w:val="21"/>
                <w:szCs w:val="21"/>
                <w:highlight w:val="none"/>
                <w:lang w:val="en-US" w:eastAsia="zh-CN"/>
              </w:rPr>
              <w:t>12</w:t>
            </w:r>
            <w:r>
              <w:rPr>
                <w:rFonts w:hint="eastAsia"/>
                <w:b w:val="0"/>
                <w:bCs/>
                <w:color w:val="auto"/>
                <w:sz w:val="21"/>
                <w:szCs w:val="21"/>
                <w:highlight w:val="none"/>
              </w:rPr>
              <w:t>日</w:t>
            </w:r>
            <w:r>
              <w:rPr>
                <w:rFonts w:hint="eastAsia"/>
                <w:b w:val="0"/>
                <w:bCs/>
                <w:color w:val="auto"/>
                <w:sz w:val="21"/>
                <w:szCs w:val="21"/>
                <w:highlight w:val="none"/>
                <w:lang w:val="en-US" w:eastAsia="zh-CN"/>
              </w:rPr>
              <w:t>10</w:t>
            </w:r>
            <w:r>
              <w:rPr>
                <w:rFonts w:hint="eastAsia"/>
                <w:b w:val="0"/>
                <w:bCs/>
                <w:color w:val="auto"/>
                <w:sz w:val="21"/>
                <w:szCs w:val="21"/>
                <w:highlight w:val="none"/>
              </w:rPr>
              <w:t>时</w:t>
            </w:r>
            <w:r>
              <w:rPr>
                <w:rFonts w:hint="eastAsia"/>
                <w:b w:val="0"/>
                <w:bCs/>
                <w:color w:val="auto"/>
                <w:sz w:val="21"/>
                <w:szCs w:val="21"/>
                <w:highlight w:val="none"/>
                <w:lang w:val="en-US" w:eastAsia="zh-CN"/>
              </w:rPr>
              <w:t>30</w:t>
            </w:r>
            <w:r>
              <w:rPr>
                <w:rFonts w:hint="eastAsia"/>
                <w:b w:val="0"/>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80" w:lineRule="exact"/>
              <w:ind w:firstLine="18" w:firstLineChars="9"/>
              <w:textAlignment w:val="auto"/>
              <w:outlineLvl w:val="9"/>
              <w:rPr>
                <w:rFonts w:hint="eastAsia"/>
                <w:b w:val="0"/>
                <w:bCs/>
                <w:color w:val="auto"/>
                <w:sz w:val="21"/>
                <w:szCs w:val="21"/>
                <w:highlight w:val="none"/>
              </w:rPr>
            </w:pPr>
            <w:r>
              <w:rPr>
                <w:rFonts w:hint="eastAsia"/>
                <w:b w:val="0"/>
                <w:bCs/>
                <w:color w:val="auto"/>
                <w:sz w:val="21"/>
                <w:szCs w:val="21"/>
                <w:highlight w:val="none"/>
                <w:lang w:eastAsia="zh-CN"/>
              </w:rPr>
              <w:t>投标</w:t>
            </w:r>
            <w:r>
              <w:rPr>
                <w:rFonts w:hint="eastAsia"/>
                <w:b w:val="0"/>
                <w:bCs/>
                <w:color w:val="auto"/>
                <w:sz w:val="21"/>
                <w:szCs w:val="21"/>
                <w:highlight w:val="none"/>
              </w:rPr>
              <w:t>地点：</w:t>
            </w:r>
            <w:r>
              <w:rPr>
                <w:rFonts w:hint="eastAsia"/>
                <w:b w:val="0"/>
                <w:bCs/>
                <w:color w:val="auto"/>
                <w:sz w:val="21"/>
                <w:szCs w:val="21"/>
                <w:highlight w:val="none"/>
                <w:lang w:eastAsia="zh-CN"/>
              </w:rPr>
              <w:t>新疆</w:t>
            </w:r>
            <w:r>
              <w:rPr>
                <w:rFonts w:hint="eastAsia"/>
                <w:b w:val="0"/>
                <w:bCs/>
                <w:color w:val="auto"/>
                <w:sz w:val="21"/>
                <w:szCs w:val="21"/>
                <w:highlight w:val="none"/>
              </w:rPr>
              <w:t>政府采购云平台（www.zcygov.cn）</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5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ascii="宋体" w:eastAsia="宋体" w:cs="宋体"/>
                <w:b/>
                <w:bCs w:val="0"/>
                <w:color w:val="auto"/>
                <w:sz w:val="21"/>
                <w:szCs w:val="21"/>
                <w:highlight w:val="none"/>
                <w:lang w:val="en-US" w:eastAsia="zh-CN"/>
              </w:rPr>
            </w:pPr>
            <w:r>
              <w:rPr>
                <w:rFonts w:hint="eastAsia"/>
                <w:b/>
                <w:bCs w:val="0"/>
                <w:color w:val="auto"/>
                <w:sz w:val="21"/>
                <w:szCs w:val="21"/>
                <w:highlight w:val="none"/>
                <w:lang w:val="en-US" w:eastAsia="zh-CN"/>
              </w:rPr>
              <w:t>24</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rPr>
              <w:t>开标时间及地点</w:t>
            </w:r>
          </w:p>
        </w:tc>
        <w:tc>
          <w:tcPr>
            <w:tcW w:w="7288"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ind w:firstLine="18" w:firstLineChars="9"/>
              <w:textAlignment w:val="auto"/>
              <w:outlineLvl w:val="9"/>
              <w:rPr>
                <w:rFonts w:hint="eastAsia"/>
                <w:b w:val="0"/>
                <w:bCs/>
                <w:color w:val="auto"/>
                <w:sz w:val="21"/>
                <w:szCs w:val="21"/>
                <w:highlight w:val="none"/>
              </w:rPr>
            </w:pPr>
            <w:r>
              <w:rPr>
                <w:rFonts w:hint="eastAsia"/>
                <w:b w:val="0"/>
                <w:bCs/>
                <w:color w:val="auto"/>
                <w:sz w:val="21"/>
                <w:szCs w:val="21"/>
                <w:highlight w:val="none"/>
              </w:rPr>
              <w:t>开标时间：</w:t>
            </w:r>
            <w:r>
              <w:rPr>
                <w:rFonts w:hint="eastAsia"/>
                <w:b w:val="0"/>
                <w:bCs/>
                <w:color w:val="auto"/>
                <w:sz w:val="21"/>
                <w:szCs w:val="21"/>
                <w:highlight w:val="none"/>
                <w:lang w:val="en-US" w:eastAsia="zh-CN"/>
              </w:rPr>
              <w:t>2023</w:t>
            </w:r>
            <w:r>
              <w:rPr>
                <w:rFonts w:hint="eastAsia"/>
                <w:b w:val="0"/>
                <w:bCs/>
                <w:color w:val="auto"/>
                <w:sz w:val="21"/>
                <w:szCs w:val="21"/>
                <w:highlight w:val="none"/>
              </w:rPr>
              <w:t>年</w:t>
            </w:r>
            <w:r>
              <w:rPr>
                <w:rFonts w:hint="eastAsia"/>
                <w:b w:val="0"/>
                <w:bCs/>
                <w:color w:val="auto"/>
                <w:sz w:val="21"/>
                <w:szCs w:val="21"/>
                <w:highlight w:val="none"/>
                <w:lang w:val="en-US" w:eastAsia="zh-CN"/>
              </w:rPr>
              <w:t>4</w:t>
            </w:r>
            <w:r>
              <w:rPr>
                <w:rFonts w:hint="eastAsia"/>
                <w:b w:val="0"/>
                <w:bCs/>
                <w:color w:val="auto"/>
                <w:sz w:val="21"/>
                <w:szCs w:val="21"/>
                <w:highlight w:val="none"/>
              </w:rPr>
              <w:t>月</w:t>
            </w:r>
            <w:r>
              <w:rPr>
                <w:rFonts w:hint="eastAsia"/>
                <w:b w:val="0"/>
                <w:bCs/>
                <w:color w:val="auto"/>
                <w:sz w:val="21"/>
                <w:szCs w:val="21"/>
                <w:highlight w:val="none"/>
                <w:lang w:val="en-US" w:eastAsia="zh-CN"/>
              </w:rPr>
              <w:t>12</w:t>
            </w:r>
            <w:r>
              <w:rPr>
                <w:rFonts w:hint="eastAsia"/>
                <w:b w:val="0"/>
                <w:bCs/>
                <w:color w:val="auto"/>
                <w:sz w:val="21"/>
                <w:szCs w:val="21"/>
                <w:highlight w:val="none"/>
              </w:rPr>
              <w:t>日</w:t>
            </w:r>
            <w:r>
              <w:rPr>
                <w:rFonts w:hint="eastAsia"/>
                <w:b w:val="0"/>
                <w:bCs/>
                <w:color w:val="auto"/>
                <w:sz w:val="21"/>
                <w:szCs w:val="21"/>
                <w:highlight w:val="none"/>
                <w:lang w:val="en-US" w:eastAsia="zh-CN"/>
              </w:rPr>
              <w:t>10</w:t>
            </w:r>
            <w:r>
              <w:rPr>
                <w:rFonts w:hint="eastAsia"/>
                <w:b w:val="0"/>
                <w:bCs/>
                <w:color w:val="auto"/>
                <w:sz w:val="21"/>
                <w:szCs w:val="21"/>
                <w:highlight w:val="none"/>
              </w:rPr>
              <w:t>时</w:t>
            </w:r>
            <w:r>
              <w:rPr>
                <w:rFonts w:hint="eastAsia"/>
                <w:b w:val="0"/>
                <w:bCs/>
                <w:color w:val="auto"/>
                <w:sz w:val="21"/>
                <w:szCs w:val="21"/>
                <w:highlight w:val="none"/>
                <w:lang w:val="en-US" w:eastAsia="zh-CN"/>
              </w:rPr>
              <w:t>30</w:t>
            </w:r>
            <w:r>
              <w:rPr>
                <w:rFonts w:hint="eastAsia"/>
                <w:b w:val="0"/>
                <w:bCs/>
                <w:color w:val="auto"/>
                <w:sz w:val="21"/>
                <w:szCs w:val="21"/>
                <w:highlight w:val="none"/>
              </w:rPr>
              <w:t>分（北京时间）</w:t>
            </w:r>
          </w:p>
          <w:p>
            <w:pPr>
              <w:keepNext w:val="0"/>
              <w:keepLines w:val="0"/>
              <w:pageBreakBefore w:val="0"/>
              <w:shd w:val="clear" w:color="auto" w:fill="auto"/>
              <w:kinsoku/>
              <w:wordWrap/>
              <w:overflowPunct/>
              <w:topLinePunct w:val="0"/>
              <w:autoSpaceDE/>
              <w:autoSpaceDN/>
              <w:bidi w:val="0"/>
              <w:adjustRightInd/>
              <w:snapToGrid w:val="0"/>
              <w:spacing w:line="380" w:lineRule="exact"/>
              <w:ind w:firstLine="18" w:firstLineChars="9"/>
              <w:textAlignment w:val="auto"/>
              <w:outlineLvl w:val="9"/>
              <w:rPr>
                <w:rFonts w:hint="eastAsia"/>
                <w:b w:val="0"/>
                <w:bCs/>
                <w:color w:val="auto"/>
                <w:sz w:val="21"/>
                <w:szCs w:val="21"/>
                <w:highlight w:val="none"/>
              </w:rPr>
            </w:pPr>
            <w:r>
              <w:rPr>
                <w:rFonts w:hint="eastAsia"/>
                <w:b w:val="0"/>
                <w:bCs/>
                <w:color w:val="auto"/>
                <w:sz w:val="21"/>
                <w:szCs w:val="21"/>
                <w:highlight w:val="none"/>
              </w:rPr>
              <w:t>开标地点：在</w:t>
            </w:r>
            <w:r>
              <w:rPr>
                <w:rFonts w:hint="eastAsia"/>
                <w:b w:val="0"/>
                <w:bCs/>
                <w:color w:val="auto"/>
                <w:sz w:val="21"/>
                <w:szCs w:val="21"/>
                <w:highlight w:val="none"/>
                <w:lang w:eastAsia="zh-CN"/>
              </w:rPr>
              <w:t>新疆</w:t>
            </w:r>
            <w:r>
              <w:rPr>
                <w:rFonts w:hint="eastAsia"/>
                <w:b w:val="0"/>
                <w:bCs/>
                <w:color w:val="auto"/>
                <w:sz w:val="21"/>
                <w:szCs w:val="21"/>
                <w:highlight w:val="none"/>
              </w:rPr>
              <w:t>政府采购云平台（www.zcygov.cn）上开启投标文件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02"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25</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评标委员会的组建</w:t>
            </w:r>
          </w:p>
        </w:tc>
        <w:tc>
          <w:tcPr>
            <w:tcW w:w="7288" w:type="dxa"/>
            <w:noWrap w:val="0"/>
            <w:vAlign w:val="top"/>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评标委员会由招标人依法组建；</w:t>
            </w:r>
          </w:p>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评标专家确定方式：专家评委由招标人在开标前48小时内从政采云专家库中随机抽取。</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b/>
                <w:bCs w:val="0"/>
                <w:color w:val="auto"/>
                <w:sz w:val="21"/>
                <w:szCs w:val="21"/>
                <w:highlight w:val="none"/>
                <w:lang w:val="en-US" w:eastAsia="zh-CN"/>
              </w:rPr>
            </w:pPr>
            <w:r>
              <w:rPr>
                <w:rFonts w:hint="eastAsia"/>
                <w:b/>
                <w:bCs w:val="0"/>
                <w:color w:val="auto"/>
                <w:sz w:val="21"/>
                <w:szCs w:val="21"/>
                <w:highlight w:val="none"/>
                <w:lang w:val="en-US" w:eastAsia="zh-CN"/>
              </w:rPr>
              <w:t>26</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是否授权评标委员会确定中标候选人</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sz w:val="21"/>
                <w:szCs w:val="21"/>
                <w:highlight w:val="none"/>
                <w:lang w:val="en-US" w:eastAsia="zh-CN"/>
              </w:rPr>
            </w:pPr>
            <w:r>
              <w:rPr>
                <w:rFonts w:hint="eastAsia" w:hAnsi="宋体"/>
                <w:b w:val="0"/>
                <w:bCs/>
                <w:color w:val="auto"/>
                <w:sz w:val="21"/>
                <w:szCs w:val="21"/>
                <w:highlight w:val="none"/>
                <w:lang w:val="en-US" w:eastAsia="zh-CN"/>
              </w:rPr>
              <w:t>是.</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default"/>
                <w:b/>
                <w:bCs w:val="0"/>
                <w:color w:val="auto"/>
                <w:sz w:val="21"/>
                <w:szCs w:val="21"/>
                <w:highlight w:val="none"/>
                <w:lang w:val="en-US" w:eastAsia="zh-CN"/>
              </w:rPr>
            </w:pPr>
            <w:r>
              <w:rPr>
                <w:rFonts w:hint="eastAsia" w:ascii="宋体" w:cs="宋体"/>
                <w:b/>
                <w:bCs w:val="0"/>
                <w:color w:val="auto"/>
                <w:sz w:val="21"/>
                <w:szCs w:val="21"/>
                <w:highlight w:val="none"/>
                <w:lang w:val="en-US" w:eastAsia="zh-CN"/>
              </w:rPr>
              <w:t>27</w:t>
            </w:r>
          </w:p>
        </w:tc>
        <w:tc>
          <w:tcPr>
            <w:tcW w:w="1536"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b/>
                <w:bCs w:val="0"/>
                <w:color w:val="auto"/>
                <w:sz w:val="21"/>
                <w:szCs w:val="21"/>
                <w:highlight w:val="none"/>
                <w:lang w:val="en-US" w:eastAsia="zh-CN"/>
              </w:rPr>
            </w:pPr>
            <w:r>
              <w:rPr>
                <w:rFonts w:hint="eastAsia"/>
                <w:b/>
                <w:bCs w:val="0"/>
                <w:color w:val="auto"/>
                <w:sz w:val="21"/>
                <w:szCs w:val="21"/>
                <w:highlight w:val="none"/>
                <w:lang w:val="en-US" w:eastAsia="zh-CN"/>
              </w:rPr>
              <w:t>中标候选人公示媒介</w:t>
            </w:r>
          </w:p>
        </w:tc>
        <w:tc>
          <w:tcPr>
            <w:tcW w:w="7288" w:type="dxa"/>
            <w:noWrap w:val="0"/>
            <w:vAlign w:val="center"/>
          </w:tcPr>
          <w:p>
            <w:pPr>
              <w:pStyle w:val="14"/>
              <w:keepNext w:val="0"/>
              <w:keepLines w:val="0"/>
              <w:pageBreakBefore w:val="0"/>
              <w:shd w:val="clear" w:color="auto" w:fill="auto"/>
              <w:kinsoku/>
              <w:wordWrap/>
              <w:overflowPunct/>
              <w:topLinePunct w:val="0"/>
              <w:autoSpaceDE/>
              <w:autoSpaceDN/>
              <w:bidi w:val="0"/>
              <w:adjustRightInd/>
              <w:snapToGrid w:val="0"/>
              <w:spacing w:line="380" w:lineRule="exact"/>
              <w:jc w:val="both"/>
              <w:textAlignment w:val="auto"/>
              <w:outlineLvl w:val="9"/>
              <w:rPr>
                <w:rFonts w:hint="eastAsia"/>
                <w:b w:val="0"/>
                <w:bCs/>
                <w:color w:val="auto"/>
                <w:sz w:val="21"/>
                <w:szCs w:val="21"/>
                <w:highlight w:val="none"/>
                <w:lang w:val="en-US" w:eastAsia="zh-CN"/>
              </w:rPr>
            </w:pPr>
            <w:r>
              <w:rPr>
                <w:rFonts w:hint="eastAsia" w:ascii="Times New Roman" w:hAnsi="Times New Roman" w:eastAsia="宋体" w:cs="Times New Roman"/>
                <w:b w:val="0"/>
                <w:bCs/>
                <w:color w:val="auto"/>
                <w:kern w:val="2"/>
                <w:sz w:val="21"/>
                <w:szCs w:val="21"/>
                <w:highlight w:val="none"/>
                <w:u w:val="none"/>
                <w:lang w:val="en-US" w:eastAsia="zh-CN" w:bidi="ar-SA"/>
              </w:rPr>
              <w:t>新疆政府采购网</w:t>
            </w:r>
            <w:r>
              <w:rPr>
                <w:rFonts w:hint="eastAsia" w:ascii="Times New Roman" w:hAnsi="Times New Roman" w:cs="Times New Roman"/>
                <w:b w:val="0"/>
                <w:bCs/>
                <w:color w:val="auto"/>
                <w:kern w:val="2"/>
                <w:sz w:val="21"/>
                <w:szCs w:val="21"/>
                <w:highlight w:val="none"/>
                <w:u w:val="none"/>
                <w:lang w:val="en-US" w:eastAsia="zh-CN" w:bidi="ar-SA"/>
              </w:rPr>
              <w:t>、</w:t>
            </w:r>
            <w:r>
              <w:rPr>
                <w:rFonts w:hint="eastAsia" w:ascii="Times New Roman" w:hAnsi="Times New Roman" w:eastAsia="宋体" w:cs="Times New Roman"/>
                <w:b w:val="0"/>
                <w:bCs/>
                <w:color w:val="auto"/>
                <w:kern w:val="2"/>
                <w:sz w:val="21"/>
                <w:szCs w:val="21"/>
                <w:highlight w:val="none"/>
                <w:u w:val="none"/>
                <w:lang w:val="en-US" w:eastAsia="zh-CN" w:bidi="ar-SA"/>
              </w:rPr>
              <w:t>克州公共资源交易网，公示期为一个工作日。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20"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eastAsia="宋体" w:cs="宋体"/>
                <w:b/>
                <w:bCs w:val="0"/>
                <w:color w:val="auto"/>
                <w:sz w:val="21"/>
                <w:szCs w:val="21"/>
                <w:highlight w:val="none"/>
                <w:lang w:val="en-US" w:eastAsia="zh-CN"/>
              </w:rPr>
            </w:pPr>
            <w:r>
              <w:rPr>
                <w:rFonts w:hint="eastAsia" w:ascii="宋体" w:cs="宋体"/>
                <w:b/>
                <w:bCs w:val="0"/>
                <w:color w:val="auto"/>
                <w:sz w:val="21"/>
                <w:szCs w:val="21"/>
                <w:highlight w:val="none"/>
                <w:lang w:val="en-US" w:eastAsia="zh-CN"/>
              </w:rPr>
              <w:t>28</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b/>
                <w:bCs w:val="0"/>
                <w:color w:val="auto"/>
                <w:sz w:val="21"/>
                <w:szCs w:val="21"/>
                <w:highlight w:val="none"/>
              </w:rPr>
            </w:pPr>
            <w:r>
              <w:rPr>
                <w:rFonts w:hint="eastAsia" w:ascii="宋体"/>
                <w:b/>
                <w:bCs w:val="0"/>
                <w:color w:val="auto"/>
                <w:sz w:val="21"/>
                <w:szCs w:val="21"/>
                <w:highlight w:val="none"/>
              </w:rPr>
              <w:t>履约担保</w:t>
            </w:r>
          </w:p>
        </w:tc>
        <w:tc>
          <w:tcPr>
            <w:tcW w:w="7288" w:type="dxa"/>
            <w:noWrap w:val="0"/>
            <w:vAlign w:val="top"/>
          </w:tcPr>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380" w:lineRule="exact"/>
              <w:textAlignment w:val="auto"/>
              <w:outlineLvl w:val="9"/>
              <w:rPr>
                <w:rFonts w:hint="eastAsia"/>
                <w:b w:val="0"/>
                <w:bCs/>
                <w:color w:val="auto"/>
                <w:lang w:val="en-US" w:eastAsia="zh-CN"/>
              </w:rPr>
            </w:pPr>
            <w:r>
              <w:rPr>
                <w:rFonts w:hint="eastAsia"/>
                <w:b w:val="0"/>
                <w:bCs/>
                <w:color w:val="auto"/>
                <w:lang w:val="en-US" w:eastAsia="zh-CN"/>
              </w:rPr>
              <w:t>中标供应商在合同签订后5个工作日内向采购人交纳中标价5%的履约保证金（本项目履约保证金接收保函形式；若以电汇、银行转账方式提交的，必须转到采购人的指定账户），如果中标供应商在建设期内没有涉及采购人的应付而未付金额或违约行为，采购人在项目验收合格后或提前终止合同后全额无息退还履约保证金。</w:t>
            </w:r>
          </w:p>
          <w:p>
            <w:pPr>
              <w:keepNext w:val="0"/>
              <w:keepLines w:val="0"/>
              <w:pageBreakBefore w:val="0"/>
              <w:shd w:val="clear" w:color="auto" w:fill="auto"/>
              <w:kinsoku/>
              <w:wordWrap/>
              <w:overflowPunct/>
              <w:topLinePunct w:val="0"/>
              <w:autoSpaceDE/>
              <w:autoSpaceDN/>
              <w:bidi w:val="0"/>
              <w:adjustRightInd/>
              <w:spacing w:line="380" w:lineRule="exact"/>
              <w:jc w:val="left"/>
              <w:textAlignment w:val="auto"/>
              <w:rPr>
                <w:rFonts w:hint="eastAsia" w:ascii="宋体"/>
                <w:b w:val="0"/>
                <w:bCs/>
                <w:color w:val="auto"/>
                <w:szCs w:val="21"/>
                <w:highlight w:val="none"/>
                <w:lang w:val="en-US" w:eastAsia="zh-CN"/>
              </w:rPr>
            </w:pPr>
            <w:r>
              <w:rPr>
                <w:rFonts w:hint="eastAsia" w:ascii="宋体" w:hAnsi="Times New Roman" w:eastAsia="宋体" w:cs="宋体"/>
                <w:b w:val="0"/>
                <w:bCs/>
                <w:color w:val="auto"/>
                <w:kern w:val="0"/>
                <w:sz w:val="21"/>
                <w:szCs w:val="21"/>
                <w:highlight w:val="none"/>
                <w:u w:val="none" w:color="000000"/>
                <w:lang w:val="en-US" w:eastAsia="zh-CN" w:bidi="ar-SA"/>
              </w:rPr>
              <w:t>2、</w:t>
            </w:r>
            <w:r>
              <w:rPr>
                <w:rFonts w:hint="eastAsia" w:ascii="宋体"/>
                <w:b w:val="0"/>
                <w:bCs/>
                <w:color w:val="auto"/>
                <w:szCs w:val="21"/>
                <w:highlight w:val="none"/>
                <w:lang w:val="en-US" w:eastAsia="zh-CN"/>
              </w:rPr>
              <w:t>签订合同后，如中标供应商不按合同约定履约的，履约保证金不予退还，履约保证金不足以赔偿损失的，按实际损失赔偿。</w:t>
            </w:r>
          </w:p>
          <w:p>
            <w:pPr>
              <w:keepNext w:val="0"/>
              <w:keepLines w:val="0"/>
              <w:pageBreakBefore w:val="0"/>
              <w:shd w:val="clear" w:color="auto" w:fill="auto"/>
              <w:kinsoku/>
              <w:wordWrap/>
              <w:overflowPunct/>
              <w:topLinePunct w:val="0"/>
              <w:autoSpaceDE/>
              <w:autoSpaceDN/>
              <w:bidi w:val="0"/>
              <w:adjustRightInd/>
              <w:spacing w:line="380" w:lineRule="exact"/>
              <w:jc w:val="left"/>
              <w:textAlignment w:val="auto"/>
              <w:rPr>
                <w:rFonts w:hint="eastAsia"/>
                <w:b w:val="0"/>
                <w:bCs/>
                <w:color w:val="auto"/>
                <w:lang w:val="en-US" w:eastAsia="zh-CN"/>
              </w:rPr>
            </w:pPr>
            <w:r>
              <w:rPr>
                <w:rFonts w:hint="eastAsia" w:ascii="宋体"/>
                <w:b w:val="0"/>
                <w:bCs/>
                <w:color w:val="auto"/>
                <w:szCs w:val="21"/>
                <w:highlight w:val="none"/>
                <w:lang w:val="en-US" w:eastAsia="zh-CN"/>
              </w:rPr>
              <w:t>3、如果中标供应商在供货期内没有涉及采购人的应付而未付金额或违约行为，采购人在项目验收合格后或提前终止合同后全额无息退还履约保证金。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32"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eastAsia="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29</w:t>
            </w:r>
          </w:p>
        </w:tc>
        <w:tc>
          <w:tcPr>
            <w:tcW w:w="153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cs="宋体"/>
                <w:b/>
                <w:bCs w:val="0"/>
                <w:color w:val="auto"/>
                <w:sz w:val="21"/>
                <w:szCs w:val="21"/>
                <w:highlight w:val="none"/>
                <w:lang w:eastAsia="zh-CN"/>
              </w:rPr>
            </w:pPr>
            <w:r>
              <w:rPr>
                <w:rFonts w:hint="eastAsia" w:ascii="宋体" w:hAnsi="宋体" w:cs="宋体"/>
                <w:b/>
                <w:bCs w:val="0"/>
                <w:color w:val="auto"/>
                <w:sz w:val="21"/>
                <w:szCs w:val="21"/>
                <w:highlight w:val="none"/>
                <w:lang w:eastAsia="zh-CN"/>
              </w:rPr>
              <w:t>招标</w:t>
            </w:r>
            <w:r>
              <w:rPr>
                <w:rFonts w:hint="eastAsia" w:ascii="宋体" w:hAnsi="宋体" w:cs="宋体"/>
                <w:b/>
                <w:bCs w:val="0"/>
                <w:color w:val="auto"/>
                <w:sz w:val="21"/>
                <w:szCs w:val="21"/>
                <w:highlight w:val="none"/>
              </w:rPr>
              <w:t>文件领取</w:t>
            </w: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时间：202</w:t>
            </w:r>
            <w:r>
              <w:rPr>
                <w:rFonts w:hint="eastAsia" w:ascii="宋体" w:hAnsi="宋体" w:cs="宋体"/>
                <w:b w:val="0"/>
                <w:bCs/>
                <w:color w:val="auto"/>
                <w:sz w:val="21"/>
                <w:szCs w:val="21"/>
                <w:highlight w:val="none"/>
                <w:lang w:val="en-US" w:eastAsia="zh-CN"/>
              </w:rPr>
              <w:t>3</w:t>
            </w:r>
            <w:r>
              <w:rPr>
                <w:rFonts w:hint="eastAsia" w:ascii="宋体" w:hAnsi="宋体" w:cs="宋体"/>
                <w:b w:val="0"/>
                <w:bCs/>
                <w:color w:val="auto"/>
                <w:sz w:val="21"/>
                <w:szCs w:val="21"/>
                <w:highlight w:val="none"/>
              </w:rPr>
              <w:t>年</w:t>
            </w:r>
            <w:r>
              <w:rPr>
                <w:rFonts w:hint="eastAsia" w:ascii="宋体" w:hAnsi="宋体" w:cs="宋体"/>
                <w:b w:val="0"/>
                <w:bCs/>
                <w:color w:val="auto"/>
                <w:sz w:val="21"/>
                <w:szCs w:val="21"/>
                <w:highlight w:val="none"/>
                <w:lang w:val="en-US" w:eastAsia="zh-CN"/>
              </w:rPr>
              <w:t>3</w:t>
            </w:r>
            <w:r>
              <w:rPr>
                <w:rFonts w:hint="eastAsia" w:ascii="宋体" w:hAnsi="宋体" w:cs="宋体"/>
                <w:b w:val="0"/>
                <w:bCs/>
                <w:color w:val="auto"/>
                <w:sz w:val="21"/>
                <w:szCs w:val="21"/>
                <w:highlight w:val="none"/>
              </w:rPr>
              <w:t>月</w:t>
            </w:r>
            <w:r>
              <w:rPr>
                <w:rFonts w:hint="eastAsia" w:ascii="宋体" w:hAnsi="宋体" w:cs="宋体"/>
                <w:b w:val="0"/>
                <w:bCs/>
                <w:color w:val="auto"/>
                <w:sz w:val="21"/>
                <w:szCs w:val="21"/>
                <w:highlight w:val="none"/>
                <w:lang w:val="en-US" w:eastAsia="zh-CN"/>
              </w:rPr>
              <w:t>2</w:t>
            </w:r>
            <w:r>
              <w:rPr>
                <w:rFonts w:hint="eastAsia" w:ascii="宋体" w:hAnsi="宋体" w:cs="宋体"/>
                <w:b w:val="0"/>
                <w:bCs/>
                <w:color w:val="auto"/>
                <w:sz w:val="21"/>
                <w:szCs w:val="21"/>
                <w:highlight w:val="none"/>
              </w:rPr>
              <w:t>日至202</w:t>
            </w:r>
            <w:r>
              <w:rPr>
                <w:rFonts w:hint="eastAsia" w:ascii="宋体" w:hAnsi="宋体" w:cs="宋体"/>
                <w:b w:val="0"/>
                <w:bCs/>
                <w:color w:val="auto"/>
                <w:sz w:val="21"/>
                <w:szCs w:val="21"/>
                <w:highlight w:val="none"/>
                <w:lang w:val="en-US" w:eastAsia="zh-CN"/>
              </w:rPr>
              <w:t>3</w:t>
            </w:r>
            <w:r>
              <w:rPr>
                <w:rFonts w:hint="eastAsia" w:ascii="宋体" w:hAnsi="宋体" w:cs="宋体"/>
                <w:b w:val="0"/>
                <w:bCs/>
                <w:color w:val="auto"/>
                <w:sz w:val="21"/>
                <w:szCs w:val="21"/>
                <w:highlight w:val="none"/>
              </w:rPr>
              <w:t>年</w:t>
            </w:r>
            <w:r>
              <w:rPr>
                <w:rFonts w:hint="eastAsia" w:ascii="宋体" w:hAnsi="宋体" w:cs="宋体"/>
                <w:b w:val="0"/>
                <w:bCs/>
                <w:color w:val="auto"/>
                <w:sz w:val="21"/>
                <w:szCs w:val="21"/>
                <w:highlight w:val="none"/>
                <w:lang w:val="en-US" w:eastAsia="zh-CN"/>
              </w:rPr>
              <w:t>4</w:t>
            </w:r>
            <w:r>
              <w:rPr>
                <w:rFonts w:hint="eastAsia" w:ascii="宋体" w:hAnsi="宋体" w:cs="宋体"/>
                <w:b w:val="0"/>
                <w:bCs/>
                <w:color w:val="auto"/>
                <w:sz w:val="21"/>
                <w:szCs w:val="21"/>
                <w:highlight w:val="none"/>
              </w:rPr>
              <w:t>月</w:t>
            </w:r>
            <w:r>
              <w:rPr>
                <w:rFonts w:hint="eastAsia" w:ascii="宋体" w:hAnsi="宋体" w:cs="宋体"/>
                <w:b w:val="0"/>
                <w:bCs/>
                <w:color w:val="auto"/>
                <w:sz w:val="21"/>
                <w:szCs w:val="21"/>
                <w:highlight w:val="none"/>
                <w:lang w:val="en-US" w:eastAsia="zh-CN"/>
              </w:rPr>
              <w:t>4</w:t>
            </w:r>
            <w:r>
              <w:rPr>
                <w:rFonts w:hint="eastAsia" w:ascii="宋体" w:hAnsi="宋体" w:cs="宋体"/>
                <w:b w:val="0"/>
                <w:bCs/>
                <w:color w:val="auto"/>
                <w:sz w:val="21"/>
                <w:szCs w:val="21"/>
                <w:highlight w:val="none"/>
              </w:rPr>
              <w:t>日，每天上午10:00至</w:t>
            </w:r>
            <w:r>
              <w:rPr>
                <w:rFonts w:hint="eastAsia" w:ascii="宋体" w:hAnsi="宋体" w:cs="宋体"/>
                <w:b w:val="0"/>
                <w:bCs/>
                <w:color w:val="auto"/>
                <w:sz w:val="21"/>
                <w:szCs w:val="21"/>
                <w:highlight w:val="none"/>
                <w:lang w:val="en-US" w:eastAsia="zh-CN"/>
              </w:rPr>
              <w:t>14</w:t>
            </w:r>
            <w:r>
              <w:rPr>
                <w:rFonts w:hint="eastAsia" w:ascii="宋体" w:hAnsi="宋体" w:cs="宋体"/>
                <w:b w:val="0"/>
                <w:bCs/>
                <w:color w:val="auto"/>
                <w:sz w:val="21"/>
                <w:szCs w:val="21"/>
                <w:highlight w:val="none"/>
              </w:rPr>
              <w:t>:</w:t>
            </w:r>
            <w:r>
              <w:rPr>
                <w:rFonts w:hint="eastAsia" w:ascii="宋体" w:hAnsi="宋体" w:cs="宋体"/>
                <w:b w:val="0"/>
                <w:bCs/>
                <w:color w:val="auto"/>
                <w:sz w:val="21"/>
                <w:szCs w:val="21"/>
                <w:highlight w:val="none"/>
                <w:lang w:val="en-US" w:eastAsia="zh-CN"/>
              </w:rPr>
              <w:t>0</w:t>
            </w:r>
            <w:r>
              <w:rPr>
                <w:rFonts w:hint="eastAsia" w:ascii="宋体" w:hAnsi="宋体" w:cs="宋体"/>
                <w:b w:val="0"/>
                <w:bCs/>
                <w:color w:val="auto"/>
                <w:sz w:val="21"/>
                <w:szCs w:val="21"/>
                <w:highlight w:val="none"/>
              </w:rPr>
              <w:t>0，下午16:</w:t>
            </w:r>
            <w:r>
              <w:rPr>
                <w:rFonts w:hint="eastAsia" w:ascii="宋体" w:hAnsi="宋体" w:cs="宋体"/>
                <w:b w:val="0"/>
                <w:bCs/>
                <w:color w:val="auto"/>
                <w:sz w:val="21"/>
                <w:szCs w:val="21"/>
                <w:highlight w:val="none"/>
                <w:lang w:val="en-US" w:eastAsia="zh-CN"/>
              </w:rPr>
              <w:t>0</w:t>
            </w:r>
            <w:r>
              <w:rPr>
                <w:rFonts w:hint="eastAsia" w:ascii="宋体" w:hAnsi="宋体" w:cs="宋体"/>
                <w:b w:val="0"/>
                <w:bCs/>
                <w:color w:val="auto"/>
                <w:sz w:val="21"/>
                <w:szCs w:val="21"/>
                <w:highlight w:val="none"/>
              </w:rPr>
              <w:t>0至</w:t>
            </w:r>
            <w:r>
              <w:rPr>
                <w:rFonts w:hint="eastAsia" w:ascii="宋体" w:hAnsi="宋体" w:cs="宋体"/>
                <w:b w:val="0"/>
                <w:bCs/>
                <w:color w:val="auto"/>
                <w:sz w:val="21"/>
                <w:szCs w:val="21"/>
                <w:highlight w:val="none"/>
                <w:lang w:val="en-US" w:eastAsia="zh-CN"/>
              </w:rPr>
              <w:t>19</w:t>
            </w:r>
            <w:r>
              <w:rPr>
                <w:rFonts w:hint="eastAsia" w:ascii="宋体" w:hAnsi="宋体" w:cs="宋体"/>
                <w:b w:val="0"/>
                <w:bCs/>
                <w:color w:val="auto"/>
                <w:sz w:val="21"/>
                <w:szCs w:val="21"/>
                <w:highlight w:val="none"/>
              </w:rPr>
              <w:t>:</w:t>
            </w:r>
            <w:r>
              <w:rPr>
                <w:rFonts w:hint="eastAsia" w:ascii="宋体" w:hAnsi="宋体" w:cs="宋体"/>
                <w:b w:val="0"/>
                <w:bCs/>
                <w:color w:val="auto"/>
                <w:sz w:val="21"/>
                <w:szCs w:val="21"/>
                <w:highlight w:val="none"/>
                <w:lang w:val="en-US" w:eastAsia="zh-CN"/>
              </w:rPr>
              <w:t>30</w:t>
            </w:r>
            <w:r>
              <w:rPr>
                <w:rFonts w:hint="eastAsia" w:ascii="宋体" w:hAnsi="宋体" w:cs="宋体"/>
                <w:b w:val="0"/>
                <w:bCs/>
                <w:color w:val="auto"/>
                <w:sz w:val="21"/>
                <w:szCs w:val="21"/>
                <w:highlight w:val="none"/>
              </w:rPr>
              <w:t>（北京时间，法定节假日除外）</w:t>
            </w:r>
          </w:p>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宋体" w:hAnsi="宋体" w:cs="宋体"/>
                <w:b w:val="0"/>
                <w:bCs/>
                <w:color w:val="auto"/>
                <w:sz w:val="21"/>
                <w:szCs w:val="21"/>
                <w:highlight w:val="none"/>
                <w:lang w:eastAsia="zh-CN"/>
              </w:rPr>
              <w:t>95763</w:t>
            </w:r>
            <w:r>
              <w:rPr>
                <w:rFonts w:hint="eastAsia" w:ascii="宋体" w:hAnsi="宋体" w:cs="宋体"/>
                <w:b w:val="0"/>
                <w:bCs/>
                <w:color w:val="auto"/>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方式：（1）线上获取（登录政府采购云平台 → 项目采购 → 获取招标文件→ 申请，审核通过后可下载招标文件）。本次招标不提供纸质版招标文件。</w:t>
            </w:r>
          </w:p>
          <w:p>
            <w:pPr>
              <w:keepNext w:val="0"/>
              <w:keepLines w:val="0"/>
              <w:pageBreakBefore w:val="0"/>
              <w:shd w:val="clear" w:color="auto" w:fill="auto"/>
              <w:kinsoku/>
              <w:wordWrap/>
              <w:overflowPunct/>
              <w:topLinePunct w:val="0"/>
              <w:autoSpaceDE/>
              <w:autoSpaceDN/>
              <w:bidi w:val="0"/>
              <w:adjustRightInd/>
              <w:snapToGrid w:val="0"/>
              <w:spacing w:line="380" w:lineRule="exac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（2）供应商获取招标文件前应注册成为政府采购云平台正式供应商。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cs="宋体"/>
                <w:b/>
                <w:bCs w:val="0"/>
                <w:color w:val="auto"/>
                <w:sz w:val="21"/>
                <w:szCs w:val="21"/>
                <w:highlight w:val="none"/>
                <w:lang w:val="en-US" w:eastAsia="zh-CN"/>
              </w:rPr>
            </w:pPr>
          </w:p>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30</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r>
              <w:rPr>
                <w:rFonts w:hint="eastAsia" w:ascii="宋体" w:hAnsi="宋体"/>
                <w:b/>
                <w:bCs w:val="0"/>
                <w:color w:val="auto"/>
                <w:sz w:val="21"/>
                <w:szCs w:val="21"/>
                <w:highlight w:val="none"/>
                <w:lang w:eastAsia="zh-CN"/>
              </w:rPr>
              <w:t>重要说明</w:t>
            </w: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3.</w:t>
            </w:r>
            <w:r>
              <w:rPr>
                <w:rFonts w:hint="eastAsia" w:ascii="宋体" w:hAnsi="宋体" w:eastAsia="宋体" w:cs="宋体"/>
                <w:b w:val="0"/>
                <w:bCs/>
                <w:color w:val="auto"/>
                <w:sz w:val="21"/>
                <w:szCs w:val="21"/>
                <w:highlight w:val="none"/>
              </w:rPr>
              <w:t>各供应商在开标前应确保成为新疆维吾尔自治区政府采购网正式注册入库供应商，</w:t>
            </w:r>
            <w:r>
              <w:rPr>
                <w:rFonts w:hint="eastAsia" w:ascii="宋体" w:hAnsi="宋体" w:eastAsia="宋体" w:cs="宋体"/>
                <w:b w:val="0"/>
                <w:bCs/>
                <w:color w:val="auto"/>
                <w:sz w:val="21"/>
                <w:szCs w:val="21"/>
              </w:rPr>
              <w:t>（已在政采云平台其他省份入驻的供应商无须重复注册）</w:t>
            </w:r>
            <w:r>
              <w:rPr>
                <w:rFonts w:hint="eastAsia" w:ascii="宋体" w:hAnsi="宋体" w:eastAsia="宋体" w:cs="宋体"/>
                <w:b w:val="0"/>
                <w:bCs/>
                <w:color w:val="auto"/>
                <w:sz w:val="21"/>
                <w:szCs w:val="21"/>
                <w:highlight w:val="none"/>
              </w:rPr>
              <w:t>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宋体" w:hAnsi="宋体" w:cs="宋体"/>
                <w:b w:val="0"/>
                <w:bCs/>
                <w:color w:val="auto"/>
                <w:sz w:val="21"/>
                <w:szCs w:val="21"/>
                <w:highlight w:val="none"/>
                <w:lang w:eastAsia="zh-CN"/>
              </w:rPr>
              <w:t>95763</w:t>
            </w:r>
            <w:r>
              <w:rPr>
                <w:rFonts w:hint="eastAsia" w:ascii="宋体" w:hAnsi="宋体" w:cs="宋体"/>
                <w:b w:val="0"/>
                <w:bCs/>
                <w:color w:val="auto"/>
                <w:sz w:val="21"/>
                <w:szCs w:val="21"/>
                <w:highlight w:val="none"/>
              </w:rPr>
              <w:t>进行咨询。</w:t>
            </w:r>
          </w:p>
          <w:p>
            <w:pPr>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5.供应商在开标时须使用制作加密电子投标文件所使用的CA锁及电脑，电脑须提前配置好浏览器（建议使用谷歌浏览器），以便开标时解锁。</w:t>
            </w:r>
          </w:p>
          <w:p>
            <w:pPr>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w:t>
            </w:r>
            <w:r>
              <w:rPr>
                <w:rFonts w:hint="eastAsia" w:ascii="宋体" w:hAnsi="宋体" w:cs="宋体"/>
                <w:b w:val="0"/>
                <w:bCs/>
                <w:color w:val="auto"/>
                <w:sz w:val="21"/>
                <w:szCs w:val="21"/>
                <w:highlight w:val="none"/>
                <w:lang w:eastAsia="zh-CN"/>
              </w:rPr>
              <w:t>。</w:t>
            </w:r>
          </w:p>
          <w:p>
            <w:pPr>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宋体" w:cs="宋体"/>
                <w:b w:val="0"/>
                <w:bCs/>
                <w:color w:val="auto"/>
                <w:sz w:val="21"/>
                <w:szCs w:val="21"/>
                <w:highlight w:val="none"/>
              </w:rPr>
            </w:pPr>
            <w:r>
              <w:rPr>
                <w:rFonts w:hint="eastAsia" w:ascii="宋体" w:hAnsi="宋体" w:cs="宋体"/>
                <w:b w:val="0"/>
                <w:bCs/>
                <w:color w:val="auto"/>
                <w:sz w:val="21"/>
                <w:szCs w:val="21"/>
                <w:highlight w:val="none"/>
              </w:rPr>
              <w:t>7.为了保证开评标顺利进行，政采云线上开标功能完全实现，供应商开标所使用的电脑设备须具有视频及语音功能。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bCs w:val="0"/>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tc>
        <w:tc>
          <w:tcPr>
            <w:tcW w:w="7288"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380" w:lineRule="exact"/>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（1）电子招投标：本项目以数据电文形式，依托“政府采购云平台（www.zcygov.cn）”进行招投标活动。</w:t>
            </w:r>
          </w:p>
          <w:p>
            <w:pPr>
              <w:keepNext w:val="0"/>
              <w:keepLines w:val="0"/>
              <w:pageBreakBefore w:val="0"/>
              <w:widowControl w:val="0"/>
              <w:shd w:val="clear" w:color="auto" w:fill="auto"/>
              <w:kinsoku/>
              <w:wordWrap/>
              <w:overflowPunct/>
              <w:topLinePunct w:val="0"/>
              <w:autoSpaceDE/>
              <w:autoSpaceDN/>
              <w:bidi w:val="0"/>
              <w:adjustRightInd/>
              <w:snapToGrid w:val="0"/>
              <w:spacing w:line="380" w:lineRule="exact"/>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（2）投标准备：注册账号--点击“商家入驻”，进行政府采购供应商资料填写；申领CA数字证书---申领流程详见“</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政府采购网-下载专区-电子交易客户端-CA驱动和申领流程”；安装“政采云电子交易客户端”----前往“</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政府采购网-下载专区-电子交易客户端”进行下载并安装。</w:t>
            </w:r>
          </w:p>
          <w:p>
            <w:pPr>
              <w:keepNext w:val="0"/>
              <w:keepLines w:val="0"/>
              <w:pageBreakBefore w:val="0"/>
              <w:kinsoku/>
              <w:wordWrap/>
              <w:overflowPunct/>
              <w:topLinePunct w:val="0"/>
              <w:autoSpaceDE/>
              <w:autoSpaceDN/>
              <w:bidi w:val="0"/>
              <w:adjustRightInd/>
              <w:snapToGrid w:val="0"/>
              <w:spacing w:line="380" w:lineRule="exact"/>
              <w:ind w:firstLine="420" w:firstLineChars="200"/>
              <w:textAlignment w:val="auto"/>
              <w:rPr>
                <w:rFonts w:hint="eastAsia" w:ascii="宋体" w:hAnsi="宋体" w:cs="宋体"/>
                <w:b w:val="0"/>
                <w:bCs/>
                <w:color w:val="auto"/>
                <w:szCs w:val="21"/>
              </w:rPr>
            </w:pPr>
            <w:r>
              <w:rPr>
                <w:rFonts w:hint="eastAsia" w:ascii="宋体" w:hAnsi="宋体" w:cs="宋体"/>
                <w:b w:val="0"/>
                <w:bCs/>
                <w:color w:val="auto"/>
                <w:szCs w:val="21"/>
              </w:rPr>
              <w:t>（</w:t>
            </w:r>
            <w:r>
              <w:rPr>
                <w:rFonts w:hint="eastAsia" w:ascii="宋体" w:hAnsi="宋体" w:cs="宋体"/>
                <w:b w:val="0"/>
                <w:bCs/>
                <w:color w:val="auto"/>
                <w:szCs w:val="21"/>
                <w:lang w:val="en-US" w:eastAsia="zh-CN"/>
              </w:rPr>
              <w:t>3</w:t>
            </w:r>
            <w:r>
              <w:rPr>
                <w:rFonts w:hint="eastAsia" w:ascii="宋体" w:hAnsi="宋体" w:cs="宋体"/>
                <w:b w:val="0"/>
                <w:bCs/>
                <w:color w:val="auto"/>
                <w:szCs w:val="21"/>
              </w:rPr>
              <w:t>）投标文件的制作：在“政采云电子交易客户端”中完成“填写基本信息”、“导入投标文件”、“标书关联”、“标书检查”、“电子签名”、“生成电子标书”等操作。</w:t>
            </w:r>
          </w:p>
          <w:p>
            <w:pPr>
              <w:keepNext w:val="0"/>
              <w:keepLines w:val="0"/>
              <w:pageBreakBefore w:val="0"/>
              <w:kinsoku/>
              <w:wordWrap/>
              <w:overflowPunct/>
              <w:topLinePunct w:val="0"/>
              <w:autoSpaceDE/>
              <w:autoSpaceDN/>
              <w:bidi w:val="0"/>
              <w:adjustRightInd/>
              <w:snapToGrid w:val="0"/>
              <w:spacing w:line="380" w:lineRule="exact"/>
              <w:ind w:firstLine="420" w:firstLineChars="200"/>
              <w:textAlignment w:val="auto"/>
              <w:rPr>
                <w:rFonts w:hint="eastAsia" w:ascii="宋体" w:hAnsi="宋体" w:eastAsia="宋体" w:cs="宋体"/>
                <w:b w:val="0"/>
                <w:bCs/>
                <w:color w:val="auto"/>
                <w:sz w:val="21"/>
                <w:szCs w:val="21"/>
                <w:highlight w:val="yellow"/>
                <w:lang w:eastAsia="zh-CN"/>
              </w:rPr>
            </w:pPr>
            <w:r>
              <w:rPr>
                <w:rFonts w:hint="eastAsia" w:ascii="宋体" w:hAnsi="宋体" w:cs="宋体"/>
                <w:b w:val="0"/>
                <w:bCs/>
                <w:color w:val="auto"/>
                <w:szCs w:val="21"/>
              </w:rPr>
              <w:t>（</w:t>
            </w:r>
            <w:r>
              <w:rPr>
                <w:rFonts w:hint="eastAsia" w:ascii="宋体" w:hAnsi="宋体" w:cs="宋体"/>
                <w:b w:val="0"/>
                <w:bCs/>
                <w:color w:val="auto"/>
                <w:szCs w:val="21"/>
                <w:lang w:val="en-US" w:eastAsia="zh-CN"/>
              </w:rPr>
              <w:t>4</w:t>
            </w:r>
            <w:r>
              <w:rPr>
                <w:rFonts w:hint="eastAsia" w:ascii="宋体" w:hAnsi="宋体" w:cs="宋体"/>
                <w:b w:val="0"/>
                <w:bCs/>
                <w:color w:val="auto"/>
                <w:szCs w:val="21"/>
              </w:rPr>
              <w:t>）投标文件的传输递交：供应商在投标截止时间前将加密的投标文件上传至政府采购云平台</w:t>
            </w:r>
            <w:r>
              <w:rPr>
                <w:rFonts w:hint="eastAsia" w:ascii="宋体" w:hAnsi="宋体" w:cs="宋体"/>
                <w:b w:val="0"/>
                <w:bCs/>
                <w:color w:val="auto"/>
                <w:szCs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val="0"/>
              <w:spacing w:line="380" w:lineRule="exact"/>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rPr>
              <w:t>）投标文件的解密：供应商按照平台提示和采购文件的规定在半小时内完成在线解密。</w:t>
            </w:r>
          </w:p>
          <w:p>
            <w:pPr>
              <w:keepNext w:val="0"/>
              <w:keepLines w:val="0"/>
              <w:pageBreakBefore w:val="0"/>
              <w:widowControl w:val="0"/>
              <w:shd w:val="clear" w:color="auto" w:fill="auto"/>
              <w:kinsoku/>
              <w:wordWrap/>
              <w:overflowPunct/>
              <w:topLinePunct w:val="0"/>
              <w:autoSpaceDE/>
              <w:autoSpaceDN/>
              <w:bidi w:val="0"/>
              <w:adjustRightInd/>
              <w:snapToGrid w:val="0"/>
              <w:spacing w:line="380" w:lineRule="exact"/>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rPr>
              <w:t>）具体操作指南：详见政采云平台“服务中心-帮助文档-项目采购-操作流程-电子招投标-政府采购项目电子交易管理操作指南-供应商”。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380" w:lineRule="exact"/>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rPr>
              <w:t>）供应商在进行上述操作时，如遇技术问题可登录政采云（https://</w:t>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HYPERLINK "http://www.zcygov.cn/" \h</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www.zcygov.cn/</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t xml:space="preserve">），点击右侧咨询小采，获取采小蜜智能服务管家帮助，或拨打政采云服务热线 </w:t>
            </w:r>
            <w:r>
              <w:rPr>
                <w:rFonts w:hint="eastAsia" w:ascii="宋体" w:hAnsi="宋体" w:eastAsia="宋体" w:cs="宋体"/>
                <w:b w:val="0"/>
                <w:bCs/>
                <w:color w:val="auto"/>
                <w:sz w:val="21"/>
                <w:szCs w:val="21"/>
                <w:highlight w:val="none"/>
                <w:lang w:eastAsia="zh-CN"/>
              </w:rPr>
              <w:t>95763</w:t>
            </w:r>
            <w:r>
              <w:rPr>
                <w:rFonts w:hint="eastAsia" w:ascii="宋体" w:hAnsi="宋体" w:eastAsia="宋体" w:cs="宋体"/>
                <w:b w:val="0"/>
                <w:bCs/>
                <w:color w:val="auto"/>
                <w:sz w:val="21"/>
                <w:szCs w:val="21"/>
                <w:highlight w:val="none"/>
              </w:rPr>
              <w:t xml:space="preserve"> 获取热线服务帮助。</w:t>
            </w:r>
          </w:p>
          <w:p>
            <w:pPr>
              <w:pStyle w:val="7"/>
              <w:keepNext w:val="0"/>
              <w:keepLines w:val="0"/>
              <w:pageBreakBefore w:val="0"/>
              <w:widowControl w:val="0"/>
              <w:shd w:val="clear" w:color="auto" w:fill="auto"/>
              <w:kinsoku/>
              <w:wordWrap/>
              <w:overflowPunct/>
              <w:topLinePunct w:val="0"/>
              <w:autoSpaceDE/>
              <w:autoSpaceDN/>
              <w:bidi w:val="0"/>
              <w:adjustRightInd/>
              <w:snapToGrid w:val="0"/>
              <w:spacing w:line="380" w:lineRule="exact"/>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380" w:lineRule="exac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b w:val="0"/>
                <w:bCs/>
                <w:color w:val="auto"/>
                <w:sz w:val="21"/>
                <w:szCs w:val="21"/>
                <w:highlight w:val="none"/>
                <w:lang w:eastAsia="zh-CN"/>
              </w:rPr>
              <w:t>中国</w:t>
            </w:r>
            <w:r>
              <w:rPr>
                <w:rFonts w:hint="eastAsia" w:ascii="宋体" w:hAnsi="宋体" w:eastAsia="宋体" w:cs="宋体"/>
                <w:b w:val="0"/>
                <w:bCs/>
                <w:color w:val="auto"/>
                <w:sz w:val="21"/>
                <w:szCs w:val="21"/>
                <w:highlight w:val="none"/>
              </w:rPr>
              <w:t>政府采购网下载专区下载。未按规定获取采购文件或逾期提出的不予受理、答复。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6" w:hRule="atLeast"/>
          <w:jc w:val="center"/>
        </w:trPr>
        <w:tc>
          <w:tcPr>
            <w:tcW w:w="1012"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宋体" w:hAnsi="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31</w:t>
            </w:r>
          </w:p>
        </w:tc>
        <w:tc>
          <w:tcPr>
            <w:tcW w:w="1536"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r>
              <w:rPr>
                <w:rFonts w:hint="eastAsia" w:ascii="宋体" w:hAnsi="宋体" w:eastAsia="宋体" w:cs="宋体"/>
                <w:b/>
                <w:bCs w:val="0"/>
                <w:color w:val="auto"/>
                <w:szCs w:val="21"/>
              </w:rPr>
              <w:t>中小微企业政策文件</w:t>
            </w: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Cs w:val="21"/>
                <w:lang w:val="en-US" w:eastAsia="zh-CN"/>
              </w:rPr>
              <w:t>（1）根据财政部、工业和信息化部关于印发《政府采购促进中小企业发展管理办法》的通知（财库[2020]46号）及（财库[2022]19号），投标人及其所投产品的制造商均属于《工业和信息化部、国家统计局、国家发展和改革委员会、财政部关于印发中小企业划型标准规定的通知》（工信部联企业[2011]300号）中规定的中型、小型、微型企业标准的，按招标文件格式提供《中小企业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24"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bCs w:val="0"/>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Cs w:val="21"/>
                <w:lang w:val="en-US" w:eastAsia="zh-CN"/>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6" w:hRule="atLeast"/>
          <w:jc w:val="center"/>
        </w:trPr>
        <w:tc>
          <w:tcPr>
            <w:tcW w:w="1012"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bCs w:val="0"/>
                <w:color w:val="auto"/>
                <w:sz w:val="21"/>
                <w:szCs w:val="21"/>
                <w:highlight w:val="none"/>
                <w:lang w:eastAsia="zh-CN"/>
              </w:rPr>
            </w:pPr>
          </w:p>
        </w:tc>
        <w:tc>
          <w:tcPr>
            <w:tcW w:w="1536"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380" w:lineRule="exact"/>
              <w:jc w:val="center"/>
              <w:textAlignment w:val="auto"/>
              <w:outlineLvl w:val="9"/>
              <w:rPr>
                <w:rFonts w:hint="eastAsia" w:ascii="宋体" w:hAnsi="宋体"/>
                <w:b/>
                <w:bCs w:val="0"/>
                <w:color w:val="auto"/>
                <w:sz w:val="21"/>
                <w:szCs w:val="21"/>
                <w:highlight w:val="none"/>
                <w:lang w:eastAsia="zh-CN"/>
              </w:rPr>
            </w:pPr>
          </w:p>
        </w:tc>
        <w:tc>
          <w:tcPr>
            <w:tcW w:w="7288"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380" w:lineRule="exact"/>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Cs w:val="21"/>
                <w:lang w:val="en-US" w:eastAsia="zh-CN"/>
              </w:rPr>
              <w:t>（3）根据财政部、民政部、中国残疾人联合会《关于促进残疾人就业政府采购政策的通知》（财库[2017]141号），在政府采购活动中，残疾人福利性单位视同小型、微型企业。投标人属于残疾人福利性单位的，按照招标文件格式提供残疾人福利性单位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6" w:hRule="atLeast"/>
          <w:jc w:val="center"/>
        </w:trPr>
        <w:tc>
          <w:tcPr>
            <w:tcW w:w="101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b/>
                <w:bCs w:val="0"/>
                <w:color w:val="auto"/>
                <w:sz w:val="21"/>
                <w:szCs w:val="21"/>
                <w:highlight w:val="none"/>
              </w:rPr>
            </w:pPr>
            <w:r>
              <w:rPr>
                <w:rFonts w:hint="eastAsia"/>
                <w:b/>
                <w:bCs w:val="0"/>
                <w:color w:val="auto"/>
                <w:sz w:val="21"/>
                <w:szCs w:val="21"/>
                <w:highlight w:val="none"/>
              </w:rPr>
              <w:t>备注</w:t>
            </w:r>
            <w:r>
              <w:rPr>
                <w:rFonts w:hint="eastAsia"/>
                <w:b/>
                <w:bCs w:val="0"/>
                <w:color w:val="auto"/>
                <w:sz w:val="21"/>
                <w:szCs w:val="21"/>
                <w:highlight w:val="none"/>
                <w:lang w:eastAsia="zh-CN"/>
              </w:rPr>
              <w:t>：</w:t>
            </w:r>
          </w:p>
        </w:tc>
        <w:tc>
          <w:tcPr>
            <w:tcW w:w="8824" w:type="dxa"/>
            <w:gridSpan w:val="2"/>
            <w:noWrap w:val="0"/>
            <w:vAlign w:val="center"/>
          </w:tcPr>
          <w:p>
            <w:pPr>
              <w:keepNext w:val="0"/>
              <w:keepLines w:val="0"/>
              <w:pageBreakBefore w:val="0"/>
              <w:numPr>
                <w:ilvl w:val="0"/>
                <w:numId w:val="0"/>
              </w:numPr>
              <w:kinsoku/>
              <w:wordWrap/>
              <w:overflowPunct/>
              <w:topLinePunct w:val="0"/>
              <w:autoSpaceDE/>
              <w:autoSpaceDN/>
              <w:bidi w:val="0"/>
              <w:adjustRightInd/>
              <w:spacing w:line="380" w:lineRule="exact"/>
              <w:jc w:val="left"/>
              <w:textAlignment w:val="auto"/>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1、</w:t>
            </w:r>
            <w:r>
              <w:rPr>
                <w:rFonts w:hint="eastAsia" w:ascii="Times New Roman" w:hAnsi="Times New Roman" w:eastAsia="宋体" w:cs="Times New Roman"/>
                <w:b/>
                <w:bCs w:val="0"/>
                <w:color w:val="auto"/>
                <w:kern w:val="2"/>
                <w:sz w:val="21"/>
                <w:szCs w:val="21"/>
                <w:highlight w:val="none"/>
                <w:lang w:val="en-US" w:eastAsia="zh-CN" w:bidi="ar-SA"/>
              </w:rPr>
              <w:t>着重提醒各投标人注意，并认真查看招标文件中的每一个条款及要求，因误读招标文</w:t>
            </w:r>
          </w:p>
          <w:p>
            <w:pPr>
              <w:keepNext w:val="0"/>
              <w:keepLines w:val="0"/>
              <w:pageBreakBefore w:val="0"/>
              <w:numPr>
                <w:ilvl w:val="0"/>
                <w:numId w:val="0"/>
              </w:numPr>
              <w:kinsoku/>
              <w:wordWrap/>
              <w:overflowPunct/>
              <w:topLinePunct w:val="0"/>
              <w:autoSpaceDE/>
              <w:autoSpaceDN/>
              <w:bidi w:val="0"/>
              <w:adjustRightInd/>
              <w:spacing w:line="380" w:lineRule="exact"/>
              <w:jc w:val="left"/>
              <w:textAlignment w:val="auto"/>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eastAsia="宋体" w:cs="Times New Roman"/>
                <w:b/>
                <w:bCs w:val="0"/>
                <w:color w:val="auto"/>
                <w:kern w:val="2"/>
                <w:sz w:val="21"/>
                <w:szCs w:val="21"/>
                <w:highlight w:val="none"/>
                <w:lang w:val="en-US" w:eastAsia="zh-CN" w:bidi="ar-SA"/>
              </w:rPr>
              <w:t>件而造成的后果，招标人概不负责。</w:t>
            </w:r>
          </w:p>
          <w:p>
            <w:pPr>
              <w:keepNext w:val="0"/>
              <w:keepLines w:val="0"/>
              <w:pageBreakBefore w:val="0"/>
              <w:numPr>
                <w:ilvl w:val="0"/>
                <w:numId w:val="0"/>
              </w:numPr>
              <w:kinsoku/>
              <w:wordWrap/>
              <w:overflowPunct/>
              <w:topLinePunct w:val="0"/>
              <w:autoSpaceDE/>
              <w:autoSpaceDN/>
              <w:bidi w:val="0"/>
              <w:adjustRightInd/>
              <w:spacing w:line="380" w:lineRule="exact"/>
              <w:jc w:val="left"/>
              <w:textAlignment w:val="auto"/>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2、</w:t>
            </w:r>
            <w:r>
              <w:rPr>
                <w:rFonts w:hint="eastAsia" w:ascii="Times New Roman" w:hAnsi="Times New Roman" w:eastAsia="宋体" w:cs="Times New Roman"/>
                <w:b/>
                <w:bCs w:val="0"/>
                <w:color w:val="auto"/>
                <w:kern w:val="2"/>
                <w:sz w:val="21"/>
                <w:szCs w:val="21"/>
                <w:highlight w:val="none"/>
                <w:lang w:val="en-US" w:eastAsia="zh-CN" w:bidi="ar-SA"/>
              </w:rPr>
              <w:t>除法律、法规和规章规定外，招标文件中用“拒绝”、“不接受”、“无效”、“不得”等文字规定，对其中任何一条的偏离，在评审时将其视为无效文件。未用上述文字规定或符</w:t>
            </w:r>
          </w:p>
          <w:p>
            <w:pPr>
              <w:keepNext w:val="0"/>
              <w:keepLines w:val="0"/>
              <w:pageBreakBefore w:val="0"/>
              <w:numPr>
                <w:ilvl w:val="0"/>
                <w:numId w:val="0"/>
              </w:numPr>
              <w:kinsoku/>
              <w:wordWrap/>
              <w:overflowPunct/>
              <w:topLinePunct w:val="0"/>
              <w:autoSpaceDE/>
              <w:autoSpaceDN/>
              <w:bidi w:val="0"/>
              <w:adjustRightInd/>
              <w:spacing w:line="380" w:lineRule="exact"/>
              <w:jc w:val="left"/>
              <w:textAlignment w:val="auto"/>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eastAsia="宋体" w:cs="Times New Roman"/>
                <w:b/>
                <w:bCs w:val="0"/>
                <w:color w:val="auto"/>
                <w:kern w:val="2"/>
                <w:sz w:val="21"/>
                <w:szCs w:val="21"/>
                <w:highlight w:val="none"/>
                <w:lang w:val="en-US" w:eastAsia="zh-CN" w:bidi="ar-SA"/>
              </w:rPr>
              <w:t>号标注的条款为非实质性要求条款(即一般条款)。</w:t>
            </w:r>
          </w:p>
          <w:p>
            <w:pPr>
              <w:keepNext w:val="0"/>
              <w:keepLines w:val="0"/>
              <w:pageBreakBefore w:val="0"/>
              <w:numPr>
                <w:ilvl w:val="0"/>
                <w:numId w:val="0"/>
              </w:numPr>
              <w:kinsoku/>
              <w:wordWrap/>
              <w:overflowPunct/>
              <w:topLinePunct w:val="0"/>
              <w:autoSpaceDE/>
              <w:autoSpaceDN/>
              <w:bidi w:val="0"/>
              <w:adjustRightInd/>
              <w:spacing w:line="380" w:lineRule="exact"/>
              <w:ind w:leftChars="0"/>
              <w:jc w:val="left"/>
              <w:textAlignment w:val="auto"/>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3、</w:t>
            </w:r>
            <w:r>
              <w:rPr>
                <w:rFonts w:hint="eastAsia" w:ascii="Times New Roman" w:hAnsi="Times New Roman" w:eastAsia="宋体" w:cs="Times New Roman"/>
                <w:b/>
                <w:bCs w:val="0"/>
                <w:color w:val="auto"/>
                <w:kern w:val="2"/>
                <w:sz w:val="21"/>
                <w:szCs w:val="21"/>
                <w:highlight w:val="none"/>
                <w:lang w:val="en-US" w:eastAsia="zh-CN" w:bidi="ar-SA"/>
              </w:rPr>
              <w:t>除非另有特殊说明，若本招标文件中引用了某一品牌、型号或生产供应商名称，均是指参照该品牌、型号或生产供应商的产品或服务，所引用的品牌、型号或生产供应商不构成对投标的限制。若采用的外文术语与某一供应商或某一产品使用的术语相同，并非表示指定了该供应商或该产品。</w:t>
            </w:r>
          </w:p>
          <w:p>
            <w:pPr>
              <w:keepNext w:val="0"/>
              <w:keepLines w:val="0"/>
              <w:pageBreakBefore w:val="0"/>
              <w:numPr>
                <w:ilvl w:val="0"/>
                <w:numId w:val="0"/>
              </w:numPr>
              <w:kinsoku/>
              <w:wordWrap/>
              <w:overflowPunct/>
              <w:topLinePunct w:val="0"/>
              <w:autoSpaceDE/>
              <w:autoSpaceDN/>
              <w:bidi w:val="0"/>
              <w:adjustRightInd/>
              <w:spacing w:line="380" w:lineRule="exact"/>
              <w:ind w:leftChars="0"/>
              <w:jc w:val="left"/>
              <w:textAlignment w:val="auto"/>
              <w:rPr>
                <w:rFonts w:hint="eastAsia" w:ascii="Times New Roman" w:hAnsi="Times New Roman" w:eastAsia="宋体" w:cs="Times New Roman"/>
                <w:b/>
                <w:bCs w:val="0"/>
                <w:color w:val="auto"/>
                <w:kern w:val="2"/>
                <w:sz w:val="21"/>
                <w:szCs w:val="21"/>
                <w:highlight w:val="none"/>
                <w:lang w:val="en-US" w:eastAsia="zh-CN" w:bidi="ar-SA"/>
              </w:rPr>
            </w:pPr>
            <w:r>
              <w:rPr>
                <w:rFonts w:hint="eastAsia" w:ascii="Times New Roman" w:hAnsi="Times New Roman" w:cs="Times New Roman"/>
                <w:b/>
                <w:bCs w:val="0"/>
                <w:color w:val="auto"/>
                <w:kern w:val="2"/>
                <w:sz w:val="21"/>
                <w:szCs w:val="21"/>
                <w:highlight w:val="none"/>
                <w:lang w:val="en-US" w:eastAsia="zh-CN" w:bidi="ar-SA"/>
              </w:rPr>
              <w:t>4</w:t>
            </w:r>
            <w:r>
              <w:rPr>
                <w:rFonts w:hint="eastAsia" w:ascii="Times New Roman" w:hAnsi="Times New Roman" w:eastAsia="宋体" w:cs="Times New Roman"/>
                <w:b/>
                <w:bCs w:val="0"/>
                <w:color w:val="auto"/>
                <w:kern w:val="2"/>
                <w:sz w:val="21"/>
                <w:szCs w:val="21"/>
                <w:highlight w:val="none"/>
                <w:lang w:val="en-US" w:eastAsia="zh-CN" w:bidi="ar-SA"/>
              </w:rPr>
              <w:t>、采购人若发现</w:t>
            </w:r>
            <w:r>
              <w:rPr>
                <w:rFonts w:hint="eastAsia" w:ascii="Times New Roman" w:hAnsi="Times New Roman" w:cs="Times New Roman"/>
                <w:b/>
                <w:bCs w:val="0"/>
                <w:color w:val="auto"/>
                <w:kern w:val="2"/>
                <w:sz w:val="21"/>
                <w:szCs w:val="21"/>
                <w:highlight w:val="none"/>
                <w:lang w:val="en-US" w:eastAsia="zh-CN" w:bidi="ar-SA"/>
              </w:rPr>
              <w:t>中标</w:t>
            </w:r>
            <w:r>
              <w:rPr>
                <w:rFonts w:hint="eastAsia" w:ascii="Times New Roman" w:hAnsi="Times New Roman" w:eastAsia="宋体" w:cs="Times New Roman"/>
                <w:b/>
                <w:bCs w:val="0"/>
                <w:color w:val="auto"/>
                <w:kern w:val="2"/>
                <w:sz w:val="21"/>
                <w:szCs w:val="21"/>
                <w:highlight w:val="none"/>
                <w:lang w:val="en-US" w:eastAsia="zh-CN" w:bidi="ar-SA"/>
              </w:rPr>
              <w:t>候选供应商在投标过程中提供虚假证明文件，故意隐瞒公司不良信誉和财务状况，以及其他可能对合同圆满履行造成风险的因素等，则按规定取消其</w:t>
            </w:r>
            <w:r>
              <w:rPr>
                <w:rFonts w:hint="eastAsia" w:ascii="Times New Roman" w:hAnsi="Times New Roman" w:cs="Times New Roman"/>
                <w:b/>
                <w:bCs w:val="0"/>
                <w:color w:val="auto"/>
                <w:kern w:val="2"/>
                <w:sz w:val="21"/>
                <w:szCs w:val="21"/>
                <w:highlight w:val="none"/>
                <w:lang w:val="en-US" w:eastAsia="zh-CN" w:bidi="ar-SA"/>
              </w:rPr>
              <w:t>中标</w:t>
            </w:r>
            <w:r>
              <w:rPr>
                <w:rFonts w:hint="eastAsia" w:ascii="Times New Roman" w:hAnsi="Times New Roman" w:eastAsia="宋体" w:cs="Times New Roman"/>
                <w:b/>
                <w:bCs w:val="0"/>
                <w:color w:val="auto"/>
                <w:kern w:val="2"/>
                <w:sz w:val="21"/>
                <w:szCs w:val="21"/>
                <w:highlight w:val="none"/>
                <w:lang w:val="en-US" w:eastAsia="zh-CN" w:bidi="ar-SA"/>
              </w:rPr>
              <w:t>资格，监管部门依法进行处理。</w:t>
            </w:r>
          </w:p>
          <w:p>
            <w:pPr>
              <w:keepNext w:val="0"/>
              <w:keepLines w:val="0"/>
              <w:pageBreakBefore w:val="0"/>
              <w:numPr>
                <w:ilvl w:val="0"/>
                <w:numId w:val="0"/>
              </w:numPr>
              <w:kinsoku/>
              <w:wordWrap/>
              <w:overflowPunct/>
              <w:topLinePunct w:val="0"/>
              <w:autoSpaceDE/>
              <w:autoSpaceDN/>
              <w:bidi w:val="0"/>
              <w:adjustRightInd/>
              <w:spacing w:line="380" w:lineRule="exact"/>
              <w:ind w:leftChars="0"/>
              <w:jc w:val="left"/>
              <w:textAlignment w:val="auto"/>
              <w:rPr>
                <w:rFonts w:hint="eastAsia"/>
                <w:color w:val="auto"/>
              </w:rPr>
            </w:pPr>
            <w:r>
              <w:rPr>
                <w:rFonts w:hint="eastAsia" w:ascii="Times New Roman" w:hAnsi="Times New Roman" w:cs="Times New Roman"/>
                <w:b/>
                <w:bCs w:val="0"/>
                <w:color w:val="auto"/>
                <w:kern w:val="2"/>
                <w:sz w:val="21"/>
                <w:szCs w:val="21"/>
                <w:highlight w:val="none"/>
                <w:lang w:val="en-US" w:eastAsia="zh-CN" w:bidi="ar-SA"/>
              </w:rPr>
              <w:t>5</w:t>
            </w:r>
            <w:r>
              <w:rPr>
                <w:rFonts w:hint="eastAsia" w:ascii="Times New Roman" w:hAnsi="Times New Roman" w:eastAsia="宋体" w:cs="Times New Roman"/>
                <w:b/>
                <w:bCs w:val="0"/>
                <w:color w:val="auto"/>
                <w:kern w:val="2"/>
                <w:sz w:val="21"/>
                <w:szCs w:val="21"/>
                <w:highlight w:val="none"/>
                <w:lang w:val="en-US" w:eastAsia="zh-CN" w:bidi="ar-SA"/>
              </w:rPr>
              <w:t>、投标人使用相同IP地址的，一经发现，相关部门将进一步核实，查实后按串通投标处理。</w:t>
            </w:r>
          </w:p>
        </w:tc>
      </w:tr>
      <w:bookmarkEnd w:id="11"/>
    </w:tbl>
    <w:p>
      <w:pPr>
        <w:pageBreakBefore/>
        <w:shd w:val="clear" w:color="auto" w:fill="auto"/>
        <w:spacing w:before="312" w:beforeLines="100" w:after="312" w:afterLines="100" w:line="440" w:lineRule="exact"/>
        <w:jc w:val="center"/>
        <w:outlineLvl w:val="1"/>
        <w:rPr>
          <w:rFonts w:hint="eastAsia" w:ascii="宋体"/>
          <w:b/>
          <w:color w:val="auto"/>
          <w:sz w:val="28"/>
          <w:szCs w:val="32"/>
          <w:highlight w:val="none"/>
        </w:rPr>
      </w:pPr>
      <w:r>
        <w:rPr>
          <w:rFonts w:hint="eastAsia" w:ascii="宋体"/>
          <w:b/>
          <w:color w:val="auto"/>
          <w:sz w:val="28"/>
          <w:szCs w:val="28"/>
          <w:highlight w:val="none"/>
        </w:rPr>
        <w:t>二、投标人须知</w:t>
      </w:r>
    </w:p>
    <w:p>
      <w:pPr>
        <w:shd w:val="clear" w:color="auto" w:fill="auto"/>
        <w:spacing w:line="440" w:lineRule="exact"/>
        <w:jc w:val="center"/>
        <w:outlineLvl w:val="2"/>
        <w:rPr>
          <w:rFonts w:hint="eastAsia" w:ascii="宋体"/>
          <w:color w:val="auto"/>
          <w:sz w:val="28"/>
          <w:szCs w:val="28"/>
          <w:highlight w:val="none"/>
        </w:rPr>
      </w:pPr>
      <w:bookmarkStart w:id="13" w:name="_Toc469495724"/>
      <w:r>
        <w:rPr>
          <w:rFonts w:hint="eastAsia" w:ascii="宋体"/>
          <w:b/>
          <w:color w:val="auto"/>
          <w:sz w:val="28"/>
          <w:szCs w:val="28"/>
          <w:highlight w:val="none"/>
        </w:rPr>
        <w:t>（一）</w:t>
      </w:r>
      <w:r>
        <w:rPr>
          <w:rFonts w:hint="eastAsia" w:ascii="宋体"/>
          <w:b/>
          <w:color w:val="auto"/>
          <w:sz w:val="28"/>
          <w:szCs w:val="32"/>
          <w:highlight w:val="none"/>
        </w:rPr>
        <w:t>总  则</w:t>
      </w:r>
      <w:bookmarkEnd w:id="13"/>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1.项目概况</w:t>
      </w:r>
    </w:p>
    <w:p>
      <w:pPr>
        <w:shd w:val="clear" w:color="auto" w:fill="auto"/>
        <w:snapToGrid w:val="0"/>
        <w:spacing w:line="440" w:lineRule="exact"/>
        <w:ind w:firstLine="420" w:firstLineChars="200"/>
        <w:rPr>
          <w:rFonts w:hint="eastAsia" w:ascii="宋体"/>
          <w:color w:val="auto"/>
          <w:szCs w:val="21"/>
          <w:highlight w:val="none"/>
          <w:u w:val="single"/>
        </w:rPr>
      </w:pPr>
      <w:r>
        <w:rPr>
          <w:rFonts w:hint="eastAsia" w:ascii="宋体"/>
          <w:color w:val="auto"/>
          <w:szCs w:val="21"/>
          <w:highlight w:val="none"/>
        </w:rPr>
        <w:t>1.1本次招标采购项目名称：见投标人须知前附表。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项目编号：见投标人须知前附表。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招标人：见投标人须知前附表。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供货期（服务周期）：见投标人须知前附表。</w:t>
      </w:r>
    </w:p>
    <w:p>
      <w:pPr>
        <w:shd w:val="clear" w:color="auto" w:fill="auto"/>
        <w:snapToGrid w:val="0"/>
        <w:spacing w:line="440" w:lineRule="exact"/>
        <w:ind w:firstLine="840" w:firstLineChars="400"/>
        <w:rPr>
          <w:rFonts w:hint="eastAsia" w:ascii="宋体"/>
          <w:color w:val="auto"/>
          <w:szCs w:val="21"/>
          <w:highlight w:val="none"/>
          <w:u w:val="single"/>
        </w:rPr>
      </w:pPr>
      <w:r>
        <w:rPr>
          <w:rFonts w:hint="eastAsia" w:ascii="宋体"/>
          <w:color w:val="auto"/>
          <w:szCs w:val="21"/>
          <w:highlight w:val="none"/>
        </w:rPr>
        <w:t>供货地点：见投标人须知前附表。</w:t>
      </w:r>
    </w:p>
    <w:p>
      <w:pPr>
        <w:shd w:val="clear" w:color="auto" w:fill="auto"/>
        <w:snapToGrid w:val="0"/>
        <w:spacing w:line="440" w:lineRule="exact"/>
        <w:ind w:firstLine="420" w:firstLineChars="200"/>
        <w:rPr>
          <w:rFonts w:hint="eastAsia" w:ascii="宋体"/>
          <w:color w:val="auto"/>
          <w:szCs w:val="21"/>
          <w:highlight w:val="none"/>
          <w:u w:val="single"/>
        </w:rPr>
      </w:pPr>
      <w:r>
        <w:rPr>
          <w:rFonts w:hint="eastAsia" w:ascii="宋体"/>
          <w:color w:val="auto"/>
          <w:szCs w:val="21"/>
          <w:highlight w:val="none"/>
        </w:rPr>
        <w:t>1.2招标人及联系人:见投标人须知前附表。</w:t>
      </w:r>
    </w:p>
    <w:p>
      <w:pPr>
        <w:shd w:val="clear" w:color="auto" w:fill="auto"/>
        <w:snapToGrid w:val="0"/>
        <w:spacing w:line="440" w:lineRule="exact"/>
        <w:ind w:firstLine="735" w:firstLineChars="350"/>
        <w:rPr>
          <w:rFonts w:hint="eastAsia" w:ascii="宋体"/>
          <w:color w:val="auto"/>
          <w:szCs w:val="21"/>
          <w:highlight w:val="none"/>
          <w:u w:val="single"/>
        </w:rPr>
      </w:pPr>
      <w:r>
        <w:rPr>
          <w:rFonts w:hint="eastAsia" w:ascii="宋体"/>
          <w:color w:val="auto"/>
          <w:szCs w:val="21"/>
          <w:highlight w:val="none"/>
        </w:rPr>
        <w:t xml:space="preserve"> 代理机构及联系人:见投标人须知前附表。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1.3资金来源：见投标人须知前附表。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1.4本项目预算：见投标人须知前附表。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1.5本项目控制价：见投标人须知前附表。</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2.招标范围：</w:t>
      </w:r>
    </w:p>
    <w:p>
      <w:pPr>
        <w:shd w:val="clear" w:color="auto" w:fill="auto"/>
        <w:snapToGrid w:val="0"/>
        <w:spacing w:line="440" w:lineRule="exact"/>
        <w:ind w:firstLine="420" w:firstLineChars="200"/>
        <w:rPr>
          <w:rFonts w:hint="eastAsia" w:ascii="宋体"/>
          <w:color w:val="auto"/>
          <w:szCs w:val="21"/>
          <w:highlight w:val="none"/>
          <w:u w:val="single"/>
        </w:rPr>
      </w:pPr>
      <w:r>
        <w:rPr>
          <w:rFonts w:hint="eastAsia" w:ascii="宋体"/>
          <w:color w:val="auto"/>
          <w:szCs w:val="21"/>
          <w:highlight w:val="none"/>
        </w:rPr>
        <w:t>2.1 采购内容：见投标人须知前附表。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2.2 技术要求：详见</w:t>
      </w:r>
      <w:r>
        <w:rPr>
          <w:rFonts w:hint="eastAsia" w:ascii="宋体"/>
          <w:color w:val="auto"/>
          <w:szCs w:val="21"/>
          <w:highlight w:val="none"/>
          <w:lang w:eastAsia="zh-CN"/>
        </w:rPr>
        <w:t>采购文件</w:t>
      </w:r>
      <w:r>
        <w:rPr>
          <w:rFonts w:hint="eastAsia" w:ascii="宋体"/>
          <w:color w:val="auto"/>
          <w:szCs w:val="21"/>
          <w:highlight w:val="none"/>
        </w:rPr>
        <w:t>第四章采购内容及技术要求。</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3.标包划分：</w:t>
      </w:r>
    </w:p>
    <w:p>
      <w:pPr>
        <w:shd w:val="clear" w:color="auto" w:fill="auto"/>
        <w:snapToGrid w:val="0"/>
        <w:spacing w:line="440" w:lineRule="exact"/>
        <w:ind w:firstLine="420" w:firstLineChars="200"/>
        <w:jc w:val="left"/>
        <w:rPr>
          <w:rFonts w:hint="eastAsia" w:ascii="宋体"/>
          <w:color w:val="auto"/>
          <w:szCs w:val="21"/>
          <w:highlight w:val="none"/>
        </w:rPr>
      </w:pPr>
      <w:r>
        <w:rPr>
          <w:rFonts w:hint="eastAsia" w:ascii="宋体"/>
          <w:color w:val="auto"/>
          <w:szCs w:val="21"/>
          <w:highlight w:val="none"/>
        </w:rPr>
        <w:t>3.1本项目划分：</w:t>
      </w:r>
      <w:r>
        <w:rPr>
          <w:rFonts w:hint="eastAsia" w:ascii="宋体"/>
          <w:color w:val="auto"/>
          <w:szCs w:val="21"/>
          <w:highlight w:val="none"/>
          <w:u w:val="single"/>
        </w:rPr>
        <w:t xml:space="preserve"> </w:t>
      </w:r>
      <w:r>
        <w:rPr>
          <w:rFonts w:hint="eastAsia" w:ascii="宋体"/>
          <w:color w:val="auto"/>
          <w:szCs w:val="21"/>
          <w:highlight w:val="none"/>
          <w:u w:val="single"/>
          <w:lang w:val="en-US" w:eastAsia="zh-CN"/>
        </w:rPr>
        <w:t>1</w:t>
      </w:r>
      <w:r>
        <w:rPr>
          <w:rFonts w:hint="eastAsia" w:ascii="宋体"/>
          <w:color w:val="auto"/>
          <w:szCs w:val="21"/>
          <w:highlight w:val="none"/>
          <w:u w:val="single"/>
        </w:rPr>
        <w:t xml:space="preserve"> </w:t>
      </w:r>
      <w:r>
        <w:rPr>
          <w:rFonts w:hint="eastAsia" w:ascii="宋体"/>
          <w:color w:val="auto"/>
          <w:szCs w:val="21"/>
          <w:highlight w:val="none"/>
        </w:rPr>
        <w:t xml:space="preserve"> </w:t>
      </w:r>
      <w:r>
        <w:rPr>
          <w:rFonts w:hint="eastAsia"/>
          <w:color w:val="auto"/>
          <w:szCs w:val="21"/>
          <w:highlight w:val="none"/>
        </w:rPr>
        <w:t>个标包</w:t>
      </w:r>
      <w:r>
        <w:rPr>
          <w:rFonts w:hint="eastAsia" w:ascii="宋体" w:hAnsi="宋体" w:cs="宋体"/>
          <w:color w:val="auto"/>
          <w:kern w:val="0"/>
          <w:szCs w:val="21"/>
          <w:highlight w:val="none"/>
        </w:rPr>
        <w:t>。</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4.招标方式：</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4.1本项目招标方式：见投标人须知前附表。</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5.计价方式：</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5.1本次招标项目合同采用</w:t>
      </w:r>
      <w:r>
        <w:rPr>
          <w:rFonts w:hint="eastAsia" w:ascii="宋体"/>
          <w:color w:val="auto"/>
          <w:szCs w:val="21"/>
          <w:highlight w:val="none"/>
          <w:u w:val="single"/>
        </w:rPr>
        <w:t xml:space="preserve">   </w:t>
      </w:r>
      <w:r>
        <w:rPr>
          <w:rFonts w:hint="eastAsia" w:ascii="宋体"/>
          <w:color w:val="auto"/>
          <w:szCs w:val="21"/>
          <w:highlight w:val="none"/>
          <w:u w:val="single"/>
          <w:lang w:val="en-US" w:eastAsia="zh-CN"/>
        </w:rPr>
        <w:t>单价</w:t>
      </w:r>
      <w:r>
        <w:rPr>
          <w:rFonts w:hint="eastAsia" w:ascii="宋体"/>
          <w:color w:val="auto"/>
          <w:szCs w:val="21"/>
          <w:highlight w:val="none"/>
          <w:u w:val="single"/>
        </w:rPr>
        <w:t xml:space="preserve"> 。</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6.评标办法：</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6.1本次招标评标采用</w:t>
      </w:r>
      <w:r>
        <w:rPr>
          <w:rFonts w:hint="eastAsia" w:ascii="宋体"/>
          <w:color w:val="auto"/>
          <w:szCs w:val="21"/>
          <w:highlight w:val="none"/>
          <w:u w:val="single"/>
        </w:rPr>
        <w:t xml:space="preserve">  </w:t>
      </w:r>
      <w:r>
        <w:rPr>
          <w:rFonts w:hint="eastAsia" w:ascii="宋体"/>
          <w:b/>
          <w:bCs/>
          <w:color w:val="auto"/>
          <w:szCs w:val="21"/>
          <w:highlight w:val="none"/>
          <w:u w:val="single"/>
        </w:rPr>
        <w:t>符合</w:t>
      </w:r>
      <w:r>
        <w:rPr>
          <w:rFonts w:hint="eastAsia" w:ascii="宋体"/>
          <w:b/>
          <w:bCs/>
          <w:color w:val="auto"/>
          <w:szCs w:val="21"/>
          <w:highlight w:val="none"/>
          <w:u w:val="single"/>
          <w:lang w:val="en-US" w:eastAsia="zh-CN"/>
        </w:rPr>
        <w:t>招标</w:t>
      </w:r>
      <w:r>
        <w:rPr>
          <w:rFonts w:hint="eastAsia" w:ascii="宋体"/>
          <w:b/>
          <w:bCs/>
          <w:color w:val="auto"/>
          <w:szCs w:val="21"/>
          <w:highlight w:val="none"/>
          <w:u w:val="single"/>
          <w:lang w:eastAsia="zh-CN"/>
        </w:rPr>
        <w:t>文件</w:t>
      </w:r>
      <w:r>
        <w:rPr>
          <w:rFonts w:hint="eastAsia" w:ascii="宋体"/>
          <w:b/>
          <w:bCs/>
          <w:color w:val="auto"/>
          <w:szCs w:val="21"/>
          <w:highlight w:val="none"/>
          <w:u w:val="single"/>
        </w:rPr>
        <w:t>的综合评分法</w:t>
      </w:r>
      <w:r>
        <w:rPr>
          <w:rFonts w:hint="eastAsia" w:ascii="宋体"/>
          <w:color w:val="auto"/>
          <w:szCs w:val="21"/>
          <w:highlight w:val="none"/>
          <w:u w:val="single"/>
        </w:rPr>
        <w:t xml:space="preserve"> </w:t>
      </w:r>
      <w:r>
        <w:rPr>
          <w:rFonts w:hint="eastAsia" w:ascii="宋体"/>
          <w:color w:val="auto"/>
          <w:szCs w:val="21"/>
          <w:highlight w:val="none"/>
        </w:rPr>
        <w:t>（详见第三章评标办法）</w:t>
      </w:r>
    </w:p>
    <w:p>
      <w:pPr>
        <w:shd w:val="clear" w:color="auto" w:fill="auto"/>
        <w:snapToGrid w:val="0"/>
        <w:spacing w:line="440" w:lineRule="exact"/>
        <w:rPr>
          <w:rFonts w:hint="eastAsia" w:ascii="宋体"/>
          <w:b/>
          <w:color w:val="auto"/>
          <w:szCs w:val="21"/>
          <w:highlight w:val="none"/>
        </w:rPr>
      </w:pPr>
      <w:r>
        <w:rPr>
          <w:rFonts w:hint="eastAsia" w:ascii="宋体"/>
          <w:b/>
          <w:color w:val="auto"/>
          <w:szCs w:val="21"/>
          <w:highlight w:val="none"/>
        </w:rPr>
        <w:t>7.投标人资格：</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7.1参与采购活动的投标人必须是满足《中华人民共和国政府采购法》规定条件的法人、其他组织或者自然人：</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rPr>
          <w:rFonts w:hint="eastAsia"/>
          <w:b/>
          <w:color w:val="auto"/>
          <w:szCs w:val="21"/>
          <w:highlight w:val="none"/>
        </w:rPr>
      </w:pPr>
      <w:r>
        <w:rPr>
          <w:rFonts w:hint="eastAsia"/>
          <w:b/>
          <w:color w:val="auto"/>
          <w:szCs w:val="21"/>
          <w:highlight w:val="none"/>
        </w:rPr>
        <w:t>8. 投标费用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color w:val="auto"/>
          <w:szCs w:val="21"/>
          <w:highlight w:val="none"/>
        </w:rPr>
        <w:t>8.1投标人准备和参加投标活动发生的费用自理。</w:t>
      </w:r>
    </w:p>
    <w:p>
      <w:pPr>
        <w:shd w:val="clear" w:color="auto" w:fill="auto"/>
        <w:spacing w:line="440" w:lineRule="exact"/>
        <w:rPr>
          <w:rFonts w:hint="eastAsia"/>
          <w:b/>
          <w:color w:val="auto"/>
          <w:szCs w:val="21"/>
          <w:highlight w:val="none"/>
        </w:rPr>
      </w:pPr>
      <w:r>
        <w:rPr>
          <w:rFonts w:hint="eastAsia"/>
          <w:b/>
          <w:color w:val="auto"/>
          <w:szCs w:val="21"/>
          <w:highlight w:val="none"/>
        </w:rPr>
        <w:t>9.</w:t>
      </w:r>
      <w:bookmarkStart w:id="14" w:name="_Toc296602429"/>
      <w:bookmarkStart w:id="15" w:name="_Toc152045539"/>
      <w:bookmarkStart w:id="16" w:name="_Toc152042315"/>
      <w:bookmarkStart w:id="17" w:name="_Toc247592876"/>
      <w:bookmarkStart w:id="18" w:name="_Toc247513962"/>
      <w:bookmarkStart w:id="19" w:name="_Toc144974507"/>
      <w:bookmarkStart w:id="20" w:name="_Toc247527563"/>
      <w:r>
        <w:rPr>
          <w:rFonts w:hint="eastAsia"/>
          <w:b/>
          <w:color w:val="auto"/>
          <w:szCs w:val="21"/>
          <w:highlight w:val="none"/>
        </w:rPr>
        <w:t xml:space="preserve"> 踏勘现场</w:t>
      </w:r>
      <w:bookmarkEnd w:id="14"/>
      <w:bookmarkEnd w:id="15"/>
      <w:bookmarkEnd w:id="16"/>
      <w:bookmarkEnd w:id="17"/>
      <w:bookmarkEnd w:id="18"/>
      <w:bookmarkEnd w:id="19"/>
      <w:bookmarkEnd w:id="20"/>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9.1 投标人须知前附表规定组织踏勘现场的，招标人按投标人须知前附表规定的时间、地点组织投标人踏勘项目现场。</w:t>
      </w:r>
      <w:r>
        <w:rPr>
          <w:rFonts w:hint="eastAsia" w:ascii="宋体"/>
          <w:color w:val="auto"/>
          <w:szCs w:val="21"/>
          <w:highlight w:val="none"/>
          <w:lang w:eastAsia="zh-CN"/>
        </w:rPr>
        <w:t>如需踏勘现场，</w:t>
      </w:r>
      <w:r>
        <w:rPr>
          <w:rFonts w:hint="eastAsia"/>
          <w:color w:val="auto"/>
          <w:highlight w:val="none"/>
          <w:lang w:eastAsia="zh-CN"/>
        </w:rPr>
        <w:t>投标人自行踏勘现场的，可咨询本项目采购人或采购代理机构联系人。</w:t>
      </w:r>
      <w:r>
        <w:rPr>
          <w:rFonts w:hint="eastAsia"/>
          <w:b/>
          <w:bCs/>
          <w:color w:val="auto"/>
          <w:highlight w:val="none"/>
          <w:lang w:eastAsia="zh-CN"/>
        </w:rPr>
        <w:t>投标人自行踏勘现场的，可咨询本项目采购人或采购代理机构联系人</w:t>
      </w:r>
      <w:r>
        <w:rPr>
          <w:rFonts w:hint="eastAsia"/>
          <w:b w:val="0"/>
          <w:bCs w:val="0"/>
          <w:color w:val="auto"/>
          <w:highlight w:val="none"/>
          <w:lang w:eastAsia="zh-CN"/>
        </w:rPr>
        <w:t>。</w:t>
      </w:r>
      <w:r>
        <w:rPr>
          <w:rFonts w:hint="eastAsia" w:ascii="宋体"/>
          <w:b w:val="0"/>
          <w:bCs w:val="0"/>
          <w:color w:val="auto"/>
          <w:szCs w:val="21"/>
          <w:highlight w:val="none"/>
        </w:rPr>
        <w:t xml:space="preserve"> </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9.2 投标人踏勘现场发生的费用自理。</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9.3 除招标人的原因外，投标人自行负责在踏勘现场中所发生的人员伤亡和财产损失。</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9.4 招标人在踏勘现场中介绍的场地和相关的周边环境情况，供投标人在编制投标文件时参考，招标人不对投标人据此作出的判断和决策负责。</w:t>
      </w:r>
      <w:bookmarkStart w:id="21" w:name="_Toc247513963"/>
      <w:bookmarkStart w:id="22" w:name="_Toc247592877"/>
      <w:bookmarkStart w:id="23" w:name="_Toc296602430"/>
      <w:bookmarkStart w:id="24" w:name="_Toc247527564"/>
      <w:bookmarkStart w:id="25" w:name="_Toc144974508"/>
      <w:bookmarkStart w:id="26" w:name="_Toc152045540"/>
      <w:bookmarkStart w:id="27" w:name="_Toc152042316"/>
    </w:p>
    <w:p>
      <w:pPr>
        <w:shd w:val="clear" w:color="auto" w:fill="auto"/>
        <w:spacing w:line="440" w:lineRule="exact"/>
        <w:rPr>
          <w:rFonts w:hint="eastAsia"/>
          <w:b/>
          <w:color w:val="auto"/>
          <w:szCs w:val="21"/>
          <w:highlight w:val="none"/>
        </w:rPr>
      </w:pPr>
      <w:r>
        <w:rPr>
          <w:rFonts w:hint="eastAsia"/>
          <w:b/>
          <w:color w:val="auto"/>
          <w:szCs w:val="21"/>
          <w:highlight w:val="none"/>
        </w:rPr>
        <w:t>10. 投标预备会</w:t>
      </w:r>
      <w:bookmarkEnd w:id="21"/>
      <w:bookmarkEnd w:id="22"/>
      <w:bookmarkEnd w:id="23"/>
      <w:bookmarkEnd w:id="24"/>
      <w:bookmarkEnd w:id="25"/>
      <w:bookmarkEnd w:id="26"/>
      <w:bookmarkEnd w:id="27"/>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10.1投标人须知前附表规定召开投标预备会的，招标人按投标人须知前附表规定的时间和地点召开投标预备会，澄清投标人提出的问题。</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10.2投标人应在投标人须知前附表规定的时间前，将提出的问题送达招标人，以便招标人澄清。</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10.3招标人在投标人须知前附表规定的时间，将对投标人所提的问题进行澄清。该澄清内容为</w:t>
      </w:r>
      <w:r>
        <w:rPr>
          <w:rFonts w:hint="eastAsia" w:ascii="宋体"/>
          <w:color w:val="auto"/>
          <w:szCs w:val="21"/>
          <w:highlight w:val="none"/>
          <w:lang w:eastAsia="zh-CN"/>
        </w:rPr>
        <w:t>采购文件</w:t>
      </w:r>
      <w:r>
        <w:rPr>
          <w:rFonts w:hint="eastAsia" w:ascii="宋体"/>
          <w:color w:val="auto"/>
          <w:szCs w:val="21"/>
          <w:highlight w:val="none"/>
        </w:rPr>
        <w:t>的组成部分。</w:t>
      </w:r>
    </w:p>
    <w:p>
      <w:pPr>
        <w:shd w:val="clear" w:color="auto" w:fill="auto"/>
        <w:spacing w:line="440" w:lineRule="exact"/>
        <w:rPr>
          <w:rFonts w:hint="eastAsia"/>
          <w:b/>
          <w:color w:val="auto"/>
          <w:szCs w:val="21"/>
          <w:highlight w:val="none"/>
        </w:rPr>
      </w:pPr>
      <w:r>
        <w:rPr>
          <w:rFonts w:hint="eastAsia"/>
          <w:b/>
          <w:color w:val="auto"/>
          <w:szCs w:val="21"/>
          <w:highlight w:val="none"/>
        </w:rPr>
        <w:t>11. 联合投标</w:t>
      </w:r>
    </w:p>
    <w:p>
      <w:pPr>
        <w:shd w:val="clear" w:color="auto" w:fill="auto"/>
        <w:spacing w:line="440" w:lineRule="exact"/>
        <w:ind w:firstLine="409" w:firstLineChars="195"/>
        <w:rPr>
          <w:rFonts w:hint="eastAsia" w:ascii="宋体"/>
          <w:color w:val="auto"/>
          <w:szCs w:val="21"/>
          <w:highlight w:val="none"/>
        </w:rPr>
      </w:pPr>
      <w:r>
        <w:rPr>
          <w:rFonts w:hint="eastAsia" w:ascii="宋体"/>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09" w:firstLineChars="195"/>
        <w:rPr>
          <w:rFonts w:hint="eastAsia" w:ascii="宋体"/>
          <w:color w:val="auto"/>
          <w:szCs w:val="21"/>
          <w:highlight w:val="none"/>
        </w:rPr>
      </w:pPr>
      <w:r>
        <w:rPr>
          <w:rFonts w:hint="eastAsia" w:ascii="宋体"/>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11" w:firstLineChars="196"/>
        <w:rPr>
          <w:rFonts w:ascii="宋体"/>
          <w:color w:val="auto"/>
          <w:szCs w:val="21"/>
          <w:highlight w:val="none"/>
        </w:rPr>
      </w:pPr>
      <w:r>
        <w:rPr>
          <w:rFonts w:hint="eastAsia" w:ascii="宋体"/>
          <w:color w:val="auto"/>
          <w:szCs w:val="21"/>
          <w:highlight w:val="none"/>
        </w:rPr>
        <w:t>11</w:t>
      </w:r>
      <w:r>
        <w:rPr>
          <w:rFonts w:ascii="宋体"/>
          <w:color w:val="auto"/>
          <w:szCs w:val="21"/>
          <w:highlight w:val="none"/>
        </w:rPr>
        <w:t>.</w:t>
      </w:r>
      <w:r>
        <w:rPr>
          <w:rFonts w:hint="eastAsia" w:ascii="宋体"/>
          <w:color w:val="auto"/>
          <w:szCs w:val="21"/>
          <w:highlight w:val="none"/>
        </w:rPr>
        <w:t>3 联合体应当确定其中一个单位为投标的全权代表，负责参加投标的一切事务，并承担投标及履约中应承担的全部责任与义务。</w:t>
      </w:r>
    </w:p>
    <w:p>
      <w:pPr>
        <w:pStyle w:val="11"/>
        <w:shd w:val="clear" w:color="auto" w:fill="auto"/>
        <w:spacing w:after="0" w:line="400" w:lineRule="exact"/>
        <w:ind w:left="0" w:leftChars="0" w:firstLine="424" w:firstLineChars="202"/>
        <w:rPr>
          <w:rFonts w:hint="eastAsia" w:ascii="宋体"/>
          <w:color w:val="auto"/>
          <w:szCs w:val="21"/>
          <w:highlight w:val="none"/>
        </w:rPr>
      </w:pPr>
      <w:r>
        <w:rPr>
          <w:rFonts w:hint="eastAsia" w:ascii="宋体"/>
          <w:color w:val="auto"/>
          <w:szCs w:val="21"/>
          <w:highlight w:val="none"/>
        </w:rPr>
        <w:t>11</w:t>
      </w:r>
      <w:r>
        <w:rPr>
          <w:rFonts w:ascii="宋体"/>
          <w:color w:val="auto"/>
          <w:szCs w:val="21"/>
          <w:highlight w:val="none"/>
        </w:rPr>
        <w:t>.</w:t>
      </w:r>
      <w:r>
        <w:rPr>
          <w:rFonts w:hint="eastAsia" w:ascii="宋体"/>
          <w:color w:val="auto"/>
          <w:szCs w:val="21"/>
          <w:highlight w:val="none"/>
        </w:rPr>
        <w:t>4 联合体各方应当共同与招标人签订采购合同，就采购合同约定的事项对招标人承担连带责任。</w:t>
      </w:r>
    </w:p>
    <w:p>
      <w:pPr>
        <w:shd w:val="clear" w:color="auto" w:fill="auto"/>
        <w:spacing w:line="440" w:lineRule="exact"/>
        <w:jc w:val="left"/>
        <w:rPr>
          <w:rFonts w:hint="eastAsia" w:ascii="宋体"/>
          <w:b/>
          <w:color w:val="auto"/>
          <w:szCs w:val="21"/>
          <w:highlight w:val="none"/>
        </w:rPr>
      </w:pPr>
      <w:r>
        <w:rPr>
          <w:rFonts w:hint="eastAsia" w:ascii="宋体"/>
          <w:b/>
          <w:color w:val="auto"/>
          <w:szCs w:val="21"/>
          <w:highlight w:val="none"/>
        </w:rPr>
        <w:t>12.招标代理费</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bCs/>
          <w:color w:val="auto"/>
          <w:szCs w:val="21"/>
          <w:highlight w:val="none"/>
        </w:rPr>
        <w:t>12.1</w:t>
      </w:r>
      <w:r>
        <w:rPr>
          <w:rFonts w:hint="eastAsia" w:ascii="宋体" w:hAnsi="Times New Roman" w:eastAsia="宋体" w:cs="Times New Roman"/>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向招标代理机构支付本项目代理费。收费标准如下：</w:t>
      </w:r>
    </w:p>
    <w:p>
      <w:pPr>
        <w:keepNext w:val="0"/>
        <w:keepLines w:val="0"/>
        <w:pageBreakBefore w:val="0"/>
        <w:shd w:val="clear" w:color="auto" w:fill="auto"/>
        <w:kinsoku/>
        <w:wordWrap/>
        <w:overflowPunct/>
        <w:topLinePunct w:val="0"/>
        <w:bidi w:val="0"/>
        <w:snapToGrid/>
        <w:spacing w:line="360" w:lineRule="auto"/>
        <w:ind w:firstLine="422" w:firstLineChars="20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eastAsia="zh-CN"/>
              </w:rPr>
              <w:t>中标</w:t>
            </w:r>
            <w:r>
              <w:rPr>
                <w:rFonts w:hint="eastAsia" w:ascii="宋体" w:hAnsi="宋体" w:cs="宋体"/>
                <w:b w:val="0"/>
                <w:bCs w:val="0"/>
                <w:color w:val="auto"/>
                <w:sz w:val="21"/>
                <w:szCs w:val="21"/>
                <w:highlight w:val="none"/>
              </w:rPr>
              <w:t>金额（万元）</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货物招标</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eastAsia="zh-CN"/>
              </w:rPr>
              <w:t>服务招标</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100以下</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1.50%</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100-500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1.10%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lang w:val="en-US" w:eastAsia="zh-CN"/>
              </w:rPr>
              <w:t>0.80</w:t>
            </w:r>
            <w:r>
              <w:rPr>
                <w:rFonts w:hint="eastAsia" w:ascii="宋体" w:hAnsi="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500-1000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0.80%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w:t>
            </w:r>
            <w:r>
              <w:rPr>
                <w:rFonts w:hint="eastAsia" w:ascii="宋体" w:hAnsi="宋体" w:cs="宋体"/>
                <w:b w:val="0"/>
                <w:bCs w:val="0"/>
                <w:color w:val="auto"/>
                <w:sz w:val="21"/>
                <w:szCs w:val="21"/>
                <w:highlight w:val="none"/>
                <w:lang w:val="en-US" w:eastAsia="zh-CN"/>
              </w:rPr>
              <w:t>45</w:t>
            </w:r>
            <w:r>
              <w:rPr>
                <w:rFonts w:hint="eastAsia" w:ascii="宋体" w:hAnsi="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1000-5000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0.</w:t>
            </w:r>
            <w:r>
              <w:rPr>
                <w:rFonts w:hint="eastAsia" w:ascii="宋体" w:hAnsi="宋体" w:cs="宋体"/>
                <w:b w:val="0"/>
                <w:bCs w:val="0"/>
                <w:color w:val="auto"/>
                <w:sz w:val="21"/>
                <w:szCs w:val="21"/>
                <w:highlight w:val="none"/>
                <w:lang w:val="en-US" w:eastAsia="zh-CN"/>
              </w:rPr>
              <w:t>25</w:t>
            </w:r>
            <w:r>
              <w:rPr>
                <w:rFonts w:hint="eastAsia" w:ascii="宋体" w:hAnsi="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cs="宋体"/>
                <w:b w:val="0"/>
                <w:bCs w:val="0"/>
                <w:color w:val="auto"/>
                <w:sz w:val="21"/>
                <w:szCs w:val="21"/>
                <w:highlight w:val="none"/>
              </w:rPr>
            </w:pPr>
          </w:p>
        </w:tc>
      </w:tr>
    </w:tbl>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招标代理服务收费按差额定率累进法计算。例如：某项目招标代理业务</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金额为2000万元，计算招标代理服务收费额如下：</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100万元×1.50%=1.5（万元）；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（500-100）万元×1.10%=4.4（万元）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（1000-500）万元×0.80%=4.0（万元）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（2000-1000）万元×0.50%=5.0（万元）</w:t>
      </w:r>
    </w:p>
    <w:p>
      <w:pPr>
        <w:shd w:val="clear" w:color="auto" w:fill="auto"/>
        <w:spacing w:line="440" w:lineRule="exact"/>
        <w:ind w:left="210" w:leftChars="100" w:firstLine="315" w:firstLineChars="150"/>
        <w:jc w:val="left"/>
        <w:rPr>
          <w:rFonts w:hint="eastAsia" w:ascii="宋体"/>
          <w:bCs/>
          <w:color w:val="auto"/>
          <w:szCs w:val="21"/>
          <w:highlight w:val="none"/>
        </w:rPr>
      </w:pPr>
      <w:r>
        <w:rPr>
          <w:rFonts w:hint="eastAsia" w:ascii="宋体" w:hAnsi="宋体" w:eastAsia="宋体" w:cs="宋体"/>
          <w:color w:val="auto"/>
          <w:szCs w:val="21"/>
          <w:highlight w:val="none"/>
        </w:rPr>
        <w:t>合计收费=1.5+4.4+4.0+5.0=14.9(万元)</w:t>
      </w:r>
    </w:p>
    <w:p>
      <w:pPr>
        <w:shd w:val="clear" w:color="auto" w:fill="auto"/>
        <w:spacing w:line="440" w:lineRule="exact"/>
        <w:rPr>
          <w:rFonts w:hint="eastAsia"/>
          <w:b/>
          <w:color w:val="auto"/>
          <w:szCs w:val="21"/>
          <w:highlight w:val="none"/>
        </w:rPr>
      </w:pPr>
      <w:r>
        <w:rPr>
          <w:rFonts w:hint="eastAsia"/>
          <w:b/>
          <w:color w:val="auto"/>
          <w:szCs w:val="21"/>
          <w:highlight w:val="none"/>
        </w:rPr>
        <w:t>13.投标人应注意的事项</w:t>
      </w:r>
    </w:p>
    <w:p>
      <w:pPr>
        <w:shd w:val="clear" w:color="auto" w:fill="auto"/>
        <w:spacing w:line="440" w:lineRule="exact"/>
        <w:ind w:firstLine="420" w:firstLineChars="200"/>
        <w:rPr>
          <w:rFonts w:hint="eastAsia" w:ascii="宋体"/>
          <w:bCs/>
          <w:color w:val="auto"/>
          <w:szCs w:val="21"/>
          <w:highlight w:val="none"/>
        </w:rPr>
      </w:pPr>
      <w:r>
        <w:rPr>
          <w:rFonts w:hint="eastAsia" w:ascii="宋体" w:hAnsi="宋体"/>
          <w:color w:val="auto"/>
          <w:szCs w:val="21"/>
          <w:highlight w:val="none"/>
        </w:rPr>
        <w:t>13.1投标人一旦按规定缴纳了投标保证金并参加投标，即被认为接受了本</w:t>
      </w:r>
      <w:r>
        <w:rPr>
          <w:rFonts w:hint="eastAsia" w:ascii="宋体" w:hAnsi="宋体"/>
          <w:color w:val="auto"/>
          <w:szCs w:val="21"/>
          <w:highlight w:val="none"/>
          <w:lang w:eastAsia="zh-CN"/>
        </w:rPr>
        <w:t>采购</w:t>
      </w:r>
      <w:r>
        <w:rPr>
          <w:rFonts w:hint="eastAsia" w:ascii="宋体" w:hAnsi="宋体"/>
          <w:color w:val="auto"/>
          <w:szCs w:val="21"/>
          <w:highlight w:val="none"/>
        </w:rPr>
        <w:t>文件中的所有条件和规定。投标人必须严格按</w:t>
      </w:r>
      <w:r>
        <w:rPr>
          <w:rFonts w:hint="eastAsia" w:ascii="宋体" w:hAnsi="宋体"/>
          <w:color w:val="auto"/>
          <w:szCs w:val="21"/>
          <w:highlight w:val="none"/>
          <w:lang w:eastAsia="zh-CN"/>
        </w:rPr>
        <w:t>采购文件</w:t>
      </w:r>
      <w:r>
        <w:rPr>
          <w:rFonts w:hint="eastAsia" w:ascii="宋体" w:hAnsi="宋体"/>
          <w:color w:val="auto"/>
          <w:szCs w:val="21"/>
          <w:highlight w:val="none"/>
        </w:rPr>
        <w:t>的要求编制投标文件，投标文件宜编制页码和目录，以便评委审核。否则，由此产生的一切后果由投标人承担。</w:t>
      </w:r>
    </w:p>
    <w:p>
      <w:pPr>
        <w:shd w:val="clear" w:color="auto" w:fill="auto"/>
        <w:spacing w:line="440" w:lineRule="exact"/>
        <w:ind w:firstLine="420" w:firstLineChars="200"/>
        <w:rPr>
          <w:rFonts w:hint="eastAsia" w:ascii="宋体"/>
          <w:b/>
          <w:bCs w:val="0"/>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2</w:t>
      </w:r>
      <w:r>
        <w:rPr>
          <w:rFonts w:hint="eastAsia" w:ascii="宋体"/>
          <w:bCs/>
          <w:color w:val="auto"/>
          <w:szCs w:val="21"/>
          <w:highlight w:val="none"/>
        </w:rPr>
        <w:t xml:space="preserve"> 投标人对采购内容中规定的技术参数、规格等要求必须完全响应或优于</w:t>
      </w:r>
      <w:r>
        <w:rPr>
          <w:rFonts w:hint="eastAsia" w:ascii="宋体"/>
          <w:bCs/>
          <w:color w:val="auto"/>
          <w:szCs w:val="21"/>
          <w:highlight w:val="none"/>
          <w:lang w:eastAsia="zh-CN"/>
        </w:rPr>
        <w:t>采购文件</w:t>
      </w:r>
      <w:r>
        <w:rPr>
          <w:rFonts w:hint="eastAsia" w:ascii="宋体"/>
          <w:bCs/>
          <w:color w:val="auto"/>
          <w:szCs w:val="21"/>
          <w:highlight w:val="none"/>
        </w:rPr>
        <w:t>中的要求</w:t>
      </w:r>
      <w:r>
        <w:rPr>
          <w:rFonts w:hint="eastAsia" w:ascii="宋体"/>
          <w:b/>
          <w:bCs w:val="0"/>
          <w:color w:val="auto"/>
          <w:szCs w:val="21"/>
          <w:highlight w:val="none"/>
        </w:rPr>
        <w:t>。</w:t>
      </w:r>
    </w:p>
    <w:p>
      <w:pPr>
        <w:shd w:val="clear" w:color="auto" w:fill="auto"/>
        <w:spacing w:line="440" w:lineRule="exact"/>
        <w:ind w:firstLine="411" w:firstLineChars="196"/>
        <w:rPr>
          <w:rFonts w:hint="eastAsia" w:ascii="宋体"/>
          <w:bCs/>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3</w:t>
      </w:r>
      <w:r>
        <w:rPr>
          <w:rFonts w:hint="eastAsia" w:ascii="宋体"/>
          <w:bCs/>
          <w:color w:val="auto"/>
          <w:szCs w:val="21"/>
          <w:highlight w:val="none"/>
        </w:rPr>
        <w:t>所有投标人的投标保证金都应在</w:t>
      </w:r>
      <w:r>
        <w:rPr>
          <w:rFonts w:hint="eastAsia" w:ascii="宋体"/>
          <w:bCs/>
          <w:color w:val="auto"/>
          <w:szCs w:val="21"/>
          <w:highlight w:val="none"/>
          <w:lang w:eastAsia="zh-CN"/>
        </w:rPr>
        <w:t>采购文件</w:t>
      </w:r>
      <w:r>
        <w:rPr>
          <w:rFonts w:hint="eastAsia" w:ascii="宋体"/>
          <w:bCs/>
          <w:color w:val="auto"/>
          <w:szCs w:val="21"/>
          <w:highlight w:val="none"/>
        </w:rPr>
        <w:t>规定的投标保证金缴纳截止日期前缴纳。</w:t>
      </w:r>
    </w:p>
    <w:p>
      <w:pPr>
        <w:shd w:val="clear" w:color="auto" w:fill="auto"/>
        <w:spacing w:line="440" w:lineRule="exact"/>
        <w:ind w:firstLine="411" w:firstLineChars="196"/>
        <w:rPr>
          <w:rFonts w:hint="eastAsia" w:ascii="宋体"/>
          <w:bCs/>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4</w:t>
      </w:r>
      <w:r>
        <w:rPr>
          <w:rFonts w:ascii="宋体"/>
          <w:bCs/>
          <w:color w:val="auto"/>
          <w:szCs w:val="21"/>
          <w:highlight w:val="none"/>
        </w:rPr>
        <w:t>单位负责人为同一人或者存在直接控股、管理关系的不同供应商，不得参加同一合同项下的政府采购活动。</w:t>
      </w:r>
      <w:r>
        <w:rPr>
          <w:rFonts w:ascii="宋体" w:hAnsi="宋体" w:cs="宋体"/>
          <w:color w:val="auto"/>
          <w:szCs w:val="21"/>
          <w:highlight w:val="none"/>
        </w:rPr>
        <w:t>为采购项目提供整体设计、规范编制或者项目管理、监理、检测等服务的供应商，不得再参加该采购项目的其他采购活动。</w:t>
      </w:r>
    </w:p>
    <w:p>
      <w:pPr>
        <w:shd w:val="clear" w:color="auto" w:fill="auto"/>
        <w:snapToGrid w:val="0"/>
        <w:spacing w:line="440" w:lineRule="exact"/>
        <w:ind w:firstLine="420" w:firstLineChars="200"/>
        <w:rPr>
          <w:rFonts w:hint="eastAsia" w:ascii="宋体"/>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5</w:t>
      </w:r>
      <w:r>
        <w:rPr>
          <w:rFonts w:hint="eastAsia" w:ascii="宋体"/>
          <w:bCs/>
          <w:color w:val="auto"/>
          <w:szCs w:val="21"/>
          <w:highlight w:val="none"/>
        </w:rPr>
        <w:t>本项目只接受</w:t>
      </w:r>
      <w:r>
        <w:rPr>
          <w:rFonts w:hint="eastAsia" w:ascii="宋体"/>
          <w:color w:val="auto"/>
          <w:szCs w:val="21"/>
          <w:highlight w:val="none"/>
        </w:rPr>
        <w:t>成为新疆维吾尔自治区政府采购网正式注册入库并完成CA数字证书申领供应商</w:t>
      </w:r>
      <w:r>
        <w:rPr>
          <w:rFonts w:hint="eastAsia" w:ascii="宋体"/>
          <w:color w:val="auto"/>
          <w:szCs w:val="21"/>
          <w:highlight w:val="none"/>
          <w:lang w:eastAsia="zh-CN"/>
        </w:rPr>
        <w:t>参与投标</w:t>
      </w:r>
      <w:r>
        <w:rPr>
          <w:rFonts w:hint="eastAsia" w:ascii="宋体"/>
          <w:color w:val="auto"/>
          <w:szCs w:val="21"/>
          <w:highlight w:val="none"/>
        </w:rPr>
        <w:t>。因未注册入库、未办理CA数字证书等原因造成无法投标或投标失败等后果由供应商自行承担。</w:t>
      </w:r>
    </w:p>
    <w:p>
      <w:pPr>
        <w:shd w:val="clear" w:color="auto" w:fill="auto"/>
        <w:wordWrap w:val="0"/>
        <w:spacing w:line="440" w:lineRule="exact"/>
        <w:ind w:firstLine="420" w:firstLineChars="200"/>
        <w:rPr>
          <w:rFonts w:hint="eastAsia" w:ascii="宋体"/>
          <w:bCs/>
          <w:color w:val="auto"/>
          <w:szCs w:val="21"/>
          <w:highlight w:val="none"/>
        </w:rPr>
      </w:pPr>
      <w:r>
        <w:rPr>
          <w:rFonts w:hint="eastAsia" w:ascii="宋体"/>
          <w:bCs/>
          <w:color w:val="auto"/>
          <w:szCs w:val="21"/>
          <w:highlight w:val="none"/>
        </w:rPr>
        <w:t>13.</w:t>
      </w:r>
      <w:r>
        <w:rPr>
          <w:rFonts w:hint="eastAsia" w:ascii="宋体"/>
          <w:bCs/>
          <w:color w:val="auto"/>
          <w:szCs w:val="21"/>
          <w:highlight w:val="none"/>
          <w:lang w:val="en-US" w:eastAsia="zh-CN"/>
        </w:rPr>
        <w:t>6</w:t>
      </w:r>
      <w:r>
        <w:rPr>
          <w:rFonts w:hint="eastAsia" w:ascii="宋体"/>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15" w:firstLineChars="150"/>
        <w:rPr>
          <w:rFonts w:hint="eastAsia" w:ascii="宋体"/>
          <w:bCs/>
          <w:color w:val="auto"/>
          <w:szCs w:val="21"/>
          <w:highlight w:val="none"/>
        </w:rPr>
      </w:pPr>
      <w:r>
        <w:rPr>
          <w:rFonts w:hint="eastAsia" w:ascii="宋体"/>
          <w:bCs/>
          <w:color w:val="auto"/>
          <w:szCs w:val="21"/>
          <w:highlight w:val="none"/>
        </w:rPr>
        <w:t>（1）国家对本次投标货物和服务的生产、安装调试、验收、维修等有关法律、法规及行业管理标准；</w:t>
      </w:r>
    </w:p>
    <w:p>
      <w:pPr>
        <w:shd w:val="clear" w:color="auto" w:fill="auto"/>
        <w:spacing w:line="400" w:lineRule="exact"/>
        <w:ind w:firstLine="315" w:firstLineChars="150"/>
        <w:rPr>
          <w:rFonts w:hint="eastAsia" w:ascii="宋体"/>
          <w:bCs/>
          <w:color w:val="auto"/>
          <w:szCs w:val="21"/>
          <w:highlight w:val="none"/>
        </w:rPr>
      </w:pPr>
      <w:r>
        <w:rPr>
          <w:rFonts w:hint="eastAsia" w:ascii="宋体"/>
          <w:bCs/>
          <w:color w:val="auto"/>
          <w:szCs w:val="21"/>
          <w:highlight w:val="none"/>
        </w:rPr>
        <w:t>（2）</w:t>
      </w:r>
      <w:r>
        <w:rPr>
          <w:rFonts w:hint="eastAsia" w:ascii="宋体"/>
          <w:bCs/>
          <w:color w:val="auto"/>
          <w:szCs w:val="21"/>
          <w:highlight w:val="none"/>
          <w:lang w:eastAsia="zh-CN"/>
        </w:rPr>
        <w:t>本地区</w:t>
      </w:r>
      <w:r>
        <w:rPr>
          <w:rFonts w:hint="eastAsia" w:ascii="宋体"/>
          <w:bCs/>
          <w:color w:val="auto"/>
          <w:szCs w:val="21"/>
          <w:highlight w:val="none"/>
        </w:rPr>
        <w:t>有关管理部门的相关规定；</w:t>
      </w:r>
    </w:p>
    <w:p>
      <w:pPr>
        <w:shd w:val="clear" w:color="auto" w:fill="auto"/>
        <w:spacing w:line="400" w:lineRule="exact"/>
        <w:ind w:firstLine="315" w:firstLineChars="150"/>
        <w:rPr>
          <w:rFonts w:hint="eastAsia" w:ascii="宋体"/>
          <w:bCs/>
          <w:color w:val="auto"/>
          <w:szCs w:val="21"/>
          <w:highlight w:val="none"/>
        </w:rPr>
      </w:pPr>
      <w:r>
        <w:rPr>
          <w:rFonts w:hint="eastAsia" w:ascii="宋体"/>
          <w:bCs/>
          <w:color w:val="auto"/>
          <w:szCs w:val="21"/>
          <w:highlight w:val="none"/>
        </w:rPr>
        <w:t>（3）招标人的相关场地情况、基础建设、电力供应情况及相关设计标准。</w:t>
      </w:r>
    </w:p>
    <w:p>
      <w:pPr>
        <w:shd w:val="clear" w:color="auto" w:fill="auto"/>
        <w:spacing w:line="400" w:lineRule="exact"/>
        <w:ind w:firstLine="315" w:firstLineChars="150"/>
        <w:rPr>
          <w:rFonts w:hint="eastAsia" w:ascii="宋体"/>
          <w:b/>
          <w:color w:val="auto"/>
          <w:sz w:val="28"/>
          <w:szCs w:val="28"/>
          <w:highlight w:val="none"/>
        </w:rPr>
      </w:pPr>
      <w:r>
        <w:rPr>
          <w:rFonts w:hint="eastAsia" w:ascii="宋体"/>
          <w:bCs/>
          <w:color w:val="auto"/>
          <w:szCs w:val="21"/>
          <w:highlight w:val="none"/>
        </w:rPr>
        <w:t>本</w:t>
      </w:r>
      <w:r>
        <w:rPr>
          <w:rFonts w:hint="eastAsia" w:ascii="宋体"/>
          <w:bCs/>
          <w:color w:val="auto"/>
          <w:szCs w:val="21"/>
          <w:highlight w:val="none"/>
          <w:lang w:eastAsia="zh-CN"/>
        </w:rPr>
        <w:t>采购文件</w:t>
      </w:r>
      <w:r>
        <w:rPr>
          <w:rFonts w:hint="eastAsia" w:ascii="宋体"/>
          <w:bCs/>
          <w:color w:val="auto"/>
          <w:szCs w:val="21"/>
          <w:highlight w:val="none"/>
        </w:rPr>
        <w:t>不再对上述情况进行描述。</w:t>
      </w:r>
      <w:bookmarkStart w:id="28" w:name="_Toc469495725"/>
    </w:p>
    <w:p>
      <w:pPr>
        <w:shd w:val="clear" w:color="auto" w:fill="auto"/>
        <w:spacing w:before="312" w:beforeLines="100" w:after="312" w:afterLines="100" w:line="440" w:lineRule="exact"/>
        <w:jc w:val="center"/>
        <w:outlineLvl w:val="2"/>
        <w:rPr>
          <w:rFonts w:hint="eastAsia" w:ascii="宋体" w:eastAsia="宋体"/>
          <w:b/>
          <w:color w:val="auto"/>
          <w:sz w:val="28"/>
          <w:szCs w:val="28"/>
          <w:highlight w:val="none"/>
          <w:lang w:eastAsia="zh-CN"/>
        </w:rPr>
      </w:pPr>
      <w:r>
        <w:rPr>
          <w:rFonts w:hint="eastAsia" w:ascii="宋体"/>
          <w:b/>
          <w:color w:val="auto"/>
          <w:sz w:val="28"/>
          <w:szCs w:val="28"/>
          <w:highlight w:val="none"/>
        </w:rPr>
        <w:t>（二）</w:t>
      </w:r>
      <w:bookmarkEnd w:id="28"/>
      <w:r>
        <w:rPr>
          <w:rFonts w:hint="eastAsia" w:ascii="宋体"/>
          <w:b/>
          <w:color w:val="auto"/>
          <w:sz w:val="28"/>
          <w:szCs w:val="28"/>
          <w:highlight w:val="none"/>
          <w:lang w:eastAsia="zh-CN"/>
        </w:rPr>
        <w:t>招标文件</w:t>
      </w:r>
    </w:p>
    <w:p>
      <w:pPr>
        <w:shd w:val="clear" w:color="auto" w:fill="auto"/>
        <w:spacing w:line="440" w:lineRule="exact"/>
        <w:rPr>
          <w:rFonts w:hint="eastAsia"/>
          <w:b/>
          <w:color w:val="auto"/>
          <w:szCs w:val="21"/>
          <w:highlight w:val="none"/>
        </w:rPr>
      </w:pPr>
      <w:r>
        <w:rPr>
          <w:rFonts w:hint="eastAsia"/>
          <w:b/>
          <w:color w:val="auto"/>
          <w:szCs w:val="21"/>
          <w:highlight w:val="none"/>
          <w:lang w:val="en-US" w:eastAsia="zh-CN"/>
        </w:rPr>
        <w:t>14</w:t>
      </w:r>
      <w:r>
        <w:rPr>
          <w:rFonts w:hint="eastAsia"/>
          <w:b/>
          <w:color w:val="auto"/>
          <w:szCs w:val="21"/>
          <w:highlight w:val="none"/>
        </w:rPr>
        <w:t xml:space="preserve">. </w:t>
      </w:r>
      <w:r>
        <w:rPr>
          <w:rFonts w:hint="eastAsia"/>
          <w:b/>
          <w:color w:val="auto"/>
          <w:szCs w:val="21"/>
          <w:highlight w:val="none"/>
          <w:lang w:eastAsia="zh-CN"/>
        </w:rPr>
        <w:t>采购文件</w:t>
      </w:r>
      <w:r>
        <w:rPr>
          <w:rFonts w:hint="eastAsia"/>
          <w:b/>
          <w:color w:val="auto"/>
          <w:szCs w:val="21"/>
          <w:highlight w:val="none"/>
        </w:rPr>
        <w:t>的编制依据</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根据《中华人民共和国政府采购法》、《政府采购货物和服务招标投标管理办法》和《中华人民共和国合同法》</w:t>
      </w:r>
      <w:r>
        <w:rPr>
          <w:rFonts w:hint="eastAsia" w:ascii="宋体"/>
          <w:color w:val="auto"/>
          <w:spacing w:val="-2"/>
          <w:szCs w:val="21"/>
          <w:highlight w:val="none"/>
        </w:rPr>
        <w:t>等相关法律法规和规章及部、省、市级规范性文件的规定，编制本</w:t>
      </w:r>
      <w:r>
        <w:rPr>
          <w:rFonts w:hint="eastAsia" w:ascii="宋体"/>
          <w:color w:val="auto"/>
          <w:spacing w:val="-2"/>
          <w:szCs w:val="21"/>
          <w:highlight w:val="none"/>
          <w:lang w:eastAsia="zh-CN"/>
        </w:rPr>
        <w:t>采购文件</w:t>
      </w:r>
      <w:r>
        <w:rPr>
          <w:rFonts w:hint="eastAsia" w:ascii="宋体"/>
          <w:color w:val="auto"/>
          <w:spacing w:val="-2"/>
          <w:szCs w:val="21"/>
          <w:highlight w:val="none"/>
        </w:rPr>
        <w:t>。</w:t>
      </w:r>
    </w:p>
    <w:p>
      <w:pPr>
        <w:shd w:val="clear" w:color="auto" w:fill="auto"/>
        <w:spacing w:line="440" w:lineRule="exact"/>
        <w:rPr>
          <w:rFonts w:hint="eastAsia"/>
          <w:b/>
          <w:color w:val="auto"/>
          <w:szCs w:val="21"/>
          <w:highlight w:val="none"/>
        </w:rPr>
      </w:pPr>
      <w:r>
        <w:rPr>
          <w:rFonts w:hint="eastAsia"/>
          <w:b/>
          <w:color w:val="auto"/>
          <w:szCs w:val="21"/>
          <w:highlight w:val="none"/>
          <w:lang w:val="en-US" w:eastAsia="zh-CN"/>
        </w:rPr>
        <w:t>15</w:t>
      </w:r>
      <w:r>
        <w:rPr>
          <w:rFonts w:hint="eastAsia"/>
          <w:b/>
          <w:color w:val="auto"/>
          <w:szCs w:val="21"/>
          <w:highlight w:val="none"/>
        </w:rPr>
        <w:t xml:space="preserve">. </w:t>
      </w:r>
      <w:r>
        <w:rPr>
          <w:rFonts w:hint="eastAsia"/>
          <w:b/>
          <w:color w:val="auto"/>
          <w:szCs w:val="21"/>
          <w:highlight w:val="none"/>
          <w:lang w:eastAsia="zh-CN"/>
        </w:rPr>
        <w:t>采购文件</w:t>
      </w:r>
      <w:r>
        <w:rPr>
          <w:rFonts w:hint="eastAsia"/>
          <w:b/>
          <w:color w:val="auto"/>
          <w:szCs w:val="21"/>
          <w:highlight w:val="none"/>
        </w:rPr>
        <w:t>的组成</w:t>
      </w:r>
    </w:p>
    <w:p>
      <w:pPr>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1</w:t>
      </w:r>
      <w:r>
        <w:rPr>
          <w:rFonts w:hint="eastAsia" w:ascii="宋体"/>
          <w:color w:val="auto"/>
          <w:szCs w:val="21"/>
          <w:highlight w:val="none"/>
          <w:lang w:val="en-US" w:eastAsia="zh-CN"/>
        </w:rPr>
        <w:t>5</w:t>
      </w:r>
      <w:r>
        <w:rPr>
          <w:rFonts w:hint="eastAsia" w:ascii="宋体"/>
          <w:color w:val="auto"/>
          <w:szCs w:val="21"/>
          <w:highlight w:val="none"/>
        </w:rPr>
        <w:t xml:space="preserve">.1 </w:t>
      </w:r>
      <w:r>
        <w:rPr>
          <w:rFonts w:hint="eastAsia" w:ascii="宋体"/>
          <w:color w:val="auto"/>
          <w:szCs w:val="21"/>
          <w:highlight w:val="none"/>
          <w:lang w:eastAsia="zh-CN"/>
        </w:rPr>
        <w:t>采购文件</w:t>
      </w:r>
      <w:r>
        <w:rPr>
          <w:rFonts w:hint="eastAsia" w:ascii="宋体"/>
          <w:color w:val="auto"/>
          <w:szCs w:val="21"/>
          <w:highlight w:val="none"/>
        </w:rPr>
        <w:t>包括内容：</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 xml:space="preserve">第一章  </w:t>
      </w:r>
      <w:r>
        <w:rPr>
          <w:rFonts w:hint="eastAsia" w:ascii="宋体"/>
          <w:color w:val="auto"/>
          <w:szCs w:val="21"/>
          <w:highlight w:val="none"/>
          <w:lang w:eastAsia="zh-CN"/>
        </w:rPr>
        <w:t>招</w:t>
      </w:r>
      <w:r>
        <w:rPr>
          <w:rFonts w:hint="eastAsia" w:ascii="宋体"/>
          <w:color w:val="auto"/>
          <w:szCs w:val="21"/>
          <w:highlight w:val="none"/>
        </w:rPr>
        <w:t>标公告</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第二章  投标须知</w:t>
      </w:r>
    </w:p>
    <w:p>
      <w:pPr>
        <w:shd w:val="clear" w:color="auto" w:fill="auto"/>
        <w:spacing w:line="440" w:lineRule="exact"/>
        <w:ind w:firstLine="1470" w:firstLineChars="700"/>
        <w:rPr>
          <w:rFonts w:hint="eastAsia" w:ascii="宋体"/>
          <w:color w:val="auto"/>
          <w:szCs w:val="21"/>
          <w:highlight w:val="none"/>
          <w:lang w:eastAsia="zh-CN"/>
        </w:rPr>
      </w:pPr>
      <w:r>
        <w:rPr>
          <w:rFonts w:hint="eastAsia" w:ascii="宋体"/>
          <w:color w:val="auto"/>
          <w:szCs w:val="21"/>
          <w:highlight w:val="none"/>
        </w:rPr>
        <w:t>第三章  评标办法</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第四章  采购内容及技术要求</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第五章  合同条款及格式</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第六章  投标文件格式文本</w:t>
      </w:r>
    </w:p>
    <w:p>
      <w:pPr>
        <w:shd w:val="clear" w:color="auto" w:fill="auto"/>
        <w:spacing w:line="440" w:lineRule="exact"/>
        <w:ind w:firstLine="1470" w:firstLineChars="700"/>
        <w:rPr>
          <w:rFonts w:hint="eastAsia" w:ascii="宋体"/>
          <w:color w:val="auto"/>
          <w:szCs w:val="21"/>
          <w:highlight w:val="none"/>
        </w:rPr>
      </w:pPr>
      <w:r>
        <w:rPr>
          <w:rFonts w:hint="eastAsia" w:ascii="宋体"/>
          <w:color w:val="auto"/>
          <w:szCs w:val="21"/>
          <w:highlight w:val="none"/>
        </w:rPr>
        <w:t>第七章  招标单位、招标代理机构对本文件的确认</w:t>
      </w:r>
    </w:p>
    <w:p>
      <w:pPr>
        <w:shd w:val="clear" w:color="auto" w:fill="auto"/>
        <w:spacing w:line="440" w:lineRule="exact"/>
        <w:rPr>
          <w:rFonts w:hint="eastAsia" w:ascii="宋体"/>
          <w:color w:val="auto"/>
          <w:szCs w:val="21"/>
          <w:highlight w:val="none"/>
        </w:rPr>
      </w:pPr>
      <w:r>
        <w:rPr>
          <w:rFonts w:hint="eastAsia" w:ascii="宋体"/>
          <w:color w:val="auto"/>
          <w:szCs w:val="21"/>
          <w:highlight w:val="none"/>
        </w:rPr>
        <w:t xml:space="preserve">   1</w:t>
      </w:r>
      <w:r>
        <w:rPr>
          <w:rFonts w:hint="eastAsia" w:ascii="宋体"/>
          <w:color w:val="auto"/>
          <w:szCs w:val="21"/>
          <w:highlight w:val="none"/>
          <w:lang w:val="en-US" w:eastAsia="zh-CN"/>
        </w:rPr>
        <w:t>5</w:t>
      </w:r>
      <w:r>
        <w:rPr>
          <w:rFonts w:hint="eastAsia" w:ascii="宋体"/>
          <w:color w:val="auto"/>
          <w:szCs w:val="21"/>
          <w:highlight w:val="none"/>
        </w:rPr>
        <w:t>.2 除1</w:t>
      </w:r>
      <w:r>
        <w:rPr>
          <w:rFonts w:hint="eastAsia" w:ascii="宋体"/>
          <w:color w:val="auto"/>
          <w:szCs w:val="21"/>
          <w:highlight w:val="none"/>
          <w:lang w:val="en-US" w:eastAsia="zh-CN"/>
        </w:rPr>
        <w:t>5</w:t>
      </w:r>
      <w:r>
        <w:rPr>
          <w:rFonts w:hint="eastAsia" w:ascii="宋体"/>
          <w:color w:val="auto"/>
          <w:szCs w:val="21"/>
          <w:highlight w:val="none"/>
        </w:rPr>
        <w:t>.1内容外，招标答疑亦为</w:t>
      </w:r>
      <w:r>
        <w:rPr>
          <w:rFonts w:hint="eastAsia" w:ascii="宋体"/>
          <w:color w:val="auto"/>
          <w:szCs w:val="21"/>
          <w:highlight w:val="none"/>
          <w:lang w:eastAsia="zh-CN"/>
        </w:rPr>
        <w:t>采购文件</w:t>
      </w:r>
      <w:r>
        <w:rPr>
          <w:rFonts w:hint="eastAsia" w:ascii="宋体"/>
          <w:color w:val="auto"/>
          <w:szCs w:val="21"/>
          <w:highlight w:val="none"/>
        </w:rPr>
        <w:t>的组成部分，对招标人和投标人起约束作用。</w:t>
      </w:r>
    </w:p>
    <w:p>
      <w:pPr>
        <w:pStyle w:val="14"/>
        <w:shd w:val="clear" w:color="auto" w:fill="auto"/>
        <w:wordWrap w:val="0"/>
        <w:spacing w:line="400" w:lineRule="exact"/>
        <w:rPr>
          <w:rFonts w:hint="eastAsia"/>
          <w:color w:val="auto"/>
          <w:szCs w:val="21"/>
          <w:highlight w:val="none"/>
          <w:lang w:val="en-US"/>
        </w:rPr>
      </w:pPr>
      <w:r>
        <w:rPr>
          <w:rFonts w:hint="eastAsia"/>
          <w:color w:val="auto"/>
          <w:szCs w:val="21"/>
          <w:highlight w:val="none"/>
        </w:rPr>
        <w:t xml:space="preserve">   1</w:t>
      </w:r>
      <w:r>
        <w:rPr>
          <w:rFonts w:hint="eastAsia"/>
          <w:color w:val="auto"/>
          <w:szCs w:val="21"/>
          <w:highlight w:val="none"/>
          <w:lang w:val="en-US" w:eastAsia="zh-CN"/>
        </w:rPr>
        <w:t>5</w:t>
      </w:r>
      <w:r>
        <w:rPr>
          <w:rFonts w:hint="eastAsia"/>
          <w:color w:val="auto"/>
          <w:szCs w:val="21"/>
          <w:highlight w:val="none"/>
        </w:rPr>
        <w:t>.3</w:t>
      </w:r>
      <w:r>
        <w:rPr>
          <w:rFonts w:hint="eastAsia"/>
          <w:color w:val="auto"/>
          <w:szCs w:val="21"/>
          <w:highlight w:val="none"/>
          <w:u w:val="none" w:color="auto"/>
        </w:rPr>
        <w:t>投标人应仔细阅读和检查</w:t>
      </w:r>
      <w:r>
        <w:rPr>
          <w:rFonts w:hint="eastAsia"/>
          <w:color w:val="auto"/>
          <w:szCs w:val="21"/>
          <w:highlight w:val="none"/>
          <w:u w:val="none" w:color="auto"/>
          <w:lang w:eastAsia="zh-CN"/>
        </w:rPr>
        <w:t>采购文件</w:t>
      </w:r>
      <w:r>
        <w:rPr>
          <w:rFonts w:hint="eastAsia"/>
          <w:color w:val="auto"/>
          <w:szCs w:val="21"/>
          <w:highlight w:val="none"/>
          <w:u w:val="none" w:color="auto"/>
        </w:rPr>
        <w:t>的全部内容。如发现缺页或附件不全，应及时向招标人提出，以便补齐。如有疑问，投标人应在</w:t>
      </w:r>
      <w:r>
        <w:rPr>
          <w:rFonts w:hint="eastAsia" w:ascii="宋体"/>
          <w:color w:val="auto"/>
          <w:szCs w:val="21"/>
          <w:highlight w:val="none"/>
        </w:rPr>
        <w:t>以书面形式一次性向采购人和采购代理机构提出同一环节的质疑</w:t>
      </w:r>
      <w:r>
        <w:rPr>
          <w:rFonts w:hint="eastAsia"/>
          <w:color w:val="auto"/>
          <w:szCs w:val="21"/>
          <w:highlight w:val="none"/>
          <w:u w:val="none" w:color="auto"/>
        </w:rPr>
        <w:t>。</w:t>
      </w:r>
    </w:p>
    <w:p>
      <w:pPr>
        <w:shd w:val="clear" w:color="auto" w:fill="auto"/>
        <w:wordWrap w:val="0"/>
        <w:spacing w:line="440" w:lineRule="exact"/>
        <w:rPr>
          <w:rFonts w:hint="eastAsia" w:ascii="宋体"/>
          <w:color w:val="auto"/>
          <w:szCs w:val="21"/>
          <w:highlight w:val="none"/>
        </w:rPr>
      </w:pPr>
      <w:r>
        <w:rPr>
          <w:rFonts w:hint="eastAsia" w:ascii="宋体"/>
          <w:color w:val="auto"/>
          <w:szCs w:val="21"/>
          <w:highlight w:val="none"/>
        </w:rPr>
        <w:t xml:space="preserve">   1</w:t>
      </w:r>
      <w:r>
        <w:rPr>
          <w:rFonts w:hint="eastAsia" w:ascii="宋体"/>
          <w:color w:val="auto"/>
          <w:szCs w:val="21"/>
          <w:highlight w:val="none"/>
          <w:lang w:val="en-US" w:eastAsia="zh-CN"/>
        </w:rPr>
        <w:t>5</w:t>
      </w:r>
      <w:r>
        <w:rPr>
          <w:rFonts w:hint="eastAsia" w:ascii="宋体"/>
          <w:color w:val="auto"/>
          <w:szCs w:val="21"/>
          <w:highlight w:val="none"/>
        </w:rPr>
        <w:t>.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宋体"/>
          <w:color w:val="auto"/>
          <w:szCs w:val="21"/>
          <w:highlight w:val="none"/>
          <w:lang w:eastAsia="zh-CN"/>
        </w:rPr>
        <w:t>采购文件</w:t>
      </w:r>
      <w:r>
        <w:rPr>
          <w:rFonts w:hint="eastAsia" w:ascii="宋体"/>
          <w:color w:val="auto"/>
          <w:szCs w:val="21"/>
          <w:highlight w:val="none"/>
        </w:rPr>
        <w:t>的澄清将在</w:t>
      </w:r>
      <w:r>
        <w:rPr>
          <w:rFonts w:hint="eastAsia" w:ascii="宋体"/>
          <w:color w:val="auto"/>
          <w:szCs w:val="21"/>
          <w:highlight w:val="none"/>
          <w:lang w:eastAsia="zh-CN"/>
        </w:rPr>
        <w:t>政采云平台“更正公告”栏目予以公告</w:t>
      </w:r>
      <w:r>
        <w:rPr>
          <w:rFonts w:hint="eastAsia" w:ascii="宋体"/>
          <w:color w:val="auto"/>
          <w:szCs w:val="21"/>
          <w:highlight w:val="none"/>
        </w:rPr>
        <w:t>，但不指明澄清问题的来源。如果澄清内容影响投标文件编制的，将相应延长投标截止时间。</w:t>
      </w:r>
    </w:p>
    <w:p>
      <w:pPr>
        <w:shd w:val="clear" w:color="auto" w:fill="auto"/>
        <w:spacing w:line="440" w:lineRule="exact"/>
        <w:rPr>
          <w:rFonts w:hint="eastAsia" w:ascii="宋体"/>
          <w:b/>
          <w:bCs/>
          <w:color w:val="auto"/>
          <w:szCs w:val="21"/>
          <w:highlight w:val="none"/>
        </w:rPr>
      </w:pPr>
      <w:r>
        <w:rPr>
          <w:rFonts w:hint="eastAsia" w:ascii="宋体"/>
          <w:b/>
          <w:bCs/>
          <w:color w:val="auto"/>
          <w:szCs w:val="21"/>
          <w:highlight w:val="none"/>
        </w:rPr>
        <w:t>1</w:t>
      </w:r>
      <w:r>
        <w:rPr>
          <w:rFonts w:hint="eastAsia" w:ascii="宋体"/>
          <w:b/>
          <w:bCs/>
          <w:color w:val="auto"/>
          <w:szCs w:val="21"/>
          <w:highlight w:val="none"/>
          <w:lang w:val="en-US" w:eastAsia="zh-CN"/>
        </w:rPr>
        <w:t>6</w:t>
      </w:r>
      <w:r>
        <w:rPr>
          <w:rFonts w:hint="eastAsia" w:ascii="宋体"/>
          <w:b/>
          <w:bCs/>
          <w:color w:val="auto"/>
          <w:szCs w:val="21"/>
          <w:highlight w:val="none"/>
        </w:rPr>
        <w:t xml:space="preserve">. </w:t>
      </w:r>
      <w:r>
        <w:rPr>
          <w:rFonts w:hint="eastAsia" w:ascii="宋体"/>
          <w:b/>
          <w:bCs/>
          <w:color w:val="auto"/>
          <w:szCs w:val="21"/>
          <w:highlight w:val="none"/>
          <w:lang w:eastAsia="zh-CN"/>
        </w:rPr>
        <w:t>采购文件</w:t>
      </w:r>
      <w:r>
        <w:rPr>
          <w:rFonts w:hint="eastAsia" w:ascii="宋体"/>
          <w:b/>
          <w:bCs/>
          <w:color w:val="auto"/>
          <w:szCs w:val="21"/>
          <w:highlight w:val="none"/>
        </w:rPr>
        <w:t>的修改、补充、解释</w:t>
      </w:r>
    </w:p>
    <w:p>
      <w:pPr>
        <w:shd w:val="clear" w:color="auto" w:fill="auto"/>
        <w:wordWrap w:val="0"/>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w:t>
      </w:r>
      <w:r>
        <w:rPr>
          <w:rFonts w:hint="eastAsia" w:ascii="宋体" w:hAnsi="宋体"/>
          <w:color w:val="auto"/>
          <w:szCs w:val="21"/>
          <w:highlight w:val="none"/>
          <w:lang w:eastAsia="zh-CN"/>
        </w:rPr>
        <w:t>采购文件</w:t>
      </w:r>
      <w:r>
        <w:rPr>
          <w:rFonts w:hint="eastAsia" w:ascii="宋体" w:hAnsi="宋体"/>
          <w:color w:val="auto"/>
          <w:szCs w:val="21"/>
          <w:highlight w:val="none"/>
        </w:rPr>
        <w:t>发出后，招标人在规定的投标截止时间前可对</w:t>
      </w:r>
      <w:r>
        <w:rPr>
          <w:rFonts w:hint="eastAsia" w:ascii="宋体" w:hAnsi="宋体"/>
          <w:color w:val="auto"/>
          <w:szCs w:val="21"/>
          <w:highlight w:val="none"/>
          <w:lang w:eastAsia="zh-CN"/>
        </w:rPr>
        <w:t>采购文件</w:t>
      </w:r>
      <w:r>
        <w:rPr>
          <w:rFonts w:hint="eastAsia" w:ascii="宋体" w:hAnsi="宋体"/>
          <w:color w:val="auto"/>
          <w:szCs w:val="21"/>
          <w:highlight w:val="none"/>
        </w:rPr>
        <w:t>进行必要的修改和补充，并以</w:t>
      </w:r>
      <w:r>
        <w:rPr>
          <w:rFonts w:hint="eastAsia" w:ascii="宋体" w:hAnsi="宋体"/>
          <w:color w:val="auto"/>
          <w:szCs w:val="21"/>
          <w:highlight w:val="none"/>
          <w:lang w:eastAsia="zh-CN"/>
        </w:rPr>
        <w:t>更正</w:t>
      </w:r>
      <w:r>
        <w:rPr>
          <w:rFonts w:hint="eastAsia" w:ascii="宋体" w:hAnsi="宋体"/>
          <w:color w:val="auto"/>
          <w:szCs w:val="21"/>
          <w:highlight w:val="none"/>
        </w:rPr>
        <w:t>公告形式在</w:t>
      </w:r>
      <w:r>
        <w:rPr>
          <w:rFonts w:hint="eastAsia" w:ascii="宋体" w:hAnsi="宋体"/>
          <w:color w:val="auto"/>
          <w:szCs w:val="21"/>
          <w:highlight w:val="none"/>
          <w:lang w:eastAsia="zh-CN"/>
        </w:rPr>
        <w:t>政采云平台</w:t>
      </w:r>
      <w:r>
        <w:rPr>
          <w:rFonts w:hint="eastAsia" w:ascii="宋体" w:hAnsi="宋体"/>
          <w:color w:val="auto"/>
          <w:szCs w:val="21"/>
          <w:highlight w:val="none"/>
        </w:rPr>
        <w:t xml:space="preserve"> “</w:t>
      </w:r>
      <w:r>
        <w:rPr>
          <w:rFonts w:hint="eastAsia" w:ascii="宋体" w:hAnsi="宋体"/>
          <w:color w:val="auto"/>
          <w:szCs w:val="21"/>
          <w:highlight w:val="none"/>
          <w:lang w:eastAsia="zh-CN"/>
        </w:rPr>
        <w:t>更正公告</w:t>
      </w:r>
      <w:r>
        <w:rPr>
          <w:rFonts w:hint="eastAsia" w:ascii="宋体" w:hAnsi="宋体"/>
          <w:color w:val="auto"/>
          <w:szCs w:val="21"/>
          <w:highlight w:val="none"/>
        </w:rPr>
        <w:t>”栏目予以公告，请各位投标人注意查看有关澄清内容，如不及时查看造成后果由投标人自负。</w:t>
      </w:r>
      <w:r>
        <w:rPr>
          <w:rFonts w:hint="eastAsia" w:ascii="宋体" w:hAnsi="宋体"/>
          <w:color w:val="auto"/>
          <w:szCs w:val="21"/>
          <w:highlight w:val="none"/>
          <w:lang w:eastAsia="zh-CN"/>
        </w:rPr>
        <w:t>采购文件</w:t>
      </w:r>
      <w:r>
        <w:rPr>
          <w:rFonts w:hint="eastAsia" w:ascii="宋体" w:hAnsi="宋体"/>
          <w:color w:val="auto"/>
          <w:szCs w:val="21"/>
          <w:highlight w:val="none"/>
        </w:rPr>
        <w:t>的修改、补充等内容作为</w:t>
      </w:r>
      <w:r>
        <w:rPr>
          <w:rFonts w:hint="eastAsia" w:ascii="宋体" w:hAnsi="宋体"/>
          <w:color w:val="auto"/>
          <w:szCs w:val="21"/>
          <w:highlight w:val="none"/>
          <w:lang w:eastAsia="zh-CN"/>
        </w:rPr>
        <w:t>采购文件</w:t>
      </w:r>
      <w:r>
        <w:rPr>
          <w:rFonts w:hint="eastAsia" w:ascii="宋体" w:hAnsi="宋体"/>
          <w:color w:val="auto"/>
          <w:szCs w:val="21"/>
          <w:highlight w:val="none"/>
        </w:rPr>
        <w:t>的组成部分，具有约束作用。</w:t>
      </w:r>
    </w:p>
    <w:p>
      <w:pPr>
        <w:shd w:val="clear" w:color="auto" w:fill="auto"/>
        <w:wordWrap w:val="0"/>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 xml:space="preserve">.2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420" w:firstLineChars="200"/>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6</w:t>
      </w:r>
      <w:r>
        <w:rPr>
          <w:rFonts w:hint="eastAsia" w:ascii="宋体" w:hAnsi="宋体"/>
          <w:bCs/>
          <w:color w:val="auto"/>
          <w:szCs w:val="21"/>
          <w:highlight w:val="none"/>
        </w:rPr>
        <w:t>.</w:t>
      </w:r>
      <w:r>
        <w:rPr>
          <w:rFonts w:hint="eastAsia" w:ascii="宋体" w:hAnsi="宋体"/>
          <w:bCs/>
          <w:color w:val="auto"/>
          <w:szCs w:val="21"/>
          <w:highlight w:val="none"/>
          <w:lang w:val="en-US" w:eastAsia="zh-CN"/>
        </w:rPr>
        <w:t>3</w:t>
      </w:r>
      <w:r>
        <w:rPr>
          <w:rFonts w:hint="eastAsia" w:ascii="宋体" w:hAnsi="宋体"/>
          <w:bCs/>
          <w:color w:val="auto"/>
          <w:szCs w:val="21"/>
          <w:highlight w:val="none"/>
        </w:rPr>
        <w:t xml:space="preserve"> </w:t>
      </w:r>
      <w:r>
        <w:rPr>
          <w:rFonts w:hint="eastAsia" w:ascii="宋体" w:hAnsi="宋体"/>
          <w:color w:val="auto"/>
          <w:szCs w:val="21"/>
          <w:highlight w:val="none"/>
        </w:rPr>
        <w:t>供应商在规定的时间内未对采购文件提出疑问、质疑或要求澄清的，将视其为无异议。</w:t>
      </w:r>
    </w:p>
    <w:p>
      <w:pPr>
        <w:shd w:val="clear" w:color="auto" w:fill="auto"/>
        <w:spacing w:line="400" w:lineRule="exact"/>
        <w:ind w:firstLine="420" w:firstLineChars="200"/>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val="en-US" w:eastAsia="zh-CN"/>
        </w:rPr>
        <w:t>6</w:t>
      </w:r>
      <w:r>
        <w:rPr>
          <w:rFonts w:hint="eastAsia" w:ascii="宋体" w:hAnsi="宋体"/>
          <w:bCs/>
          <w:color w:val="auto"/>
          <w:szCs w:val="21"/>
          <w:highlight w:val="none"/>
        </w:rPr>
        <w:t>.</w:t>
      </w:r>
      <w:r>
        <w:rPr>
          <w:rFonts w:hint="eastAsia" w:ascii="宋体" w:hAnsi="宋体"/>
          <w:bCs/>
          <w:color w:val="auto"/>
          <w:szCs w:val="21"/>
          <w:highlight w:val="none"/>
          <w:lang w:val="en-US" w:eastAsia="zh-CN"/>
        </w:rPr>
        <w:t>4</w:t>
      </w:r>
      <w:r>
        <w:rPr>
          <w:rFonts w:hint="eastAsia" w:ascii="宋体" w:hAnsi="宋体"/>
          <w:bCs/>
          <w:color w:val="auto"/>
          <w:szCs w:val="21"/>
          <w:highlight w:val="none"/>
        </w:rPr>
        <w:t xml:space="preserve"> </w:t>
      </w:r>
      <w:r>
        <w:rPr>
          <w:rFonts w:hint="eastAsia" w:ascii="宋体" w:hAnsi="宋体"/>
          <w:bCs/>
          <w:color w:val="auto"/>
          <w:szCs w:val="21"/>
          <w:highlight w:val="none"/>
          <w:lang w:eastAsia="zh-CN"/>
        </w:rPr>
        <w:t>采购文件</w:t>
      </w:r>
      <w:r>
        <w:rPr>
          <w:rFonts w:hint="eastAsia" w:ascii="宋体" w:hAnsi="宋体"/>
          <w:bCs/>
          <w:color w:val="auto"/>
          <w:szCs w:val="21"/>
          <w:highlight w:val="none"/>
        </w:rPr>
        <w:t>的解释</w:t>
      </w:r>
    </w:p>
    <w:p>
      <w:pPr>
        <w:shd w:val="clear" w:color="auto" w:fill="auto"/>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本</w:t>
      </w:r>
      <w:r>
        <w:rPr>
          <w:rFonts w:hint="eastAsia" w:ascii="宋体" w:hAnsi="宋体"/>
          <w:color w:val="auto"/>
          <w:szCs w:val="21"/>
          <w:highlight w:val="none"/>
          <w:lang w:eastAsia="zh-CN"/>
        </w:rPr>
        <w:t>采购文件</w:t>
      </w:r>
      <w:r>
        <w:rPr>
          <w:rFonts w:hint="eastAsia" w:ascii="宋体" w:hAnsi="宋体"/>
          <w:color w:val="auto"/>
          <w:szCs w:val="21"/>
          <w:highlight w:val="none"/>
        </w:rPr>
        <w:t>由招标人（或其委托的招标代理机构）负责解释。</w:t>
      </w:r>
    </w:p>
    <w:p>
      <w:pPr>
        <w:shd w:val="clear" w:color="auto" w:fill="auto"/>
        <w:spacing w:line="400" w:lineRule="exact"/>
        <w:rPr>
          <w:rFonts w:ascii="宋体" w:hAnsi="宋体"/>
          <w:b/>
          <w:color w:val="auto"/>
          <w:szCs w:val="21"/>
          <w:highlight w:val="none"/>
        </w:rPr>
      </w:pPr>
      <w:r>
        <w:rPr>
          <w:rFonts w:hint="eastAsia"/>
          <w:b/>
          <w:color w:val="auto"/>
          <w:szCs w:val="21"/>
          <w:highlight w:val="none"/>
        </w:rPr>
        <w:t>1</w:t>
      </w:r>
      <w:r>
        <w:rPr>
          <w:rFonts w:hint="eastAsia"/>
          <w:b/>
          <w:color w:val="auto"/>
          <w:szCs w:val="21"/>
          <w:highlight w:val="none"/>
          <w:lang w:val="en-US" w:eastAsia="zh-CN"/>
        </w:rPr>
        <w:t>7</w:t>
      </w:r>
      <w:r>
        <w:rPr>
          <w:rFonts w:hint="eastAsia"/>
          <w:b/>
          <w:color w:val="auto"/>
          <w:szCs w:val="21"/>
          <w:highlight w:val="none"/>
        </w:rPr>
        <w:t xml:space="preserve">. </w:t>
      </w:r>
      <w:r>
        <w:rPr>
          <w:rFonts w:hint="eastAsia" w:ascii="宋体" w:hAnsi="宋体"/>
          <w:b/>
          <w:color w:val="auto"/>
          <w:szCs w:val="21"/>
          <w:highlight w:val="none"/>
          <w:lang w:eastAsia="zh-CN"/>
        </w:rPr>
        <w:t>采购文件</w:t>
      </w:r>
      <w:r>
        <w:rPr>
          <w:rFonts w:hint="eastAsia" w:ascii="宋体" w:hAnsi="宋体"/>
          <w:b/>
          <w:color w:val="auto"/>
          <w:szCs w:val="21"/>
          <w:highlight w:val="none"/>
        </w:rPr>
        <w:t>的发出</w:t>
      </w:r>
    </w:p>
    <w:p>
      <w:pPr>
        <w:shd w:val="clear" w:color="auto" w:fill="auto"/>
        <w:spacing w:line="400" w:lineRule="exact"/>
        <w:ind w:firstLine="315" w:firstLineChars="150"/>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 xml:space="preserve">.1  </w:t>
      </w:r>
      <w:r>
        <w:rPr>
          <w:rFonts w:hint="eastAsia" w:ascii="宋体" w:hAnsi="宋体"/>
          <w:color w:val="auto"/>
          <w:szCs w:val="21"/>
          <w:highlight w:val="none"/>
          <w:lang w:eastAsia="zh-CN"/>
        </w:rPr>
        <w:t>采购文件</w:t>
      </w:r>
      <w:r>
        <w:rPr>
          <w:rFonts w:hint="eastAsia" w:ascii="宋体" w:hAnsi="宋体"/>
          <w:color w:val="auto"/>
          <w:szCs w:val="21"/>
          <w:highlight w:val="none"/>
        </w:rPr>
        <w:t>、</w:t>
      </w:r>
      <w:r>
        <w:rPr>
          <w:rFonts w:hint="eastAsia" w:ascii="宋体" w:hAnsi="宋体"/>
          <w:color w:val="auto"/>
          <w:szCs w:val="21"/>
          <w:highlight w:val="none"/>
          <w:lang w:eastAsia="zh-CN"/>
        </w:rPr>
        <w:t>采购文件</w:t>
      </w:r>
      <w:r>
        <w:rPr>
          <w:rFonts w:hint="eastAsia" w:ascii="宋体" w:hAnsi="宋体"/>
          <w:color w:val="auto"/>
          <w:szCs w:val="21"/>
          <w:highlight w:val="none"/>
        </w:rPr>
        <w:t>的澄清、修改、补充及招标答疑等均应报</w:t>
      </w:r>
      <w:r>
        <w:rPr>
          <w:rFonts w:hint="eastAsia" w:ascii="宋体" w:hAnsi="宋体"/>
          <w:color w:val="auto"/>
          <w:szCs w:val="21"/>
          <w:highlight w:val="none"/>
          <w:lang w:eastAsia="zh-CN"/>
        </w:rPr>
        <w:t>相关部门</w:t>
      </w:r>
      <w:r>
        <w:rPr>
          <w:rFonts w:hint="eastAsia" w:ascii="宋体" w:hAnsi="宋体"/>
          <w:color w:val="auto"/>
          <w:szCs w:val="21"/>
          <w:highlight w:val="none"/>
        </w:rPr>
        <w:t>备案后，方可发出。</w:t>
      </w:r>
    </w:p>
    <w:p>
      <w:pPr>
        <w:shd w:val="clear" w:color="auto" w:fill="auto"/>
        <w:spacing w:line="440" w:lineRule="exact"/>
        <w:rPr>
          <w:rFonts w:hint="eastAsia" w:ascii="宋体"/>
          <w:color w:val="auto"/>
          <w:szCs w:val="21"/>
          <w:highlight w:val="none"/>
        </w:rPr>
      </w:pPr>
      <w:bookmarkStart w:id="29" w:name="_Toc469495726"/>
      <w:r>
        <w:rPr>
          <w:rFonts w:hint="eastAsia"/>
          <w:b/>
          <w:color w:val="auto"/>
          <w:szCs w:val="21"/>
          <w:highlight w:val="none"/>
        </w:rPr>
        <w:t>1</w:t>
      </w:r>
      <w:r>
        <w:rPr>
          <w:rFonts w:hint="eastAsia"/>
          <w:b/>
          <w:color w:val="auto"/>
          <w:szCs w:val="21"/>
          <w:highlight w:val="none"/>
          <w:lang w:val="en-US" w:eastAsia="zh-CN"/>
        </w:rPr>
        <w:t>8</w:t>
      </w:r>
      <w:r>
        <w:rPr>
          <w:rFonts w:hint="eastAsia"/>
          <w:b/>
          <w:color w:val="auto"/>
          <w:szCs w:val="21"/>
          <w:highlight w:val="none"/>
        </w:rPr>
        <w:t xml:space="preserve">. </w:t>
      </w:r>
      <w:r>
        <w:rPr>
          <w:rFonts w:hint="eastAsia" w:ascii="宋体"/>
          <w:color w:val="auto"/>
          <w:szCs w:val="21"/>
          <w:highlight w:val="none"/>
        </w:rPr>
        <w:t>凡需要设置样品情形时，必须明确是否需要随样品提交检测报告，并明确检测机构的要求、检测内容、</w:t>
      </w:r>
      <w:r>
        <w:rPr>
          <w:rFonts w:hint="eastAsia" w:ascii="宋体"/>
          <w:b w:val="0"/>
          <w:bCs w:val="0"/>
          <w:color w:val="auto"/>
          <w:szCs w:val="21"/>
          <w:highlight w:val="none"/>
        </w:rPr>
        <w:t>中标样品封存</w:t>
      </w:r>
      <w:r>
        <w:rPr>
          <w:rFonts w:hint="eastAsia" w:ascii="宋体"/>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结果公告。</w:t>
      </w:r>
    </w:p>
    <w:p>
      <w:pPr>
        <w:shd w:val="clear" w:color="auto" w:fill="auto"/>
        <w:spacing w:line="400" w:lineRule="exact"/>
        <w:ind w:firstLine="420"/>
        <w:rPr>
          <w:rFonts w:hint="eastAsia" w:ascii="宋体"/>
          <w:color w:val="auto"/>
          <w:szCs w:val="21"/>
          <w:highlight w:val="none"/>
        </w:rPr>
      </w:pPr>
      <w:r>
        <w:rPr>
          <w:rFonts w:hint="eastAsia" w:ascii="宋体"/>
          <w:color w:val="auto"/>
          <w:szCs w:val="21"/>
          <w:highlight w:val="none"/>
          <w:lang w:eastAsia="zh-CN"/>
        </w:rPr>
        <w:t>采购文件</w:t>
      </w:r>
      <w:r>
        <w:rPr>
          <w:rFonts w:hint="eastAsia" w:ascii="宋体"/>
          <w:color w:val="auto"/>
          <w:szCs w:val="21"/>
          <w:highlight w:val="none"/>
        </w:rPr>
        <w:t>中应明确样品送检方式、检测费用支付方法、投标人在规定时间内无法提供第三方权威检测机构检测报告的处理方式。（</w:t>
      </w:r>
      <w:r>
        <w:rPr>
          <w:rFonts w:hint="eastAsia" w:ascii="宋体"/>
          <w:color w:val="auto"/>
          <w:szCs w:val="21"/>
          <w:highlight w:val="none"/>
          <w:lang w:eastAsia="zh-CN"/>
        </w:rPr>
        <w:t>采购人</w:t>
      </w:r>
      <w:r>
        <w:rPr>
          <w:rFonts w:hint="eastAsia" w:ascii="宋体"/>
          <w:color w:val="auto"/>
          <w:szCs w:val="21"/>
          <w:highlight w:val="none"/>
        </w:rPr>
        <w:t>根据项目需求按上述要求自行描述）</w:t>
      </w:r>
    </w:p>
    <w:p>
      <w:pPr>
        <w:shd w:val="clear" w:color="auto" w:fill="auto"/>
        <w:spacing w:before="312" w:beforeLines="100" w:after="312" w:afterLines="100" w:line="440" w:lineRule="exact"/>
        <w:jc w:val="center"/>
        <w:outlineLvl w:val="2"/>
        <w:rPr>
          <w:rFonts w:hint="eastAsia" w:ascii="宋体"/>
          <w:b/>
          <w:color w:val="auto"/>
          <w:sz w:val="28"/>
          <w:szCs w:val="28"/>
          <w:highlight w:val="none"/>
        </w:rPr>
      </w:pPr>
      <w:r>
        <w:rPr>
          <w:rFonts w:hint="eastAsia" w:ascii="宋体"/>
          <w:b/>
          <w:color w:val="auto"/>
          <w:sz w:val="28"/>
          <w:szCs w:val="28"/>
          <w:highlight w:val="none"/>
        </w:rPr>
        <w:t>（三）投标文件的编制</w:t>
      </w:r>
      <w:bookmarkEnd w:id="29"/>
    </w:p>
    <w:p>
      <w:pPr>
        <w:shd w:val="clear" w:color="auto" w:fill="auto"/>
        <w:spacing w:line="440" w:lineRule="exact"/>
        <w:rPr>
          <w:rFonts w:hint="eastAsia" w:ascii="宋体" w:cs="宋体"/>
          <w:b/>
          <w:color w:val="auto"/>
          <w:szCs w:val="21"/>
          <w:highlight w:val="none"/>
        </w:rPr>
      </w:pPr>
      <w:r>
        <w:rPr>
          <w:rFonts w:hint="eastAsia"/>
          <w:b/>
          <w:color w:val="auto"/>
          <w:szCs w:val="21"/>
          <w:highlight w:val="none"/>
          <w:lang w:val="en-US" w:eastAsia="zh-CN"/>
        </w:rPr>
        <w:t>19</w:t>
      </w:r>
      <w:r>
        <w:rPr>
          <w:rFonts w:hint="eastAsia"/>
          <w:b/>
          <w:color w:val="auto"/>
          <w:szCs w:val="21"/>
          <w:highlight w:val="none"/>
        </w:rPr>
        <w:t xml:space="preserve">. </w:t>
      </w:r>
      <w:r>
        <w:rPr>
          <w:rFonts w:hint="eastAsia" w:ascii="宋体" w:cs="宋体"/>
          <w:b/>
          <w:color w:val="auto"/>
          <w:szCs w:val="21"/>
          <w:highlight w:val="none"/>
        </w:rPr>
        <w:t>投标的语言及度量衡单位</w:t>
      </w:r>
    </w:p>
    <w:p>
      <w:pPr>
        <w:shd w:val="clear" w:color="auto" w:fill="auto"/>
        <w:spacing w:line="440" w:lineRule="exact"/>
        <w:ind w:firstLine="283" w:firstLineChars="135"/>
        <w:rPr>
          <w:rFonts w:hint="eastAsia" w:ascii="宋体"/>
          <w:color w:val="auto"/>
          <w:szCs w:val="21"/>
          <w:highlight w:val="none"/>
        </w:rPr>
      </w:pPr>
      <w:r>
        <w:rPr>
          <w:rFonts w:hint="eastAsia" w:ascii="宋体"/>
          <w:color w:val="auto"/>
          <w:szCs w:val="21"/>
          <w:highlight w:val="none"/>
          <w:lang w:val="en-US" w:eastAsia="zh-CN"/>
        </w:rPr>
        <w:t>19</w:t>
      </w:r>
      <w:r>
        <w:rPr>
          <w:rFonts w:hint="eastAsia" w:ascii="宋体"/>
          <w:color w:val="auto"/>
          <w:szCs w:val="21"/>
          <w:highlight w:val="none"/>
        </w:rPr>
        <w:t>.1</w:t>
      </w:r>
      <w:r>
        <w:rPr>
          <w:rFonts w:ascii="宋体" w:hAnsi="宋体"/>
          <w:color w:val="auto"/>
          <w:szCs w:val="21"/>
          <w:highlight w:val="none"/>
        </w:rPr>
        <w:t>投标人</w:t>
      </w:r>
      <w:r>
        <w:rPr>
          <w:rFonts w:hint="eastAsia" w:ascii="宋体" w:hAnsi="宋体"/>
          <w:color w:val="auto"/>
          <w:szCs w:val="21"/>
          <w:highlight w:val="none"/>
        </w:rPr>
        <w:t>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283" w:firstLineChars="135"/>
        <w:rPr>
          <w:rFonts w:hint="eastAsia" w:ascii="宋体"/>
          <w:color w:val="auto"/>
          <w:szCs w:val="21"/>
          <w:highlight w:val="none"/>
        </w:rPr>
      </w:pPr>
      <w:r>
        <w:rPr>
          <w:rFonts w:hint="eastAsia" w:ascii="宋体"/>
          <w:color w:val="auto"/>
          <w:szCs w:val="21"/>
          <w:highlight w:val="none"/>
          <w:lang w:val="en-US" w:eastAsia="zh-CN"/>
        </w:rPr>
        <w:t>19</w:t>
      </w:r>
      <w:r>
        <w:rPr>
          <w:rFonts w:hint="eastAsia" w:ascii="宋体"/>
          <w:color w:val="auto"/>
          <w:szCs w:val="21"/>
          <w:highlight w:val="none"/>
        </w:rPr>
        <w:t>.2除</w:t>
      </w:r>
      <w:r>
        <w:rPr>
          <w:rFonts w:hint="eastAsia" w:ascii="宋体"/>
          <w:color w:val="auto"/>
          <w:szCs w:val="21"/>
          <w:highlight w:val="none"/>
          <w:lang w:eastAsia="zh-CN"/>
        </w:rPr>
        <w:t>采购文件</w:t>
      </w:r>
      <w:r>
        <w:rPr>
          <w:rFonts w:hint="eastAsia" w:ascii="宋体"/>
          <w:color w:val="auto"/>
          <w:szCs w:val="21"/>
          <w:highlight w:val="none"/>
        </w:rPr>
        <w:t>中另有规定外，投标书所使用的度量衡均须采用法定计量单位。</w:t>
      </w:r>
    </w:p>
    <w:p>
      <w:pPr>
        <w:shd w:val="clear" w:color="auto" w:fill="auto"/>
        <w:spacing w:line="400" w:lineRule="exact"/>
        <w:rPr>
          <w:rFonts w:hint="eastAsia" w:ascii="宋体" w:hAnsi="宋体"/>
          <w:b/>
          <w:color w:val="auto"/>
          <w:szCs w:val="21"/>
          <w:highlight w:val="none"/>
        </w:rPr>
      </w:pPr>
      <w:r>
        <w:rPr>
          <w:rFonts w:hint="eastAsia"/>
          <w:b/>
          <w:color w:val="auto"/>
          <w:szCs w:val="21"/>
          <w:highlight w:val="none"/>
        </w:rPr>
        <w:t>2</w:t>
      </w:r>
      <w:r>
        <w:rPr>
          <w:rFonts w:hint="eastAsia"/>
          <w:b/>
          <w:color w:val="auto"/>
          <w:szCs w:val="21"/>
          <w:highlight w:val="none"/>
          <w:lang w:val="en-US" w:eastAsia="zh-CN"/>
        </w:rPr>
        <w:t>0</w:t>
      </w:r>
      <w:r>
        <w:rPr>
          <w:rFonts w:hint="eastAsia"/>
          <w:b/>
          <w:color w:val="auto"/>
          <w:szCs w:val="21"/>
          <w:highlight w:val="none"/>
        </w:rPr>
        <w:t xml:space="preserve">. </w:t>
      </w:r>
      <w:r>
        <w:rPr>
          <w:rFonts w:hint="eastAsia" w:ascii="宋体" w:hAnsi="宋体"/>
          <w:b/>
          <w:color w:val="auto"/>
          <w:szCs w:val="21"/>
          <w:highlight w:val="none"/>
        </w:rPr>
        <w:t>投标文件的组成</w:t>
      </w:r>
    </w:p>
    <w:p>
      <w:pPr>
        <w:shd w:val="clear" w:color="auto" w:fill="auto"/>
        <w:spacing w:line="400" w:lineRule="exact"/>
        <w:ind w:firstLine="420" w:firstLineChars="200"/>
        <w:rPr>
          <w:rFonts w:hint="eastAsia" w:ascii="宋体"/>
          <w:color w:val="auto"/>
          <w:szCs w:val="21"/>
          <w:highlight w:val="none"/>
        </w:rPr>
      </w:pPr>
      <w:r>
        <w:rPr>
          <w:rFonts w:hint="eastAsia" w:ascii="宋体" w:hAnsi="宋体"/>
          <w:color w:val="auto"/>
          <w:szCs w:val="21"/>
          <w:highlight w:val="none"/>
        </w:rPr>
        <w:t>资格证明文件和商务及技术文件两部分。</w:t>
      </w:r>
    </w:p>
    <w:p>
      <w:pPr>
        <w:shd w:val="clear" w:color="auto" w:fill="auto"/>
        <w:spacing w:line="440" w:lineRule="exact"/>
        <w:rPr>
          <w:rFonts w:hint="eastAsia" w:ascii="宋体" w:eastAsia="宋体"/>
          <w:b/>
          <w:color w:val="auto"/>
          <w:sz w:val="24"/>
          <w:szCs w:val="24"/>
          <w:highlight w:val="none"/>
          <w:lang w:eastAsia="zh-CN"/>
        </w:rPr>
      </w:pPr>
      <w:r>
        <w:rPr>
          <w:rFonts w:hint="eastAsia" w:ascii="宋体"/>
          <w:b/>
          <w:bCs w:val="0"/>
          <w:color w:val="auto"/>
          <w:sz w:val="21"/>
          <w:szCs w:val="21"/>
          <w:highlight w:val="none"/>
        </w:rPr>
        <w:t>2</w:t>
      </w:r>
      <w:r>
        <w:rPr>
          <w:rFonts w:hint="eastAsia" w:ascii="宋体"/>
          <w:b/>
          <w:bCs w:val="0"/>
          <w:color w:val="auto"/>
          <w:sz w:val="21"/>
          <w:szCs w:val="21"/>
          <w:highlight w:val="none"/>
          <w:lang w:val="en-US" w:eastAsia="zh-CN"/>
        </w:rPr>
        <w:t>0</w:t>
      </w:r>
      <w:r>
        <w:rPr>
          <w:rFonts w:hint="eastAsia" w:ascii="宋体"/>
          <w:b/>
          <w:bCs w:val="0"/>
          <w:color w:val="auto"/>
          <w:sz w:val="21"/>
          <w:szCs w:val="21"/>
          <w:highlight w:val="none"/>
        </w:rPr>
        <w:t>.1资格证明文件</w:t>
      </w:r>
      <w:r>
        <w:rPr>
          <w:rFonts w:hint="eastAsia" w:ascii="宋体"/>
          <w:b/>
          <w:bCs w:val="0"/>
          <w:color w:val="auto"/>
          <w:sz w:val="21"/>
          <w:szCs w:val="21"/>
          <w:highlight w:val="none"/>
          <w:lang w:eastAsia="zh-CN"/>
        </w:rPr>
        <w:t>（包括但不限于）</w:t>
      </w:r>
    </w:p>
    <w:p>
      <w:pPr>
        <w:shd w:val="clear" w:color="auto" w:fill="auto"/>
        <w:spacing w:line="440" w:lineRule="exact"/>
        <w:ind w:firstLine="308" w:firstLineChars="147"/>
        <w:rPr>
          <w:rFonts w:hint="eastAsia" w:hAnsi="宋体"/>
          <w:color w:val="auto"/>
          <w:szCs w:val="21"/>
          <w:highlight w:val="none"/>
        </w:rPr>
      </w:pPr>
      <w:r>
        <w:rPr>
          <w:rFonts w:hint="eastAsia" w:hAnsi="宋体"/>
          <w:color w:val="auto"/>
          <w:szCs w:val="21"/>
          <w:highlight w:val="none"/>
        </w:rPr>
        <w:t>资格证明</w:t>
      </w:r>
      <w:r>
        <w:rPr>
          <w:rFonts w:hint="eastAsia" w:hAnsi="宋体"/>
          <w:color w:val="auto"/>
          <w:szCs w:val="21"/>
          <w:highlight w:val="none"/>
          <w:lang w:eastAsia="zh-CN"/>
        </w:rPr>
        <w:t>文件</w:t>
      </w:r>
      <w:r>
        <w:rPr>
          <w:rFonts w:hint="eastAsia" w:hAnsi="宋体"/>
          <w:color w:val="auto"/>
          <w:szCs w:val="21"/>
          <w:highlight w:val="none"/>
        </w:rPr>
        <w:t>是证明投标人有资格参加投标和中标后有能力履行合同的文件，这些文件应能满足招标的要求，否则作无效投标处理。</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1、法人或者非法人组织的营业执照等证明文件复印件（须加盖本单位章）或自然人的身份证明复印件;</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2、法定代表人资格证明书</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3、法定代表人授权书</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4、投标保证金收据或</w:t>
      </w:r>
      <w:r>
        <w:rPr>
          <w:rFonts w:hint="eastAsia" w:ascii="宋体" w:hAnsi="宋体" w:eastAsia="宋体" w:cs="Times New Roman"/>
          <w:color w:val="auto"/>
          <w:szCs w:val="21"/>
          <w:lang w:val="en-US" w:eastAsia="zh-CN"/>
        </w:rPr>
        <w:t>加盖阿图什市</w:t>
      </w:r>
      <w:r>
        <w:rPr>
          <w:rFonts w:hint="eastAsia" w:ascii="宋体" w:hAnsi="宋体" w:eastAsia="宋体" w:cs="Times New Roman"/>
          <w:color w:val="auto"/>
          <w:sz w:val="21"/>
          <w:szCs w:val="21"/>
          <w:highlight w:val="none"/>
          <w:lang w:val="en-US" w:eastAsia="zh-CN"/>
        </w:rPr>
        <w:t>政</w:t>
      </w:r>
      <w:r>
        <w:rPr>
          <w:rFonts w:hint="eastAsia" w:ascii="宋体" w:hAnsi="宋体" w:eastAsia="宋体" w:cs="Times New Roman"/>
          <w:color w:val="auto"/>
          <w:szCs w:val="21"/>
          <w:lang w:val="en-US" w:eastAsia="zh-CN"/>
        </w:rPr>
        <w:t>资中心财务专用章的银行回单</w:t>
      </w:r>
      <w:r>
        <w:rPr>
          <w:rFonts w:hint="eastAsia" w:ascii="宋体" w:hAnsi="宋体" w:eastAsia="宋体" w:cs="Times New Roman"/>
          <w:color w:val="auto"/>
          <w:szCs w:val="21"/>
          <w:highlight w:val="none"/>
          <w:lang w:val="en-US" w:eastAsia="zh-CN"/>
        </w:rPr>
        <w:t>或投标担保函；</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5</w:t>
      </w:r>
      <w:r>
        <w:rPr>
          <w:rFonts w:hint="eastAsia" w:ascii="宋体" w:hAnsi="宋体" w:eastAsia="宋体" w:cs="Times New Roman"/>
          <w:color w:val="auto"/>
          <w:szCs w:val="21"/>
          <w:highlight w:val="none"/>
          <w:lang w:val="en-US" w:eastAsia="zh-CN"/>
        </w:rPr>
        <w:t>、参加政府采购活动前3年内在经营活动中没有重大违法记录的书面声明;</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6</w:t>
      </w:r>
      <w:r>
        <w:rPr>
          <w:rFonts w:hint="eastAsia" w:ascii="宋体" w:hAnsi="宋体" w:eastAsia="宋体" w:cs="Times New Roman"/>
          <w:color w:val="auto"/>
          <w:szCs w:val="21"/>
          <w:highlight w:val="none"/>
          <w:lang w:val="en-US" w:eastAsia="zh-CN"/>
        </w:rPr>
        <w:t>、</w:t>
      </w:r>
      <w:r>
        <w:rPr>
          <w:rFonts w:hint="eastAsia" w:ascii="宋体" w:hAnsi="宋体" w:eastAsia="宋体" w:cs="宋体"/>
          <w:color w:val="auto"/>
          <w:kern w:val="2"/>
          <w:sz w:val="21"/>
          <w:szCs w:val="21"/>
          <w:lang w:val="en-US" w:eastAsia="zh-CN" w:bidi="ar-SA"/>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440" w:lineRule="exact"/>
        <w:ind w:firstLine="283" w:firstLineChars="135"/>
        <w:rPr>
          <w:rFonts w:hint="eastAsia" w:ascii="宋体" w:hAnsi="宋体" w:eastAsia="宋体" w:cs="Times New Roman"/>
          <w:color w:val="auto"/>
          <w:szCs w:val="21"/>
          <w:highlight w:val="none"/>
        </w:rPr>
      </w:pPr>
      <w:r>
        <w:rPr>
          <w:rFonts w:hint="eastAsia" w:ascii="宋体" w:hAnsi="宋体" w:cs="Times New Roman"/>
          <w:color w:val="auto"/>
          <w:szCs w:val="21"/>
          <w:highlight w:val="none"/>
          <w:lang w:val="en-US" w:eastAsia="zh-CN"/>
        </w:rPr>
        <w:t>7</w:t>
      </w:r>
      <w:r>
        <w:rPr>
          <w:rFonts w:hint="eastAsia" w:ascii="宋体" w:hAnsi="宋体" w:eastAsia="宋体" w:cs="Times New Roman"/>
          <w:color w:val="auto"/>
          <w:szCs w:val="21"/>
          <w:highlight w:val="none"/>
          <w:lang w:val="en-US" w:eastAsia="zh-CN"/>
        </w:rPr>
        <w:t>、投标人须知资料表要求的其他资格证明文件;</w:t>
      </w:r>
    </w:p>
    <w:p>
      <w:pPr>
        <w:shd w:val="clear" w:color="auto" w:fill="auto"/>
        <w:spacing w:line="440" w:lineRule="exact"/>
        <w:rPr>
          <w:rFonts w:hint="eastAsia" w:ascii="Times New Roman" w:hAnsi="宋体" w:eastAsia="宋体" w:cs="Times New Roman"/>
          <w:color w:val="auto"/>
          <w:sz w:val="21"/>
          <w:szCs w:val="21"/>
          <w:highlight w:val="none"/>
        </w:rPr>
      </w:pPr>
      <w:r>
        <w:rPr>
          <w:rFonts w:hint="eastAsia" w:ascii="宋体" w:hAnsi="宋体" w:cs="宋体"/>
          <w:b/>
          <w:color w:val="auto"/>
          <w:sz w:val="21"/>
          <w:szCs w:val="21"/>
          <w:highlight w:val="none"/>
        </w:rPr>
        <w:t>2</w:t>
      </w:r>
      <w:r>
        <w:rPr>
          <w:rFonts w:hint="eastAsia" w:ascii="宋体" w:hAnsi="宋体" w:cs="宋体"/>
          <w:b/>
          <w:color w:val="auto"/>
          <w:sz w:val="21"/>
          <w:szCs w:val="21"/>
          <w:highlight w:val="none"/>
          <w:lang w:val="en-US" w:eastAsia="zh-CN"/>
        </w:rPr>
        <w:t>0</w:t>
      </w:r>
      <w:r>
        <w:rPr>
          <w:rFonts w:hint="eastAsia" w:ascii="宋体" w:hAnsi="宋体" w:cs="宋体"/>
          <w:b/>
          <w:color w:val="auto"/>
          <w:sz w:val="21"/>
          <w:szCs w:val="21"/>
          <w:highlight w:val="none"/>
        </w:rPr>
        <w:t>.2</w:t>
      </w:r>
      <w:r>
        <w:rPr>
          <w:rFonts w:hint="eastAsia" w:ascii="宋体" w:hAnsi="宋体" w:cs="宋体"/>
          <w:b/>
          <w:color w:val="auto"/>
          <w:sz w:val="21"/>
          <w:szCs w:val="21"/>
          <w:highlight w:val="none"/>
          <w:lang w:val="en-US" w:eastAsia="zh-CN"/>
        </w:rPr>
        <w:t xml:space="preserve"> 商务及技术文件</w:t>
      </w:r>
      <w:r>
        <w:rPr>
          <w:rFonts w:hint="eastAsia" w:ascii="宋体"/>
          <w:b/>
          <w:color w:val="auto"/>
          <w:sz w:val="21"/>
          <w:szCs w:val="21"/>
          <w:highlight w:val="none"/>
          <w:lang w:eastAsia="zh-CN"/>
        </w:rPr>
        <w:t>（包括但不限于）</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1、投标函</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2、开标一览表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3</w:t>
      </w:r>
      <w:r>
        <w:rPr>
          <w:rFonts w:hint="eastAsia" w:ascii="宋体" w:hAnsi="宋体" w:eastAsia="宋体" w:cs="Times New Roman"/>
          <w:color w:val="auto"/>
          <w:szCs w:val="21"/>
          <w:highlight w:val="none"/>
          <w:lang w:val="en-US" w:eastAsia="zh-CN"/>
        </w:rPr>
        <w:t>、投标分项报价表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4</w:t>
      </w:r>
      <w:r>
        <w:rPr>
          <w:rFonts w:hint="eastAsia" w:ascii="宋体" w:hAnsi="宋体" w:eastAsia="宋体" w:cs="Times New Roman"/>
          <w:color w:val="auto"/>
          <w:szCs w:val="21"/>
          <w:highlight w:val="none"/>
          <w:lang w:val="en-US" w:eastAsia="zh-CN"/>
        </w:rPr>
        <w:t>、技术规格偏离表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5</w:t>
      </w:r>
      <w:r>
        <w:rPr>
          <w:rFonts w:hint="eastAsia" w:ascii="宋体" w:hAnsi="宋体" w:eastAsia="宋体" w:cs="Times New Roman"/>
          <w:color w:val="auto"/>
          <w:szCs w:val="21"/>
          <w:highlight w:val="none"/>
          <w:lang w:val="en-US" w:eastAsia="zh-CN"/>
        </w:rPr>
        <w:t>、商务条款偏离表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6</w:t>
      </w:r>
      <w:r>
        <w:rPr>
          <w:rFonts w:hint="eastAsia" w:ascii="宋体" w:hAnsi="宋体" w:eastAsia="宋体" w:cs="Times New Roman"/>
          <w:color w:val="auto"/>
          <w:szCs w:val="21"/>
          <w:highlight w:val="none"/>
          <w:lang w:val="en-US" w:eastAsia="zh-CN"/>
        </w:rPr>
        <w:t>、投标人基本情况表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7</w:t>
      </w:r>
      <w:r>
        <w:rPr>
          <w:rFonts w:hint="eastAsia" w:ascii="宋体" w:hAnsi="宋体" w:eastAsia="宋体" w:cs="Times New Roman"/>
          <w:color w:val="auto"/>
          <w:szCs w:val="21"/>
          <w:highlight w:val="none"/>
          <w:lang w:val="en-US" w:eastAsia="zh-CN"/>
        </w:rPr>
        <w:t>、近三年类似项目业绩表</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8</w:t>
      </w:r>
      <w:r>
        <w:rPr>
          <w:rFonts w:hint="eastAsia" w:ascii="宋体" w:hAnsi="宋体" w:eastAsia="宋体" w:cs="Times New Roman"/>
          <w:color w:val="auto"/>
          <w:szCs w:val="21"/>
          <w:highlight w:val="none"/>
          <w:lang w:val="en-US" w:eastAsia="zh-CN"/>
        </w:rPr>
        <w:t>、中小企业声明函(</w:t>
      </w:r>
      <w:r>
        <w:rPr>
          <w:rFonts w:hint="eastAsia" w:ascii="宋体" w:hAnsi="宋体" w:cs="Times New Roman"/>
          <w:color w:val="auto"/>
          <w:szCs w:val="21"/>
          <w:highlight w:val="none"/>
          <w:lang w:val="en-US" w:eastAsia="zh-CN"/>
        </w:rPr>
        <w:t>服务</w:t>
      </w:r>
      <w:r>
        <w:rPr>
          <w:rFonts w:hint="eastAsia" w:ascii="宋体" w:hAnsi="宋体" w:eastAsia="宋体" w:cs="Times New Roman"/>
          <w:color w:val="auto"/>
          <w:szCs w:val="21"/>
          <w:highlight w:val="none"/>
          <w:lang w:val="en-US" w:eastAsia="zh-CN"/>
        </w:rPr>
        <w:t>)</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9</w:t>
      </w:r>
      <w:r>
        <w:rPr>
          <w:rFonts w:hint="eastAsia" w:ascii="宋体" w:hAnsi="宋体" w:eastAsia="宋体" w:cs="Times New Roman"/>
          <w:color w:val="auto"/>
          <w:szCs w:val="21"/>
          <w:highlight w:val="none"/>
          <w:lang w:val="en-US" w:eastAsia="zh-CN"/>
        </w:rPr>
        <w:t>、《残疾人福利性单位声明函》</w:t>
      </w:r>
    </w:p>
    <w:p>
      <w:pPr>
        <w:shd w:val="clear" w:color="auto" w:fill="auto"/>
        <w:spacing w:line="440" w:lineRule="exact"/>
        <w:ind w:firstLine="283" w:firstLineChars="135"/>
        <w:rPr>
          <w:rFonts w:hint="eastAsia"/>
          <w:color w:val="auto"/>
          <w:lang w:val="en-US" w:eastAsia="zh-CN"/>
        </w:rPr>
      </w:pPr>
      <w:r>
        <w:rPr>
          <w:rFonts w:hint="eastAsia" w:ascii="宋体" w:hAnsi="宋体" w:eastAsia="宋体" w:cs="Times New Roman"/>
          <w:color w:val="auto"/>
          <w:szCs w:val="21"/>
          <w:highlight w:val="none"/>
          <w:lang w:val="en-US" w:eastAsia="zh-CN"/>
        </w:rPr>
        <w:t>10、投标人关联单位的说明</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11、评分标准和细则中技术部分证明材料</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12、评分标准和细则中技术部分证明材料（格式自拟）</w:t>
      </w:r>
    </w:p>
    <w:p>
      <w:pPr>
        <w:shd w:val="clear" w:color="auto" w:fill="auto"/>
        <w:spacing w:line="440" w:lineRule="exact"/>
        <w:ind w:firstLine="283"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13、投标人认为有必要提供的其他证明材料（格式自拟）</w:t>
      </w:r>
    </w:p>
    <w:p>
      <w:pPr>
        <w:shd w:val="clear" w:color="auto" w:fill="auto"/>
        <w:spacing w:line="400" w:lineRule="exact"/>
        <w:ind w:firstLine="420" w:firstLineChars="199"/>
        <w:rPr>
          <w:rFonts w:hint="eastAsia" w:ascii="宋体" w:eastAsia="宋体"/>
          <w:color w:val="auto"/>
          <w:szCs w:val="21"/>
          <w:highlight w:val="none"/>
          <w:lang w:eastAsia="zh-CN"/>
        </w:rPr>
      </w:pPr>
      <w:r>
        <w:rPr>
          <w:rFonts w:hint="eastAsia" w:ascii="宋体" w:hAnsi="宋体" w:eastAsia="宋体" w:cs="宋体"/>
          <w:b/>
          <w:color w:val="auto"/>
          <w:kern w:val="0"/>
          <w:szCs w:val="21"/>
          <w:highlight w:val="none"/>
          <w:u w:val="single"/>
        </w:rPr>
        <w:t>注：以上材料须</w:t>
      </w:r>
      <w:r>
        <w:rPr>
          <w:rFonts w:hint="eastAsia" w:ascii="宋体" w:hAnsi="宋体" w:eastAsia="宋体" w:cs="宋体"/>
          <w:b/>
          <w:color w:val="auto"/>
          <w:kern w:val="0"/>
          <w:szCs w:val="21"/>
          <w:highlight w:val="none"/>
          <w:u w:val="single"/>
          <w:lang w:eastAsia="zh-CN"/>
        </w:rPr>
        <w:t>逐页</w:t>
      </w:r>
      <w:r>
        <w:rPr>
          <w:rFonts w:hint="eastAsia" w:ascii="宋体" w:hAnsi="宋体" w:eastAsia="宋体" w:cs="宋体"/>
          <w:b/>
          <w:color w:val="auto"/>
          <w:kern w:val="0"/>
          <w:szCs w:val="21"/>
          <w:highlight w:val="none"/>
          <w:u w:val="single"/>
        </w:rPr>
        <w:t>加盖单位公章</w:t>
      </w:r>
      <w:r>
        <w:rPr>
          <w:rFonts w:hint="eastAsia" w:ascii="宋体" w:hAnsi="宋体" w:eastAsia="宋体" w:cs="宋体"/>
          <w:b/>
          <w:color w:val="auto"/>
          <w:kern w:val="0"/>
          <w:szCs w:val="21"/>
          <w:highlight w:val="none"/>
          <w:u w:val="single"/>
          <w:lang w:eastAsia="zh-CN"/>
        </w:rPr>
        <w:t>。</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color w:val="auto"/>
          <w:szCs w:val="21"/>
          <w:highlight w:val="none"/>
        </w:rPr>
        <w:t>2</w:t>
      </w:r>
      <w:r>
        <w:rPr>
          <w:rFonts w:hint="eastAsia" w:ascii="宋体"/>
          <w:color w:val="auto"/>
          <w:szCs w:val="21"/>
          <w:highlight w:val="none"/>
          <w:lang w:val="en-US" w:eastAsia="zh-CN"/>
        </w:rPr>
        <w:t>0</w:t>
      </w:r>
      <w:r>
        <w:rPr>
          <w:rFonts w:hint="eastAsia" w:ascii="宋体"/>
          <w:color w:val="auto"/>
          <w:szCs w:val="21"/>
          <w:highlight w:val="none"/>
        </w:rPr>
        <w:t>.</w:t>
      </w:r>
      <w:r>
        <w:rPr>
          <w:rFonts w:hint="eastAsia" w:ascii="宋体"/>
          <w:color w:val="auto"/>
          <w:szCs w:val="21"/>
          <w:highlight w:val="none"/>
          <w:lang w:val="en-US" w:eastAsia="zh-CN"/>
        </w:rPr>
        <w:t>3</w:t>
      </w:r>
      <w:r>
        <w:rPr>
          <w:rFonts w:hint="eastAsia" w:ascii="宋体" w:hAnsi="宋体" w:eastAsia="宋体" w:cs="Times New Roman"/>
          <w:color w:val="auto"/>
          <w:szCs w:val="21"/>
          <w:highlight w:val="none"/>
          <w:lang w:eastAsia="zh-CN"/>
        </w:rPr>
        <w:t>投标文件的要求</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1</w:t>
      </w:r>
      <w:r>
        <w:rPr>
          <w:rFonts w:hint="eastAsia" w:ascii="宋体" w:hAnsi="宋体" w:eastAsia="宋体" w:cs="Times New Roman"/>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eastAsia="zh-CN"/>
        </w:rPr>
        <w:t>）投标文件格式应按本采购文件第六章格式要求编制，不得对采购文件格式进行增删更改，否则按无效标处理。</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17" w:firstLineChars="199"/>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4</w:t>
      </w:r>
      <w:r>
        <w:rPr>
          <w:rFonts w:hint="eastAsia" w:ascii="宋体" w:hAnsi="宋体" w:eastAsia="宋体" w:cs="Times New Roman"/>
          <w:color w:val="auto"/>
          <w:szCs w:val="21"/>
          <w:highlight w:val="none"/>
          <w:lang w:eastAsia="zh-CN"/>
        </w:rPr>
        <w:t>）投标文件为电子投标文件，电子投标文件按“政采云供应商项目采购-电子招投标操作指南”及本采购文件要求制作、加密传输。</w:t>
      </w:r>
    </w:p>
    <w:p>
      <w:pPr>
        <w:shd w:val="clear" w:color="auto" w:fill="auto"/>
        <w:spacing w:line="400" w:lineRule="exact"/>
        <w:ind w:firstLine="417" w:firstLineChars="199"/>
        <w:rPr>
          <w:rFonts w:hint="eastAsia" w:ascii="宋体"/>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5</w:t>
      </w:r>
      <w:r>
        <w:rPr>
          <w:rFonts w:hint="eastAsia" w:ascii="宋体" w:hAnsi="宋体" w:eastAsia="宋体" w:cs="Times New Roman"/>
          <w:color w:val="auto"/>
          <w:szCs w:val="21"/>
          <w:highlight w:val="none"/>
          <w:lang w:eastAsia="zh-CN"/>
        </w:rPr>
        <w:t>）投标文件未在投标截止时间前完成传输的，视为投标文件撤回；投标文件未按时解密也未提供备份投标文件的，亦视为投标文件撤回。</w:t>
      </w:r>
    </w:p>
    <w:p>
      <w:pPr>
        <w:shd w:val="clear" w:color="auto" w:fill="auto"/>
        <w:spacing w:line="440" w:lineRule="exact"/>
        <w:rPr>
          <w:rFonts w:hint="eastAsia" w:ascii="宋体"/>
          <w:color w:val="auto"/>
          <w:szCs w:val="21"/>
          <w:highlight w:val="none"/>
        </w:rPr>
      </w:pPr>
      <w:r>
        <w:rPr>
          <w:rFonts w:hint="eastAsia" w:ascii="宋体"/>
          <w:b/>
          <w:color w:val="auto"/>
          <w:szCs w:val="21"/>
          <w:highlight w:val="none"/>
        </w:rPr>
        <w:t>2</w:t>
      </w:r>
      <w:r>
        <w:rPr>
          <w:rFonts w:hint="eastAsia" w:ascii="宋体"/>
          <w:b/>
          <w:color w:val="auto"/>
          <w:szCs w:val="21"/>
          <w:highlight w:val="none"/>
          <w:lang w:val="en-US" w:eastAsia="zh-CN"/>
        </w:rPr>
        <w:t>1</w:t>
      </w:r>
      <w:r>
        <w:rPr>
          <w:rFonts w:hint="eastAsia" w:ascii="宋体"/>
          <w:color w:val="auto"/>
          <w:szCs w:val="21"/>
          <w:highlight w:val="none"/>
        </w:rPr>
        <w:t>.</w:t>
      </w:r>
      <w:r>
        <w:rPr>
          <w:rFonts w:hint="eastAsia" w:ascii="宋体"/>
          <w:b/>
          <w:color w:val="auto"/>
          <w:szCs w:val="21"/>
          <w:highlight w:val="none"/>
        </w:rPr>
        <w:t>投标报价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.1投标报价文件中的单价和总价全部采用人民币表示。</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.2投标报价表上应清楚标明投标人拟提供</w:t>
      </w:r>
      <w:r>
        <w:rPr>
          <w:rFonts w:hint="eastAsia" w:ascii="宋体"/>
          <w:color w:val="auto"/>
          <w:szCs w:val="21"/>
          <w:highlight w:val="none"/>
          <w:lang w:val="en-US" w:eastAsia="zh-CN"/>
        </w:rPr>
        <w:t>货物（服务）</w:t>
      </w:r>
      <w:r>
        <w:rPr>
          <w:rFonts w:hint="eastAsia" w:ascii="宋体"/>
          <w:color w:val="auto"/>
          <w:szCs w:val="21"/>
          <w:highlight w:val="none"/>
        </w:rPr>
        <w:t>的名称、数量、单价和总价。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.3投标人只允许有一个方案、一个报价。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.4投标人应按“采购内容及技术参数要求”所列</w:t>
      </w:r>
      <w:r>
        <w:rPr>
          <w:rFonts w:hint="eastAsia" w:ascii="宋体"/>
          <w:color w:val="auto"/>
          <w:szCs w:val="21"/>
          <w:highlight w:val="none"/>
          <w:lang w:val="en-US" w:eastAsia="zh-CN"/>
        </w:rPr>
        <w:t>服务</w:t>
      </w:r>
      <w:r>
        <w:rPr>
          <w:rFonts w:hint="eastAsia" w:ascii="宋体"/>
          <w:color w:val="auto"/>
          <w:szCs w:val="21"/>
          <w:highlight w:val="none"/>
        </w:rPr>
        <w:t>逐项进行单价报价，并最终按</w:t>
      </w:r>
      <w:r>
        <w:rPr>
          <w:rFonts w:hint="eastAsia" w:ascii="宋体"/>
          <w:color w:val="auto"/>
          <w:szCs w:val="21"/>
          <w:highlight w:val="none"/>
          <w:lang w:val="en-US" w:eastAsia="zh-CN"/>
        </w:rPr>
        <w:t>服务</w:t>
      </w:r>
      <w:r>
        <w:rPr>
          <w:rFonts w:hint="eastAsia" w:ascii="宋体"/>
          <w:color w:val="auto"/>
          <w:szCs w:val="21"/>
          <w:highlight w:val="none"/>
        </w:rPr>
        <w:t>总量乘以货物单价报总价，不得采用总价下浮的方式进行</w:t>
      </w:r>
      <w:r>
        <w:rPr>
          <w:rFonts w:hint="eastAsia" w:ascii="宋体" w:hAnsi="宋体" w:eastAsia="宋体" w:cs="宋体"/>
          <w:bCs/>
          <w:color w:val="auto"/>
          <w:kern w:val="2"/>
          <w:sz w:val="21"/>
          <w:szCs w:val="21"/>
          <w:lang w:val="en-US" w:eastAsia="zh-CN" w:bidi="ar-SA"/>
        </w:rPr>
        <w:t>报价。综合单价包括：服务本身价格、包装费、运输费用、税金费用、养护管理用工，专项费用（绿化施肥费、绿化防病防虫用药费等药剂、绿化零星补植费、专用工具费、车辆及动力机械、防风抗雪等应急物资储备费、及养护期内须提供的伴随服务/售后服务费用以及招标文件要求的供应商需要支付的所有费用等费用）；因中标供应商自身原因造成漏报、少报皆由其自行承担责任，采购人不再补偿。综合单价今后将不作任何调整。</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.5投标报价的价格是</w:t>
      </w:r>
      <w:r>
        <w:rPr>
          <w:rFonts w:hint="eastAsia" w:ascii="宋体"/>
          <w:color w:val="auto"/>
          <w:szCs w:val="21"/>
          <w:highlight w:val="none"/>
          <w:lang w:val="en-US" w:eastAsia="zh-CN"/>
        </w:rPr>
        <w:t>货物及服务</w:t>
      </w:r>
      <w:r>
        <w:rPr>
          <w:rFonts w:hint="eastAsia" w:ascii="宋体"/>
          <w:color w:val="auto"/>
          <w:szCs w:val="21"/>
          <w:highlight w:val="none"/>
        </w:rPr>
        <w:t>交货地验收价格，其</w:t>
      </w:r>
      <w:r>
        <w:rPr>
          <w:rFonts w:hint="eastAsia" w:ascii="宋体"/>
          <w:color w:val="auto"/>
          <w:szCs w:val="21"/>
          <w:highlight w:val="none"/>
          <w:lang w:val="en-US" w:eastAsia="zh-CN"/>
        </w:rPr>
        <w:t>单</w:t>
      </w:r>
      <w:r>
        <w:rPr>
          <w:rFonts w:hint="eastAsia" w:ascii="宋体"/>
          <w:color w:val="auto"/>
          <w:szCs w:val="21"/>
          <w:highlight w:val="none"/>
        </w:rPr>
        <w:t>价即为履行合同的固定</w:t>
      </w:r>
      <w:r>
        <w:rPr>
          <w:rFonts w:hint="eastAsia" w:ascii="宋体"/>
          <w:color w:val="auto"/>
          <w:szCs w:val="21"/>
          <w:highlight w:val="none"/>
          <w:lang w:val="en-US" w:eastAsia="zh-CN"/>
        </w:rPr>
        <w:t>单</w:t>
      </w:r>
      <w:r>
        <w:rPr>
          <w:rFonts w:hint="eastAsia" w:ascii="宋体"/>
          <w:color w:val="auto"/>
          <w:szCs w:val="21"/>
          <w:highlight w:val="none"/>
        </w:rPr>
        <w:t>价。</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.6技术要求中规定的安装、调试和培训费用应包括在投标价格中。投标文件报价为含税价，招标人不再为此次招标支付任何费用。</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.7投标报价应由法定代表人或被授权人签署。</w:t>
      </w:r>
    </w:p>
    <w:p>
      <w:pPr>
        <w:shd w:val="clear" w:color="auto" w:fill="auto"/>
        <w:spacing w:line="440" w:lineRule="exact"/>
        <w:ind w:firstLine="420" w:firstLineChars="200"/>
        <w:rPr>
          <w:rFonts w:hint="eastAsia" w:ascii="宋体"/>
          <w:bCs/>
          <w:color w:val="auto"/>
          <w:szCs w:val="21"/>
          <w:highlight w:val="none"/>
        </w:rPr>
      </w:pPr>
      <w:r>
        <w:rPr>
          <w:rFonts w:hint="eastAsia" w:ascii="宋体"/>
          <w:bCs/>
          <w:color w:val="auto"/>
          <w:szCs w:val="21"/>
          <w:highlight w:val="none"/>
        </w:rPr>
        <w:t>2</w:t>
      </w:r>
      <w:r>
        <w:rPr>
          <w:rFonts w:hint="eastAsia" w:ascii="宋体"/>
          <w:bCs/>
          <w:color w:val="auto"/>
          <w:szCs w:val="21"/>
          <w:highlight w:val="none"/>
          <w:lang w:val="en-US" w:eastAsia="zh-CN"/>
        </w:rPr>
        <w:t>1</w:t>
      </w:r>
      <w:r>
        <w:rPr>
          <w:rFonts w:hint="eastAsia" w:ascii="宋体"/>
          <w:bCs/>
          <w:color w:val="auto"/>
          <w:szCs w:val="21"/>
          <w:highlight w:val="none"/>
        </w:rPr>
        <w:t>.8</w:t>
      </w:r>
      <w:r>
        <w:rPr>
          <w:rFonts w:hint="eastAsia" w:ascii="宋体" w:hAnsi="宋体"/>
          <w:b/>
          <w:color w:val="auto"/>
          <w:szCs w:val="21"/>
          <w:highlight w:val="none"/>
        </w:rPr>
        <w:t>投标人投标</w:t>
      </w:r>
      <w:r>
        <w:rPr>
          <w:rFonts w:hint="eastAsia" w:ascii="宋体" w:hAnsi="宋体"/>
          <w:b/>
          <w:color w:val="auto"/>
          <w:szCs w:val="21"/>
          <w:highlight w:val="none"/>
          <w:lang w:val="en-US" w:eastAsia="zh-CN"/>
        </w:rPr>
        <w:t>单价</w:t>
      </w:r>
      <w:r>
        <w:rPr>
          <w:rFonts w:hint="eastAsia" w:ascii="宋体" w:hAnsi="宋体"/>
          <w:b/>
          <w:color w:val="auto"/>
          <w:szCs w:val="21"/>
          <w:highlight w:val="none"/>
        </w:rPr>
        <w:t>总报价，不得高于本次招标设置的</w:t>
      </w:r>
      <w:r>
        <w:rPr>
          <w:rFonts w:hint="eastAsia" w:ascii="宋体" w:hAnsi="宋体"/>
          <w:b/>
          <w:color w:val="auto"/>
          <w:szCs w:val="21"/>
          <w:highlight w:val="none"/>
          <w:lang w:val="en-US" w:eastAsia="zh-CN"/>
        </w:rPr>
        <w:t>单价</w:t>
      </w:r>
      <w:r>
        <w:rPr>
          <w:rFonts w:hint="eastAsia" w:ascii="宋体" w:hAnsi="宋体"/>
          <w:b/>
          <w:color w:val="auto"/>
          <w:szCs w:val="21"/>
          <w:highlight w:val="none"/>
        </w:rPr>
        <w:t>最高限价，</w:t>
      </w:r>
      <w:r>
        <w:rPr>
          <w:rFonts w:hint="eastAsia" w:ascii="宋体" w:hAnsi="宋体"/>
          <w:b/>
          <w:bCs/>
          <w:color w:val="auto"/>
          <w:szCs w:val="21"/>
          <w:highlight w:val="none"/>
        </w:rPr>
        <w:t>否则将作为无效投标处理。</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.9如投标文件中未列明全面实现投标</w:t>
      </w:r>
      <w:r>
        <w:rPr>
          <w:rFonts w:hint="eastAsia" w:ascii="宋体"/>
          <w:color w:val="auto"/>
          <w:szCs w:val="21"/>
          <w:highlight w:val="none"/>
          <w:lang w:val="en-US" w:eastAsia="zh-CN"/>
        </w:rPr>
        <w:t>服务</w:t>
      </w:r>
      <w:r>
        <w:rPr>
          <w:rFonts w:hint="eastAsia" w:ascii="宋体"/>
          <w:color w:val="auto"/>
          <w:szCs w:val="21"/>
          <w:highlight w:val="none"/>
        </w:rPr>
        <w:t>功能而必须配置的配套或辅助设施及相应技术措施的费用，这些费用将被视为已包含在总投标价中。</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.10总投标价中不得包含</w:t>
      </w:r>
      <w:r>
        <w:rPr>
          <w:rFonts w:hint="eastAsia" w:ascii="宋体"/>
          <w:color w:val="auto"/>
          <w:szCs w:val="21"/>
          <w:highlight w:val="none"/>
          <w:lang w:eastAsia="zh-CN"/>
        </w:rPr>
        <w:t>采购文件</w:t>
      </w:r>
      <w:r>
        <w:rPr>
          <w:rFonts w:hint="eastAsia" w:ascii="宋体"/>
          <w:color w:val="auto"/>
          <w:szCs w:val="21"/>
          <w:highlight w:val="none"/>
        </w:rPr>
        <w:t>要求以外的内容，否则，在评标时不予核减，但在授予合同时，招标人有权将这部分价格从其中标价格中扣除。</w:t>
      </w:r>
    </w:p>
    <w:p>
      <w:pPr>
        <w:shd w:val="clear" w:color="auto" w:fill="auto"/>
        <w:spacing w:line="440" w:lineRule="exact"/>
        <w:ind w:firstLine="403" w:firstLineChars="192"/>
        <w:rPr>
          <w:rFonts w:hint="default" w:ascii="宋体" w:eastAsia="宋体"/>
          <w:color w:val="auto"/>
          <w:szCs w:val="21"/>
          <w:highlight w:val="none"/>
          <w:lang w:val="en-US" w:eastAsia="zh-CN"/>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.11总投标价中不得缺漏</w:t>
      </w:r>
      <w:r>
        <w:rPr>
          <w:rFonts w:hint="eastAsia" w:ascii="宋体"/>
          <w:color w:val="auto"/>
          <w:szCs w:val="21"/>
          <w:highlight w:val="none"/>
          <w:lang w:eastAsia="zh-CN"/>
        </w:rPr>
        <w:t>采购文件</w:t>
      </w:r>
      <w:r>
        <w:rPr>
          <w:rFonts w:hint="eastAsia" w:ascii="宋体"/>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color w:val="auto"/>
          <w:szCs w:val="21"/>
          <w:highlight w:val="none"/>
          <w:lang w:val="en-US" w:eastAsia="zh-CN"/>
        </w:rPr>
        <w:t xml:space="preserve">    </w:t>
      </w:r>
    </w:p>
    <w:p>
      <w:pPr>
        <w:shd w:val="clear" w:color="auto" w:fill="auto"/>
        <w:spacing w:line="440" w:lineRule="exact"/>
        <w:ind w:firstLine="403" w:firstLineChars="192"/>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.12投标人不得对从第三方采购</w:t>
      </w:r>
      <w:r>
        <w:rPr>
          <w:rFonts w:hint="eastAsia" w:ascii="宋体"/>
          <w:color w:val="auto"/>
          <w:szCs w:val="21"/>
          <w:highlight w:val="none"/>
          <w:lang w:val="en-US" w:eastAsia="zh-CN"/>
        </w:rPr>
        <w:t>货物及服务</w:t>
      </w:r>
      <w:r>
        <w:rPr>
          <w:rFonts w:hint="eastAsia" w:ascii="宋体"/>
          <w:color w:val="auto"/>
          <w:szCs w:val="21"/>
          <w:highlight w:val="none"/>
        </w:rPr>
        <w:t>的随机备品、备件另行收费，否则在计算评标价时这部分费用将不予扣除，在授予合同时将从中标价格中扣除该部分费用。</w:t>
      </w:r>
    </w:p>
    <w:p>
      <w:pPr>
        <w:shd w:val="clear" w:color="auto" w:fill="auto"/>
        <w:spacing w:line="440" w:lineRule="exact"/>
        <w:ind w:firstLine="403" w:firstLineChars="192"/>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1</w:t>
      </w:r>
      <w:r>
        <w:rPr>
          <w:rFonts w:hint="eastAsia" w:ascii="宋体"/>
          <w:color w:val="auto"/>
          <w:szCs w:val="21"/>
          <w:highlight w:val="none"/>
        </w:rPr>
        <w:t>.13投标人应根据</w:t>
      </w:r>
      <w:r>
        <w:rPr>
          <w:rFonts w:hint="eastAsia" w:ascii="宋体"/>
          <w:color w:val="auto"/>
          <w:szCs w:val="21"/>
          <w:highlight w:val="none"/>
          <w:lang w:val="en-US" w:eastAsia="zh-CN"/>
        </w:rPr>
        <w:t>服务</w:t>
      </w:r>
      <w:r>
        <w:rPr>
          <w:rFonts w:hint="eastAsia" w:ascii="宋体"/>
          <w:color w:val="auto"/>
          <w:szCs w:val="21"/>
          <w:highlight w:val="none"/>
        </w:rPr>
        <w:t>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rPr>
          <w:rFonts w:hint="eastAsia" w:ascii="宋体"/>
          <w:b/>
          <w:color w:val="auto"/>
          <w:szCs w:val="21"/>
          <w:highlight w:val="none"/>
        </w:rPr>
      </w:pPr>
      <w:r>
        <w:rPr>
          <w:rFonts w:hint="eastAsia" w:ascii="宋体"/>
          <w:b/>
          <w:color w:val="auto"/>
          <w:szCs w:val="21"/>
          <w:highlight w:val="none"/>
        </w:rPr>
        <w:t>2</w:t>
      </w:r>
      <w:r>
        <w:rPr>
          <w:rFonts w:hint="eastAsia" w:ascii="宋体"/>
          <w:b/>
          <w:color w:val="auto"/>
          <w:szCs w:val="21"/>
          <w:highlight w:val="none"/>
          <w:lang w:val="en-US" w:eastAsia="zh-CN"/>
        </w:rPr>
        <w:t>2</w:t>
      </w:r>
      <w:r>
        <w:rPr>
          <w:rFonts w:hint="eastAsia" w:ascii="宋体"/>
          <w:b/>
          <w:color w:val="auto"/>
          <w:szCs w:val="21"/>
          <w:highlight w:val="none"/>
        </w:rPr>
        <w:t>. 投标有效期</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2</w:t>
      </w:r>
      <w:r>
        <w:rPr>
          <w:rFonts w:hint="eastAsia" w:ascii="宋体"/>
          <w:color w:val="auto"/>
          <w:szCs w:val="21"/>
          <w:highlight w:val="none"/>
        </w:rPr>
        <w:t>.1 除投标人须知前附表另有规定外，投标有效期为60天。</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2</w:t>
      </w:r>
      <w:r>
        <w:rPr>
          <w:rFonts w:hint="eastAsia" w:ascii="宋体"/>
          <w:color w:val="auto"/>
          <w:szCs w:val="21"/>
          <w:highlight w:val="none"/>
        </w:rPr>
        <w:t>.2在投标有效期内，投标人撤销或修改其投标文件的，应承担</w:t>
      </w:r>
      <w:r>
        <w:rPr>
          <w:rFonts w:hint="eastAsia" w:ascii="宋体"/>
          <w:color w:val="auto"/>
          <w:szCs w:val="21"/>
          <w:highlight w:val="none"/>
          <w:lang w:eastAsia="zh-CN"/>
        </w:rPr>
        <w:t>采购文件</w:t>
      </w:r>
      <w:r>
        <w:rPr>
          <w:rFonts w:hint="eastAsia" w:ascii="宋体"/>
          <w:color w:val="auto"/>
          <w:szCs w:val="21"/>
          <w:highlight w:val="none"/>
        </w:rPr>
        <w:t>和法律规定的责任。</w:t>
      </w:r>
    </w:p>
    <w:p>
      <w:pPr>
        <w:shd w:val="clear" w:color="auto" w:fill="auto"/>
        <w:spacing w:line="44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2</w:t>
      </w:r>
      <w:r>
        <w:rPr>
          <w:rFonts w:hint="eastAsia" w:ascii="宋体"/>
          <w:color w:val="auto"/>
          <w:szCs w:val="21"/>
          <w:highlight w:val="none"/>
        </w:rPr>
        <w:t>.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rPr>
          <w:rFonts w:hint="eastAsia" w:ascii="宋体"/>
          <w:b/>
          <w:color w:val="auto"/>
          <w:szCs w:val="21"/>
          <w:highlight w:val="none"/>
        </w:rPr>
      </w:pPr>
      <w:r>
        <w:rPr>
          <w:rFonts w:hint="eastAsia" w:ascii="宋体"/>
          <w:b/>
          <w:color w:val="auto"/>
          <w:szCs w:val="21"/>
          <w:highlight w:val="none"/>
        </w:rPr>
        <w:t>2</w:t>
      </w:r>
      <w:r>
        <w:rPr>
          <w:rFonts w:hint="eastAsia" w:ascii="宋体"/>
          <w:b/>
          <w:color w:val="auto"/>
          <w:szCs w:val="21"/>
          <w:highlight w:val="none"/>
          <w:lang w:val="en-US" w:eastAsia="zh-CN"/>
        </w:rPr>
        <w:t>3</w:t>
      </w:r>
      <w:r>
        <w:rPr>
          <w:rFonts w:hint="eastAsia" w:ascii="宋体"/>
          <w:b/>
          <w:color w:val="auto"/>
          <w:szCs w:val="21"/>
          <w:highlight w:val="none"/>
        </w:rPr>
        <w:t>. 投标保证金</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.2自中标通知书发出之日起5个工作日内退还未中标投标人的投标保证金，自政府采购合同签订之日起5个工作日内退还中标人的投标保证金。</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 xml:space="preserve">.3有下列情形之一的，投标保证金将不予退还： </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（1）投标人在规定的投标有效期内撤回或修改其投标文件；</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（2）中标通知书发出后三十天内，中标人无正当理由拒签合同协议书或未按</w:t>
      </w:r>
      <w:r>
        <w:rPr>
          <w:rFonts w:hint="eastAsia" w:ascii="宋体"/>
          <w:color w:val="auto"/>
          <w:szCs w:val="21"/>
          <w:highlight w:val="none"/>
          <w:lang w:eastAsia="zh-CN"/>
        </w:rPr>
        <w:t>采购文件</w:t>
      </w:r>
      <w:r>
        <w:rPr>
          <w:rFonts w:hint="eastAsia" w:ascii="宋体"/>
          <w:color w:val="auto"/>
          <w:szCs w:val="21"/>
          <w:highlight w:val="none"/>
        </w:rPr>
        <w:t>规定提交履约担保。</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（3）提供虚假材料谋取中标的；</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（4）经查实属于陪标、串通投标的等。</w:t>
      </w:r>
    </w:p>
    <w:p>
      <w:pPr>
        <w:shd w:val="clear" w:color="auto" w:fill="auto"/>
        <w:spacing w:line="400" w:lineRule="exact"/>
        <w:ind w:firstLine="420" w:firstLineChars="200"/>
        <w:rPr>
          <w:rFonts w:hint="eastAsia" w:ascii="宋体"/>
          <w:color w:val="auto"/>
          <w:szCs w:val="21"/>
          <w:highlight w:val="none"/>
        </w:rPr>
      </w:pPr>
      <w:bookmarkStart w:id="30" w:name="_Toc469495727"/>
      <w:r>
        <w:rPr>
          <w:rFonts w:hint="eastAsia" w:ascii="宋体"/>
          <w:color w:val="auto"/>
          <w:szCs w:val="21"/>
          <w:highlight w:val="none"/>
        </w:rPr>
        <w:t>2</w:t>
      </w:r>
      <w:r>
        <w:rPr>
          <w:rFonts w:hint="eastAsia" w:ascii="宋体"/>
          <w:color w:val="auto"/>
          <w:szCs w:val="21"/>
          <w:highlight w:val="none"/>
          <w:lang w:val="en-US" w:eastAsia="zh-CN"/>
        </w:rPr>
        <w:t>3</w:t>
      </w:r>
      <w:r>
        <w:rPr>
          <w:rFonts w:hint="eastAsia" w:ascii="宋体"/>
          <w:color w:val="auto"/>
          <w:szCs w:val="21"/>
          <w:highlight w:val="none"/>
        </w:rPr>
        <w:t>.4投标保证金按</w:t>
      </w:r>
      <w:r>
        <w:rPr>
          <w:rFonts w:hint="eastAsia" w:ascii="宋体"/>
          <w:color w:val="auto"/>
          <w:szCs w:val="21"/>
          <w:highlight w:val="none"/>
          <w:lang w:eastAsia="zh-CN"/>
        </w:rPr>
        <w:t>投标人须知前附表第</w:t>
      </w:r>
      <w:r>
        <w:rPr>
          <w:rFonts w:hint="eastAsia" w:ascii="宋体"/>
          <w:color w:val="auto"/>
          <w:szCs w:val="21"/>
          <w:highlight w:val="none"/>
          <w:lang w:val="en-US" w:eastAsia="zh-CN"/>
        </w:rPr>
        <w:t>24条</w:t>
      </w:r>
      <w:r>
        <w:rPr>
          <w:rFonts w:hint="eastAsia" w:ascii="宋体"/>
          <w:color w:val="auto"/>
          <w:szCs w:val="21"/>
          <w:highlight w:val="none"/>
        </w:rPr>
        <w:t>规定执行。</w:t>
      </w:r>
    </w:p>
    <w:p>
      <w:pPr>
        <w:pStyle w:val="3"/>
        <w:shd w:val="clear" w:color="auto" w:fill="auto"/>
        <w:bidi w:val="0"/>
        <w:jc w:val="center"/>
        <w:rPr>
          <w:rFonts w:hint="eastAsia"/>
          <w:color w:val="auto"/>
          <w:sz w:val="28"/>
          <w:szCs w:val="28"/>
          <w:highlight w:val="none"/>
        </w:rPr>
      </w:pPr>
      <w:r>
        <w:rPr>
          <w:rFonts w:hint="eastAsia"/>
          <w:color w:val="auto"/>
          <w:sz w:val="28"/>
          <w:szCs w:val="28"/>
          <w:highlight w:val="none"/>
        </w:rPr>
        <w:t>（四）</w:t>
      </w:r>
      <w:bookmarkEnd w:id="30"/>
      <w:r>
        <w:rPr>
          <w:rFonts w:hint="eastAsia"/>
          <w:color w:val="auto"/>
          <w:sz w:val="28"/>
          <w:szCs w:val="28"/>
          <w:highlight w:val="none"/>
        </w:rPr>
        <w:t>投标文件的制作、上传及递交要求</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24.</w:t>
      </w:r>
      <w:r>
        <w:rPr>
          <w:rFonts w:hint="eastAsia" w:ascii="宋体" w:hAnsi="宋体" w:eastAsia="宋体" w:cs="宋体"/>
          <w:b/>
          <w:bCs/>
          <w:color w:val="auto"/>
          <w:sz w:val="21"/>
          <w:szCs w:val="21"/>
          <w:highlight w:val="none"/>
        </w:rPr>
        <w:t>投标文件的制作要求</w:t>
      </w:r>
    </w:p>
    <w:p>
      <w:pPr>
        <w:pStyle w:val="7"/>
        <w:shd w:val="clear" w:color="auto" w:fill="auto"/>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rPr>
        <w:t>（1）供应商应按照投标文件组成内容及项目招标需求和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政府采购云平台要求制作投标文件，不按采购文件和</w:t>
      </w:r>
      <w:r>
        <w:rPr>
          <w:rFonts w:hint="eastAsia" w:ascii="宋体" w:hAnsi="宋体" w:eastAsia="宋体" w:cs="宋体"/>
          <w:b w:val="0"/>
          <w:bCs/>
          <w:color w:val="auto"/>
          <w:sz w:val="21"/>
          <w:szCs w:val="21"/>
          <w:highlight w:val="none"/>
          <w:lang w:eastAsia="zh-CN"/>
        </w:rPr>
        <w:t>新疆</w:t>
      </w:r>
      <w:r>
        <w:rPr>
          <w:rFonts w:hint="eastAsia" w:ascii="宋体" w:hAnsi="宋体" w:eastAsia="宋体" w:cs="宋体"/>
          <w:b w:val="0"/>
          <w:bCs/>
          <w:color w:val="auto"/>
          <w:sz w:val="21"/>
          <w:szCs w:val="21"/>
          <w:highlight w:val="none"/>
        </w:rPr>
        <w:t>政府采购云平台要求制作投标文件的将视情况处理（拒收等），由此产生的责任由供应商自行承担。</w:t>
      </w:r>
    </w:p>
    <w:p>
      <w:pPr>
        <w:pStyle w:val="7"/>
        <w:shd w:val="clear" w:color="auto" w:fill="auto"/>
        <w:snapToGrid w:val="0"/>
        <w:spacing w:line="360" w:lineRule="auto"/>
        <w:ind w:firstLine="420" w:firstLineChars="200"/>
        <w:rPr>
          <w:rFonts w:hint="eastAsia" w:ascii="宋体" w:hAnsi="宋体" w:eastAsia="宋体" w:cs="宋体"/>
          <w:b w:val="0"/>
          <w:color w:val="auto"/>
          <w:sz w:val="21"/>
          <w:szCs w:val="21"/>
          <w:highlight w:val="none"/>
        </w:rPr>
      </w:pPr>
      <w:r>
        <w:rPr>
          <w:rFonts w:hint="eastAsia" w:ascii="宋体" w:hAnsi="宋体" w:eastAsia="宋体" w:cs="宋体"/>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（2）供应商应对所提供的全部资料的真实性、有效性承担法律责任，电子投标文件中所须加盖公章部分均采用CA签章。</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（5）若供应商不按采购文件的要求提供资格审查材料，其风险由供应商自行承担。</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（6）与本次投标无关的内容请不要制作在内，确保投标文件有针对性、简洁明了。</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25.</w:t>
      </w:r>
      <w:r>
        <w:rPr>
          <w:rFonts w:hint="eastAsia" w:ascii="宋体" w:hAnsi="宋体" w:eastAsia="宋体" w:cs="宋体"/>
          <w:b/>
          <w:bCs/>
          <w:color w:val="auto"/>
          <w:sz w:val="21"/>
          <w:szCs w:val="21"/>
          <w:highlight w:val="none"/>
        </w:rPr>
        <w:t>投标文件的上传</w:t>
      </w:r>
    </w:p>
    <w:p>
      <w:pPr>
        <w:pStyle w:val="7"/>
        <w:shd w:val="clear" w:color="auto" w:fill="auto"/>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bidi="zh-CN"/>
        </w:rPr>
        <w:t>电子加密投标文件（“.jmbs”格式）</w:t>
      </w:r>
      <w:r>
        <w:rPr>
          <w:rFonts w:hint="eastAsia" w:ascii="宋体" w:hAnsi="宋体" w:eastAsia="宋体" w:cs="宋体"/>
          <w:b/>
          <w:bCs/>
          <w:color w:val="auto"/>
          <w:sz w:val="21"/>
          <w:szCs w:val="21"/>
          <w:highlight w:val="none"/>
        </w:rPr>
        <w:t>：</w:t>
      </w:r>
    </w:p>
    <w:p>
      <w:pPr>
        <w:pStyle w:val="7"/>
        <w:shd w:val="clear" w:color="auto" w:fill="auto"/>
        <w:snapToGrid w:val="0"/>
        <w:spacing w:line="360" w:lineRule="auto"/>
        <w:ind w:firstLine="525" w:firstLineChars="250"/>
        <w:rPr>
          <w:rFonts w:hint="eastAsia" w:ascii="宋体" w:hAnsi="宋体" w:eastAsia="宋体" w:cs="宋体"/>
          <w:b w:val="0"/>
          <w:bCs/>
          <w:color w:val="auto"/>
          <w:sz w:val="21"/>
          <w:szCs w:val="21"/>
          <w:highlight w:val="none"/>
          <w:lang w:bidi="zh-CN"/>
        </w:rPr>
      </w:pPr>
      <w:r>
        <w:rPr>
          <w:rFonts w:hint="eastAsia" w:ascii="宋体" w:hAnsi="宋体" w:eastAsia="宋体" w:cs="宋体"/>
          <w:b w:val="0"/>
          <w:bCs/>
          <w:color w:val="auto"/>
          <w:sz w:val="21"/>
          <w:szCs w:val="21"/>
          <w:highlight w:val="none"/>
          <w:lang w:bidi="zh-CN"/>
        </w:rPr>
        <w:t>a.</w:t>
      </w:r>
      <w:r>
        <w:rPr>
          <w:rFonts w:hint="eastAsia" w:ascii="宋体" w:hAnsi="宋体" w:eastAsia="宋体" w:cs="宋体"/>
          <w:b w:val="0"/>
          <w:bCs/>
          <w:color w:val="auto"/>
          <w:kern w:val="0"/>
          <w:sz w:val="21"/>
          <w:szCs w:val="21"/>
          <w:highlight w:val="none"/>
        </w:rPr>
        <w:t xml:space="preserve"> </w:t>
      </w:r>
      <w:r>
        <w:rPr>
          <w:rFonts w:hint="eastAsia" w:ascii="宋体" w:hAnsi="宋体" w:eastAsia="宋体" w:cs="宋体"/>
          <w:b w:val="0"/>
          <w:bCs/>
          <w:color w:val="auto"/>
          <w:sz w:val="21"/>
          <w:szCs w:val="21"/>
          <w:highlight w:val="none"/>
          <w:lang w:bidi="zh-CN"/>
        </w:rPr>
        <w:t>供应商应在投标截止时间前将电子加密投标文件成功上传递交至新疆政府采购云平台，否则投标无效；</w:t>
      </w:r>
    </w:p>
    <w:p>
      <w:pPr>
        <w:pStyle w:val="7"/>
        <w:shd w:val="clear" w:color="auto" w:fill="auto"/>
        <w:snapToGrid w:val="0"/>
        <w:spacing w:line="360" w:lineRule="auto"/>
        <w:ind w:firstLine="525" w:firstLineChars="25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bidi="zh-CN"/>
        </w:rPr>
        <w:t>b.供应商成功上传电子加密投标文件后，可自行打印投标文件接收回执。</w:t>
      </w:r>
    </w:p>
    <w:p>
      <w:pPr>
        <w:shd w:val="clear" w:color="auto" w:fill="auto"/>
        <w:snapToGrid w:val="0"/>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eastAsia="zh-CN"/>
        </w:rPr>
        <w:t>26.</w:t>
      </w:r>
      <w:r>
        <w:rPr>
          <w:rFonts w:hint="eastAsia" w:ascii="宋体" w:hAnsi="宋体" w:eastAsia="宋体" w:cs="宋体"/>
          <w:b/>
          <w:color w:val="auto"/>
          <w:sz w:val="21"/>
          <w:szCs w:val="21"/>
          <w:highlight w:val="none"/>
        </w:rPr>
        <w:t>投标文件的递交要求</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）如有特殊情况，采购组织机构延长截止时间和开标时间，采购组织机构和供应商的权利和义务将受到新的截止时间和开标时间的约束。</w:t>
      </w:r>
    </w:p>
    <w:p>
      <w:pPr>
        <w:shd w:val="clear" w:color="auto" w:fill="auto"/>
        <w:tabs>
          <w:tab w:val="left" w:pos="1418"/>
        </w:tabs>
        <w:autoSpaceDE w:val="0"/>
        <w:autoSpaceDN w:val="0"/>
        <w:adjustRightInd w:val="0"/>
        <w:snapToGri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27．投标文件的补充、修改与撤回</w:t>
      </w:r>
    </w:p>
    <w:p>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黑体" w:eastAsia="黑体"/>
          <w:color w:val="auto"/>
          <w:sz w:val="28"/>
          <w:szCs w:val="28"/>
          <w:highlight w:val="none"/>
        </w:rPr>
      </w:pPr>
      <w:bookmarkStart w:id="31" w:name="_Toc469495728"/>
      <w:r>
        <w:rPr>
          <w:rFonts w:hint="eastAsia" w:ascii="黑体" w:eastAsia="黑体"/>
          <w:color w:val="auto"/>
          <w:sz w:val="28"/>
          <w:szCs w:val="28"/>
          <w:highlight w:val="none"/>
        </w:rPr>
        <w:t>（五）开 标、评标和定标</w:t>
      </w:r>
      <w:bookmarkEnd w:id="31"/>
    </w:p>
    <w:p>
      <w:pPr>
        <w:shd w:val="clear" w:color="auto" w:fill="auto"/>
        <w:snapToGrid w:val="0"/>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 开标</w:t>
      </w:r>
    </w:p>
    <w:p>
      <w:pPr>
        <w:shd w:val="clear" w:color="auto" w:fill="auto"/>
        <w:snapToGrid w:val="0"/>
        <w:spacing w:line="360" w:lineRule="auto"/>
        <w:rPr>
          <w:rFonts w:hint="eastAsia" w:ascii="宋体" w:hAnsi="宋体" w:eastAsia="宋体" w:cs="宋体"/>
          <w:b/>
          <w:bCs/>
          <w:color w:val="auto"/>
          <w:sz w:val="21"/>
          <w:szCs w:val="21"/>
          <w:highlight w:val="none"/>
          <w:lang w:val="en-US" w:eastAsia="zh-CN"/>
        </w:rPr>
      </w:pPr>
      <w:bookmarkStart w:id="32" w:name="_Toc73975822"/>
      <w:r>
        <w:rPr>
          <w:rFonts w:hint="eastAsia" w:ascii="宋体" w:hAnsi="宋体" w:eastAsia="宋体" w:cs="宋体"/>
          <w:b/>
          <w:bCs/>
          <w:color w:val="auto"/>
          <w:sz w:val="21"/>
          <w:szCs w:val="21"/>
          <w:highlight w:val="none"/>
          <w:lang w:val="en-US" w:eastAsia="zh-CN"/>
        </w:rPr>
        <w:t>28.1开标邀请</w:t>
      </w:r>
      <w:bookmarkEnd w:id="32"/>
    </w:p>
    <w:p>
      <w:pPr>
        <w:pStyle w:val="14"/>
        <w:shd w:val="clear" w:color="auto" w:fill="auto"/>
        <w:snapToGrid w:val="0"/>
        <w:spacing w:line="36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开标准备：本项目开标的准备工作由采购组织机构负责落实，开标过程由采购组织机构负责记录；</w:t>
      </w:r>
    </w:p>
    <w:p>
      <w:pPr>
        <w:pStyle w:val="14"/>
        <w:shd w:val="clear" w:color="auto" w:fill="auto"/>
        <w:snapToGrid w:val="0"/>
        <w:spacing w:line="36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开标主持：本项目开标由采购人或者采购代理机构主持；</w:t>
      </w:r>
    </w:p>
    <w:p>
      <w:pPr>
        <w:pStyle w:val="14"/>
        <w:shd w:val="clear" w:color="auto" w:fill="auto"/>
        <w:snapToGrid w:val="0"/>
        <w:spacing w:line="360" w:lineRule="auto"/>
        <w:ind w:firstLine="420"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开标邀请：本项目采用电子交易，采购组织机构将按照采购文件规定的时间通过“</w:t>
      </w:r>
      <w:r>
        <w:rPr>
          <w:rFonts w:hint="eastAsia" w:ascii="宋体" w:hAnsi="宋体" w:eastAsia="宋体" w:cs="宋体"/>
          <w:b w:val="0"/>
          <w:color w:val="auto"/>
          <w:sz w:val="21"/>
          <w:szCs w:val="21"/>
          <w:highlight w:val="none"/>
          <w:lang w:eastAsia="zh-CN"/>
        </w:rPr>
        <w:t>新疆</w:t>
      </w:r>
      <w:r>
        <w:rPr>
          <w:rFonts w:hint="eastAsia" w:ascii="宋体" w:hAnsi="宋体" w:eastAsia="宋体" w:cs="宋体"/>
          <w:b w:val="0"/>
          <w:color w:val="auto"/>
          <w:sz w:val="21"/>
          <w:szCs w:val="21"/>
          <w:highlight w:val="none"/>
        </w:rPr>
        <w:t>政府采购云平台，网址：</w:t>
      </w:r>
      <w:r>
        <w:rPr>
          <w:rFonts w:hint="eastAsia" w:ascii="宋体" w:hAnsi="宋体" w:eastAsia="宋体" w:cs="宋体"/>
          <w:b w:val="0"/>
          <w:color w:val="auto"/>
          <w:sz w:val="21"/>
          <w:szCs w:val="21"/>
          <w:highlight w:val="none"/>
        </w:rPr>
        <w:fldChar w:fldCharType="begin"/>
      </w:r>
      <w:r>
        <w:rPr>
          <w:rFonts w:hint="eastAsia" w:ascii="宋体" w:hAnsi="宋体" w:eastAsia="宋体" w:cs="宋体"/>
          <w:b w:val="0"/>
          <w:color w:val="auto"/>
          <w:sz w:val="21"/>
          <w:szCs w:val="21"/>
          <w:highlight w:val="none"/>
        </w:rPr>
        <w:instrText xml:space="preserve">HYPERLINK "http://www.zcygov.cn"</w:instrText>
      </w:r>
      <w:r>
        <w:rPr>
          <w:rFonts w:hint="eastAsia" w:ascii="宋体" w:hAnsi="宋体" w:eastAsia="宋体" w:cs="宋体"/>
          <w:b w:val="0"/>
          <w:color w:val="auto"/>
          <w:sz w:val="21"/>
          <w:szCs w:val="21"/>
          <w:highlight w:val="none"/>
        </w:rPr>
        <w:fldChar w:fldCharType="separate"/>
      </w:r>
      <w:r>
        <w:rPr>
          <w:rStyle w:val="37"/>
          <w:rFonts w:hint="eastAsia" w:ascii="宋体" w:hAnsi="宋体" w:eastAsia="宋体" w:cs="宋体"/>
          <w:b w:val="0"/>
          <w:color w:val="auto"/>
          <w:sz w:val="21"/>
          <w:szCs w:val="21"/>
          <w:highlight w:val="none"/>
          <w:u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b w:val="0"/>
          <w:color w:val="auto"/>
          <w:sz w:val="21"/>
          <w:szCs w:val="21"/>
          <w:highlight w:val="none"/>
        </w:rPr>
        <w:t>”组织开标、开启投标响应文件，所有供应商均应当准时在线参加。</w:t>
      </w:r>
    </w:p>
    <w:p>
      <w:pPr>
        <w:pStyle w:val="14"/>
        <w:shd w:val="clear" w:color="auto" w:fill="auto"/>
        <w:snapToGrid w:val="0"/>
        <w:spacing w:line="360" w:lineRule="auto"/>
        <w:ind w:firstLine="420" w:firstLineChars="200"/>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outlineLvl w:val="2"/>
        <w:rPr>
          <w:rFonts w:hint="eastAsia" w:ascii="宋体" w:hAnsi="宋体" w:eastAsia="宋体" w:cs="宋体"/>
          <w:b/>
          <w:color w:val="auto"/>
          <w:sz w:val="21"/>
          <w:szCs w:val="21"/>
          <w:highlight w:val="none"/>
        </w:rPr>
      </w:pPr>
      <w:bookmarkStart w:id="33" w:name="_Toc73975823"/>
      <w:r>
        <w:rPr>
          <w:rFonts w:hint="eastAsia" w:ascii="宋体" w:hAnsi="宋体" w:eastAsia="宋体" w:cs="宋体"/>
          <w:b/>
          <w:color w:val="auto"/>
          <w:sz w:val="21"/>
          <w:szCs w:val="21"/>
          <w:highlight w:val="none"/>
          <w:lang w:val="en-US" w:eastAsia="zh-CN"/>
        </w:rPr>
        <w:t>28.2</w:t>
      </w:r>
      <w:r>
        <w:rPr>
          <w:rFonts w:hint="eastAsia" w:ascii="宋体" w:hAnsi="宋体" w:eastAsia="宋体" w:cs="宋体"/>
          <w:b/>
          <w:bCs/>
          <w:color w:val="auto"/>
          <w:sz w:val="21"/>
          <w:szCs w:val="21"/>
          <w:highlight w:val="none"/>
        </w:rPr>
        <w:t>开标程序（先资格、商务技术后报价）</w:t>
      </w:r>
      <w:bookmarkEnd w:id="33"/>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开标时间到后，主持人宣布开标会议开始。</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投标文件解密（</w:t>
      </w:r>
      <w:r>
        <w:rPr>
          <w:rFonts w:hint="eastAsia" w:ascii="宋体" w:hAnsi="宋体" w:eastAsia="宋体" w:cs="宋体"/>
          <w:b/>
          <w:color w:val="auto"/>
          <w:kern w:val="0"/>
          <w:sz w:val="21"/>
          <w:szCs w:val="21"/>
          <w:highlight w:val="none"/>
        </w:rPr>
        <w:t>解密规定见《供应商须知前附表》</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投标文件解密异常情况处理（</w:t>
      </w:r>
      <w:r>
        <w:rPr>
          <w:rFonts w:hint="eastAsia" w:ascii="宋体" w:hAnsi="宋体" w:eastAsia="宋体" w:cs="宋体"/>
          <w:b/>
          <w:color w:val="auto"/>
          <w:kern w:val="0"/>
          <w:sz w:val="21"/>
          <w:szCs w:val="21"/>
          <w:highlight w:val="none"/>
        </w:rPr>
        <w:t>处理办法见《供应商须知前附表》</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w:t>
      </w:r>
    </w:p>
    <w:p>
      <w:pPr>
        <w:shd w:val="clear" w:color="auto" w:fill="auto"/>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公布投标文件解密情况（投标文件成功解密的供应商名单等信息）。</w:t>
      </w:r>
    </w:p>
    <w:p>
      <w:pPr>
        <w:shd w:val="clear" w:color="auto" w:fill="auto"/>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开启标书信息（资格</w:t>
      </w:r>
      <w:r>
        <w:rPr>
          <w:rFonts w:hint="eastAsia" w:ascii="宋体" w:hAnsi="宋体" w:eastAsia="宋体" w:cs="宋体"/>
          <w:color w:val="auto"/>
          <w:kern w:val="0"/>
          <w:sz w:val="21"/>
          <w:szCs w:val="21"/>
          <w:highlight w:val="none"/>
          <w:lang w:eastAsia="zh-CN"/>
        </w:rPr>
        <w:t>证明</w:t>
      </w:r>
      <w:r>
        <w:rPr>
          <w:rFonts w:hint="eastAsia" w:ascii="宋体" w:hAnsi="宋体" w:eastAsia="宋体" w:cs="宋体"/>
          <w:color w:val="auto"/>
          <w:kern w:val="0"/>
          <w:sz w:val="21"/>
          <w:szCs w:val="21"/>
          <w:highlight w:val="none"/>
        </w:rPr>
        <w:t>文件、商务技术文件）。标书信息开启后，首先由采购人或采购代理机构</w:t>
      </w:r>
      <w:r>
        <w:rPr>
          <w:rFonts w:hint="eastAsia" w:ascii="宋体" w:hAnsi="宋体" w:eastAsia="宋体" w:cs="宋体"/>
          <w:color w:val="auto"/>
          <w:kern w:val="0"/>
          <w:sz w:val="21"/>
          <w:szCs w:val="21"/>
          <w:highlight w:val="none"/>
          <w:lang w:eastAsia="zh-CN"/>
        </w:rPr>
        <w:t>或评审小组</w:t>
      </w:r>
      <w:r>
        <w:rPr>
          <w:rFonts w:hint="eastAsia" w:ascii="宋体" w:hAnsi="宋体" w:eastAsia="宋体" w:cs="宋体"/>
          <w:color w:val="auto"/>
          <w:kern w:val="0"/>
          <w:sz w:val="21"/>
          <w:szCs w:val="21"/>
          <w:highlight w:val="none"/>
        </w:rPr>
        <w:t>依法对投标供应商的资格</w:t>
      </w:r>
      <w:r>
        <w:rPr>
          <w:rFonts w:hint="eastAsia" w:ascii="宋体" w:hAnsi="宋体" w:eastAsia="宋体" w:cs="宋体"/>
          <w:color w:val="auto"/>
          <w:kern w:val="0"/>
          <w:sz w:val="21"/>
          <w:szCs w:val="21"/>
          <w:highlight w:val="none"/>
          <w:lang w:eastAsia="zh-CN"/>
        </w:rPr>
        <w:t>证明</w:t>
      </w:r>
      <w:r>
        <w:rPr>
          <w:rFonts w:hint="eastAsia" w:ascii="宋体" w:hAnsi="宋体" w:eastAsia="宋体" w:cs="宋体"/>
          <w:color w:val="auto"/>
          <w:kern w:val="0"/>
          <w:sz w:val="21"/>
          <w:szCs w:val="21"/>
          <w:highlight w:val="none"/>
        </w:rPr>
        <w:t>文件进行审查， 审查结束公布投标供应商的资格符合情况。资格审查未获通过的供应商，其商务技术文件及报价文件不再进入评审。</w:t>
      </w:r>
    </w:p>
    <w:p>
      <w:pPr>
        <w:shd w:val="clear" w:color="auto" w:fill="auto"/>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商务技术评审无效的供应商，其报价不再进入评审。</w:t>
      </w:r>
    </w:p>
    <w:p>
      <w:pPr>
        <w:shd w:val="clear" w:color="auto" w:fill="auto"/>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开启有效投标供应商的报价，公布开标一览表有关内容，</w:t>
      </w:r>
      <w:r>
        <w:rPr>
          <w:rFonts w:hint="eastAsia" w:ascii="宋体" w:hAnsi="宋体" w:eastAsia="宋体" w:cs="宋体"/>
          <w:color w:val="auto"/>
          <w:sz w:val="21"/>
          <w:szCs w:val="21"/>
          <w:highlight w:val="none"/>
          <w:lang w:bidi="zh-CN"/>
        </w:rPr>
        <w:t>并【开启签字时段】，供应商对开标纪录进行在线签字确认（不予确认的应说明理由，否则视为无异议）</w:t>
      </w:r>
      <w:r>
        <w:rPr>
          <w:rFonts w:hint="eastAsia" w:ascii="宋体" w:hAnsi="宋体" w:eastAsia="宋体" w:cs="宋体"/>
          <w:color w:val="auto"/>
          <w:kern w:val="0"/>
          <w:sz w:val="21"/>
          <w:szCs w:val="21"/>
          <w:highlight w:val="none"/>
        </w:rPr>
        <w:t>。开标结束后，由评标委员会对报价的合理性、准确性等进行审查核实</w:t>
      </w:r>
      <w:r>
        <w:rPr>
          <w:rFonts w:hint="eastAsia" w:ascii="宋体" w:hAnsi="宋体" w:eastAsia="宋体" w:cs="宋体"/>
          <w:color w:val="auto"/>
          <w:sz w:val="21"/>
          <w:szCs w:val="21"/>
          <w:highlight w:val="none"/>
        </w:rPr>
        <w:t>。</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评审结束后，采购代理机构在系统上公布评审结果。</w:t>
      </w:r>
    </w:p>
    <w:p>
      <w:pPr>
        <w:shd w:val="clear" w:color="auto" w:fill="auto"/>
        <w:snapToGrid w:val="0"/>
        <w:spacing w:line="360" w:lineRule="auto"/>
        <w:ind w:left="48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特别情况说明：</w:t>
      </w:r>
    </w:p>
    <w:p>
      <w:pPr>
        <w:shd w:val="clear" w:color="auto" w:fill="auto"/>
        <w:snapToGrid w:val="0"/>
        <w:spacing w:line="360" w:lineRule="auto"/>
        <w:ind w:firstLine="373"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（1）本项目采用电子交易，如遇“</w:t>
      </w:r>
      <w:r>
        <w:rPr>
          <w:rFonts w:hint="eastAsia" w:ascii="宋体" w:hAnsi="宋体" w:eastAsia="宋体" w:cs="宋体"/>
          <w:b/>
          <w:color w:val="auto"/>
          <w:kern w:val="0"/>
          <w:sz w:val="21"/>
          <w:szCs w:val="21"/>
          <w:highlight w:val="none"/>
          <w:lang w:eastAsia="zh-CN"/>
        </w:rPr>
        <w:t>新疆</w:t>
      </w:r>
      <w:r>
        <w:rPr>
          <w:rFonts w:hint="eastAsia" w:ascii="宋体" w:hAnsi="宋体" w:eastAsia="宋体" w:cs="宋体"/>
          <w:b/>
          <w:color w:val="auto"/>
          <w:kern w:val="0"/>
          <w:sz w:val="21"/>
          <w:szCs w:val="21"/>
          <w:highlight w:val="none"/>
        </w:rPr>
        <w:t>政府采购云平台”电子化开标或评审程序调整的，按调整后程序执行。</w:t>
      </w:r>
    </w:p>
    <w:p>
      <w:pPr>
        <w:shd w:val="clear" w:color="auto" w:fill="auto"/>
        <w:snapToGrid w:val="0"/>
        <w:spacing w:line="360" w:lineRule="auto"/>
        <w:ind w:firstLine="373" w:firstLineChars="177"/>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宋体" w:hAnsi="宋体" w:eastAsia="宋体" w:cs="宋体"/>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宋体" w:hAnsi="宋体" w:eastAsia="宋体" w:cs="宋体"/>
          <w:b/>
          <w:color w:val="auto"/>
          <w:kern w:val="0"/>
          <w:sz w:val="21"/>
          <w:szCs w:val="21"/>
          <w:highlight w:val="none"/>
        </w:rPr>
        <w:t>。</w:t>
      </w:r>
    </w:p>
    <w:p>
      <w:pPr>
        <w:shd w:val="clear" w:color="auto" w:fill="auto"/>
        <w:snapToGrid w:val="0"/>
        <w:spacing w:line="360" w:lineRule="auto"/>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28.3</w:t>
      </w:r>
      <w:r>
        <w:rPr>
          <w:rFonts w:hint="eastAsia" w:ascii="宋体" w:hAnsi="宋体" w:eastAsia="宋体" w:cs="宋体"/>
          <w:b/>
          <w:color w:val="auto"/>
          <w:kern w:val="0"/>
          <w:sz w:val="21"/>
          <w:szCs w:val="21"/>
          <w:highlight w:val="none"/>
        </w:rPr>
        <w:t xml:space="preserve"> 投标供应商资格审查：</w:t>
      </w:r>
    </w:p>
    <w:p>
      <w:pPr>
        <w:shd w:val="clear" w:color="auto" w:fill="auto"/>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bCs/>
          <w:color w:val="auto"/>
          <w:kern w:val="0"/>
          <w:sz w:val="21"/>
          <w:szCs w:val="21"/>
          <w:highlight w:val="none"/>
        </w:rPr>
        <w:t>开标（标书信息开启）后，采购人或采购代理机构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bCs/>
          <w:color w:val="auto"/>
          <w:kern w:val="0"/>
          <w:sz w:val="21"/>
          <w:szCs w:val="21"/>
          <w:highlight w:val="none"/>
        </w:rPr>
        <w:t>首先依法对投标供应商的资格文件进行审查，审查各投标供应商的资格符合情况。</w:t>
      </w:r>
      <w:r>
        <w:rPr>
          <w:rFonts w:hint="eastAsia" w:ascii="宋体" w:hAnsi="宋体" w:eastAsia="宋体" w:cs="宋体"/>
          <w:color w:val="auto"/>
          <w:sz w:val="21"/>
          <w:szCs w:val="21"/>
          <w:highlight w:val="none"/>
        </w:rPr>
        <w:t>采购人或采购代理机构</w:t>
      </w:r>
      <w:r>
        <w:rPr>
          <w:rFonts w:hint="eastAsia" w:ascii="宋体" w:hAnsi="宋体" w:eastAsia="宋体" w:cs="宋体"/>
          <w:bCs/>
          <w:color w:val="auto"/>
          <w:kern w:val="0"/>
          <w:sz w:val="21"/>
          <w:szCs w:val="21"/>
          <w:highlight w:val="none"/>
          <w:lang w:eastAsia="zh-CN"/>
        </w:rPr>
        <w:t>或</w:t>
      </w:r>
      <w:r>
        <w:rPr>
          <w:rFonts w:hint="eastAsia" w:ascii="宋体" w:hAnsi="宋体" w:eastAsia="宋体" w:cs="宋体"/>
          <w:color w:val="auto"/>
          <w:kern w:val="0"/>
          <w:sz w:val="21"/>
          <w:szCs w:val="21"/>
          <w:highlight w:val="none"/>
          <w:lang w:eastAsia="zh-CN"/>
        </w:rPr>
        <w:t>评审小组</w:t>
      </w:r>
      <w:r>
        <w:rPr>
          <w:rFonts w:hint="eastAsia" w:ascii="宋体" w:hAnsi="宋体" w:eastAsia="宋体" w:cs="宋体"/>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7"/>
        <w:shd w:val="clear" w:color="auto" w:fill="auto"/>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eastAsia="宋体" w:cs="宋体"/>
          <w:b w:val="0"/>
          <w:bCs/>
          <w:color w:val="auto"/>
          <w:kern w:val="0"/>
          <w:sz w:val="21"/>
          <w:szCs w:val="21"/>
          <w:highlight w:val="none"/>
        </w:rPr>
        <w:t>供应商</w:t>
      </w:r>
      <w:r>
        <w:rPr>
          <w:rFonts w:hint="eastAsia" w:ascii="宋体" w:hAnsi="宋体" w:eastAsia="宋体" w:cs="宋体"/>
          <w:b w:val="0"/>
          <w:bCs/>
          <w:color w:val="auto"/>
          <w:sz w:val="21"/>
          <w:szCs w:val="21"/>
          <w:highlight w:val="none"/>
        </w:rPr>
        <w:t>信用记录查询与使用：</w:t>
      </w:r>
      <w:r>
        <w:rPr>
          <w:rFonts w:hint="eastAsia" w:ascii="宋体" w:hAnsi="宋体" w:eastAsia="宋体" w:cs="宋体"/>
          <w:b w:val="0"/>
          <w:bCs/>
          <w:color w:val="auto"/>
          <w:kern w:val="0"/>
          <w:sz w:val="21"/>
          <w:szCs w:val="21"/>
          <w:highlight w:val="none"/>
        </w:rPr>
        <w:t>见《供应商须知前附表》。</w:t>
      </w:r>
    </w:p>
    <w:p>
      <w:pPr>
        <w:shd w:val="clear" w:color="auto" w:fill="auto"/>
        <w:snapToGrid w:val="0"/>
        <w:spacing w:line="360" w:lineRule="auto"/>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29.评审工作的组织</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采购人或采购代理机构负责组织本项目的评审工作，并依据《政府采购货物和服务招标投标管理办法（财政部第87号令）》第四十五条的相关规定履行职责。</w:t>
      </w:r>
    </w:p>
    <w:p>
      <w:pPr>
        <w:widowControl/>
        <w:shd w:val="clear" w:color="auto" w:fill="auto"/>
        <w:spacing w:line="440" w:lineRule="exact"/>
        <w:ind w:firstLine="211"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30. 评标委员会的组建</w:t>
      </w:r>
    </w:p>
    <w:p>
      <w:pPr>
        <w:widowControl/>
        <w:shd w:val="clear" w:color="auto" w:fill="auto"/>
        <w:spacing w:line="440" w:lineRule="exact"/>
        <w:ind w:firstLine="210" w:firstLineChars="100"/>
        <w:rPr>
          <w:rFonts w:hint="eastAsia" w:ascii="宋体"/>
          <w:b/>
          <w:bCs/>
          <w:color w:val="auto"/>
          <w:szCs w:val="21"/>
          <w:highlight w:val="none"/>
        </w:rPr>
      </w:pPr>
      <w:r>
        <w:rPr>
          <w:rFonts w:hint="eastAsia" w:ascii="宋体"/>
          <w:color w:val="auto"/>
          <w:szCs w:val="21"/>
          <w:highlight w:val="none"/>
          <w:lang w:val="en-US" w:eastAsia="zh-CN"/>
        </w:rPr>
        <w:t>30</w:t>
      </w:r>
      <w:r>
        <w:rPr>
          <w:rFonts w:hint="eastAsia" w:ascii="宋体"/>
          <w:color w:val="auto"/>
          <w:szCs w:val="21"/>
          <w:highlight w:val="none"/>
        </w:rPr>
        <w:t>.1</w:t>
      </w:r>
      <w:r>
        <w:rPr>
          <w:rFonts w:hint="eastAsia" w:ascii="宋体"/>
          <w:b/>
          <w:bCs/>
          <w:color w:val="auto"/>
          <w:szCs w:val="21"/>
          <w:highlight w:val="none"/>
        </w:rPr>
        <w:t>评标委员会由采购人或采购代理机构依法组建，成员由采购人代表和评审专家组成，成员人数为</w:t>
      </w:r>
      <w:r>
        <w:rPr>
          <w:rFonts w:hint="eastAsia" w:ascii="宋体"/>
          <w:b/>
          <w:bCs/>
          <w:color w:val="auto"/>
          <w:szCs w:val="21"/>
          <w:highlight w:val="none"/>
          <w:lang w:val="en-US" w:eastAsia="zh-CN"/>
        </w:rPr>
        <w:t>5</w:t>
      </w:r>
      <w:r>
        <w:rPr>
          <w:rFonts w:hint="eastAsia" w:ascii="宋体"/>
          <w:b/>
          <w:bCs/>
          <w:color w:val="auto"/>
          <w:szCs w:val="21"/>
          <w:highlight w:val="none"/>
        </w:rPr>
        <w:t>人，其中评审专家不少于成员总数的三分之二。</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30</w:t>
      </w:r>
      <w:r>
        <w:rPr>
          <w:rFonts w:hint="eastAsia" w:ascii="宋体"/>
          <w:color w:val="auto"/>
          <w:szCs w:val="21"/>
          <w:highlight w:val="none"/>
        </w:rPr>
        <w:t>.2评审专家从</w:t>
      </w:r>
      <w:r>
        <w:rPr>
          <w:rFonts w:hint="eastAsia" w:ascii="宋体"/>
          <w:color w:val="auto"/>
          <w:szCs w:val="21"/>
          <w:highlight w:val="none"/>
          <w:lang w:eastAsia="zh-CN"/>
        </w:rPr>
        <w:t>新疆</w:t>
      </w:r>
      <w:r>
        <w:rPr>
          <w:rFonts w:hint="eastAsia" w:ascii="宋体"/>
          <w:color w:val="auto"/>
          <w:szCs w:val="21"/>
          <w:highlight w:val="none"/>
        </w:rPr>
        <w:t>政府采购云平台专家库中通过随机方式抽取产生。评标委员会成员名单在采购结果公告前保密。</w:t>
      </w:r>
    </w:p>
    <w:p>
      <w:pPr>
        <w:widowControl/>
        <w:shd w:val="clear" w:color="auto" w:fill="auto"/>
        <w:spacing w:line="440" w:lineRule="exact"/>
        <w:ind w:firstLine="211"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31.评标委员会的职责</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.1审查、评价投标文件是否符合采购文件的商务、技术等实质性要求。</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.2要求供应商对投标文件有关事项作出澄清或者说明。</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.3对投标文件进行比较和评价。</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.4确定中标候选人名单，以及根据采购人委托直接确定中标人。</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31</w:t>
      </w:r>
      <w:r>
        <w:rPr>
          <w:rFonts w:hint="eastAsia" w:ascii="宋体"/>
          <w:color w:val="auto"/>
          <w:szCs w:val="21"/>
          <w:highlight w:val="none"/>
        </w:rPr>
        <w:t>.5向采购人、采购代理机构或者有关部门报告评审中发现的违法行为。</w:t>
      </w:r>
    </w:p>
    <w:p>
      <w:pPr>
        <w:widowControl/>
        <w:shd w:val="clear" w:color="auto" w:fill="auto"/>
        <w:spacing w:line="440" w:lineRule="exact"/>
        <w:ind w:firstLine="211"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32. 评标原则</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 xml:space="preserve">.2客观公正对待所有供应商，对所有投标评价均采用相同的程序和标准。 </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32</w:t>
      </w:r>
      <w:r>
        <w:rPr>
          <w:rFonts w:hint="eastAsia" w:ascii="宋体"/>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pPr>
        <w:widowControl/>
        <w:shd w:val="clear" w:color="auto" w:fill="auto"/>
        <w:spacing w:line="440" w:lineRule="exact"/>
        <w:ind w:firstLine="211" w:firstLineChars="1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33. 评委纪律</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11" w:firstLineChars="100"/>
        <w:rPr>
          <w:rFonts w:hint="eastAsia" w:ascii="宋体"/>
          <w:color w:val="auto"/>
          <w:szCs w:val="21"/>
          <w:highlight w:val="none"/>
        </w:rPr>
      </w:pPr>
      <w:r>
        <w:rPr>
          <w:rFonts w:hint="eastAsia" w:ascii="宋体" w:hAnsi="宋体" w:eastAsia="宋体" w:cs="宋体"/>
          <w:b/>
          <w:color w:val="auto"/>
          <w:sz w:val="21"/>
          <w:szCs w:val="21"/>
          <w:highlight w:val="none"/>
          <w:lang w:val="en-US" w:eastAsia="zh-CN"/>
        </w:rPr>
        <w:t>34.评标程序</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1 在评审专家中推选评标委员会组长，采购人代表不得担任评标委员会组长。</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3 评审人员对符合资格的供应商的投标文件的有效性、符合性、完整性和响应程度进行审查，确定是否对采购文件作出实质性响应。</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4 评审人员按采购文件规定的评审方法和评审标准，依法独立对供应商投标文件进行评估、比较，并给予评价或打分，不受任何单位和个人的干预。</w:t>
      </w:r>
    </w:p>
    <w:p>
      <w:pPr>
        <w:widowControl/>
        <w:shd w:val="clear" w:color="auto" w:fill="auto"/>
        <w:spacing w:line="44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综合评分法货物项目的价格分值占总分值的比重(即权值)为</w:t>
      </w:r>
      <w:r>
        <w:rPr>
          <w:rFonts w:hint="eastAsia" w:ascii="宋体" w:hAnsi="宋体" w:cs="宋体"/>
          <w:color w:val="auto"/>
          <w:kern w:val="0"/>
          <w:szCs w:val="21"/>
          <w:highlight w:val="none"/>
          <w:lang w:val="en-US" w:eastAsia="zh-CN"/>
        </w:rPr>
        <w:t>25</w:t>
      </w:r>
      <w:r>
        <w:rPr>
          <w:rFonts w:hint="eastAsia" w:ascii="宋体" w:hAnsi="宋体" w:eastAsia="宋体" w:cs="宋体"/>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pPr>
        <w:widowControl/>
        <w:shd w:val="clear" w:color="auto" w:fill="auto"/>
        <w:spacing w:line="440" w:lineRule="exact"/>
        <w:ind w:firstLine="48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综合评分法中的价格分统一采用低价优先法计算，即满足</w:t>
      </w:r>
      <w:r>
        <w:rPr>
          <w:rFonts w:hint="eastAsia" w:ascii="宋体" w:hAnsi="宋体" w:eastAsia="宋体" w:cs="宋体"/>
          <w:color w:val="auto"/>
          <w:kern w:val="0"/>
          <w:szCs w:val="21"/>
          <w:highlight w:val="none"/>
          <w:lang w:eastAsia="zh-CN"/>
        </w:rPr>
        <w:t>招标</w:t>
      </w:r>
      <w:r>
        <w:rPr>
          <w:rFonts w:hint="eastAsia" w:ascii="宋体" w:hAnsi="宋体" w:eastAsia="宋体" w:cs="宋体"/>
          <w:color w:val="auto"/>
          <w:kern w:val="0"/>
          <w:szCs w:val="21"/>
          <w:highlight w:val="none"/>
        </w:rPr>
        <w:t>文件要求且最后报价最低的供应商的价格为</w:t>
      </w:r>
      <w:r>
        <w:rPr>
          <w:rFonts w:hint="eastAsia" w:ascii="宋体" w:hAnsi="宋体" w:eastAsia="宋体" w:cs="宋体"/>
          <w:color w:val="auto"/>
          <w:kern w:val="0"/>
          <w:szCs w:val="21"/>
          <w:highlight w:val="none"/>
          <w:lang w:eastAsia="zh-CN"/>
        </w:rPr>
        <w:t>招标</w:t>
      </w:r>
      <w:r>
        <w:rPr>
          <w:rFonts w:hint="eastAsia" w:ascii="宋体" w:hAnsi="宋体" w:eastAsia="宋体" w:cs="宋体"/>
          <w:color w:val="auto"/>
          <w:kern w:val="0"/>
          <w:szCs w:val="21"/>
          <w:highlight w:val="none"/>
        </w:rPr>
        <w:t>基准价，其价格分为满分。其他供应商的价格分统一按照下列公式计算：</w:t>
      </w:r>
    </w:p>
    <w:p>
      <w:pPr>
        <w:widowControl/>
        <w:shd w:val="clear" w:color="auto" w:fill="auto"/>
        <w:spacing w:line="440" w:lineRule="exact"/>
        <w:ind w:firstLine="48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投标</w:t>
      </w:r>
      <w:r>
        <w:rPr>
          <w:rFonts w:hint="eastAsia" w:ascii="宋体" w:hAnsi="宋体" w:eastAsia="宋体" w:cs="宋体"/>
          <w:color w:val="auto"/>
          <w:kern w:val="0"/>
          <w:szCs w:val="21"/>
          <w:highlight w:val="none"/>
        </w:rPr>
        <w:t>报价得分=（基准价/</w:t>
      </w:r>
      <w:r>
        <w:rPr>
          <w:rFonts w:hint="eastAsia" w:ascii="宋体" w:hAnsi="宋体" w:eastAsia="宋体" w:cs="宋体"/>
          <w:color w:val="auto"/>
          <w:kern w:val="0"/>
          <w:szCs w:val="21"/>
          <w:highlight w:val="none"/>
          <w:lang w:eastAsia="zh-CN"/>
        </w:rPr>
        <w:t>投标</w:t>
      </w:r>
      <w:r>
        <w:rPr>
          <w:rFonts w:hint="eastAsia" w:ascii="宋体" w:hAnsi="宋体" w:eastAsia="宋体" w:cs="宋体"/>
          <w:color w:val="auto"/>
          <w:kern w:val="0"/>
          <w:szCs w:val="21"/>
          <w:highlight w:val="none"/>
        </w:rPr>
        <w:t>报价）×价格权值×100</w:t>
      </w:r>
    </w:p>
    <w:p>
      <w:pPr>
        <w:widowControl/>
        <w:shd w:val="clear" w:color="auto" w:fill="auto"/>
        <w:spacing w:line="440" w:lineRule="exact"/>
        <w:ind w:firstLine="480"/>
        <w:rPr>
          <w:rFonts w:hint="eastAsia" w:ascii="宋体"/>
          <w:color w:val="auto"/>
          <w:szCs w:val="21"/>
          <w:highlight w:val="none"/>
          <w:lang w:val="en-US" w:eastAsia="zh-CN"/>
        </w:rPr>
      </w:pPr>
      <w:r>
        <w:rPr>
          <w:rFonts w:hint="eastAsia" w:ascii="宋体" w:hAnsi="宋体" w:eastAsia="宋体" w:cs="宋体"/>
          <w:color w:val="auto"/>
          <w:kern w:val="0"/>
          <w:szCs w:val="21"/>
          <w:highlight w:val="none"/>
        </w:rPr>
        <w:t>项目评审过程中，不得去掉最后报价中的最高报价和最低报价。</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宋体"/>
          <w:color w:val="auto"/>
          <w:szCs w:val="21"/>
          <w:highlight w:val="none"/>
          <w:lang w:val="en-US" w:eastAsia="zh-CN"/>
        </w:rPr>
        <w:t>30</w:t>
      </w:r>
      <w:r>
        <w:rPr>
          <w:rFonts w:hint="eastAsia" w:ascii="宋体"/>
          <w:color w:val="auto"/>
          <w:szCs w:val="21"/>
          <w:highlight w:val="none"/>
        </w:rPr>
        <w:t>%以上的）情形的，应由相关人员当场改正或作出书面说明；拒不改正又不作书面说明的，由现场监督员如实记载后存入项目档案资料。</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7 评标委员会根据评审汇总情况和采购文件规定确定中标候选供应商排序名单。</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 xml:space="preserve">8 起草评审报告，所有评审人员须在评审报告上签字确认，对自己的评审意见承担法律责任。 </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9 采购组织机构对评标委员会评审专家进行评价。</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lang w:val="en-US" w:eastAsia="zh-CN"/>
        </w:rPr>
        <w:t>34.</w:t>
      </w:r>
      <w:r>
        <w:rPr>
          <w:rFonts w:hint="eastAsia" w:ascii="宋体"/>
          <w:color w:val="auto"/>
          <w:szCs w:val="21"/>
          <w:highlight w:val="none"/>
        </w:rPr>
        <w:t>10 修改评审结果</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评标结果汇总完成后，除下列情形外，任何人不得修改评标结果：</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（1）分值汇总计算错误的；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（2）分项评分超出评分标准范围的；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（3）评标委员会成员对客观评审因素评分不一致的；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（4）经评标委员会认定评分畸高、畸低的。</w:t>
      </w:r>
    </w:p>
    <w:p>
      <w:pPr>
        <w:widowControl/>
        <w:shd w:val="clear" w:color="auto" w:fill="auto"/>
        <w:spacing w:line="440" w:lineRule="exact"/>
        <w:ind w:firstLine="210" w:firstLineChars="100"/>
        <w:rPr>
          <w:rFonts w:hint="eastAsia" w:ascii="宋体"/>
          <w:color w:val="auto"/>
          <w:szCs w:val="21"/>
          <w:highlight w:val="none"/>
        </w:rPr>
      </w:pPr>
      <w:r>
        <w:rPr>
          <w:rFonts w:hint="eastAsia" w:ascii="宋体"/>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p>
    <w:p>
      <w:pPr>
        <w:shd w:val="clear" w:color="auto" w:fill="auto"/>
        <w:spacing w:line="440" w:lineRule="exact"/>
        <w:ind w:firstLine="211" w:firstLineChars="100"/>
        <w:jc w:val="left"/>
        <w:rPr>
          <w:rFonts w:hint="eastAsia" w:ascii="宋体"/>
          <w:b w:val="0"/>
          <w:bCs w:val="0"/>
          <w:color w:val="auto"/>
          <w:szCs w:val="21"/>
          <w:highlight w:val="none"/>
          <w:lang w:val="en-US" w:eastAsia="zh-CN"/>
        </w:rPr>
      </w:pPr>
      <w:r>
        <w:rPr>
          <w:rFonts w:hint="eastAsia" w:ascii="宋体" w:hAnsi="宋体" w:eastAsia="宋体" w:cs="宋体"/>
          <w:b/>
          <w:color w:val="auto"/>
          <w:sz w:val="21"/>
          <w:szCs w:val="21"/>
          <w:highlight w:val="none"/>
          <w:lang w:val="en-US" w:eastAsia="zh-CN"/>
        </w:rPr>
        <w:t>35．澄清、说明或补正的形式</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35.1对于投标文件中含义不明确、同类问题表述不一致或者有明显文字和计算错误的内容，评标委员会将通过“政府采购云平台”在线询标的方式要求投标供应商在规定的时间内作出必要的澄清、说明或者补正，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宋体"/>
          <w:b/>
          <w:bCs/>
          <w:color w:val="auto"/>
          <w:szCs w:val="21"/>
          <w:highlight w:val="none"/>
          <w:lang w:val="en-US" w:eastAsia="zh-CN"/>
        </w:rPr>
        <w:t>投标供应商澄清、说明或补正时间为20分钟</w:t>
      </w:r>
      <w:r>
        <w:rPr>
          <w:rFonts w:hint="eastAsia" w:ascii="宋体"/>
          <w:b w:val="0"/>
          <w:bCs w:val="0"/>
          <w:color w:val="auto"/>
          <w:szCs w:val="21"/>
          <w:highlight w:val="none"/>
          <w:lang w:val="en-US" w:eastAsia="zh-CN"/>
        </w:rPr>
        <w:t>。</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35.2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35.3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36．错误修正的原则</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36.1 投标函中表述的内容与报价表中不一致的，以报价表为准；报价表中的内容与报价明细表不一致的，以报价表为准；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36.2 投标文件中的大写金额和小写金额不一致的，以大写金额为准；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36.3 单价金额小数点或者百分比有明显错位的，以开标一览表的总价为准，并修改单价；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36.4 总价金额与按单价汇总金额不一致的，以单价金额计算结果为准；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36.5 若用文字表示的数值与用数字表示的数值不一致，以文字表示的数值为准；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36.7 对不同文字文本投标文件的解释发生异议的，以中文文本为准；</w:t>
      </w:r>
    </w:p>
    <w:p>
      <w:pPr>
        <w:shd w:val="clear" w:color="auto" w:fill="auto"/>
        <w:spacing w:line="440" w:lineRule="exact"/>
        <w:ind w:firstLine="210" w:firstLineChars="100"/>
        <w:jc w:val="left"/>
        <w:rPr>
          <w:rFonts w:hint="eastAsia" w:ascii="宋体"/>
          <w:b/>
          <w:bCs/>
          <w:color w:val="auto"/>
          <w:szCs w:val="21"/>
          <w:highlight w:val="none"/>
          <w:lang w:val="en-US" w:eastAsia="zh-CN"/>
        </w:rPr>
      </w:pPr>
      <w:r>
        <w:rPr>
          <w:rFonts w:hint="eastAsia" w:ascii="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宋体"/>
          <w:b/>
          <w:bCs/>
          <w:color w:val="auto"/>
          <w:szCs w:val="21"/>
          <w:highlight w:val="none"/>
          <w:lang w:val="en-US" w:eastAsia="zh-CN"/>
        </w:rPr>
        <w:t>修正应当采用电子询标的形式，并加盖公章（电子印章）。</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37．无效投标文件</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有下列情形之一的，投标文件按无效标处理：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 报名的投标人与参加投标的投标人发生实质性变更的且未提供有效证明的；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37.2投标人提交两份或两份以上内容不同的投标文件，未声明哪一份有效的；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37.3 投标文件非投标人法定代表人签署的，未提供或提供无效的法定代表人授权书；</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37.4 未按招标文件规定装订；</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37.5 投标文件内容未按招标文件规定签字或盖章的；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37.7 投标人未按招标文件变更通知更改投标文件的；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37.8 《开标一览表</w:t>
      </w:r>
      <w:r>
        <w:rPr>
          <w:rFonts w:hint="eastAsia" w:ascii="宋体" w:hAnsi="Times New Roman" w:eastAsia="宋体" w:cs="Times New Roman"/>
          <w:b w:val="0"/>
          <w:bCs w:val="0"/>
          <w:color w:val="auto"/>
          <w:szCs w:val="21"/>
          <w:highlight w:val="none"/>
          <w:lang w:val="en-US" w:eastAsia="zh-CN"/>
        </w:rPr>
        <w:t>》和《投标分项报价表》内容不完</w:t>
      </w:r>
      <w:r>
        <w:rPr>
          <w:rFonts w:hint="eastAsia" w:ascii="宋体"/>
          <w:b w:val="0"/>
          <w:bCs w:val="0"/>
          <w:color w:val="auto"/>
          <w:szCs w:val="21"/>
          <w:highlight w:val="none"/>
          <w:lang w:val="en-US" w:eastAsia="zh-CN"/>
        </w:rPr>
        <w:t>整且不接受修正意见或字迹不能辨认的或未提供；</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37.9 标项投标报价超过招标文件规定的预算金额或最高限价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37.10 因投标人原因编制错误造成经评标委员会修正后的报价达到或超过投标报价的0.5%；</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37.12 未实质性响应招标文件中条款要求的投标文件；</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37.13 不符合招标范围、技术规格、技术标准的要求无法满足采购人使用要求；</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37.14 投标文件附有采购人不能接受的条款；</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37.15 投标文件中提供了赠品或者与本项目采购无关的其他商品、服务；</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37.16 投标文件中承诺的投标有效期少于招标文件中载明的投标有效期；</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37.17投标人串通投标，妨碍其他投标人的竞争行为，损害采购人或者其他投标人的合法权益；</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37.18违反国家及政府部门相关法律、法规、文件规定或经评标委员会认定的其他属于重大偏离；</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38．废标</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38.1 符合招标文件规定废标情形的；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38.2 出现影响采购公正的违法、违规行为的；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38.3 供应商的报价均超过了采购预算（或最高限价），采购人不能支付的;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38.4 因重大变故，采购任务取消的。</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39．突发情况处理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39.1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 xml:space="preserve">（1）电子交易平台发生故障而无法登录访问的； </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（2）电子交易平台应用或数据库出现错误，不能进行正常操作的；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（3）电子交易平台发现严重安全漏洞，有潜在泄密危险的；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 xml:space="preserve">（4）病毒发作导致不能进行正常操作的； </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（5）其他无法保证电子交易的公平、公正和安全的情况。</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39.2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（1）短时间内能消除不可抗力因素的，采购代理机构或评审小组在消除不可抗力因素后继续组织电子交易活动；</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pacing w:line="440" w:lineRule="exact"/>
        <w:ind w:firstLine="211" w:firstLineChars="1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40.定标</w:t>
      </w:r>
    </w:p>
    <w:p>
      <w:pPr>
        <w:shd w:val="clear" w:color="auto" w:fill="auto"/>
        <w:spacing w:line="440" w:lineRule="exact"/>
        <w:ind w:firstLine="420" w:firstLineChars="200"/>
        <w:jc w:val="left"/>
        <w:rPr>
          <w:rFonts w:hint="eastAsia" w:ascii="宋体"/>
          <w:b w:val="0"/>
          <w:bCs w:val="0"/>
          <w:color w:val="auto"/>
          <w:szCs w:val="21"/>
          <w:highlight w:val="none"/>
          <w:lang w:val="en-US" w:eastAsia="zh-CN"/>
        </w:rPr>
      </w:pPr>
      <w:bookmarkStart w:id="34" w:name="_Toc469495729"/>
      <w:r>
        <w:rPr>
          <w:rFonts w:hint="eastAsia" w:ascii="宋体"/>
          <w:b w:val="0"/>
          <w:bCs w:val="0"/>
          <w:color w:val="auto"/>
          <w:szCs w:val="21"/>
          <w:highlight w:val="none"/>
          <w:lang w:val="en-US" w:eastAsia="zh-CN"/>
        </w:rPr>
        <w:t>4</w:t>
      </w:r>
      <w:r>
        <w:rPr>
          <w:rFonts w:hint="eastAsia" w:ascii="宋体" w:hAnsi="宋体" w:eastAsia="宋体" w:cs="宋体"/>
          <w:b/>
          <w:color w:val="auto"/>
          <w:sz w:val="21"/>
          <w:szCs w:val="21"/>
          <w:highlight w:val="none"/>
          <w:lang w:val="en-US" w:eastAsia="zh-CN"/>
        </w:rPr>
        <w:t>0</w:t>
      </w:r>
      <w:r>
        <w:rPr>
          <w:rFonts w:hint="eastAsia" w:ascii="宋体"/>
          <w:b w:val="0"/>
          <w:bCs w:val="0"/>
          <w:color w:val="auto"/>
          <w:szCs w:val="21"/>
          <w:highlight w:val="none"/>
          <w:lang w:val="en-US" w:eastAsia="zh-CN"/>
        </w:rPr>
        <w:t>.1采购结果确认（确定中标供应商）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（1）采购代理机构将在评审结束后2个工作日内将评审报告送采购人。</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40.2</w:t>
      </w:r>
      <w:r>
        <w:rPr>
          <w:rFonts w:hint="eastAsia" w:ascii="宋体"/>
          <w:b/>
          <w:bCs/>
          <w:color w:val="auto"/>
          <w:szCs w:val="21"/>
          <w:highlight w:val="none"/>
          <w:lang w:val="en-US" w:eastAsia="zh-CN"/>
        </w:rPr>
        <w:t>采购结果经采购人确认后2个工作日内，采购代理机构将在新疆政府采购网（www.zjzfcg.gov.cn）、克州公共资源交易中心网上公告采购结果，中标公告期限为1个工作日。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41. 中标通知书</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41.1</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通知书发出前，招标人将</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侯选人的情况在</w:t>
      </w:r>
      <w:r>
        <w:rPr>
          <w:rFonts w:hint="eastAsia" w:ascii="宋体" w:hAnsi="宋体" w:eastAsia="宋体" w:cs="宋体"/>
          <w:color w:val="auto"/>
          <w:szCs w:val="21"/>
          <w:highlight w:val="none"/>
          <w:lang w:eastAsia="zh-CN"/>
        </w:rPr>
        <w:t>新疆政府采购网、</w:t>
      </w:r>
      <w:r>
        <w:rPr>
          <w:rFonts w:hint="eastAsia" w:ascii="宋体" w:hAnsi="宋体" w:eastAsia="宋体" w:cs="宋体"/>
          <w:color w:val="auto"/>
          <w:szCs w:val="21"/>
          <w:highlight w:val="none"/>
          <w:lang w:val="en-US" w:eastAsia="zh-CN"/>
        </w:rPr>
        <w:t>克州公共资源交易中心网</w:t>
      </w:r>
      <w:r>
        <w:rPr>
          <w:rFonts w:hint="eastAsia" w:ascii="宋体" w:hAnsi="宋体" w:eastAsia="宋体" w:cs="宋体"/>
          <w:color w:val="auto"/>
          <w:szCs w:val="21"/>
          <w:highlight w:val="none"/>
        </w:rPr>
        <w:t>予以公示，</w:t>
      </w:r>
      <w:r>
        <w:rPr>
          <w:rFonts w:hint="eastAsia" w:ascii="宋体" w:hAnsi="宋体" w:eastAsia="宋体" w:cs="宋体"/>
          <w:b/>
          <w:bCs/>
          <w:color w:val="auto"/>
          <w:szCs w:val="21"/>
          <w:highlight w:val="none"/>
        </w:rPr>
        <w:t>公示期为</w:t>
      </w:r>
      <w:r>
        <w:rPr>
          <w:rFonts w:hint="eastAsia" w:ascii="宋体" w:hAnsi="宋体" w:eastAsia="宋体" w:cs="宋体"/>
          <w:b/>
          <w:bCs/>
          <w:color w:val="auto"/>
          <w:szCs w:val="21"/>
          <w:highlight w:val="none"/>
          <w:lang w:eastAsia="zh-CN"/>
        </w:rPr>
        <w:t>一</w:t>
      </w:r>
      <w:r>
        <w:rPr>
          <w:rFonts w:hint="eastAsia" w:ascii="宋体" w:hAnsi="宋体" w:eastAsia="宋体" w:cs="宋体"/>
          <w:b/>
          <w:bCs/>
          <w:color w:val="auto"/>
          <w:szCs w:val="21"/>
          <w:highlight w:val="none"/>
        </w:rPr>
        <w:t>个工作日。</w:t>
      </w:r>
      <w:r>
        <w:rPr>
          <w:rFonts w:hint="eastAsia" w:ascii="宋体" w:hAnsi="宋体" w:eastAsia="宋体" w:cs="宋体"/>
          <w:b/>
          <w:bCs/>
          <w:color w:val="auto"/>
          <w:szCs w:val="21"/>
          <w:highlight w:val="none"/>
          <w:lang w:eastAsia="zh-CN"/>
        </w:rPr>
        <w:t>待公示期结束后，</w:t>
      </w:r>
      <w:r>
        <w:rPr>
          <w:rFonts w:hint="eastAsia" w:ascii="宋体"/>
          <w:b/>
          <w:bCs/>
          <w:color w:val="auto"/>
          <w:szCs w:val="21"/>
          <w:highlight w:val="none"/>
          <w:lang w:val="en-US" w:eastAsia="zh-CN"/>
        </w:rPr>
        <w:t>采购组织机构向中标人发出中标通知书。</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41.2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pStyle w:val="49"/>
        <w:ind w:left="0" w:leftChars="0" w:firstLine="0" w:firstLineChars="0"/>
        <w:rPr>
          <w:rFonts w:hint="eastAsia" w:ascii="宋体"/>
          <w:b w:val="0"/>
          <w:bCs w:val="0"/>
          <w:color w:val="auto"/>
          <w:szCs w:val="21"/>
          <w:highlight w:val="none"/>
          <w:lang w:val="en-US" w:eastAsia="zh-CN"/>
        </w:rPr>
      </w:pPr>
    </w:p>
    <w:p>
      <w:pPr>
        <w:shd w:val="clear" w:color="auto" w:fill="auto"/>
        <w:spacing w:before="156" w:beforeLines="50" w:line="440" w:lineRule="exact"/>
        <w:ind w:firstLine="3080" w:firstLineChars="1100"/>
        <w:jc w:val="both"/>
        <w:outlineLvl w:val="2"/>
        <w:rPr>
          <w:rFonts w:hint="eastAsia" w:ascii="黑体" w:eastAsia="黑体"/>
          <w:color w:val="auto"/>
          <w:sz w:val="24"/>
          <w:highlight w:val="none"/>
        </w:rPr>
      </w:pPr>
      <w:r>
        <w:rPr>
          <w:rFonts w:hint="eastAsia" w:ascii="黑体" w:eastAsia="黑体"/>
          <w:color w:val="auto"/>
          <w:sz w:val="28"/>
          <w:szCs w:val="28"/>
          <w:highlight w:val="none"/>
        </w:rPr>
        <w:t>（六）合同的授予</w:t>
      </w:r>
      <w:bookmarkEnd w:id="34"/>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bookmarkStart w:id="35" w:name="_Toc73975842"/>
      <w:bookmarkStart w:id="36" w:name="_Toc469495730"/>
      <w:r>
        <w:rPr>
          <w:rFonts w:hint="eastAsia" w:ascii="宋体"/>
          <w:b w:val="0"/>
          <w:bCs w:val="0"/>
          <w:color w:val="auto"/>
          <w:szCs w:val="21"/>
          <w:highlight w:val="none"/>
          <w:lang w:val="en-US" w:eastAsia="zh-CN"/>
        </w:rPr>
        <w:t>42．履约保证金</w:t>
      </w:r>
      <w:bookmarkEnd w:id="35"/>
    </w:p>
    <w:p>
      <w:pPr>
        <w:widowControl/>
        <w:spacing w:line="440" w:lineRule="exact"/>
        <w:ind w:firstLine="210" w:firstLineChars="100"/>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42.1 中标供应商在签订合同后5个工作日内向采购人交纳中标价</w:t>
      </w:r>
      <w:r>
        <w:rPr>
          <w:rFonts w:hint="eastAsia" w:ascii="宋体"/>
          <w:b/>
          <w:bCs/>
          <w:color w:val="auto"/>
          <w:szCs w:val="21"/>
          <w:highlight w:val="none"/>
          <w:lang w:val="en-US" w:eastAsia="zh-CN"/>
        </w:rPr>
        <w:t>5%的履约保证金</w:t>
      </w:r>
      <w:r>
        <w:rPr>
          <w:rFonts w:hint="eastAsia" w:ascii="宋体"/>
          <w:b w:val="0"/>
          <w:bCs w:val="0"/>
          <w:color w:val="auto"/>
          <w:szCs w:val="21"/>
          <w:highlight w:val="none"/>
          <w:lang w:val="en-US" w:eastAsia="zh-CN"/>
        </w:rPr>
        <w:t>（</w:t>
      </w:r>
      <w:r>
        <w:rPr>
          <w:rFonts w:hint="eastAsia" w:ascii="宋体" w:hAnsi="宋体" w:cs="宋体"/>
          <w:color w:val="auto"/>
          <w:kern w:val="0"/>
          <w:szCs w:val="21"/>
          <w:lang w:eastAsia="zh-CN"/>
        </w:rPr>
        <w:t>本项目履约保证金接收保函形式</w:t>
      </w:r>
      <w:r>
        <w:rPr>
          <w:rFonts w:hint="eastAsia" w:ascii="宋体"/>
          <w:b w:val="0"/>
          <w:bCs w:val="0"/>
          <w:color w:val="auto"/>
          <w:szCs w:val="21"/>
          <w:highlight w:val="none"/>
          <w:lang w:val="en-US" w:eastAsia="zh-CN"/>
        </w:rPr>
        <w:t>；若以电汇、银行转账方式提交的，必须转到采购人的指定账户）。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42.2 签订合同后，如中标供应商不按合同约定履约的，履约保证金不予退还，履约保证金不足以赔偿损失的，按实际损失赔偿。</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42.3 如果中标供应商在供货期内没有涉及采购人的应付而未付金额或违约行为，采购人在项目验收合格后或提前终止合同后全额无息退还履约保证金。</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bookmarkStart w:id="37" w:name="_Toc73975843"/>
      <w:r>
        <w:rPr>
          <w:rFonts w:hint="eastAsia" w:ascii="宋体"/>
          <w:b w:val="0"/>
          <w:bCs w:val="0"/>
          <w:color w:val="auto"/>
          <w:szCs w:val="21"/>
          <w:highlight w:val="none"/>
          <w:lang w:val="en-US" w:eastAsia="zh-CN"/>
        </w:rPr>
        <w:t>43．签订合同及公告</w:t>
      </w:r>
      <w:bookmarkEnd w:id="37"/>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43.1采购人在中标通知书发出之日起30日内与中标供应商签订合同。</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43.2中标供应商拖延、拒签合同的,取消中标资格。</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43.3 采购文件、中标供应商的投标文件及评标过程中有关澄清文件等均作为签订合同的依据。所签订的合同不得对采购文件和中标供应商的投标文件的内容作实质性修改。</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43.4采购人应当自政府采购合同签订之日起2个工作日内，在省级以上财政部门指定的政府采购信息发布媒体及相关网站上公告。</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43.5采购人应当自政府采购合同签订之日起7个工作日内，将政府采购合同副本报同级人民政府财政部门备案以及采购代理机构存档。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2"/>
        <w:rPr>
          <w:rFonts w:hint="eastAsia" w:ascii="黑体" w:eastAsia="黑体"/>
          <w:color w:val="auto"/>
          <w:sz w:val="28"/>
          <w:szCs w:val="28"/>
          <w:highlight w:val="none"/>
        </w:rPr>
      </w:pPr>
      <w:r>
        <w:rPr>
          <w:rFonts w:hint="eastAsia" w:ascii="黑体" w:eastAsia="黑体"/>
          <w:color w:val="auto"/>
          <w:sz w:val="28"/>
          <w:szCs w:val="28"/>
          <w:highlight w:val="none"/>
        </w:rPr>
        <w:t>（七）纪律和监督</w:t>
      </w:r>
      <w:bookmarkEnd w:id="36"/>
    </w:p>
    <w:p>
      <w:pPr>
        <w:shd w:val="clear" w:color="auto" w:fill="auto"/>
        <w:spacing w:line="440" w:lineRule="exact"/>
        <w:ind w:firstLine="310" w:firstLineChars="147"/>
        <w:jc w:val="left"/>
        <w:rPr>
          <w:rFonts w:hint="eastAsia" w:ascii="宋体"/>
          <w:b/>
          <w:color w:val="auto"/>
          <w:szCs w:val="21"/>
          <w:highlight w:val="none"/>
        </w:rPr>
      </w:pPr>
      <w:r>
        <w:rPr>
          <w:rFonts w:hint="eastAsia" w:ascii="宋体"/>
          <w:b/>
          <w:color w:val="auto"/>
          <w:szCs w:val="21"/>
          <w:highlight w:val="none"/>
          <w:lang w:val="en-US" w:eastAsia="zh-CN"/>
        </w:rPr>
        <w:t>44</w:t>
      </w:r>
      <w:r>
        <w:rPr>
          <w:rFonts w:hint="eastAsia" w:ascii="宋体"/>
          <w:b/>
          <w:color w:val="auto"/>
          <w:szCs w:val="21"/>
          <w:highlight w:val="none"/>
        </w:rPr>
        <w:t xml:space="preserve">. 对招标人的纪律要求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44</w:t>
      </w:r>
      <w:r>
        <w:rPr>
          <w:rFonts w:hint="eastAsia" w:ascii="宋体"/>
          <w:color w:val="auto"/>
          <w:kern w:val="10"/>
          <w:szCs w:val="21"/>
          <w:highlight w:val="none"/>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10" w:firstLineChars="147"/>
        <w:jc w:val="left"/>
        <w:rPr>
          <w:rFonts w:hint="eastAsia" w:ascii="宋体"/>
          <w:b/>
          <w:color w:val="auto"/>
          <w:szCs w:val="21"/>
          <w:highlight w:val="none"/>
        </w:rPr>
      </w:pPr>
      <w:r>
        <w:rPr>
          <w:rFonts w:hint="eastAsia" w:ascii="宋体"/>
          <w:b/>
          <w:color w:val="auto"/>
          <w:szCs w:val="21"/>
          <w:highlight w:val="none"/>
          <w:lang w:val="en-US" w:eastAsia="zh-CN"/>
        </w:rPr>
        <w:t>45</w:t>
      </w:r>
      <w:r>
        <w:rPr>
          <w:rFonts w:hint="eastAsia" w:ascii="宋体"/>
          <w:b/>
          <w:color w:val="auto"/>
          <w:szCs w:val="21"/>
          <w:highlight w:val="none"/>
        </w:rPr>
        <w:t xml:space="preserve">. 对投标人的纪律要求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45</w:t>
      </w:r>
      <w:r>
        <w:rPr>
          <w:rFonts w:hint="eastAsia" w:ascii="宋体"/>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pacing w:line="440" w:lineRule="exact"/>
        <w:ind w:firstLine="310" w:firstLineChars="147"/>
        <w:jc w:val="left"/>
        <w:rPr>
          <w:rFonts w:hint="eastAsia" w:ascii="宋体"/>
          <w:b/>
          <w:color w:val="auto"/>
          <w:szCs w:val="21"/>
          <w:highlight w:val="none"/>
        </w:rPr>
      </w:pPr>
      <w:r>
        <w:rPr>
          <w:rFonts w:hint="eastAsia" w:ascii="宋体"/>
          <w:b/>
          <w:color w:val="auto"/>
          <w:szCs w:val="21"/>
          <w:highlight w:val="none"/>
          <w:lang w:val="en-US" w:eastAsia="zh-CN"/>
        </w:rPr>
        <w:t>46</w:t>
      </w:r>
      <w:r>
        <w:rPr>
          <w:rFonts w:hint="eastAsia" w:ascii="宋体"/>
          <w:b/>
          <w:color w:val="auto"/>
          <w:szCs w:val="21"/>
          <w:highlight w:val="none"/>
        </w:rPr>
        <w:t xml:space="preserve">. 对评标委员会成员的纪律要求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46</w:t>
      </w:r>
      <w:r>
        <w:rPr>
          <w:rFonts w:hint="eastAsia" w:ascii="宋体"/>
          <w:color w:val="auto"/>
          <w:kern w:val="10"/>
          <w:szCs w:val="21"/>
          <w:highlight w:val="none"/>
        </w:rPr>
        <w:t>.1评标委员会成员不得收受他人的财物或者其他好处，不得向他人透漏对投标文件的评审和比较、中标候选人的推荐情况以及评标有关的其他情况。</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lang w:val="en-US" w:eastAsia="zh-CN"/>
        </w:rPr>
        <w:t>46</w:t>
      </w:r>
      <w:r>
        <w:rPr>
          <w:rFonts w:hint="eastAsia" w:ascii="宋体"/>
          <w:color w:val="auto"/>
          <w:kern w:val="10"/>
          <w:szCs w:val="21"/>
          <w:highlight w:val="none"/>
        </w:rPr>
        <w:t xml:space="preserve">.2在评标活动中，评标委员会成员不得擅离职守，影响评标程序正常进行，不得使用第三章“评标办法”没有规定的评审因素和标准进行评标。 </w:t>
      </w:r>
    </w:p>
    <w:p>
      <w:pPr>
        <w:shd w:val="clear" w:color="auto" w:fill="auto"/>
        <w:adjustRightInd w:val="0"/>
        <w:snapToGrid w:val="0"/>
        <w:spacing w:line="440" w:lineRule="exact"/>
        <w:ind w:firstLine="316" w:firstLineChars="150"/>
        <w:rPr>
          <w:rFonts w:hint="eastAsia" w:ascii="宋体"/>
          <w:b/>
          <w:color w:val="auto"/>
          <w:szCs w:val="21"/>
          <w:highlight w:val="none"/>
        </w:rPr>
      </w:pPr>
      <w:r>
        <w:rPr>
          <w:rFonts w:hint="eastAsia" w:ascii="宋体"/>
          <w:b/>
          <w:color w:val="auto"/>
          <w:szCs w:val="21"/>
          <w:highlight w:val="none"/>
          <w:lang w:val="en-US" w:eastAsia="zh-CN"/>
        </w:rPr>
        <w:t>47</w:t>
      </w:r>
      <w:r>
        <w:rPr>
          <w:rFonts w:hint="eastAsia" w:ascii="宋体"/>
          <w:b/>
          <w:color w:val="auto"/>
          <w:szCs w:val="21"/>
          <w:highlight w:val="none"/>
        </w:rPr>
        <w:t xml:space="preserve">. 对与评标活动有关的工作人员的纪律要求 </w:t>
      </w:r>
    </w:p>
    <w:p>
      <w:pPr>
        <w:shd w:val="clear" w:color="auto" w:fill="auto"/>
        <w:adjustRightInd w:val="0"/>
        <w:snapToGrid w:val="0"/>
        <w:spacing w:line="440" w:lineRule="exact"/>
        <w:ind w:firstLine="315" w:firstLineChars="150"/>
        <w:rPr>
          <w:rFonts w:hint="eastAsia" w:ascii="宋体"/>
          <w:color w:val="auto"/>
          <w:kern w:val="10"/>
          <w:szCs w:val="21"/>
          <w:highlight w:val="none"/>
        </w:rPr>
      </w:pPr>
      <w:r>
        <w:rPr>
          <w:rFonts w:hint="eastAsia" w:ascii="宋体"/>
          <w:color w:val="auto"/>
          <w:kern w:val="10"/>
          <w:szCs w:val="21"/>
          <w:highlight w:val="none"/>
        </w:rPr>
        <w:t>4</w:t>
      </w:r>
      <w:r>
        <w:rPr>
          <w:rFonts w:hint="eastAsia" w:ascii="宋体"/>
          <w:color w:val="auto"/>
          <w:kern w:val="10"/>
          <w:szCs w:val="21"/>
          <w:highlight w:val="none"/>
          <w:lang w:val="en-US" w:eastAsia="zh-CN"/>
        </w:rPr>
        <w:t>7</w:t>
      </w:r>
      <w:r>
        <w:rPr>
          <w:rFonts w:hint="eastAsia" w:ascii="宋体"/>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ind w:firstLine="840" w:firstLineChars="300"/>
        <w:jc w:val="center"/>
        <w:rPr>
          <w:rFonts w:hint="eastAsia" w:ascii="黑体" w:hAnsi="宋体" w:eastAsia="黑体"/>
          <w:color w:val="auto"/>
          <w:sz w:val="28"/>
          <w:szCs w:val="28"/>
          <w:highlight w:val="none"/>
        </w:rPr>
      </w:pPr>
      <w:r>
        <w:rPr>
          <w:rFonts w:hint="eastAsia" w:ascii="黑体" w:eastAsia="黑体"/>
          <w:color w:val="auto"/>
          <w:sz w:val="28"/>
          <w:szCs w:val="28"/>
          <w:highlight w:val="none"/>
        </w:rPr>
        <w:t>（八）</w:t>
      </w:r>
      <w:r>
        <w:rPr>
          <w:rFonts w:hint="eastAsia" w:ascii="黑体" w:hAnsi="宋体" w:eastAsia="黑体"/>
          <w:color w:val="auto"/>
          <w:sz w:val="28"/>
          <w:szCs w:val="28"/>
          <w:highlight w:val="none"/>
        </w:rPr>
        <w:t>质疑与投诉</w:t>
      </w:r>
    </w:p>
    <w:p>
      <w:pPr>
        <w:shd w:val="clear" w:color="auto" w:fill="auto"/>
        <w:spacing w:line="440" w:lineRule="exact"/>
        <w:ind w:firstLine="310" w:firstLineChars="147"/>
        <w:jc w:val="left"/>
        <w:rPr>
          <w:rFonts w:hint="eastAsia" w:ascii="宋体" w:hAnsi="Times New Roman" w:eastAsia="宋体" w:cs="Times New Roman"/>
          <w:b/>
          <w:color w:val="auto"/>
          <w:szCs w:val="21"/>
          <w:highlight w:val="none"/>
          <w:lang w:val="en-US" w:eastAsia="zh-CN"/>
        </w:rPr>
      </w:pPr>
      <w:r>
        <w:rPr>
          <w:rFonts w:hint="eastAsia" w:ascii="宋体" w:hAnsi="Times New Roman" w:eastAsia="宋体" w:cs="Times New Roman"/>
          <w:b/>
          <w:color w:val="auto"/>
          <w:szCs w:val="21"/>
          <w:highlight w:val="none"/>
          <w:lang w:val="en-US" w:eastAsia="zh-CN"/>
        </w:rPr>
        <w:t>48．质疑和投诉</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48.1.供应商认为采购文件、采购过程和中标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（一）对可以质疑的采购文件提出质疑的，为收到采购文件之日或者采购文件公告期限届满之日；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（二）对采购过程提出质疑的，为各采购程序环节结束之日；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（三）对中标结果提出质疑的，为中标结果公告期限届满之日。</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48.5</w:t>
      </w:r>
      <w:r>
        <w:rPr>
          <w:rFonts w:hint="eastAsia" w:ascii="宋体" w:hAnsi="Times New Roman" w:eastAsia="宋体" w:cs="Times New Roman"/>
          <w:b w:val="0"/>
          <w:bCs w:val="0"/>
          <w:color w:val="auto"/>
          <w:szCs w:val="21"/>
          <w:highlight w:val="none"/>
          <w:lang w:val="en-US" w:eastAsia="zh-CN"/>
        </w:rPr>
        <w:t>供应商有下列情形之一的，采购代理机构上报至克州财政局政府采购办，</w:t>
      </w:r>
      <w:r>
        <w:rPr>
          <w:rFonts w:hint="eastAsia" w:ascii="宋体"/>
          <w:b w:val="0"/>
          <w:bCs w:val="0"/>
          <w:color w:val="auto"/>
          <w:szCs w:val="21"/>
          <w:highlight w:val="none"/>
          <w:lang w:val="en-US" w:eastAsia="zh-CN"/>
        </w:rPr>
        <w:t>将其列入不良行为记录名单：</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（一）一年内三次以上质疑均查无实据的；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（二）捏造事实或者提供虚假质疑材料的。</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pPr>
        <w:shd w:val="clear" w:color="auto" w:fill="auto"/>
        <w:spacing w:line="360" w:lineRule="exact"/>
        <w:jc w:val="center"/>
        <w:rPr>
          <w:rFonts w:hint="eastAsia" w:ascii="黑体" w:eastAsia="黑体"/>
          <w:color w:val="auto"/>
          <w:sz w:val="30"/>
          <w:szCs w:val="30"/>
          <w:highlight w:val="none"/>
        </w:rPr>
      </w:pPr>
    </w:p>
    <w:p>
      <w:pPr>
        <w:pStyle w:val="49"/>
        <w:shd w:val="clear" w:color="auto" w:fill="auto"/>
        <w:rPr>
          <w:rFonts w:hint="eastAsia" w:ascii="黑体" w:eastAsia="黑体"/>
          <w:color w:val="auto"/>
          <w:sz w:val="30"/>
          <w:szCs w:val="30"/>
          <w:highlight w:val="none"/>
        </w:rPr>
      </w:pPr>
    </w:p>
    <w:p>
      <w:pPr>
        <w:pStyle w:val="49"/>
        <w:shd w:val="clear" w:color="auto" w:fill="auto"/>
        <w:rPr>
          <w:rFonts w:hint="eastAsia" w:ascii="黑体" w:eastAsia="黑体"/>
          <w:color w:val="auto"/>
          <w:sz w:val="30"/>
          <w:szCs w:val="30"/>
          <w:highlight w:val="none"/>
        </w:rPr>
      </w:pPr>
    </w:p>
    <w:p>
      <w:pPr>
        <w:pStyle w:val="49"/>
        <w:shd w:val="clear" w:color="auto" w:fill="auto"/>
        <w:rPr>
          <w:rFonts w:hint="eastAsia" w:ascii="黑体" w:eastAsia="黑体"/>
          <w:color w:val="auto"/>
          <w:sz w:val="30"/>
          <w:szCs w:val="30"/>
          <w:highlight w:val="none"/>
        </w:rPr>
      </w:pPr>
    </w:p>
    <w:p>
      <w:pPr>
        <w:pStyle w:val="49"/>
        <w:ind w:left="0" w:leftChars="0" w:firstLine="0" w:firstLineChars="0"/>
        <w:rPr>
          <w:rFonts w:hint="eastAsia" w:ascii="宋体" w:hAnsi="宋体" w:eastAsia="宋体" w:cs="宋体"/>
          <w:b/>
          <w:bCs/>
          <w:color w:val="auto"/>
          <w:sz w:val="21"/>
          <w:szCs w:val="21"/>
          <w:highlight w:val="none"/>
          <w:lang w:eastAsia="zh-CN"/>
        </w:rPr>
      </w:pPr>
    </w:p>
    <w:p>
      <w:pPr>
        <w:shd w:val="clear" w:color="auto" w:fill="auto"/>
        <w:jc w:val="left"/>
        <w:rPr>
          <w:rFonts w:hint="eastAsia" w:ascii="宋体" w:hAnsi="宋体" w:eastAsia="宋体" w:cs="宋体"/>
          <w:b/>
          <w:bCs/>
          <w:color w:val="auto"/>
          <w:sz w:val="21"/>
          <w:szCs w:val="21"/>
          <w:highlight w:val="none"/>
          <w:lang w:eastAsia="zh-CN"/>
        </w:rPr>
      </w:pPr>
    </w:p>
    <w:p>
      <w:pPr>
        <w:shd w:val="clear" w:color="auto" w:fill="auto"/>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w:t>
      </w:r>
    </w:p>
    <w:p>
      <w:pPr>
        <w:shd w:val="clear" w:color="auto" w:fill="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政府采购投诉书（范本）</w:t>
      </w:r>
    </w:p>
    <w:p>
      <w:pPr>
        <w:pStyle w:val="49"/>
        <w:rPr>
          <w:rFonts w:hint="eastAsia"/>
          <w:color w:val="auto"/>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住址：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被投诉人：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我公司参加了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日被投诉人组织的</w:t>
      </w:r>
      <w:r>
        <w:rPr>
          <w:rFonts w:hint="eastAsia" w:ascii="宋体" w:hAnsi="宋体" w:eastAsia="宋体" w:cs="宋体"/>
          <w:color w:val="auto"/>
          <w:sz w:val="21"/>
          <w:szCs w:val="21"/>
          <w:highlight w:val="none"/>
          <w:u w:val="single"/>
        </w:rPr>
        <w:t>（采购人）（项目名称）（项目编号）</w:t>
      </w:r>
      <w:r>
        <w:rPr>
          <w:rFonts w:hint="eastAsia" w:ascii="宋体" w:hAnsi="宋体" w:eastAsia="宋体" w:cs="宋体"/>
          <w:color w:val="auto"/>
          <w:sz w:val="21"/>
          <w:szCs w:val="21"/>
          <w:highlight w:val="none"/>
        </w:rPr>
        <w:t>的采购活动，我公司认为该项目的</w:t>
      </w:r>
      <w:r>
        <w:rPr>
          <w:rFonts w:hint="eastAsia" w:ascii="宋体" w:hAnsi="宋体" w:eastAsia="宋体" w:cs="宋体"/>
          <w:color w:val="auto"/>
          <w:sz w:val="21"/>
          <w:szCs w:val="21"/>
          <w:highlight w:val="none"/>
          <w:u w:val="single"/>
        </w:rPr>
        <w:t>（采购文件/采购过程/中标（</w:t>
      </w:r>
      <w:r>
        <w:rPr>
          <w:rFonts w:hint="eastAsia" w:ascii="宋体" w:hAnsi="宋体" w:eastAsia="宋体" w:cs="宋体"/>
          <w:color w:val="auto"/>
          <w:sz w:val="21"/>
          <w:szCs w:val="21"/>
          <w:highlight w:val="none"/>
          <w:u w:val="single"/>
          <w:lang w:eastAsia="zh-CN"/>
        </w:rPr>
        <w:t>中标</w:t>
      </w:r>
      <w:r>
        <w:rPr>
          <w:rFonts w:hint="eastAsia" w:ascii="宋体" w:hAnsi="宋体" w:eastAsia="宋体" w:cs="宋体"/>
          <w:color w:val="auto"/>
          <w:sz w:val="21"/>
          <w:szCs w:val="21"/>
          <w:highlight w:val="none"/>
          <w:u w:val="single"/>
        </w:rPr>
        <w:t>）结果）</w:t>
      </w:r>
      <w:r>
        <w:rPr>
          <w:rFonts w:hint="eastAsia" w:ascii="宋体" w:hAnsi="宋体" w:eastAsia="宋体" w:cs="宋体"/>
          <w:color w:val="auto"/>
          <w:sz w:val="21"/>
          <w:szCs w:val="21"/>
          <w:highlight w:val="none"/>
        </w:rPr>
        <w:t>损害了我公司权益，对此，我公司于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日向</w:t>
      </w:r>
      <w:r>
        <w:rPr>
          <w:rFonts w:hint="eastAsia" w:ascii="宋体" w:hAnsi="宋体" w:eastAsia="宋体" w:cs="宋体"/>
          <w:color w:val="auto"/>
          <w:sz w:val="21"/>
          <w:szCs w:val="21"/>
          <w:highlight w:val="none"/>
          <w:u w:val="single"/>
        </w:rPr>
        <w:t>（采购人或者政府采购代理机构）</w:t>
      </w:r>
      <w:r>
        <w:rPr>
          <w:rFonts w:hint="eastAsia" w:ascii="宋体" w:hAnsi="宋体" w:eastAsia="宋体" w:cs="宋体"/>
          <w:color w:val="auto"/>
          <w:sz w:val="21"/>
          <w:szCs w:val="21"/>
          <w:highlight w:val="none"/>
        </w:rPr>
        <w:t>提出了质疑，</w:t>
      </w:r>
      <w:r>
        <w:rPr>
          <w:rFonts w:hint="eastAsia" w:ascii="宋体" w:hAnsi="宋体" w:eastAsia="宋体" w:cs="宋体"/>
          <w:color w:val="auto"/>
          <w:sz w:val="21"/>
          <w:szCs w:val="21"/>
          <w:highlight w:val="none"/>
          <w:u w:val="single"/>
        </w:rPr>
        <w:t>（其于    年  月  日作出书面答复，因对其作出的答复不满意）/（被质疑人未在法定期内予以答复，按照政府采购有关规定）</w:t>
      </w:r>
      <w:r>
        <w:rPr>
          <w:rFonts w:hint="eastAsia" w:ascii="宋体" w:hAnsi="宋体" w:eastAsia="宋体" w:cs="宋体"/>
          <w:color w:val="auto"/>
          <w:sz w:val="21"/>
          <w:szCs w:val="21"/>
          <w:highlight w:val="none"/>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2.证据材料（需注明证据来源），证人的姓名、住址和联系方式等；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法定代表人（或主要负责人）：（签字）</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b/>
          <w:bCs/>
          <w:color w:val="auto"/>
          <w:sz w:val="32"/>
          <w:szCs w:val="32"/>
          <w:highlight w:val="none"/>
        </w:rPr>
      </w:pPr>
      <w:r>
        <w:rPr>
          <w:rFonts w:hint="eastAsia" w:ascii="宋体" w:hAnsi="宋体" w:eastAsia="宋体" w:cs="宋体"/>
          <w:color w:val="auto"/>
          <w:sz w:val="21"/>
          <w:szCs w:val="21"/>
          <w:highlight w:val="none"/>
        </w:rPr>
        <w:t>本投诉书正本叁份，副本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份并附电子文档。</w:t>
      </w:r>
      <w:bookmarkStart w:id="38" w:name="_Toc17515"/>
    </w:p>
    <w:p>
      <w:pPr>
        <w:shd w:val="clear" w:color="auto" w:fill="auto"/>
        <w:ind w:left="7951" w:hanging="5783" w:hangingChars="1800"/>
        <w:jc w:val="center"/>
        <w:outlineLvl w:val="0"/>
        <w:rPr>
          <w:rFonts w:hint="eastAsia" w:ascii="宋体" w:hAnsi="宋体" w:eastAsia="宋体" w:cs="宋体"/>
          <w:b/>
          <w:bCs/>
          <w:color w:val="auto"/>
          <w:sz w:val="32"/>
          <w:szCs w:val="32"/>
          <w:highlight w:val="none"/>
        </w:rPr>
      </w:pPr>
    </w:p>
    <w:p>
      <w:pPr>
        <w:shd w:val="clear" w:color="auto" w:fill="auto"/>
        <w:ind w:left="7951" w:hanging="5783" w:hangingChars="1800"/>
        <w:jc w:val="center"/>
        <w:outlineLvl w:val="0"/>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投诉相关说明</w:t>
      </w:r>
      <w:bookmarkEnd w:id="38"/>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投诉人应当满足《政府采购法》、《政府采购法实施条例》和《政府采购供应商投诉处理办法》的相关规定。</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ind w:left="4011" w:leftChars="304" w:hanging="3373" w:hangingChars="1600"/>
        <w:textAlignment w:val="auto"/>
        <w:outlineLvl w:val="0"/>
        <w:rPr>
          <w:rFonts w:hint="eastAsia" w:ascii="宋体" w:hAnsi="宋体" w:eastAsia="宋体" w:cs="宋体"/>
          <w:b/>
          <w:bCs/>
          <w:color w:val="auto"/>
          <w:sz w:val="21"/>
          <w:szCs w:val="21"/>
          <w:highlight w:val="none"/>
        </w:rPr>
      </w:pPr>
      <w:bookmarkStart w:id="39" w:name="_Toc11499"/>
      <w:r>
        <w:rPr>
          <w:rFonts w:hint="eastAsia" w:ascii="宋体" w:hAnsi="宋体" w:eastAsia="宋体" w:cs="宋体"/>
          <w:b/>
          <w:bCs/>
          <w:color w:val="auto"/>
          <w:sz w:val="21"/>
          <w:szCs w:val="21"/>
          <w:highlight w:val="none"/>
        </w:rPr>
        <w:t>质疑前置及时间要求</w:t>
      </w:r>
      <w:bookmarkEnd w:id="39"/>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sz w:val="21"/>
          <w:szCs w:val="21"/>
          <w:highlight w:val="none"/>
        </w:rPr>
        <w:t>《中华人民共和国政府采购法》</w:t>
      </w:r>
      <w:r>
        <w:rPr>
          <w:rFonts w:hint="eastAsia" w:ascii="宋体" w:hAnsi="宋体" w:eastAsia="宋体" w:cs="宋体"/>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shd w:val="clear" w:color="auto" w:fill="FFFFFF"/>
        </w:rPr>
        <w:t xml:space="preserve"> 第五十二条：供应商认为采购文件、采购过程和中标、</w:t>
      </w:r>
      <w:r>
        <w:rPr>
          <w:rFonts w:hint="eastAsia" w:ascii="宋体" w:hAnsi="宋体" w:eastAsia="宋体" w:cs="宋体"/>
          <w:color w:val="auto"/>
          <w:kern w:val="0"/>
          <w:sz w:val="21"/>
          <w:szCs w:val="21"/>
          <w:highlight w:val="none"/>
          <w:shd w:val="clear" w:color="auto" w:fill="FFFFFF"/>
          <w:lang w:eastAsia="zh-CN"/>
        </w:rPr>
        <w:t>中标</w:t>
      </w:r>
      <w:r>
        <w:rPr>
          <w:rFonts w:hint="eastAsia" w:ascii="宋体" w:hAnsi="宋体" w:eastAsia="宋体" w:cs="宋体"/>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1"/>
          <w:szCs w:val="21"/>
          <w:highlight w:val="none"/>
          <w:shd w:val="clear" w:color="auto" w:fill="FFFFFF"/>
        </w:rPr>
      </w:pPr>
      <w:r>
        <w:rPr>
          <w:rFonts w:hint="eastAsia" w:ascii="宋体" w:hAnsi="宋体" w:eastAsia="宋体" w:cs="宋体"/>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ind w:firstLine="422" w:firstLineChars="200"/>
        <w:textAlignment w:val="auto"/>
        <w:outlineLvl w:val="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 </w:t>
      </w:r>
      <w:bookmarkStart w:id="40" w:name="_Toc13508"/>
      <w:r>
        <w:rPr>
          <w:rFonts w:hint="eastAsia" w:ascii="宋体" w:hAnsi="宋体" w:eastAsia="宋体" w:cs="宋体"/>
          <w:b/>
          <w:bCs/>
          <w:color w:val="auto"/>
          <w:sz w:val="21"/>
          <w:szCs w:val="21"/>
          <w:highlight w:val="none"/>
        </w:rPr>
        <w:t>二、书面方式</w:t>
      </w:r>
      <w:bookmarkEnd w:id="40"/>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投诉书应当包括下列主要内容：</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投诉人和被投诉人的名称、地址、电话等；</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具体的投诉事项及事实依据；</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质疑和质疑答复情况及相关证明材料；</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投诉书应当署名。投诉人为自然人，应当由本人签字；投诉人为法人或者其他组织的，应当由法定代表人或者主要负责人签字并加盖公章。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《政府采购供应商投诉处理办法》第十条：投诉人提起投诉应当符合下列条件：</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投诉人是参与所投诉政府采购活动的供应商；</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提起投诉诉前已依法进行质疑；</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投诉书内容符合本办法的规定；</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在投诉有效期内提起投诉；</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属于本级财政部门管辖；</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同一投诉事项未经财政部门投诉处理；</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hd w:val="clear" w:color="auto" w:fill="auto"/>
        <w:outlineLvl w:val="0"/>
        <w:rPr>
          <w:rFonts w:hint="eastAsia"/>
          <w:color w:val="auto"/>
          <w:sz w:val="21"/>
          <w:szCs w:val="21"/>
          <w:highlight w:val="none"/>
        </w:rPr>
      </w:pPr>
      <w:r>
        <w:rPr>
          <w:rFonts w:hint="eastAsia"/>
          <w:color w:val="auto"/>
          <w:sz w:val="21"/>
          <w:szCs w:val="21"/>
          <w:highlight w:val="none"/>
        </w:rPr>
        <w:t xml:space="preserve"> </w:t>
      </w:r>
      <w:r>
        <w:rPr>
          <w:rFonts w:hint="eastAsia" w:ascii="宋体" w:hAnsi="宋体" w:eastAsia="宋体" w:cs="宋体"/>
          <w:b/>
          <w:bCs/>
          <w:color w:val="auto"/>
          <w:sz w:val="21"/>
          <w:szCs w:val="21"/>
          <w:highlight w:val="none"/>
        </w:rPr>
        <w:t xml:space="preserve">   </w:t>
      </w:r>
      <w:bookmarkStart w:id="41" w:name="_Toc5978"/>
      <w:r>
        <w:rPr>
          <w:rFonts w:hint="eastAsia" w:ascii="宋体" w:hAnsi="宋体" w:eastAsia="宋体" w:cs="宋体"/>
          <w:b/>
          <w:bCs/>
          <w:color w:val="auto"/>
          <w:sz w:val="21"/>
          <w:szCs w:val="21"/>
          <w:highlight w:val="none"/>
        </w:rPr>
        <w:t>三、虚假、恶意投诉法律责任</w:t>
      </w:r>
      <w:bookmarkEnd w:id="41"/>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p>
    <w:p>
      <w:pPr>
        <w:shd w:val="clear" w:color="auto" w:fill="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递交投诉书地址：</w:t>
      </w:r>
      <w:r>
        <w:rPr>
          <w:rFonts w:hint="eastAsia" w:ascii="宋体" w:hAnsi="宋体" w:cs="宋体"/>
          <w:color w:val="auto"/>
          <w:sz w:val="21"/>
          <w:szCs w:val="21"/>
          <w:highlight w:val="none"/>
          <w:lang w:val="en-US" w:eastAsia="zh-CN"/>
        </w:rPr>
        <w:t>阿图什市</w:t>
      </w:r>
      <w:r>
        <w:rPr>
          <w:rFonts w:hint="eastAsia" w:ascii="宋体" w:hAnsi="宋体" w:eastAsia="宋体" w:cs="宋体"/>
          <w:color w:val="auto"/>
          <w:sz w:val="21"/>
          <w:szCs w:val="21"/>
          <w:highlight w:val="none"/>
          <w:lang w:val="en-US" w:eastAsia="zh-CN"/>
        </w:rPr>
        <w:t>财政局政府采购办</w:t>
      </w:r>
      <w:r>
        <w:rPr>
          <w:rFonts w:hint="eastAsia" w:ascii="宋体" w:hAnsi="宋体" w:eastAsia="宋体" w:cs="宋体"/>
          <w:color w:val="auto"/>
          <w:sz w:val="21"/>
          <w:szCs w:val="21"/>
          <w:highlight w:val="none"/>
        </w:rPr>
        <w:t>监管办公室</w:t>
      </w:r>
    </w:p>
    <w:p>
      <w:pPr>
        <w:shd w:val="clear" w:color="auto" w:fill="auto"/>
        <w:jc w:val="right"/>
        <w:rPr>
          <w:rFonts w:hint="eastAsia" w:ascii="宋体" w:hAnsi="宋体" w:eastAsia="宋体" w:cs="宋体"/>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pStyle w:val="12"/>
        <w:rPr>
          <w:rFonts w:hint="eastAsia" w:ascii="宋体" w:hAnsi="宋体" w:eastAsia="宋体" w:cs="宋体"/>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宋体" w:hAnsi="宋体" w:eastAsia="宋体" w:cs="宋体"/>
          <w:b/>
          <w:bCs/>
          <w:color w:val="auto"/>
          <w:sz w:val="32"/>
          <w:szCs w:val="32"/>
          <w:highlight w:val="none"/>
        </w:rPr>
      </w:pPr>
      <w:bookmarkStart w:id="42"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质疑函范本</w:t>
      </w:r>
      <w:bookmarkEnd w:id="42"/>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宋体" w:hAnsi="宋体" w:eastAsia="宋体" w:cs="宋体"/>
          <w:bCs/>
          <w:color w:val="auto"/>
          <w:sz w:val="21"/>
          <w:szCs w:val="21"/>
          <w:highlight w:val="none"/>
        </w:rPr>
      </w:pPr>
      <w:bookmarkStart w:id="43" w:name="_Toc9061"/>
      <w:r>
        <w:rPr>
          <w:rFonts w:hint="eastAsia" w:ascii="宋体" w:hAnsi="宋体" w:eastAsia="宋体" w:cs="宋体"/>
          <w:bCs/>
          <w:color w:val="auto"/>
          <w:sz w:val="21"/>
          <w:szCs w:val="21"/>
          <w:highlight w:val="none"/>
        </w:rPr>
        <w:t>一、质疑供应商基本信息</w:t>
      </w:r>
      <w:bookmarkEnd w:id="43"/>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质疑供应商：</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授权代表：</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邮编：</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宋体" w:hAnsi="宋体" w:eastAsia="宋体" w:cs="宋体"/>
          <w:bCs/>
          <w:color w:val="auto"/>
          <w:sz w:val="21"/>
          <w:szCs w:val="21"/>
          <w:highlight w:val="none"/>
        </w:rPr>
      </w:pPr>
      <w:bookmarkStart w:id="44" w:name="_Toc15938"/>
      <w:r>
        <w:rPr>
          <w:rFonts w:hint="eastAsia" w:ascii="宋体" w:hAnsi="宋体" w:eastAsia="宋体" w:cs="宋体"/>
          <w:bCs/>
          <w:color w:val="auto"/>
          <w:sz w:val="21"/>
          <w:szCs w:val="21"/>
          <w:highlight w:val="none"/>
        </w:rPr>
        <w:t>二、质疑项目基本情况</w:t>
      </w:r>
      <w:bookmarkEnd w:id="44"/>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质疑项目的编号：</w:t>
      </w:r>
      <w:r>
        <w:rPr>
          <w:rFonts w:hint="eastAsia" w:ascii="宋体" w:hAnsi="宋体" w:eastAsia="宋体" w:cs="宋体"/>
          <w:color w:val="auto"/>
          <w:sz w:val="21"/>
          <w:szCs w:val="21"/>
          <w:highlight w:val="none"/>
          <w:u w:val="dotted"/>
        </w:rPr>
        <w:t xml:space="preserve">               </w:t>
      </w:r>
      <w:r>
        <w:rPr>
          <w:rFonts w:hint="eastAsia" w:ascii="宋体" w:hAnsi="宋体" w:eastAsia="宋体" w:cs="宋体"/>
          <w:color w:val="auto"/>
          <w:sz w:val="21"/>
          <w:szCs w:val="21"/>
          <w:highlight w:val="none"/>
        </w:rPr>
        <w:t>包号：</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采购人名称：</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采购文件获取日期：</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宋体" w:hAnsi="宋体" w:eastAsia="宋体" w:cs="宋体"/>
          <w:bCs/>
          <w:color w:val="auto"/>
          <w:sz w:val="21"/>
          <w:szCs w:val="21"/>
          <w:highlight w:val="none"/>
        </w:rPr>
      </w:pPr>
      <w:bookmarkStart w:id="45" w:name="_Toc18271"/>
      <w:r>
        <w:rPr>
          <w:rFonts w:hint="eastAsia" w:ascii="宋体" w:hAnsi="宋体" w:eastAsia="宋体" w:cs="宋体"/>
          <w:bCs/>
          <w:color w:val="auto"/>
          <w:sz w:val="21"/>
          <w:szCs w:val="21"/>
          <w:highlight w:val="none"/>
        </w:rPr>
        <w:t>三、质疑事项具体内容</w:t>
      </w:r>
      <w:bookmarkEnd w:id="45"/>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质疑事项1：</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事实依据：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法律依据：</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宋体" w:hAnsi="宋体" w:eastAsia="宋体" w:cs="宋体"/>
          <w:bCs/>
          <w:color w:val="auto"/>
          <w:sz w:val="21"/>
          <w:szCs w:val="21"/>
          <w:highlight w:val="none"/>
        </w:rPr>
      </w:pPr>
      <w:bookmarkStart w:id="46" w:name="_Toc22365"/>
      <w:r>
        <w:rPr>
          <w:rFonts w:hint="eastAsia" w:ascii="宋体" w:hAnsi="宋体" w:eastAsia="宋体" w:cs="宋体"/>
          <w:bCs/>
          <w:color w:val="auto"/>
          <w:sz w:val="21"/>
          <w:szCs w:val="21"/>
          <w:highlight w:val="none"/>
        </w:rPr>
        <w:t>四、与质疑事项相关的质疑请求</w:t>
      </w:r>
      <w:bookmarkEnd w:id="46"/>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auto"/>
          <w:sz w:val="21"/>
          <w:szCs w:val="21"/>
          <w:highlight w:val="none"/>
          <w:u w:val="dotted"/>
        </w:rPr>
      </w:pPr>
      <w:r>
        <w:rPr>
          <w:rFonts w:hint="eastAsia" w:ascii="宋体" w:hAnsi="宋体" w:eastAsia="宋体" w:cs="宋体"/>
          <w:color w:val="auto"/>
          <w:sz w:val="21"/>
          <w:szCs w:val="21"/>
          <w:highlight w:val="none"/>
        </w:rPr>
        <w:t>请求：</w:t>
      </w:r>
      <w:r>
        <w:rPr>
          <w:rFonts w:hint="eastAsia" w:ascii="宋体" w:hAnsi="宋体" w:eastAsia="宋体" w:cs="宋体"/>
          <w:color w:val="auto"/>
          <w:sz w:val="21"/>
          <w:szCs w:val="21"/>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签字(签章)：                   公章：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日期：    </w:t>
      </w:r>
    </w:p>
    <w:p>
      <w:pPr>
        <w:pStyle w:val="49"/>
        <w:shd w:val="clear" w:color="auto" w:fill="auto"/>
        <w:ind w:left="0" w:leftChars="0" w:firstLine="0" w:firstLineChars="0"/>
        <w:rPr>
          <w:rFonts w:hint="eastAsia" w:ascii="黑体" w:eastAsia="黑体"/>
          <w:color w:val="auto"/>
          <w:sz w:val="30"/>
          <w:szCs w:val="30"/>
          <w:highlight w:val="none"/>
        </w:rPr>
      </w:pPr>
    </w:p>
    <w:p>
      <w:pPr>
        <w:pageBreakBefore/>
        <w:shd w:val="clear" w:color="auto" w:fill="auto"/>
        <w:spacing w:line="440" w:lineRule="exact"/>
        <w:jc w:val="center"/>
        <w:outlineLvl w:val="0"/>
        <w:rPr>
          <w:rFonts w:hint="eastAsia" w:ascii="黑体" w:eastAsia="黑体"/>
          <w:color w:val="auto"/>
          <w:sz w:val="30"/>
          <w:szCs w:val="30"/>
          <w:highlight w:val="none"/>
        </w:rPr>
      </w:pPr>
      <w:bookmarkStart w:id="47" w:name="_Toc469495731"/>
      <w:r>
        <w:rPr>
          <w:rFonts w:hint="eastAsia" w:ascii="黑体" w:eastAsia="黑体"/>
          <w:color w:val="auto"/>
          <w:sz w:val="30"/>
          <w:szCs w:val="30"/>
          <w:highlight w:val="none"/>
        </w:rPr>
        <w:t>第三章  评标办法</w:t>
      </w:r>
      <w:bookmarkEnd w:id="47"/>
    </w:p>
    <w:p>
      <w:pPr>
        <w:shd w:val="clear" w:color="auto" w:fill="auto"/>
        <w:jc w:val="center"/>
        <w:outlineLvl w:val="1"/>
        <w:rPr>
          <w:rFonts w:hint="eastAsia" w:ascii="宋体" w:hAnsi="Times New Roman" w:eastAsia="宋体" w:cs="Times New Roman"/>
          <w:b/>
          <w:color w:val="auto"/>
          <w:sz w:val="28"/>
          <w:szCs w:val="28"/>
          <w:highlight w:val="none"/>
        </w:rPr>
      </w:pPr>
      <w:bookmarkStart w:id="48" w:name="_Toc362983802"/>
      <w:bookmarkStart w:id="49" w:name="_Toc469495733"/>
      <w:bookmarkStart w:id="50" w:name="_Toc363135205"/>
      <w:bookmarkStart w:id="51" w:name="_Toc267320058"/>
      <w:r>
        <w:rPr>
          <w:rFonts w:hint="eastAsia" w:ascii="宋体" w:hAnsi="Times New Roman" w:eastAsia="宋体" w:cs="Times New Roman"/>
          <w:b/>
          <w:color w:val="auto"/>
          <w:sz w:val="28"/>
          <w:szCs w:val="28"/>
          <w:highlight w:val="none"/>
        </w:rPr>
        <w:t>一</w:t>
      </w:r>
      <w:r>
        <w:rPr>
          <w:rFonts w:hint="eastAsia" w:ascii="宋体" w:hAnsi="Times New Roman" w:eastAsia="宋体" w:cs="Times New Roman"/>
          <w:b/>
          <w:color w:val="auto"/>
          <w:sz w:val="28"/>
          <w:szCs w:val="28"/>
          <w:highlight w:val="none"/>
          <w:lang w:val="en-US" w:eastAsia="zh-CN"/>
        </w:rPr>
        <w:t xml:space="preserve">  </w:t>
      </w:r>
      <w:r>
        <w:rPr>
          <w:rFonts w:hint="eastAsia" w:ascii="宋体" w:hAnsi="Times New Roman" w:eastAsia="宋体" w:cs="Times New Roman"/>
          <w:b/>
          <w:color w:val="auto"/>
          <w:sz w:val="28"/>
          <w:szCs w:val="28"/>
          <w:highlight w:val="none"/>
        </w:rPr>
        <w:t>总  则</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1、一般规定</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1.1本项目的招标按照《中华人民共和国政府采购法》、《政府采购货物和服务招标投标管理办法》及政府采购的有关规定进行。</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1.2评标必须遵循邀请、公平、公正、诚实信用的原则。</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1.3招标代理机构组织招标、开标、评标工作，全过程接受政府采购有关部门的监督、管理和指导。</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1.4评标按照招标文件规定的内容进行，采取符合招标文件要求的最低评标价法；</w:t>
      </w:r>
    </w:p>
    <w:p>
      <w:pPr>
        <w:shd w:val="clear" w:color="auto" w:fill="auto"/>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2、评标组织机构的组成</w:t>
      </w:r>
    </w:p>
    <w:p>
      <w:pPr>
        <w:widowControl/>
        <w:shd w:val="clear" w:color="auto" w:fill="auto"/>
        <w:spacing w:line="440" w:lineRule="exact"/>
        <w:ind w:firstLine="480"/>
        <w:rPr>
          <w:rFonts w:hint="eastAsia" w:ascii="宋体" w:hAnsi="宋体" w:eastAsia="宋体" w:cs="宋体"/>
          <w:b/>
          <w:bCs/>
          <w:color w:val="auto"/>
          <w:kern w:val="0"/>
          <w:szCs w:val="21"/>
          <w:highlight w:val="none"/>
        </w:rPr>
      </w:pPr>
      <w:r>
        <w:rPr>
          <w:rFonts w:hint="eastAsia" w:ascii="宋体" w:hAnsi="宋体" w:eastAsia="宋体" w:cs="宋体"/>
          <w:b/>
          <w:bCs/>
          <w:color w:val="auto"/>
          <w:szCs w:val="21"/>
          <w:highlight w:val="none"/>
        </w:rPr>
        <w:t>2.1</w:t>
      </w:r>
      <w:r>
        <w:rPr>
          <w:rFonts w:hint="eastAsia" w:ascii="宋体" w:hAnsi="宋体" w:eastAsia="宋体" w:cs="宋体"/>
          <w:color w:val="auto"/>
          <w:spacing w:val="-2"/>
          <w:sz w:val="24"/>
          <w:szCs w:val="24"/>
          <w:highlight w:val="none"/>
        </w:rPr>
        <w:t xml:space="preserve"> </w:t>
      </w:r>
      <w:r>
        <w:rPr>
          <w:rFonts w:hint="eastAsia" w:ascii="宋体" w:hAnsi="宋体" w:eastAsia="宋体" w:cs="宋体"/>
          <w:b/>
          <w:bCs/>
          <w:color w:val="auto"/>
          <w:kern w:val="0"/>
          <w:szCs w:val="21"/>
          <w:highlight w:val="none"/>
          <w:lang w:bidi="ar-SA"/>
        </w:rPr>
        <w:t>评标委员会由采购人代表和有关技术、经济等方面的专家组成，成员人数应当为</w:t>
      </w:r>
      <w:r>
        <w:rPr>
          <w:rFonts w:hint="eastAsia" w:ascii="宋体" w:hAnsi="宋体" w:cs="宋体"/>
          <w:b/>
          <w:bCs/>
          <w:color w:val="auto"/>
          <w:kern w:val="0"/>
          <w:szCs w:val="21"/>
          <w:highlight w:val="none"/>
          <w:lang w:val="en-US" w:eastAsia="zh-CN" w:bidi="ar-SA"/>
        </w:rPr>
        <w:t>5</w:t>
      </w:r>
      <w:r>
        <w:rPr>
          <w:rFonts w:hint="eastAsia" w:ascii="宋体" w:hAnsi="宋体" w:eastAsia="宋体" w:cs="宋体"/>
          <w:b/>
          <w:bCs/>
          <w:color w:val="auto"/>
          <w:kern w:val="0"/>
          <w:szCs w:val="21"/>
          <w:highlight w:val="none"/>
          <w:lang w:bidi="ar-SA"/>
        </w:rPr>
        <w:t>人。</w:t>
      </w:r>
      <w:r>
        <w:rPr>
          <w:rFonts w:hint="eastAsia" w:ascii="宋体" w:hAnsi="宋体" w:eastAsia="宋体" w:cs="宋体"/>
          <w:color w:val="auto"/>
          <w:kern w:val="0"/>
          <w:szCs w:val="21"/>
          <w:highlight w:val="none"/>
          <w:lang w:bidi="ar-SA"/>
        </w:rPr>
        <w:t>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2.2评标工作组由招标人及有关专家组成，由评标委员会确认，并接受其领导。</w:t>
      </w:r>
    </w:p>
    <w:p>
      <w:pPr>
        <w:shd w:val="clear" w:color="auto" w:fill="auto"/>
        <w:tabs>
          <w:tab w:val="left" w:pos="567"/>
          <w:tab w:val="left" w:pos="1145"/>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3、评标委员会职责</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3.1审查投标文件是否符合招标文件要求，并作出评价；</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3.2要求投标人对投标文件有关事项作出解释或者澄清；</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3.3推荐中标候选人名单；</w:t>
      </w:r>
    </w:p>
    <w:p>
      <w:pPr>
        <w:pStyle w:val="53"/>
        <w:shd w:val="clear" w:color="auto" w:fill="auto"/>
        <w:spacing w:before="0" w:beforeAutospacing="0" w:after="0" w:afterAutospacing="0" w:line="440" w:lineRule="exact"/>
        <w:ind w:firstLine="535" w:firstLineChars="2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3.4向招标人、招标代理机构或者有关部门报告非法干预评标工作的行为。</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4、评标委员会义务</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4.1遵纪守法，客观、公正、廉洁地履行职责；</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4.2按照招标文件规定的评标方法和评标标准进行评标，对评审意见承担个人责任；</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4.3对评标过程和结果，以及投标人的商业秘密保密；</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4.4参与评标报告的起草；</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4.5配合有关部门的投诉处理工作；</w:t>
      </w:r>
    </w:p>
    <w:p>
      <w:pPr>
        <w:shd w:val="clear" w:color="auto" w:fill="auto"/>
        <w:tabs>
          <w:tab w:val="left" w:pos="567"/>
          <w:tab w:val="left" w:pos="600"/>
        </w:tabs>
        <w:spacing w:line="440" w:lineRule="exact"/>
        <w:ind w:firstLine="535" w:firstLineChars="255"/>
        <w:rPr>
          <w:rFonts w:hint="eastAsia" w:ascii="宋体" w:hAnsi="宋体" w:eastAsia="宋体" w:cs="宋体"/>
          <w:color w:val="auto"/>
          <w:szCs w:val="21"/>
          <w:highlight w:val="none"/>
        </w:rPr>
      </w:pPr>
      <w:r>
        <w:rPr>
          <w:rFonts w:hint="eastAsia" w:ascii="宋体" w:hAnsi="宋体" w:eastAsia="宋体" w:cs="宋体"/>
          <w:color w:val="auto"/>
          <w:szCs w:val="21"/>
          <w:highlight w:val="none"/>
        </w:rPr>
        <w:t>4.6配合招标人、招标代理机构答复投标供应商提出的质疑。</w:t>
      </w:r>
    </w:p>
    <w:p>
      <w:pPr>
        <w:shd w:val="clear" w:color="auto" w:fill="auto"/>
        <w:tabs>
          <w:tab w:val="left" w:pos="1547"/>
        </w:tabs>
        <w:spacing w:line="440" w:lineRule="exact"/>
        <w:ind w:firstLine="535" w:firstLineChars="255"/>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5、 评标程序</w:t>
      </w:r>
    </w:p>
    <w:p>
      <w:pPr>
        <w:pStyle w:val="23"/>
        <w:shd w:val="clear" w:color="auto" w:fill="auto"/>
        <w:tabs>
          <w:tab w:val="left" w:pos="720"/>
          <w:tab w:val="clear" w:pos="0"/>
        </w:tabs>
        <w:spacing w:line="440" w:lineRule="exact"/>
        <w:ind w:firstLine="535" w:firstLineChars="255"/>
        <w:rPr>
          <w:rFonts w:hint="eastAsia" w:ascii="宋体" w:hAnsi="宋体" w:eastAsia="宋体" w:cs="宋体"/>
          <w:bCs/>
          <w:color w:val="auto"/>
          <w:szCs w:val="21"/>
          <w:highlight w:val="none"/>
          <w:lang w:bidi="ar-SA"/>
        </w:rPr>
      </w:pPr>
      <w:r>
        <w:rPr>
          <w:rFonts w:hint="eastAsia" w:ascii="宋体" w:hAnsi="宋体" w:eastAsia="宋体" w:cs="宋体"/>
          <w:bCs/>
          <w:color w:val="auto"/>
          <w:szCs w:val="21"/>
          <w:highlight w:val="none"/>
          <w:lang w:bidi="ar-SA"/>
        </w:rPr>
        <w:t>5.1本次评标首先由评标委员会对投标人的投标文件进行初审，对未能通过初审的投标文件作无效标处理；</w:t>
      </w:r>
    </w:p>
    <w:p>
      <w:pPr>
        <w:shd w:val="clear" w:color="auto" w:fill="auto"/>
        <w:tabs>
          <w:tab w:val="left" w:pos="720"/>
        </w:tabs>
        <w:spacing w:line="440" w:lineRule="exact"/>
        <w:ind w:firstLine="535" w:firstLineChars="255"/>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5.2对通过初审的投标人的投标文件进行详细的比较和评价。如需要，进行必要的澄清工作；</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5.3评标报告与推荐</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候选人</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5.</w:t>
      </w:r>
      <w:r>
        <w:rPr>
          <w:rFonts w:hint="eastAsia" w:ascii="宋体" w:hAnsi="宋体" w:eastAsia="宋体" w:cs="宋体"/>
          <w:bCs/>
          <w:color w:val="auto"/>
          <w:szCs w:val="21"/>
          <w:lang w:val="en-US" w:eastAsia="zh-CN"/>
        </w:rPr>
        <w:t>4</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小组各成员应当独立对每个有效响应的文件进行评价、打分，然后汇总每个供应商每项评分因素的得分。</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综合评分法</w:t>
      </w:r>
      <w:r>
        <w:rPr>
          <w:rFonts w:hint="eastAsia" w:ascii="宋体" w:hAnsi="宋体" w:cs="宋体"/>
          <w:bCs/>
          <w:color w:val="auto"/>
          <w:szCs w:val="21"/>
          <w:lang w:val="en-US" w:eastAsia="zh-CN"/>
        </w:rPr>
        <w:t>货物采购</w:t>
      </w:r>
      <w:r>
        <w:rPr>
          <w:rFonts w:hint="eastAsia" w:ascii="宋体" w:hAnsi="宋体" w:eastAsia="宋体" w:cs="宋体"/>
          <w:bCs/>
          <w:color w:val="auto"/>
          <w:szCs w:val="21"/>
        </w:rPr>
        <w:t>项目的价格分值占总分值的比重(即权值)为</w:t>
      </w:r>
      <w:r>
        <w:rPr>
          <w:rFonts w:hint="eastAsia" w:ascii="宋体" w:hAnsi="宋体" w:cs="宋体"/>
          <w:bCs/>
          <w:color w:val="auto"/>
          <w:szCs w:val="21"/>
          <w:lang w:val="en-US" w:eastAsia="zh-CN"/>
        </w:rPr>
        <w:t>25</w:t>
      </w:r>
      <w:r>
        <w:rPr>
          <w:rFonts w:hint="eastAsia" w:ascii="宋体" w:hAnsi="宋体" w:eastAsia="宋体" w:cs="宋体"/>
          <w:bCs/>
          <w:color w:val="auto"/>
          <w:szCs w:val="21"/>
        </w:rPr>
        <w:t>％，采购项目中含不同采购对象的，以占项目资金比例最高的采购对象确定其项目属性。其价格不列为评分因素，有特殊情况需要在上述规定范围外设定价格分权重的。</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综合评分法中的价格分统一采用低价优先法计算，即满足</w:t>
      </w:r>
      <w:r>
        <w:rPr>
          <w:rFonts w:hint="eastAsia" w:ascii="宋体" w:hAnsi="宋体" w:eastAsia="宋体" w:cs="宋体"/>
          <w:bCs/>
          <w:color w:val="auto"/>
          <w:szCs w:val="21"/>
          <w:lang w:eastAsia="zh-CN"/>
        </w:rPr>
        <w:t>招标文件</w:t>
      </w:r>
      <w:r>
        <w:rPr>
          <w:rFonts w:hint="eastAsia" w:ascii="宋体" w:hAnsi="宋体" w:eastAsia="宋体" w:cs="宋体"/>
          <w:bCs/>
          <w:color w:val="auto"/>
          <w:szCs w:val="21"/>
        </w:rPr>
        <w:t>要求且最后报价最低的供应商的价格为</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基准价，其价格分为满分。其他供应商的价格分统一按照下列公式计算：</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报价得分=（</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基准价/最后</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报价）×价格权值×100</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rPr>
        <w:t>项目评审过程中，不得去掉最后报价中的最高报价和最低报价。</w:t>
      </w:r>
    </w:p>
    <w:p>
      <w:pPr>
        <w:pStyle w:val="23"/>
        <w:tabs>
          <w:tab w:val="left" w:pos="720"/>
          <w:tab w:val="clear" w:pos="0"/>
        </w:tabs>
        <w:spacing w:line="440" w:lineRule="exact"/>
        <w:ind w:firstLine="535" w:firstLineChars="255"/>
        <w:rPr>
          <w:rFonts w:hint="eastAsia" w:ascii="宋体" w:hAnsi="宋体" w:eastAsia="宋体" w:cs="宋体"/>
          <w:bCs/>
          <w:color w:val="auto"/>
          <w:szCs w:val="21"/>
        </w:rPr>
      </w:pP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小组应当根据综合评分情况，按照评审得分由高到低顺序推荐3名以上</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候选供应商符合《政府采购竞争性</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采购方式管理暂行办法》法第二十五条</w:t>
      </w:r>
      <w:r>
        <w:rPr>
          <w:rFonts w:hint="eastAsia" w:ascii="宋体" w:hAnsi="宋体" w:eastAsia="宋体" w:cs="宋体"/>
          <w:bCs/>
          <w:color w:val="auto"/>
          <w:szCs w:val="21"/>
          <w:lang w:eastAsia="zh-CN"/>
        </w:rPr>
        <w:t>招标</w:t>
      </w:r>
      <w:r>
        <w:rPr>
          <w:rFonts w:hint="eastAsia" w:ascii="宋体" w:hAnsi="宋体" w:eastAsia="宋体" w:cs="宋体"/>
          <w:bCs/>
          <w:color w:val="auto"/>
          <w:szCs w:val="21"/>
        </w:rPr>
        <w:t>小组应当根据综合评分情况，按照评审得分由高到低顺序推荐3名以上</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候选供应商。符合本办法第二十一条第三款情形的，可以推荐2家</w:t>
      </w:r>
      <w:r>
        <w:rPr>
          <w:rFonts w:hint="eastAsia" w:ascii="宋体" w:hAnsi="宋体" w:cs="宋体"/>
          <w:bCs/>
          <w:color w:val="auto"/>
          <w:szCs w:val="21"/>
          <w:lang w:val="en-US" w:eastAsia="zh-CN"/>
        </w:rPr>
        <w:t>中标</w:t>
      </w:r>
      <w:r>
        <w:rPr>
          <w:rFonts w:hint="eastAsia" w:ascii="宋体" w:hAnsi="宋体" w:eastAsia="宋体" w:cs="宋体"/>
          <w:bCs/>
          <w:color w:val="auto"/>
          <w:szCs w:val="21"/>
        </w:rPr>
        <w:t>候选供应商。评审得分相同的，按照最后报价由低到高的顺序推荐。评审得分且最后报价相同的，按照技术指标优劣顺序推荐。</w:t>
      </w:r>
    </w:p>
    <w:p>
      <w:pPr>
        <w:shd w:val="clear" w:color="auto" w:fill="auto"/>
        <w:jc w:val="center"/>
        <w:outlineLvl w:val="1"/>
        <w:rPr>
          <w:rFonts w:hint="eastAsia" w:ascii="宋体"/>
          <w:b/>
          <w:color w:val="auto"/>
          <w:sz w:val="28"/>
          <w:szCs w:val="28"/>
          <w:highlight w:val="none"/>
        </w:rPr>
      </w:pPr>
    </w:p>
    <w:p>
      <w:pPr>
        <w:shd w:val="clear" w:color="auto" w:fill="auto"/>
        <w:jc w:val="center"/>
        <w:outlineLvl w:val="1"/>
        <w:rPr>
          <w:rFonts w:hint="eastAsia" w:ascii="宋体"/>
          <w:b/>
          <w:color w:val="auto"/>
          <w:sz w:val="28"/>
          <w:szCs w:val="28"/>
          <w:highlight w:val="none"/>
        </w:rPr>
      </w:pPr>
    </w:p>
    <w:p>
      <w:pPr>
        <w:shd w:val="clear" w:color="auto" w:fill="auto"/>
        <w:jc w:val="center"/>
        <w:outlineLvl w:val="1"/>
        <w:rPr>
          <w:rFonts w:hint="eastAsia" w:ascii="宋体"/>
          <w:b/>
          <w:color w:val="auto"/>
          <w:sz w:val="28"/>
          <w:szCs w:val="28"/>
          <w:highlight w:val="none"/>
        </w:rPr>
      </w:pPr>
    </w:p>
    <w:p>
      <w:pPr>
        <w:shd w:val="clear" w:color="auto" w:fill="auto"/>
        <w:jc w:val="both"/>
        <w:outlineLvl w:val="1"/>
        <w:rPr>
          <w:rFonts w:hint="eastAsia" w:ascii="宋体"/>
          <w:b/>
          <w:color w:val="auto"/>
          <w:sz w:val="28"/>
          <w:szCs w:val="28"/>
          <w:highlight w:val="none"/>
        </w:rPr>
      </w:pPr>
    </w:p>
    <w:p>
      <w:pPr>
        <w:shd w:val="clear" w:color="auto" w:fill="auto"/>
        <w:jc w:val="both"/>
        <w:outlineLvl w:val="1"/>
        <w:rPr>
          <w:rFonts w:hint="eastAsia" w:ascii="宋体"/>
          <w:b/>
          <w:color w:val="auto"/>
          <w:sz w:val="28"/>
          <w:szCs w:val="28"/>
          <w:highlight w:val="none"/>
        </w:rPr>
      </w:pPr>
    </w:p>
    <w:p>
      <w:pPr>
        <w:pStyle w:val="2"/>
        <w:rPr>
          <w:rFonts w:hint="eastAsia"/>
          <w:color w:val="auto"/>
        </w:rPr>
      </w:pPr>
    </w:p>
    <w:p>
      <w:pPr>
        <w:shd w:val="clear" w:color="auto" w:fill="auto"/>
        <w:jc w:val="center"/>
        <w:outlineLvl w:val="1"/>
        <w:rPr>
          <w:rFonts w:hint="eastAsia" w:ascii="宋体"/>
          <w:b/>
          <w:color w:val="auto"/>
          <w:sz w:val="28"/>
          <w:szCs w:val="28"/>
          <w:highlight w:val="none"/>
        </w:rPr>
      </w:pPr>
      <w:r>
        <w:rPr>
          <w:rFonts w:hint="eastAsia" w:ascii="宋体"/>
          <w:b/>
          <w:color w:val="auto"/>
          <w:sz w:val="28"/>
          <w:szCs w:val="28"/>
          <w:highlight w:val="none"/>
        </w:rPr>
        <w:t>二  投标文件初审</w:t>
      </w:r>
      <w:bookmarkEnd w:id="48"/>
      <w:bookmarkEnd w:id="49"/>
    </w:p>
    <w:p>
      <w:pPr>
        <w:shd w:val="clear" w:color="auto" w:fill="auto"/>
        <w:spacing w:line="400" w:lineRule="exact"/>
        <w:ind w:firstLine="310" w:firstLineChars="147"/>
        <w:rPr>
          <w:rFonts w:hint="eastAsia" w:ascii="宋体"/>
          <w:b/>
          <w:color w:val="auto"/>
          <w:szCs w:val="21"/>
          <w:highlight w:val="none"/>
        </w:rPr>
      </w:pPr>
      <w:r>
        <w:rPr>
          <w:rFonts w:hint="eastAsia" w:ascii="宋体"/>
          <w:b/>
          <w:color w:val="auto"/>
          <w:szCs w:val="21"/>
          <w:highlight w:val="none"/>
          <w:lang w:val="en-US" w:eastAsia="zh-CN"/>
        </w:rPr>
        <w:t>6</w:t>
      </w:r>
      <w:r>
        <w:rPr>
          <w:rFonts w:hint="eastAsia" w:ascii="宋体"/>
          <w:b/>
          <w:color w:val="auto"/>
          <w:szCs w:val="21"/>
          <w:highlight w:val="none"/>
        </w:rPr>
        <w:t>.资格性审查:</w:t>
      </w:r>
    </w:p>
    <w:p>
      <w:pPr>
        <w:shd w:val="clear" w:color="auto" w:fill="auto"/>
        <w:spacing w:line="400" w:lineRule="exact"/>
        <w:ind w:firstLine="308" w:firstLineChars="147"/>
        <w:rPr>
          <w:rFonts w:hint="eastAsia"/>
          <w:color w:val="auto"/>
          <w:szCs w:val="21"/>
          <w:highlight w:val="none"/>
        </w:rPr>
      </w:pPr>
      <w:r>
        <w:rPr>
          <w:rFonts w:hint="eastAsia" w:ascii="宋体"/>
          <w:color w:val="auto"/>
          <w:szCs w:val="21"/>
          <w:highlight w:val="none"/>
          <w:lang w:val="en-US" w:eastAsia="zh-CN"/>
        </w:rPr>
        <w:t>6</w:t>
      </w:r>
      <w:r>
        <w:rPr>
          <w:rFonts w:hint="eastAsia" w:ascii="宋体"/>
          <w:color w:val="auto"/>
          <w:szCs w:val="21"/>
          <w:highlight w:val="none"/>
        </w:rPr>
        <w:t>.1</w:t>
      </w:r>
      <w:r>
        <w:rPr>
          <w:rFonts w:hint="eastAsia"/>
          <w:color w:val="auto"/>
          <w:szCs w:val="21"/>
          <w:highlight w:val="none"/>
        </w:rPr>
        <w:t>评审细则</w:t>
      </w:r>
    </w:p>
    <w:tbl>
      <w:tblPr>
        <w:tblStyle w:val="27"/>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10"/>
        <w:gridCol w:w="5542"/>
        <w:gridCol w:w="1305"/>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86" w:type="dxa"/>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项目</w:t>
            </w:r>
          </w:p>
        </w:tc>
        <w:tc>
          <w:tcPr>
            <w:tcW w:w="5952" w:type="dxa"/>
            <w:gridSpan w:val="2"/>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评审内容</w:t>
            </w:r>
          </w:p>
        </w:tc>
        <w:tc>
          <w:tcPr>
            <w:tcW w:w="2501" w:type="dxa"/>
            <w:gridSpan w:val="2"/>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5952" w:type="dxa"/>
            <w:gridSpan w:val="2"/>
            <w:vMerge w:val="continue"/>
            <w:noWrap w:val="0"/>
            <w:vAlign w:val="top"/>
          </w:tcPr>
          <w:p>
            <w:pPr>
              <w:shd w:val="clear" w:color="auto" w:fill="auto"/>
              <w:rPr>
                <w:rFonts w:hint="eastAsia" w:ascii="宋体" w:hAnsi="宋体" w:eastAsia="宋体" w:cs="宋体"/>
                <w:bCs/>
                <w:color w:val="auto"/>
                <w:kern w:val="2"/>
                <w:sz w:val="21"/>
                <w:szCs w:val="21"/>
                <w:lang w:val="en-US" w:eastAsia="zh-CN" w:bidi="ar-SA"/>
              </w:rPr>
            </w:pPr>
          </w:p>
        </w:tc>
        <w:tc>
          <w:tcPr>
            <w:tcW w:w="1305" w:type="dxa"/>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c>
          <w:tcPr>
            <w:tcW w:w="1196" w:type="dxa"/>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是否合格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886" w:type="dxa"/>
            <w:vMerge w:val="restart"/>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查</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标</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准</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(适</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用</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于</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资</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格</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后</w:t>
            </w:r>
          </w:p>
          <w:p>
            <w:pPr>
              <w:shd w:val="clear" w:color="auto" w:fill="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审)</w:t>
            </w: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1</w:t>
            </w:r>
          </w:p>
        </w:tc>
        <w:tc>
          <w:tcPr>
            <w:tcW w:w="5542" w:type="dxa"/>
            <w:noWrap w:val="0"/>
            <w:vAlign w:val="center"/>
          </w:tcPr>
          <w:p>
            <w:pPr>
              <w:tabs>
                <w:tab w:val="left" w:pos="720"/>
              </w:tabs>
              <w:spacing w:line="440" w:lineRule="exact"/>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szCs w:val="21"/>
              </w:rPr>
              <w:t>具备</w:t>
            </w:r>
            <w:r>
              <w:rPr>
                <w:rFonts w:hint="eastAsia" w:ascii="宋体" w:hAnsi="宋体" w:eastAsia="宋体" w:cs="宋体"/>
                <w:color w:val="auto"/>
                <w:szCs w:val="21"/>
                <w:lang w:val="en-US" w:eastAsia="zh-CN"/>
              </w:rPr>
              <w:t>合格有效的</w:t>
            </w:r>
            <w:r>
              <w:rPr>
                <w:rFonts w:hint="eastAsia" w:ascii="宋体" w:hAnsi="宋体" w:eastAsia="宋体" w:cs="宋体"/>
                <w:color w:val="auto"/>
                <w:szCs w:val="21"/>
              </w:rPr>
              <w:t>三证合一营业执照</w:t>
            </w:r>
            <w:r>
              <w:rPr>
                <w:rFonts w:hint="eastAsia" w:ascii="宋体" w:hAnsi="宋体" w:eastAsia="宋体" w:cs="宋体"/>
                <w:color w:val="auto"/>
                <w:szCs w:val="21"/>
                <w:lang w:eastAsia="zh-CN"/>
              </w:rPr>
              <w:t>；</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2</w:t>
            </w:r>
          </w:p>
        </w:tc>
        <w:tc>
          <w:tcPr>
            <w:tcW w:w="5542" w:type="dxa"/>
            <w:noWrap w:val="0"/>
            <w:vAlign w:val="center"/>
          </w:tcPr>
          <w:p>
            <w:pPr>
              <w:tabs>
                <w:tab w:val="left" w:pos="720"/>
              </w:tabs>
              <w:spacing w:line="440" w:lineRule="exact"/>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szCs w:val="21"/>
                <w:lang w:eastAsia="zh-CN"/>
              </w:rPr>
              <w:t>法定代表人投标需提供法定代表人资格证明书，委托代理人投标需提供法定代表人授权委托书；</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cs="宋体"/>
                <w:bCs/>
                <w:color w:val="auto"/>
                <w:kern w:val="2"/>
                <w:sz w:val="21"/>
                <w:szCs w:val="21"/>
                <w:lang w:val="en-US" w:eastAsia="zh-CN" w:bidi="ar-SA"/>
              </w:rPr>
              <w:t>3</w:t>
            </w:r>
          </w:p>
        </w:tc>
        <w:tc>
          <w:tcPr>
            <w:tcW w:w="5542" w:type="dxa"/>
            <w:noWrap w:val="0"/>
            <w:vAlign w:val="center"/>
          </w:tcPr>
          <w:p>
            <w:pPr>
              <w:tabs>
                <w:tab w:val="left" w:pos="720"/>
              </w:tabs>
              <w:spacing w:line="440" w:lineRule="exact"/>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企业需提供未被“信用中国”（www.creditchina.gov.cn）、中国政府采购网（www.ccgp.gov.cn）列入失信被执行人、重大税收违法案件当事人名单、政府采购严重违法失信行为记录名单（提供查询结果网页截图并加盖供应商公章）；</w:t>
            </w:r>
            <w:r>
              <w:rPr>
                <w:rFonts w:hint="eastAsia" w:ascii="宋体" w:hAnsi="宋体" w:eastAsia="宋体" w:cs="宋体"/>
                <w:color w:val="auto"/>
                <w:szCs w:val="21"/>
              </w:rPr>
              <w:t>  </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cs="宋体"/>
                <w:bCs/>
                <w:color w:val="auto"/>
                <w:kern w:val="2"/>
                <w:sz w:val="21"/>
                <w:szCs w:val="21"/>
                <w:lang w:val="en-US" w:eastAsia="zh-CN" w:bidi="ar-SA"/>
              </w:rPr>
              <w:t>4</w:t>
            </w:r>
          </w:p>
        </w:tc>
        <w:tc>
          <w:tcPr>
            <w:tcW w:w="5542" w:type="dxa"/>
            <w:noWrap w:val="0"/>
            <w:vAlign w:val="top"/>
          </w:tcPr>
          <w:p>
            <w:pPr>
              <w:tabs>
                <w:tab w:val="left" w:pos="720"/>
              </w:tabs>
              <w:spacing w:line="44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投标企业提供中小企业的声明函</w:t>
            </w:r>
            <w:r>
              <w:rPr>
                <w:rFonts w:hint="eastAsia" w:ascii="宋体" w:hAnsi="宋体" w:cs="宋体"/>
                <w:color w:val="auto"/>
                <w:kern w:val="2"/>
                <w:sz w:val="21"/>
                <w:szCs w:val="21"/>
                <w:lang w:val="en-US" w:eastAsia="zh-CN" w:bidi="ar-SA"/>
              </w:rPr>
              <w:t>；</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6" w:type="dxa"/>
            <w:vMerge w:val="continue"/>
            <w:noWrap w:val="0"/>
            <w:vAlign w:val="center"/>
          </w:tcPr>
          <w:p>
            <w:pPr>
              <w:shd w:val="clear" w:color="auto" w:fill="auto"/>
              <w:rPr>
                <w:rFonts w:hint="eastAsia" w:ascii="宋体" w:hAnsi="宋体" w:eastAsia="宋体" w:cs="宋体"/>
                <w:bCs/>
                <w:color w:val="auto"/>
                <w:kern w:val="2"/>
                <w:sz w:val="21"/>
                <w:szCs w:val="21"/>
                <w:lang w:val="en-US" w:eastAsia="zh-CN" w:bidi="ar-SA"/>
              </w:rPr>
            </w:pPr>
          </w:p>
        </w:tc>
        <w:tc>
          <w:tcPr>
            <w:tcW w:w="410"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default" w:ascii="宋体" w:hAnsi="宋体" w:cs="宋体"/>
                <w:bCs/>
                <w:color w:val="auto"/>
                <w:kern w:val="2"/>
                <w:sz w:val="21"/>
                <w:szCs w:val="21"/>
                <w:lang w:val="en-US" w:eastAsia="zh-CN" w:bidi="ar-SA"/>
              </w:rPr>
            </w:pPr>
            <w:r>
              <w:rPr>
                <w:rFonts w:hint="eastAsia" w:ascii="宋体" w:hAnsi="宋体" w:cs="宋体"/>
                <w:bCs/>
                <w:color w:val="auto"/>
                <w:kern w:val="2"/>
                <w:sz w:val="21"/>
                <w:szCs w:val="21"/>
                <w:lang w:val="en-US" w:eastAsia="zh-CN" w:bidi="ar-SA"/>
              </w:rPr>
              <w:t>5</w:t>
            </w:r>
          </w:p>
        </w:tc>
        <w:tc>
          <w:tcPr>
            <w:tcW w:w="5542" w:type="dxa"/>
            <w:noWrap w:val="0"/>
            <w:vAlign w:val="top"/>
          </w:tcPr>
          <w:p>
            <w:pPr>
              <w:tabs>
                <w:tab w:val="left" w:pos="720"/>
              </w:tabs>
              <w:spacing w:line="440" w:lineRule="exact"/>
              <w:jc w:val="left"/>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投标企业提供</w:t>
            </w:r>
            <w:r>
              <w:rPr>
                <w:rFonts w:hint="eastAsia" w:ascii="宋体" w:hAnsi="宋体" w:eastAsia="宋体" w:cs="Times New Roman"/>
                <w:color w:val="auto"/>
                <w:szCs w:val="21"/>
                <w:highlight w:val="none"/>
                <w:lang w:val="en-US" w:eastAsia="zh-CN"/>
              </w:rPr>
              <w:t>投标保证金收据或</w:t>
            </w:r>
            <w:r>
              <w:rPr>
                <w:rFonts w:hint="eastAsia" w:ascii="宋体" w:hAnsi="宋体" w:eastAsia="宋体" w:cs="Times New Roman"/>
                <w:color w:val="auto"/>
                <w:szCs w:val="21"/>
                <w:lang w:val="en-US" w:eastAsia="zh-CN"/>
              </w:rPr>
              <w:t>加盖阿图什市</w:t>
            </w:r>
            <w:r>
              <w:rPr>
                <w:rFonts w:hint="eastAsia" w:ascii="宋体" w:hAnsi="宋体" w:eastAsia="宋体" w:cs="Times New Roman"/>
                <w:color w:val="auto"/>
                <w:sz w:val="21"/>
                <w:szCs w:val="21"/>
                <w:highlight w:val="none"/>
                <w:lang w:val="en-US" w:eastAsia="zh-CN"/>
              </w:rPr>
              <w:t>政</w:t>
            </w:r>
            <w:r>
              <w:rPr>
                <w:rFonts w:hint="eastAsia" w:ascii="宋体" w:hAnsi="宋体" w:eastAsia="宋体" w:cs="Times New Roman"/>
                <w:color w:val="auto"/>
                <w:szCs w:val="21"/>
                <w:lang w:val="en-US" w:eastAsia="zh-CN"/>
              </w:rPr>
              <w:t>资中心财务专用章的银行回单</w:t>
            </w:r>
            <w:r>
              <w:rPr>
                <w:rFonts w:hint="eastAsia" w:ascii="宋体" w:hAnsi="宋体" w:eastAsia="宋体" w:cs="Times New Roman"/>
                <w:color w:val="auto"/>
                <w:szCs w:val="21"/>
                <w:highlight w:val="none"/>
                <w:lang w:val="en-US" w:eastAsia="zh-CN"/>
              </w:rPr>
              <w:t>或投标担保函</w:t>
            </w:r>
            <w:r>
              <w:rPr>
                <w:rFonts w:hint="eastAsia" w:ascii="宋体" w:hAnsi="宋体" w:cs="Times New Roman"/>
                <w:color w:val="auto"/>
                <w:szCs w:val="21"/>
                <w:highlight w:val="none"/>
                <w:lang w:val="en-US" w:eastAsia="zh-CN"/>
              </w:rPr>
              <w:t>。</w:t>
            </w:r>
          </w:p>
        </w:tc>
        <w:tc>
          <w:tcPr>
            <w:tcW w:w="1305"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c>
          <w:tcPr>
            <w:tcW w:w="1196" w:type="dxa"/>
            <w:noWrap w:val="0"/>
            <w:vAlign w:val="top"/>
          </w:tcPr>
          <w:p>
            <w:pPr>
              <w:shd w:val="clear" w:color="auto" w:fill="auto"/>
              <w:jc w:val="left"/>
              <w:rPr>
                <w:rFonts w:hint="eastAsia" w:ascii="宋体" w:hAnsi="宋体" w:eastAsia="宋体" w:cs="宋体"/>
                <w:bCs/>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jc w:val="center"/>
        </w:trPr>
        <w:tc>
          <w:tcPr>
            <w:tcW w:w="886" w:type="dxa"/>
            <w:vMerge w:val="continue"/>
            <w:noWrap w:val="0"/>
            <w:vAlign w:val="center"/>
          </w:tcPr>
          <w:p>
            <w:pPr>
              <w:shd w:val="clear" w:color="auto" w:fill="auto"/>
              <w:jc w:val="center"/>
              <w:rPr>
                <w:rFonts w:hint="eastAsia" w:ascii="宋体" w:hAnsi="宋体" w:eastAsia="宋体" w:cs="宋体"/>
                <w:bCs/>
                <w:color w:val="auto"/>
                <w:kern w:val="2"/>
                <w:sz w:val="21"/>
                <w:szCs w:val="21"/>
                <w:lang w:val="en-US" w:eastAsia="zh-CN" w:bidi="ar-SA"/>
              </w:rPr>
            </w:pPr>
          </w:p>
        </w:tc>
        <w:tc>
          <w:tcPr>
            <w:tcW w:w="8453" w:type="dxa"/>
            <w:gridSpan w:val="4"/>
            <w:noWrap w:val="0"/>
            <w:vAlign w:val="center"/>
          </w:tcPr>
          <w:p>
            <w:pPr>
              <w:shd w:val="clear" w:color="auto" w:fill="auto"/>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评审结果“√”表示合格；“×”表示不合格，一项不合格结果为不合格，如不合格，请在结果中写明原因。</w:t>
            </w:r>
          </w:p>
        </w:tc>
      </w:tr>
    </w:tbl>
    <w:p>
      <w:pPr>
        <w:shd w:val="clear" w:color="auto" w:fill="auto"/>
        <w:spacing w:before="156" w:beforeLines="50" w:line="440" w:lineRule="exact"/>
        <w:ind w:firstLine="211" w:firstLineChars="100"/>
        <w:rPr>
          <w:rFonts w:hint="eastAsia" w:ascii="宋体" w:hAnsi="宋体"/>
          <w:b/>
          <w:color w:val="auto"/>
          <w:szCs w:val="21"/>
          <w:highlight w:val="none"/>
        </w:rPr>
      </w:pPr>
      <w:r>
        <w:rPr>
          <w:rFonts w:hint="eastAsia" w:ascii="宋体" w:hAnsi="宋体"/>
          <w:b/>
          <w:color w:val="auto"/>
          <w:szCs w:val="21"/>
          <w:highlight w:val="none"/>
          <w:lang w:val="en-US" w:eastAsia="zh-CN"/>
        </w:rPr>
        <w:t>6</w:t>
      </w:r>
      <w:r>
        <w:rPr>
          <w:rFonts w:hint="eastAsia" w:ascii="宋体" w:hAnsi="宋体"/>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pPr>
        <w:shd w:val="clear" w:color="auto" w:fill="auto"/>
        <w:spacing w:before="156" w:beforeLines="50" w:line="440" w:lineRule="exact"/>
        <w:ind w:firstLine="211" w:firstLineChars="100"/>
        <w:rPr>
          <w:rFonts w:hint="eastAsia" w:ascii="宋体"/>
          <w:b/>
          <w:color w:val="auto"/>
          <w:szCs w:val="21"/>
          <w:highlight w:val="none"/>
        </w:rPr>
      </w:pPr>
      <w:r>
        <w:rPr>
          <w:rFonts w:hint="eastAsia" w:ascii="宋体"/>
          <w:b/>
          <w:color w:val="auto"/>
          <w:szCs w:val="21"/>
          <w:highlight w:val="none"/>
          <w:lang w:val="en-US" w:eastAsia="zh-CN"/>
        </w:rPr>
        <w:t>7</w:t>
      </w:r>
      <w:r>
        <w:rPr>
          <w:rFonts w:hint="eastAsia" w:ascii="宋体"/>
          <w:b/>
          <w:color w:val="auto"/>
          <w:szCs w:val="21"/>
          <w:highlight w:val="none"/>
        </w:rPr>
        <w:t>.符合性审查</w:t>
      </w:r>
    </w:p>
    <w:p>
      <w:pPr>
        <w:shd w:val="clear" w:color="auto" w:fill="auto"/>
        <w:spacing w:line="440" w:lineRule="exact"/>
        <w:ind w:firstLine="315" w:firstLineChars="150"/>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．1评审细则</w:t>
      </w:r>
    </w:p>
    <w:tbl>
      <w:tblPr>
        <w:tblStyle w:val="27"/>
        <w:tblpPr w:leftFromText="180" w:rightFromText="180" w:vertAnchor="text" w:horzAnchor="page" w:tblpX="1293" w:tblpY="544"/>
        <w:tblW w:w="949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2"/>
        <w:gridCol w:w="495"/>
        <w:gridCol w:w="6579"/>
        <w:gridCol w:w="753"/>
        <w:gridCol w:w="7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3" w:hRule="atLeast"/>
        </w:trPr>
        <w:tc>
          <w:tcPr>
            <w:tcW w:w="922" w:type="dxa"/>
            <w:tcBorders>
              <w:top w:val="single" w:color="auto" w:sz="4" w:space="0"/>
              <w:left w:val="single" w:color="auto" w:sz="4" w:space="0"/>
            </w:tcBorders>
            <w:noWrap w:val="0"/>
            <w:vAlign w:val="center"/>
          </w:tcPr>
          <w:p>
            <w:pPr>
              <w:jc w:val="center"/>
              <w:rPr>
                <w:rFonts w:hint="eastAsia" w:ascii="宋体" w:hAnsi="宋体" w:cs="宋体"/>
                <w:b/>
                <w:color w:val="auto"/>
                <w:sz w:val="24"/>
              </w:rPr>
            </w:pPr>
            <w:r>
              <w:rPr>
                <w:rFonts w:hint="eastAsia" w:ascii="宋体" w:hAnsi="宋体" w:cs="宋体"/>
                <w:b/>
                <w:color w:val="auto"/>
                <w:sz w:val="24"/>
              </w:rPr>
              <w:t>项目</w:t>
            </w:r>
          </w:p>
        </w:tc>
        <w:tc>
          <w:tcPr>
            <w:tcW w:w="7074" w:type="dxa"/>
            <w:gridSpan w:val="2"/>
            <w:tcBorders>
              <w:top w:val="single" w:color="auto" w:sz="4" w:space="0"/>
            </w:tcBorders>
            <w:noWrap w:val="0"/>
            <w:vAlign w:val="center"/>
          </w:tcPr>
          <w:p>
            <w:pPr>
              <w:jc w:val="center"/>
              <w:rPr>
                <w:rFonts w:hint="eastAsia" w:ascii="宋体" w:hAnsi="宋体" w:cs="宋体"/>
                <w:b/>
                <w:color w:val="auto"/>
                <w:sz w:val="24"/>
              </w:rPr>
            </w:pPr>
            <w:r>
              <w:rPr>
                <w:rFonts w:hint="eastAsia" w:ascii="宋体" w:hAnsi="宋体" w:cs="宋体"/>
                <w:b/>
                <w:color w:val="auto"/>
                <w:sz w:val="24"/>
              </w:rPr>
              <w:t>评审内容</w:t>
            </w:r>
          </w:p>
        </w:tc>
        <w:tc>
          <w:tcPr>
            <w:tcW w:w="1502" w:type="dxa"/>
            <w:gridSpan w:val="2"/>
            <w:tcBorders>
              <w:top w:val="single" w:color="auto" w:sz="4" w:space="0"/>
              <w:right w:val="single" w:color="auto" w:sz="4" w:space="0"/>
            </w:tcBorders>
            <w:noWrap w:val="0"/>
            <w:vAlign w:val="center"/>
          </w:tcPr>
          <w:p>
            <w:pPr>
              <w:jc w:val="center"/>
              <w:rPr>
                <w:rFonts w:hint="eastAsia" w:ascii="宋体" w:hAnsi="宋体" w:cs="宋体"/>
                <w:b/>
                <w:color w:val="auto"/>
                <w:sz w:val="24"/>
              </w:rPr>
            </w:pPr>
            <w:r>
              <w:rPr>
                <w:rFonts w:hint="eastAsia" w:ascii="宋体" w:hAnsi="宋体" w:cs="宋体"/>
                <w:b/>
                <w:color w:val="auto"/>
                <w:sz w:val="24"/>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922" w:type="dxa"/>
            <w:tcBorders>
              <w:left w:val="single" w:color="auto" w:sz="4" w:space="0"/>
              <w:bottom w:val="single" w:color="auto" w:sz="4" w:space="0"/>
            </w:tcBorders>
            <w:noWrap w:val="0"/>
            <w:vAlign w:val="center"/>
          </w:tcPr>
          <w:p>
            <w:pPr>
              <w:rPr>
                <w:rFonts w:hint="eastAsia" w:ascii="宋体" w:hAnsi="宋体" w:cs="宋体"/>
                <w:color w:val="auto"/>
              </w:rPr>
            </w:pPr>
          </w:p>
        </w:tc>
        <w:tc>
          <w:tcPr>
            <w:tcW w:w="7074" w:type="dxa"/>
            <w:gridSpan w:val="2"/>
            <w:tcBorders>
              <w:bottom w:val="single" w:color="auto" w:sz="4" w:space="0"/>
            </w:tcBorders>
            <w:noWrap w:val="0"/>
            <w:vAlign w:val="top"/>
          </w:tcPr>
          <w:p>
            <w:pPr>
              <w:rPr>
                <w:rFonts w:hint="eastAsia" w:ascii="宋体" w:hAnsi="宋体" w:cs="宋体"/>
                <w:color w:val="auto"/>
              </w:rPr>
            </w:pPr>
          </w:p>
        </w:tc>
        <w:tc>
          <w:tcPr>
            <w:tcW w:w="753" w:type="dxa"/>
            <w:noWrap w:val="0"/>
            <w:vAlign w:val="center"/>
          </w:tcPr>
          <w:p>
            <w:pPr>
              <w:jc w:val="center"/>
              <w:rPr>
                <w:rFonts w:hint="eastAsia" w:ascii="宋体" w:hAnsi="宋体" w:cs="宋体"/>
                <w:b/>
                <w:color w:val="auto"/>
                <w:sz w:val="24"/>
              </w:rPr>
            </w:pPr>
            <w:r>
              <w:rPr>
                <w:rFonts w:hint="eastAsia" w:ascii="宋体" w:hAnsi="宋体" w:cs="宋体"/>
                <w:color w:val="auto"/>
                <w:spacing w:val="-2"/>
                <w:szCs w:val="21"/>
              </w:rPr>
              <w:t>√</w:t>
            </w:r>
          </w:p>
        </w:tc>
        <w:tc>
          <w:tcPr>
            <w:tcW w:w="749" w:type="dxa"/>
            <w:tcBorders>
              <w:right w:val="single" w:color="auto" w:sz="4" w:space="0"/>
            </w:tcBorders>
            <w:noWrap w:val="0"/>
            <w:vAlign w:val="center"/>
          </w:tcPr>
          <w:p>
            <w:pPr>
              <w:ind w:firstLine="206" w:firstLineChars="100"/>
              <w:rPr>
                <w:rFonts w:hint="eastAsia" w:ascii="宋体" w:hAnsi="宋体" w:cs="宋体"/>
                <w:b/>
                <w:color w:val="auto"/>
                <w:sz w:val="24"/>
              </w:rPr>
            </w:pPr>
            <w:r>
              <w:rPr>
                <w:rFonts w:hint="eastAsia" w:ascii="宋体" w:hAnsi="宋体" w:cs="宋体"/>
                <w:color w:val="auto"/>
                <w:spacing w:val="-2"/>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922"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szCs w:val="21"/>
              </w:rPr>
            </w:pPr>
            <w:r>
              <w:rPr>
                <w:rFonts w:hint="eastAsia" w:ascii="宋体" w:hAnsi="宋体" w:cs="宋体"/>
                <w:color w:val="auto"/>
                <w:szCs w:val="21"/>
              </w:rPr>
              <w:t>审</w:t>
            </w:r>
          </w:p>
          <w:p>
            <w:pPr>
              <w:jc w:val="center"/>
              <w:rPr>
                <w:rFonts w:hint="eastAsia" w:ascii="宋体" w:hAnsi="宋体" w:cs="宋体"/>
                <w:color w:val="auto"/>
                <w:szCs w:val="21"/>
              </w:rPr>
            </w:pPr>
            <w:r>
              <w:rPr>
                <w:rFonts w:hint="eastAsia" w:ascii="宋体" w:hAnsi="宋体" w:cs="宋体"/>
                <w:color w:val="auto"/>
                <w:szCs w:val="21"/>
              </w:rPr>
              <w:t>查</w:t>
            </w:r>
          </w:p>
          <w:p>
            <w:pPr>
              <w:jc w:val="center"/>
              <w:rPr>
                <w:rFonts w:hint="eastAsia" w:ascii="宋体" w:hAnsi="宋体" w:cs="宋体"/>
                <w:color w:val="auto"/>
                <w:szCs w:val="21"/>
              </w:rPr>
            </w:pPr>
            <w:r>
              <w:rPr>
                <w:rFonts w:hint="eastAsia" w:ascii="宋体" w:hAnsi="宋体" w:cs="宋体"/>
                <w:color w:val="auto"/>
                <w:szCs w:val="21"/>
              </w:rPr>
              <w:t>标</w:t>
            </w:r>
          </w:p>
          <w:p>
            <w:pPr>
              <w:jc w:val="center"/>
              <w:rPr>
                <w:rFonts w:hint="eastAsia" w:ascii="宋体" w:hAnsi="宋体" w:cs="宋体"/>
                <w:color w:val="auto"/>
                <w:szCs w:val="21"/>
              </w:rPr>
            </w:pPr>
            <w:r>
              <w:rPr>
                <w:rFonts w:hint="eastAsia" w:ascii="宋体" w:hAnsi="宋体" w:cs="宋体"/>
                <w:color w:val="auto"/>
                <w:szCs w:val="21"/>
              </w:rPr>
              <w:t>准</w:t>
            </w:r>
          </w:p>
        </w:tc>
        <w:tc>
          <w:tcPr>
            <w:tcW w:w="495" w:type="dxa"/>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1</w:t>
            </w:r>
          </w:p>
        </w:tc>
        <w:tc>
          <w:tcPr>
            <w:tcW w:w="6579" w:type="dxa"/>
            <w:tcBorders>
              <w:top w:val="single" w:color="auto" w:sz="4" w:space="0"/>
              <w:left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由政府立项核准、审批的采购项目, 报价</w:t>
            </w:r>
            <w:r>
              <w:rPr>
                <w:rFonts w:hint="eastAsia" w:ascii="宋体" w:hAnsi="Times New Roman" w:eastAsia="宋体" w:cs="Times New Roman"/>
                <w:color w:val="auto"/>
                <w:szCs w:val="21"/>
                <w:highlight w:val="none"/>
                <w:lang w:val="en-US" w:eastAsia="zh-CN"/>
              </w:rPr>
              <w:t>未</w:t>
            </w:r>
            <w:r>
              <w:rPr>
                <w:rFonts w:hint="eastAsia" w:ascii="宋体" w:hAnsi="Times New Roman" w:eastAsia="宋体" w:cs="Times New Roman"/>
                <w:color w:val="auto"/>
                <w:szCs w:val="21"/>
                <w:highlight w:val="none"/>
              </w:rPr>
              <w:t>高于设定的采购</w:t>
            </w:r>
            <w:r>
              <w:rPr>
                <w:rFonts w:hint="eastAsia" w:ascii="宋体" w:cs="Times New Roman"/>
                <w:color w:val="auto"/>
                <w:szCs w:val="21"/>
                <w:highlight w:val="none"/>
                <w:lang w:val="en-US" w:eastAsia="zh-CN"/>
              </w:rPr>
              <w:t>最高限价</w:t>
            </w:r>
            <w:r>
              <w:rPr>
                <w:rFonts w:hint="eastAsia" w:ascii="宋体" w:hAnsi="Times New Roman" w:eastAsia="宋体" w:cs="Times New Roman"/>
                <w:color w:val="auto"/>
                <w:szCs w:val="21"/>
                <w:highlight w:val="none"/>
              </w:rPr>
              <w:t>的；</w:t>
            </w:r>
          </w:p>
        </w:tc>
        <w:tc>
          <w:tcPr>
            <w:tcW w:w="753" w:type="dxa"/>
            <w:tcBorders>
              <w:left w:val="single" w:color="auto" w:sz="4" w:space="0"/>
              <w:right w:val="single" w:color="auto" w:sz="4" w:space="0"/>
            </w:tcBorders>
            <w:noWrap w:val="0"/>
            <w:vAlign w:val="top"/>
          </w:tcPr>
          <w:p>
            <w:pPr>
              <w:jc w:val="center"/>
              <w:rPr>
                <w:rFonts w:hint="eastAsia" w:ascii="宋体" w:hAnsi="宋体" w:cs="宋体"/>
                <w:b/>
                <w:color w:val="auto"/>
                <w:szCs w:val="21"/>
              </w:rPr>
            </w:pPr>
          </w:p>
        </w:tc>
        <w:tc>
          <w:tcPr>
            <w:tcW w:w="749" w:type="dxa"/>
            <w:tcBorders>
              <w:left w:val="single" w:color="auto" w:sz="4" w:space="0"/>
              <w:right w:val="single" w:color="auto" w:sz="4" w:space="0"/>
            </w:tcBorders>
            <w:noWrap w:val="0"/>
            <w:vAlign w:val="top"/>
          </w:tcPr>
          <w:p>
            <w:pPr>
              <w:jc w:val="center"/>
              <w:rPr>
                <w:rFonts w:hint="eastAsia" w:ascii="宋体" w:hAnsi="宋体" w:cs="宋体"/>
                <w:b/>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2</w:t>
            </w:r>
          </w:p>
        </w:tc>
        <w:tc>
          <w:tcPr>
            <w:tcW w:w="6579"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法定代表人身份证明及授权委托书有效，且符合招标文件规定的格式。</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3</w:t>
            </w:r>
          </w:p>
        </w:tc>
        <w:tc>
          <w:tcPr>
            <w:tcW w:w="6579" w:type="dxa"/>
            <w:tcBorders>
              <w:top w:val="single" w:color="auto" w:sz="4" w:space="0"/>
              <w:left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只有一个方案投标。</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1"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4</w:t>
            </w:r>
          </w:p>
        </w:tc>
        <w:tc>
          <w:tcPr>
            <w:tcW w:w="6579"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投标文件内容齐全、无遗漏。</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bottom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5</w:t>
            </w:r>
          </w:p>
        </w:tc>
        <w:tc>
          <w:tcPr>
            <w:tcW w:w="6579" w:type="dxa"/>
            <w:tcBorders>
              <w:bottom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对招标文件规定的招标内容全部作出响应。</w:t>
            </w:r>
          </w:p>
        </w:tc>
        <w:tc>
          <w:tcPr>
            <w:tcW w:w="753" w:type="dxa"/>
            <w:tcBorders>
              <w:left w:val="single" w:color="auto" w:sz="4" w:space="0"/>
              <w:bottom w:val="single" w:color="auto" w:sz="4" w:space="0"/>
            </w:tcBorders>
            <w:noWrap w:val="0"/>
            <w:vAlign w:val="top"/>
          </w:tcPr>
          <w:p>
            <w:pPr>
              <w:rPr>
                <w:rFonts w:hint="eastAsia" w:ascii="宋体" w:hAnsi="宋体" w:cs="宋体"/>
                <w:color w:val="auto"/>
                <w:szCs w:val="21"/>
              </w:rPr>
            </w:pPr>
          </w:p>
        </w:tc>
        <w:tc>
          <w:tcPr>
            <w:tcW w:w="749" w:type="dxa"/>
            <w:tcBorders>
              <w:bottom w:val="single" w:color="auto" w:sz="4" w:space="0"/>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6</w:t>
            </w:r>
          </w:p>
        </w:tc>
        <w:tc>
          <w:tcPr>
            <w:tcW w:w="6579"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满足招标文件提出的技术和质量要求。</w:t>
            </w:r>
          </w:p>
        </w:tc>
        <w:tc>
          <w:tcPr>
            <w:tcW w:w="75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auto"/>
                <w:szCs w:val="21"/>
              </w:rPr>
            </w:pPr>
          </w:p>
        </w:tc>
        <w:tc>
          <w:tcPr>
            <w:tcW w:w="749"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top w:val="single" w:color="auto" w:sz="4" w:space="0"/>
              <w:left w:val="single" w:color="auto" w:sz="4" w:space="0"/>
            </w:tcBorders>
            <w:noWrap w:val="0"/>
            <w:vAlign w:val="center"/>
          </w:tcPr>
          <w:p>
            <w:pPr>
              <w:shd w:val="clear" w:color="auto" w:fill="auto"/>
              <w:spacing w:line="400" w:lineRule="exact"/>
              <w:jc w:val="center"/>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7</w:t>
            </w:r>
          </w:p>
        </w:tc>
        <w:tc>
          <w:tcPr>
            <w:tcW w:w="6579" w:type="dxa"/>
            <w:tcBorders>
              <w:top w:val="single" w:color="auto" w:sz="4" w:space="0"/>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cs="Times New Roman"/>
                <w:color w:val="auto"/>
                <w:szCs w:val="21"/>
                <w:highlight w:val="none"/>
                <w:lang w:val="en-US" w:eastAsia="zh-CN"/>
              </w:rPr>
              <w:t>服务</w:t>
            </w:r>
            <w:r>
              <w:rPr>
                <w:rFonts w:hint="eastAsia" w:ascii="宋体" w:hAnsi="Times New Roman" w:eastAsia="宋体" w:cs="Times New Roman"/>
                <w:color w:val="auto"/>
                <w:szCs w:val="21"/>
                <w:highlight w:val="none"/>
              </w:rPr>
              <w:t>期限满足招标文件要求。</w:t>
            </w:r>
          </w:p>
        </w:tc>
        <w:tc>
          <w:tcPr>
            <w:tcW w:w="753" w:type="dxa"/>
            <w:tcBorders>
              <w:top w:val="single" w:color="auto" w:sz="4" w:space="0"/>
              <w:left w:val="single" w:color="auto" w:sz="4" w:space="0"/>
            </w:tcBorders>
            <w:noWrap w:val="0"/>
            <w:vAlign w:val="top"/>
          </w:tcPr>
          <w:p>
            <w:pPr>
              <w:rPr>
                <w:rFonts w:hint="eastAsia" w:ascii="宋体" w:hAnsi="宋体" w:cs="宋体"/>
                <w:color w:val="auto"/>
                <w:szCs w:val="21"/>
              </w:rPr>
            </w:pPr>
          </w:p>
        </w:tc>
        <w:tc>
          <w:tcPr>
            <w:tcW w:w="749" w:type="dxa"/>
            <w:tcBorders>
              <w:top w:val="single" w:color="auto" w:sz="4" w:space="0"/>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1"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8</w:t>
            </w:r>
          </w:p>
        </w:tc>
        <w:tc>
          <w:tcPr>
            <w:tcW w:w="6579"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lang w:eastAsia="zh-CN"/>
              </w:rPr>
              <w:t>投标文件</w:t>
            </w:r>
            <w:r>
              <w:rPr>
                <w:rFonts w:hint="eastAsia" w:ascii="宋体" w:hAnsi="Times New Roman" w:eastAsia="宋体" w:cs="Times New Roman"/>
                <w:color w:val="auto"/>
                <w:szCs w:val="21"/>
                <w:highlight w:val="none"/>
                <w:lang w:val="en-US" w:eastAsia="zh-CN"/>
              </w:rPr>
              <w:t>未</w:t>
            </w:r>
            <w:r>
              <w:rPr>
                <w:rFonts w:hint="eastAsia" w:ascii="宋体" w:hAnsi="Times New Roman" w:eastAsia="宋体" w:cs="Times New Roman"/>
                <w:color w:val="auto"/>
                <w:szCs w:val="21"/>
                <w:highlight w:val="none"/>
              </w:rPr>
              <w:t>含有采购人不能接受的附加条件；</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9</w:t>
            </w:r>
          </w:p>
        </w:tc>
        <w:tc>
          <w:tcPr>
            <w:tcW w:w="6579"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rPr>
            </w:pPr>
            <w:r>
              <w:rPr>
                <w:rFonts w:hint="eastAsia" w:ascii="宋体" w:hAnsi="Times New Roman" w:eastAsia="宋体" w:cs="Times New Roman"/>
                <w:color w:val="auto"/>
                <w:szCs w:val="21"/>
                <w:highlight w:val="none"/>
              </w:rPr>
              <w:t>投标有效期满足招标文件要求。</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922" w:type="dxa"/>
            <w:vMerge w:val="continue"/>
            <w:tcBorders>
              <w:left w:val="single" w:color="auto" w:sz="4" w:space="0"/>
              <w:right w:val="single" w:color="auto" w:sz="4" w:space="0"/>
            </w:tcBorders>
            <w:noWrap w:val="0"/>
            <w:vAlign w:val="center"/>
          </w:tcPr>
          <w:p>
            <w:pPr>
              <w:rPr>
                <w:rFonts w:hint="eastAsia" w:ascii="宋体" w:hAnsi="宋体" w:cs="宋体"/>
                <w:color w:val="auto"/>
              </w:rPr>
            </w:pPr>
          </w:p>
        </w:tc>
        <w:tc>
          <w:tcPr>
            <w:tcW w:w="495" w:type="dxa"/>
            <w:tcBorders>
              <w:lef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z w:val="20"/>
                <w:szCs w:val="20"/>
              </w:rPr>
              <w:t>10</w:t>
            </w:r>
          </w:p>
        </w:tc>
        <w:tc>
          <w:tcPr>
            <w:tcW w:w="6579" w:type="dxa"/>
            <w:tcBorders>
              <w:right w:val="single" w:color="auto" w:sz="4" w:space="0"/>
            </w:tcBorders>
            <w:noWrap w:val="0"/>
            <w:vAlign w:val="center"/>
          </w:tcPr>
          <w:p>
            <w:pPr>
              <w:shd w:val="clear" w:color="auto" w:fill="auto"/>
              <w:spacing w:line="400" w:lineRule="exact"/>
              <w:jc w:val="left"/>
              <w:rPr>
                <w:rFonts w:hint="eastAsia" w:ascii="宋体" w:hAnsi="Times New Roman" w:eastAsia="宋体" w:cs="Times New Roman"/>
                <w:color w:val="auto"/>
                <w:szCs w:val="21"/>
                <w:highlight w:val="none"/>
                <w:lang w:eastAsia="zh-CN"/>
              </w:rPr>
            </w:pPr>
            <w:r>
              <w:rPr>
                <w:rFonts w:hint="eastAsia" w:ascii="宋体" w:hAnsi="Times New Roman" w:eastAsia="宋体" w:cs="Times New Roman"/>
                <w:color w:val="auto"/>
                <w:szCs w:val="21"/>
                <w:highlight w:val="none"/>
              </w:rPr>
              <w:t>投标人详细地址、联系人、电话</w:t>
            </w:r>
            <w:r>
              <w:rPr>
                <w:rFonts w:hint="eastAsia" w:ascii="宋体" w:hAnsi="Times New Roman" w:eastAsia="宋体" w:cs="Times New Roman"/>
                <w:color w:val="auto"/>
                <w:szCs w:val="21"/>
                <w:highlight w:val="none"/>
                <w:lang w:eastAsia="zh-CN"/>
              </w:rPr>
              <w:t>。</w:t>
            </w:r>
          </w:p>
        </w:tc>
        <w:tc>
          <w:tcPr>
            <w:tcW w:w="753" w:type="dxa"/>
            <w:tcBorders>
              <w:left w:val="single" w:color="auto" w:sz="4" w:space="0"/>
            </w:tcBorders>
            <w:noWrap w:val="0"/>
            <w:vAlign w:val="top"/>
          </w:tcPr>
          <w:p>
            <w:pPr>
              <w:rPr>
                <w:rFonts w:hint="eastAsia" w:ascii="宋体" w:hAnsi="宋体" w:cs="宋体"/>
                <w:color w:val="auto"/>
                <w:szCs w:val="21"/>
              </w:rPr>
            </w:pPr>
          </w:p>
        </w:tc>
        <w:tc>
          <w:tcPr>
            <w:tcW w:w="749" w:type="dxa"/>
            <w:tcBorders>
              <w:right w:val="single" w:color="auto" w:sz="4" w:space="0"/>
            </w:tcBorders>
            <w:noWrap w:val="0"/>
            <w:vAlign w:val="top"/>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7996" w:type="dxa"/>
            <w:gridSpan w:val="3"/>
            <w:tcBorders>
              <w:left w:val="single" w:color="auto" w:sz="4" w:space="0"/>
              <w:right w:val="single" w:color="auto" w:sz="4" w:space="0"/>
            </w:tcBorders>
            <w:noWrap w:val="0"/>
            <w:vAlign w:val="center"/>
          </w:tcPr>
          <w:p>
            <w:pPr>
              <w:jc w:val="center"/>
              <w:rPr>
                <w:rFonts w:hint="eastAsia" w:ascii="宋体" w:hAnsi="宋体" w:cs="宋体"/>
                <w:color w:val="auto"/>
                <w:sz w:val="20"/>
                <w:szCs w:val="20"/>
              </w:rPr>
            </w:pPr>
            <w:r>
              <w:rPr>
                <w:rFonts w:hint="eastAsia" w:ascii="宋体" w:hAnsi="宋体" w:cs="宋体"/>
                <w:color w:val="auto"/>
                <w:spacing w:val="-2"/>
                <w:szCs w:val="21"/>
                <w:lang w:eastAsia="zh-CN"/>
              </w:rPr>
              <w:t>评审结果：须写通过或者不通过</w:t>
            </w:r>
          </w:p>
        </w:tc>
        <w:tc>
          <w:tcPr>
            <w:tcW w:w="1502" w:type="dxa"/>
            <w:gridSpan w:val="2"/>
            <w:tcBorders>
              <w:left w:val="single" w:color="auto" w:sz="4" w:space="0"/>
              <w:right w:val="single" w:color="auto" w:sz="4" w:space="0"/>
            </w:tcBorders>
            <w:noWrap w:val="0"/>
            <w:vAlign w:val="center"/>
          </w:tcPr>
          <w:p>
            <w:pP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3" w:hRule="atLeast"/>
        </w:trPr>
        <w:tc>
          <w:tcPr>
            <w:tcW w:w="9498" w:type="dxa"/>
            <w:gridSpan w:val="5"/>
            <w:tcBorders>
              <w:left w:val="single" w:color="auto" w:sz="4" w:space="0"/>
              <w:bottom w:val="single" w:color="auto" w:sz="4" w:space="0"/>
              <w:right w:val="single" w:color="auto" w:sz="4" w:space="0"/>
            </w:tcBorders>
            <w:noWrap w:val="0"/>
            <w:vAlign w:val="center"/>
          </w:tcPr>
          <w:p>
            <w:pPr>
              <w:ind w:firstLine="370" w:firstLineChars="180"/>
              <w:rPr>
                <w:rFonts w:hint="eastAsia" w:ascii="宋体" w:hAnsi="宋体" w:cs="宋体"/>
                <w:color w:val="auto"/>
                <w:szCs w:val="21"/>
              </w:rPr>
            </w:pPr>
            <w:r>
              <w:rPr>
                <w:rFonts w:hint="eastAsia" w:ascii="宋体" w:hAnsi="宋体" w:cs="宋体"/>
                <w:color w:val="auto"/>
                <w:spacing w:val="-2"/>
                <w:szCs w:val="21"/>
              </w:rPr>
              <w:t xml:space="preserve">结论：通过评审打“√”，未通过评审打“×”   </w:t>
            </w:r>
            <w:r>
              <w:rPr>
                <w:rFonts w:hint="eastAsia" w:ascii="宋体" w:hAnsi="宋体" w:cs="宋体"/>
                <w:color w:val="auto"/>
                <w:szCs w:val="21"/>
              </w:rPr>
              <w:t>注：如有一项不合格，作废标处理。</w:t>
            </w:r>
          </w:p>
        </w:tc>
      </w:tr>
    </w:tbl>
    <w:p>
      <w:pPr>
        <w:shd w:val="clear" w:color="auto" w:fill="auto"/>
        <w:spacing w:line="400" w:lineRule="exact"/>
        <w:rPr>
          <w:rFonts w:hint="eastAsia" w:ascii="宋体"/>
          <w:color w:val="auto"/>
          <w:szCs w:val="21"/>
          <w:highlight w:val="none"/>
          <w:lang w:val="en-US" w:eastAsia="zh-CN"/>
        </w:rPr>
      </w:pPr>
    </w:p>
    <w:p>
      <w:pPr>
        <w:shd w:val="clear" w:color="auto" w:fill="auto"/>
        <w:spacing w:line="400" w:lineRule="exact"/>
        <w:ind w:firstLine="506" w:firstLineChars="241"/>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.2评委会判定投标文件的响应性只根据投标文件本身的内容，而不寻求外部的证据，但投标有不真实不正确的内容时除外。</w:t>
      </w:r>
    </w:p>
    <w:p>
      <w:pPr>
        <w:shd w:val="clear" w:color="auto" w:fill="auto"/>
        <w:spacing w:line="400" w:lineRule="exact"/>
        <w:ind w:firstLine="506" w:firstLineChars="241"/>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.3如果投标文件实质上没有响应</w:t>
      </w:r>
      <w:r>
        <w:rPr>
          <w:rFonts w:hint="eastAsia" w:ascii="宋体"/>
          <w:color w:val="auto"/>
          <w:szCs w:val="21"/>
          <w:highlight w:val="none"/>
          <w:lang w:eastAsia="zh-CN"/>
        </w:rPr>
        <w:t>采购文件</w:t>
      </w:r>
      <w:r>
        <w:rPr>
          <w:rFonts w:hint="eastAsia" w:ascii="宋体"/>
          <w:color w:val="auto"/>
          <w:szCs w:val="21"/>
          <w:highlight w:val="none"/>
        </w:rPr>
        <w:t>的要求，评委会将予以拒绝，投标人不得通过修正或撤销不符合要求的偏离或保留，而使其投标成为实质上响应的投标。</w:t>
      </w:r>
    </w:p>
    <w:p>
      <w:pPr>
        <w:shd w:val="clear" w:color="auto" w:fill="auto"/>
        <w:spacing w:line="400" w:lineRule="exact"/>
        <w:ind w:firstLine="420" w:firstLineChars="200"/>
        <w:rPr>
          <w:rFonts w:hint="eastAsia" w:ascii="宋体"/>
          <w:color w:val="auto"/>
          <w:szCs w:val="21"/>
          <w:highlight w:val="none"/>
        </w:rPr>
      </w:pPr>
      <w:r>
        <w:rPr>
          <w:rFonts w:hint="eastAsia" w:ascii="宋体"/>
          <w:color w:val="auto"/>
          <w:szCs w:val="21"/>
          <w:highlight w:val="none"/>
        </w:rPr>
        <w:t xml:space="preserve"> </w:t>
      </w:r>
      <w:r>
        <w:rPr>
          <w:rFonts w:hint="eastAsia" w:ascii="宋体"/>
          <w:color w:val="auto"/>
          <w:szCs w:val="21"/>
          <w:highlight w:val="none"/>
          <w:lang w:val="en-US" w:eastAsia="zh-CN"/>
        </w:rPr>
        <w:t>7</w:t>
      </w:r>
      <w:r>
        <w:rPr>
          <w:rFonts w:hint="eastAsia" w:ascii="宋体"/>
          <w:color w:val="auto"/>
          <w:szCs w:val="21"/>
          <w:highlight w:val="none"/>
        </w:rPr>
        <w:t>.4投标人可在现场20分钟内对评标委员会的评审结论提出异议，评标委员会根据</w:t>
      </w:r>
      <w:r>
        <w:rPr>
          <w:rFonts w:hint="eastAsia" w:ascii="宋体"/>
          <w:color w:val="auto"/>
          <w:szCs w:val="21"/>
          <w:highlight w:val="none"/>
          <w:lang w:eastAsia="zh-CN"/>
        </w:rPr>
        <w:t>采购文件</w:t>
      </w:r>
      <w:r>
        <w:rPr>
          <w:rFonts w:hint="eastAsia" w:ascii="宋体"/>
          <w:color w:val="auto"/>
          <w:szCs w:val="21"/>
          <w:highlight w:val="none"/>
        </w:rPr>
        <w:t>及有关规定对投标人的异议进行复议</w:t>
      </w:r>
    </w:p>
    <w:p>
      <w:pPr>
        <w:shd w:val="clear" w:color="auto" w:fill="auto"/>
        <w:spacing w:line="400" w:lineRule="exact"/>
        <w:ind w:firstLine="525" w:firstLineChars="250"/>
        <w:rPr>
          <w:rFonts w:hint="eastAsia" w:ascii="宋体"/>
          <w:color w:val="auto"/>
          <w:szCs w:val="21"/>
          <w:highlight w:val="none"/>
        </w:rPr>
      </w:pPr>
      <w:r>
        <w:rPr>
          <w:rFonts w:hint="eastAsia" w:ascii="宋体"/>
          <w:color w:val="auto"/>
          <w:szCs w:val="21"/>
          <w:highlight w:val="none"/>
          <w:lang w:val="en-US" w:eastAsia="zh-CN"/>
        </w:rPr>
        <w:t>7</w:t>
      </w:r>
      <w:r>
        <w:rPr>
          <w:rFonts w:hint="eastAsia" w:ascii="宋体"/>
          <w:color w:val="auto"/>
          <w:szCs w:val="21"/>
          <w:highlight w:val="none"/>
        </w:rPr>
        <w:t>.5只有通过初审的投标人才能进入下一步评标程序。</w:t>
      </w:r>
    </w:p>
    <w:p>
      <w:pPr>
        <w:shd w:val="clear" w:color="auto" w:fill="auto"/>
        <w:spacing w:line="400" w:lineRule="exact"/>
        <w:ind w:firstLine="422" w:firstLineChars="200"/>
        <w:rPr>
          <w:rFonts w:hint="eastAsia" w:ascii="宋体" w:hAnsi="宋体"/>
          <w:b/>
          <w:color w:val="auto"/>
          <w:szCs w:val="21"/>
          <w:highlight w:val="none"/>
        </w:rPr>
      </w:pPr>
      <w:r>
        <w:rPr>
          <w:rFonts w:hint="eastAsia" w:ascii="宋体" w:hAnsi="宋体"/>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bookmarkStart w:id="52" w:name="_Toc469495734"/>
      <w:bookmarkStart w:id="53" w:name="_Toc362983803"/>
    </w:p>
    <w:p>
      <w:pPr>
        <w:shd w:val="clear" w:color="auto" w:fill="auto"/>
        <w:spacing w:line="400" w:lineRule="exact"/>
        <w:ind w:firstLine="3092" w:firstLineChars="1100"/>
        <w:rPr>
          <w:rFonts w:hint="eastAsia" w:ascii="宋体"/>
          <w:b/>
          <w:color w:val="auto"/>
          <w:sz w:val="28"/>
          <w:szCs w:val="28"/>
          <w:highlight w:val="none"/>
        </w:rPr>
      </w:pPr>
    </w:p>
    <w:p>
      <w:pPr>
        <w:shd w:val="clear" w:color="auto" w:fill="auto"/>
        <w:spacing w:line="400" w:lineRule="exact"/>
        <w:ind w:firstLine="3092" w:firstLineChars="1100"/>
        <w:rPr>
          <w:rFonts w:hint="eastAsia" w:ascii="宋体"/>
          <w:b/>
          <w:color w:val="auto"/>
          <w:sz w:val="24"/>
          <w:highlight w:val="none"/>
        </w:rPr>
      </w:pPr>
      <w:r>
        <w:rPr>
          <w:rFonts w:hint="eastAsia" w:ascii="宋体"/>
          <w:b/>
          <w:color w:val="auto"/>
          <w:sz w:val="28"/>
          <w:szCs w:val="28"/>
          <w:highlight w:val="none"/>
        </w:rPr>
        <w:t>三  投标文件的澄清和补正</w:t>
      </w:r>
      <w:bookmarkEnd w:id="52"/>
      <w:bookmarkEnd w:id="53"/>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8．澄清、说明或补正的形式</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9．错误修正的原则</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9.1 投标函中表述的内容与报价表中不一致的，以报价表为准；报价表中的内容与报价明细表不一致的，以报价表为准；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9.2 投标文件中的大写金额和小写金额不一致的，以大写金额为准；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9.3 单价金额小数点或者百分比有明显错位的，以开标一览表的总价为准，并修改单价；</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9.4 总价金额与按单价汇总金额不一致的，以单价金额计算结果为准；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9.5 若用文字表示的数值与用数字表示的数值不一致，以文字表示的数值为准；</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10" w:firstLineChars="100"/>
        <w:jc w:val="left"/>
        <w:rPr>
          <w:rFonts w:hint="eastAsia" w:ascii="宋体"/>
          <w:b w:val="0"/>
          <w:bCs w:val="0"/>
          <w:color w:val="auto"/>
          <w:szCs w:val="21"/>
          <w:highlight w:val="none"/>
          <w:lang w:val="en-US" w:eastAsia="zh-CN"/>
        </w:rPr>
      </w:pPr>
      <w:r>
        <w:rPr>
          <w:rFonts w:hint="eastAsia" w:ascii="宋体"/>
          <w:b w:val="0"/>
          <w:bCs w:val="0"/>
          <w:color w:val="auto"/>
          <w:szCs w:val="21"/>
          <w:highlight w:val="none"/>
          <w:lang w:val="en-US" w:eastAsia="zh-CN"/>
        </w:rPr>
        <w:t>9.7 对不同文字文本投标文件的解释发生异议的，以中文文本为准；</w:t>
      </w:r>
    </w:p>
    <w:p>
      <w:pPr>
        <w:shd w:val="clear" w:color="auto" w:fill="auto"/>
        <w:spacing w:line="440" w:lineRule="exact"/>
        <w:ind w:firstLine="210" w:firstLineChars="100"/>
        <w:jc w:val="left"/>
        <w:rPr>
          <w:rFonts w:hint="eastAsia" w:ascii="宋体"/>
          <w:color w:val="auto"/>
          <w:szCs w:val="21"/>
          <w:highlight w:val="none"/>
        </w:rPr>
      </w:pPr>
      <w:r>
        <w:rPr>
          <w:rFonts w:hint="eastAsia" w:ascii="宋体"/>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spacing w:line="400" w:lineRule="exact"/>
        <w:jc w:val="center"/>
        <w:outlineLvl w:val="1"/>
        <w:rPr>
          <w:rFonts w:hint="eastAsia" w:ascii="宋体"/>
          <w:b/>
          <w:color w:val="auto"/>
          <w:sz w:val="24"/>
          <w:highlight w:val="none"/>
        </w:rPr>
      </w:pPr>
      <w:bookmarkStart w:id="54" w:name="_Toc469495735"/>
      <w:r>
        <w:rPr>
          <w:rFonts w:hint="eastAsia" w:ascii="宋体"/>
          <w:b/>
          <w:color w:val="auto"/>
          <w:sz w:val="24"/>
          <w:highlight w:val="none"/>
        </w:rPr>
        <w:t>四 比较与评价</w:t>
      </w:r>
      <w:bookmarkEnd w:id="54"/>
    </w:p>
    <w:p>
      <w:pPr>
        <w:shd w:val="clear" w:color="auto" w:fill="auto"/>
        <w:tabs>
          <w:tab w:val="left" w:pos="720"/>
        </w:tabs>
        <w:spacing w:line="440" w:lineRule="exact"/>
        <w:ind w:firstLine="535" w:firstLineChars="255"/>
        <w:rPr>
          <w:rFonts w:hint="eastAsia" w:ascii="宋体" w:hAnsi="宋体" w:eastAsia="宋体" w:cs="宋体"/>
          <w:color w:val="auto"/>
          <w:szCs w:val="21"/>
          <w:highlight w:val="none"/>
          <w:lang w:bidi="ar-SA"/>
        </w:rPr>
      </w:pPr>
      <w:bookmarkStart w:id="55" w:name="_Toc469495736"/>
      <w:bookmarkStart w:id="56" w:name="_Toc362983805"/>
      <w:r>
        <w:rPr>
          <w:rFonts w:hint="eastAsia" w:ascii="宋体" w:hAnsi="宋体" w:eastAsia="宋体" w:cs="宋体"/>
          <w:color w:val="auto"/>
          <w:szCs w:val="21"/>
          <w:highlight w:val="none"/>
          <w:lang w:val="en-US" w:eastAsia="zh-CN" w:bidi="ar-SA"/>
        </w:rPr>
        <w:t>10.1</w:t>
      </w:r>
      <w:r>
        <w:rPr>
          <w:rFonts w:hint="eastAsia" w:ascii="宋体" w:hAnsi="宋体" w:eastAsia="宋体" w:cs="宋体"/>
          <w:color w:val="auto"/>
          <w:szCs w:val="21"/>
          <w:highlight w:val="none"/>
          <w:lang w:bidi="ar-SA"/>
        </w:rPr>
        <w:t>评标委员会按招标文件中规定的评标方法和标准，对资格性检查和符合性检查合格的投标文件进行商务和技术评估、综合比较与评价。</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10.2</w:t>
      </w:r>
      <w:r>
        <w:rPr>
          <w:rFonts w:hint="eastAsia" w:ascii="宋体" w:hAnsi="宋体" w:eastAsia="宋体" w:cs="宋体"/>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pPr>
        <w:shd w:val="clear" w:color="auto" w:fill="auto"/>
        <w:spacing w:line="440" w:lineRule="exact"/>
        <w:ind w:firstLine="539" w:firstLineChars="257"/>
        <w:rPr>
          <w:rFonts w:hint="eastAsia" w:ascii="宋体" w:hAnsi="宋体" w:eastAsia="宋体" w:cs="宋体"/>
          <w:bCs/>
          <w:color w:val="auto"/>
          <w:szCs w:val="21"/>
          <w:highlight w:val="none"/>
          <w:lang w:bidi="ar-SA"/>
        </w:rPr>
      </w:pPr>
      <w:r>
        <w:rPr>
          <w:rFonts w:hint="eastAsia" w:ascii="宋体" w:hAnsi="宋体" w:eastAsia="宋体" w:cs="宋体"/>
          <w:color w:val="auto"/>
          <w:szCs w:val="21"/>
          <w:highlight w:val="none"/>
          <w:lang w:val="en-US" w:eastAsia="zh-CN" w:bidi="ar-SA"/>
        </w:rPr>
        <w:t>10.</w:t>
      </w:r>
      <w:r>
        <w:rPr>
          <w:rFonts w:hint="eastAsia" w:ascii="宋体" w:hAnsi="宋体" w:eastAsia="宋体" w:cs="宋体"/>
          <w:bCs/>
          <w:color w:val="auto"/>
          <w:szCs w:val="21"/>
          <w:highlight w:val="none"/>
          <w:lang w:val="en-US" w:eastAsia="zh-CN" w:bidi="ar-SA"/>
        </w:rPr>
        <w:t>2.1</w:t>
      </w:r>
      <w:r>
        <w:rPr>
          <w:rFonts w:hint="eastAsia" w:ascii="宋体" w:hAnsi="宋体" w:eastAsia="宋体" w:cs="宋体"/>
          <w:bCs/>
          <w:color w:val="auto"/>
          <w:szCs w:val="21"/>
          <w:highlight w:val="none"/>
          <w:lang w:bidi="ar-SA"/>
        </w:rPr>
        <w:t>评委打分办法</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bCs/>
          <w:color w:val="auto"/>
          <w:szCs w:val="21"/>
          <w:highlight w:val="none"/>
          <w:lang w:bidi="ar-SA"/>
        </w:rPr>
        <w:t>（1）</w:t>
      </w:r>
      <w:r>
        <w:rPr>
          <w:rFonts w:hint="eastAsia" w:ascii="宋体" w:hAnsi="宋体" w:eastAsia="宋体" w:cs="宋体"/>
          <w:color w:val="auto"/>
          <w:szCs w:val="21"/>
          <w:highlight w:val="none"/>
          <w:lang w:bidi="ar-SA"/>
        </w:rPr>
        <w:t>参加评分的评委应尽力体现客观、实事求是，避免学派偏见和个人偏好。</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（2）衡量、对比的依据，应以招标文件、投标文件、提供的正式试验数据、质询澄清中的文字为准，口头回答和收集的资料只作为参考。</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（3）评分主要是为比较各投标人的价格、商务和技术综合排序。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（4）评委打分采取记名形式。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（5）各评委根据提供的技术打分表独立自主打分，任何人不得要求评委统一打分或统一确定等次顺序。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（6）对打分表中的每项条款，各评委应根据投标文件、澄清材料、招标文件要求，按满足的程度给投标人打分。</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（7）评分程序</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1)就投标人的投标文件对照整理出商务、技术评标因素对比表、偏差表，并在经过校核的基础上逐项打分。</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2)各评委独立完成打分后，将评分表交给代理机构，由代理机构组织进行分数统计。</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3)最终汇总表中各投标人得分应为评委打分的算术平均值。</w:t>
      </w:r>
    </w:p>
    <w:p>
      <w:pPr>
        <w:numPr>
          <w:ilvl w:val="0"/>
          <w:numId w:val="0"/>
        </w:numPr>
        <w:shd w:val="clear" w:color="auto" w:fill="auto"/>
        <w:spacing w:line="500" w:lineRule="exact"/>
        <w:ind w:firstLine="420" w:firstLineChars="200"/>
        <w:jc w:val="lef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bidi="ar-SA"/>
        </w:rPr>
        <w:t>（8）评分标准和细则（综合评分法评分标准）</w:t>
      </w:r>
    </w:p>
    <w:tbl>
      <w:tblPr>
        <w:tblStyle w:val="27"/>
        <w:tblW w:w="9718" w:type="dxa"/>
        <w:jc w:val="center"/>
        <w:tblLayout w:type="fixed"/>
        <w:tblCellMar>
          <w:top w:w="0" w:type="dxa"/>
          <w:left w:w="108" w:type="dxa"/>
          <w:bottom w:w="0" w:type="dxa"/>
          <w:right w:w="108" w:type="dxa"/>
        </w:tblCellMar>
      </w:tblPr>
      <w:tblGrid>
        <w:gridCol w:w="1546"/>
        <w:gridCol w:w="1304"/>
        <w:gridCol w:w="799"/>
        <w:gridCol w:w="6069"/>
      </w:tblGrid>
      <w:tr>
        <w:tblPrEx>
          <w:tblCellMar>
            <w:top w:w="0" w:type="dxa"/>
            <w:left w:w="108" w:type="dxa"/>
            <w:bottom w:w="0" w:type="dxa"/>
            <w:right w:w="108" w:type="dxa"/>
          </w:tblCellMar>
        </w:tblPrEx>
        <w:trPr>
          <w:trHeight w:val="324" w:hRule="atLeast"/>
          <w:jc w:val="center"/>
        </w:trPr>
        <w:tc>
          <w:tcPr>
            <w:tcW w:w="1546" w:type="dxa"/>
            <w:vMerge w:val="restart"/>
            <w:tcBorders>
              <w:top w:val="single" w:color="000000" w:sz="4" w:space="0"/>
              <w:left w:val="single" w:color="000000" w:sz="4" w:space="0"/>
              <w:bottom w:val="single" w:color="000000" w:sz="4" w:space="0"/>
              <w:right w:val="single" w:color="000000" w:sz="4" w:space="0"/>
            </w:tcBorders>
            <w:noWrap/>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vMerge w:val="restart"/>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评审项目</w:t>
            </w:r>
          </w:p>
        </w:tc>
        <w:tc>
          <w:tcPr>
            <w:tcW w:w="799" w:type="dxa"/>
            <w:vMerge w:val="restart"/>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构成分</w:t>
            </w:r>
            <w:r>
              <w:rPr>
                <w:rFonts w:hint="eastAsia" w:ascii="宋体" w:hAnsi="宋体" w:cs="宋体"/>
                <w:color w:val="auto"/>
                <w:szCs w:val="21"/>
                <w:highlight w:val="none"/>
                <w:lang w:val="en-US" w:eastAsia="zh-CN" w:bidi="ar-SA"/>
              </w:rPr>
              <w:t xml:space="preserve"> </w:t>
            </w:r>
            <w:r>
              <w:rPr>
                <w:rFonts w:hint="eastAsia" w:ascii="宋体" w:hAnsi="宋体" w:eastAsia="宋体" w:cs="宋体"/>
                <w:color w:val="auto"/>
                <w:szCs w:val="21"/>
                <w:highlight w:val="none"/>
                <w:lang w:val="en-US" w:eastAsia="zh-CN" w:bidi="ar-SA"/>
              </w:rPr>
              <w:t>值</w:t>
            </w:r>
          </w:p>
        </w:tc>
        <w:tc>
          <w:tcPr>
            <w:tcW w:w="6069" w:type="dxa"/>
            <w:vMerge w:val="restart"/>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分   值   内    容</w:t>
            </w:r>
          </w:p>
        </w:tc>
      </w:tr>
      <w:tr>
        <w:tblPrEx>
          <w:tblCellMar>
            <w:top w:w="0" w:type="dxa"/>
            <w:left w:w="108" w:type="dxa"/>
            <w:bottom w:w="0" w:type="dxa"/>
            <w:right w:w="108" w:type="dxa"/>
          </w:tblCellMar>
        </w:tblPrEx>
        <w:trPr>
          <w:trHeight w:val="704" w:hRule="atLeast"/>
          <w:jc w:val="center"/>
        </w:trPr>
        <w:tc>
          <w:tcPr>
            <w:tcW w:w="1546" w:type="dxa"/>
            <w:vMerge w:val="continue"/>
            <w:tcBorders>
              <w:top w:val="single" w:color="000000" w:sz="4" w:space="0"/>
              <w:left w:val="single" w:color="000000" w:sz="4" w:space="0"/>
              <w:bottom w:val="single" w:color="000000" w:sz="4" w:space="0"/>
              <w:right w:val="single" w:color="000000" w:sz="4" w:space="0"/>
            </w:tcBorders>
            <w:noWrap/>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799"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6069"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r>
      <w:tr>
        <w:tblPrEx>
          <w:tblCellMar>
            <w:top w:w="0" w:type="dxa"/>
            <w:left w:w="108" w:type="dxa"/>
            <w:bottom w:w="0" w:type="dxa"/>
            <w:right w:w="108" w:type="dxa"/>
          </w:tblCellMar>
        </w:tblPrEx>
        <w:trPr>
          <w:trHeight w:val="1898" w:hRule="atLeast"/>
          <w:jc w:val="center"/>
        </w:trPr>
        <w:tc>
          <w:tcPr>
            <w:tcW w:w="1546" w:type="dxa"/>
            <w:tcBorders>
              <w:top w:val="nil"/>
              <w:left w:val="single" w:color="000000" w:sz="4" w:space="0"/>
              <w:bottom w:val="single" w:color="000000" w:sz="4" w:space="0"/>
              <w:right w:val="single" w:color="000000" w:sz="4" w:space="0"/>
            </w:tcBorders>
            <w:shd w:val="clear" w:color="auto" w:fill="auto"/>
            <w:noWrap/>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报价25分</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报价</w:t>
            </w: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25</w:t>
            </w:r>
          </w:p>
        </w:tc>
        <w:tc>
          <w:tcPr>
            <w:tcW w:w="60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auto"/>
              <w:spacing w:line="440" w:lineRule="exact"/>
              <w:ind w:firstLine="420" w:firstLineChars="200"/>
              <w:jc w:val="lef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投标人有效最低报价为评标基准价，其价格分为满分，满足文件要求且最低价格为基准价，其价格分为满分,各投标人价格得分应保留两位小数。                                                                                                其他供应商的价格分按公式计算                                                                                                                                                                                          报价得分=(评标基准价／投标报价)×100×25%</w:t>
            </w:r>
          </w:p>
        </w:tc>
      </w:tr>
      <w:tr>
        <w:tblPrEx>
          <w:tblCellMar>
            <w:top w:w="0" w:type="dxa"/>
            <w:left w:w="108" w:type="dxa"/>
            <w:bottom w:w="0" w:type="dxa"/>
            <w:right w:w="108" w:type="dxa"/>
          </w:tblCellMar>
        </w:tblPrEx>
        <w:trPr>
          <w:trHeight w:val="1093" w:hRule="atLeast"/>
          <w:jc w:val="center"/>
        </w:trPr>
        <w:tc>
          <w:tcPr>
            <w:tcW w:w="154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商务部分</w:t>
            </w:r>
          </w:p>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cs="宋体"/>
                <w:color w:val="auto"/>
                <w:szCs w:val="21"/>
                <w:highlight w:val="none"/>
                <w:lang w:val="en-US" w:eastAsia="zh-CN" w:bidi="ar-SA"/>
              </w:rPr>
              <w:t>20</w:t>
            </w:r>
            <w:r>
              <w:rPr>
                <w:rFonts w:hint="eastAsia" w:ascii="宋体" w:hAnsi="宋体" w:eastAsia="宋体" w:cs="宋体"/>
                <w:color w:val="auto"/>
                <w:szCs w:val="21"/>
                <w:highlight w:val="none"/>
                <w:lang w:val="en-US" w:eastAsia="zh-CN" w:bidi="ar-SA"/>
              </w:rPr>
              <w:t>分</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投标文件      质量</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3</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420" w:firstLineChars="200"/>
              <w:jc w:val="both"/>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编制的投标文件完整性、严谨性，投标文件编制质量较高得3-2分，编制的投标文件完整性、严谨性，投标文件编制质量一般得1分。</w:t>
            </w:r>
          </w:p>
        </w:tc>
      </w:tr>
      <w:tr>
        <w:tblPrEx>
          <w:tblCellMar>
            <w:top w:w="0" w:type="dxa"/>
            <w:left w:w="108" w:type="dxa"/>
            <w:bottom w:w="0" w:type="dxa"/>
            <w:right w:w="108" w:type="dxa"/>
          </w:tblCellMar>
        </w:tblPrEx>
        <w:trPr>
          <w:trHeight w:val="1640" w:hRule="atLeast"/>
          <w:jc w:val="center"/>
        </w:trPr>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000000"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证书</w:t>
            </w:r>
          </w:p>
        </w:tc>
        <w:tc>
          <w:tcPr>
            <w:tcW w:w="799" w:type="dxa"/>
            <w:tcBorders>
              <w:top w:val="single" w:color="000000"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11</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420" w:firstLineChars="200"/>
              <w:jc w:val="both"/>
              <w:rPr>
                <w:rFonts w:hint="eastAsia"/>
                <w:color w:val="auto"/>
                <w:lang w:val="en-US" w:eastAsia="zh-CN"/>
              </w:rPr>
            </w:pPr>
            <w:r>
              <w:rPr>
                <w:rFonts w:hint="eastAsia"/>
                <w:color w:val="auto"/>
                <w:lang w:val="en-US" w:eastAsia="zh-CN"/>
              </w:rPr>
              <w:t>提供质量管理体系认证、环境管理体系认证、职业健康安全管理体系认证的，得3分，缺少不得分。</w:t>
            </w:r>
          </w:p>
          <w:p>
            <w:pPr>
              <w:shd w:val="clear" w:color="auto" w:fill="auto"/>
              <w:spacing w:line="440" w:lineRule="exact"/>
              <w:ind w:firstLine="420" w:firstLineChars="200"/>
              <w:jc w:val="both"/>
              <w:rPr>
                <w:rFonts w:hint="eastAsia"/>
                <w:color w:val="auto"/>
                <w:lang w:val="en-US" w:eastAsia="zh-CN"/>
              </w:rPr>
            </w:pPr>
            <w:r>
              <w:rPr>
                <w:rFonts w:hint="eastAsia"/>
                <w:color w:val="auto"/>
                <w:lang w:val="en-US" w:eastAsia="zh-CN"/>
              </w:rPr>
              <w:t>提供一个AAA级信用等级证书得1分，最高2分；</w:t>
            </w:r>
          </w:p>
          <w:p>
            <w:pPr>
              <w:shd w:val="clear" w:color="auto" w:fill="auto"/>
              <w:spacing w:line="440" w:lineRule="exact"/>
              <w:ind w:firstLine="420" w:firstLineChars="200"/>
              <w:jc w:val="both"/>
              <w:rPr>
                <w:rFonts w:hint="eastAsia"/>
                <w:color w:val="auto"/>
                <w:lang w:val="en-US" w:eastAsia="zh-CN"/>
              </w:rPr>
            </w:pPr>
            <w:r>
              <w:rPr>
                <w:rFonts w:hint="eastAsia"/>
                <w:color w:val="auto"/>
                <w:lang w:val="en-US" w:eastAsia="zh-CN"/>
              </w:rPr>
              <w:t>提供一个重合同守信用等诚信相关证书得1分，最高2分；</w:t>
            </w:r>
          </w:p>
          <w:p>
            <w:pPr>
              <w:shd w:val="clear" w:color="auto" w:fill="auto"/>
              <w:spacing w:line="440" w:lineRule="exact"/>
              <w:ind w:firstLine="420" w:firstLineChars="200"/>
              <w:jc w:val="both"/>
              <w:rPr>
                <w:rFonts w:hint="default"/>
                <w:color w:val="auto"/>
                <w:lang w:val="en-US" w:eastAsia="zh-CN"/>
              </w:rPr>
            </w:pPr>
            <w:r>
              <w:rPr>
                <w:rFonts w:hint="eastAsia"/>
                <w:color w:val="auto"/>
                <w:lang w:val="en-US" w:eastAsia="zh-CN"/>
              </w:rPr>
              <w:t>提供苗圃基地面积证明文件（如租赁合同或购买合同等证明文件），面积200亩及以上的得4分，100亩以内的得1-3分。</w:t>
            </w:r>
          </w:p>
        </w:tc>
      </w:tr>
      <w:tr>
        <w:tblPrEx>
          <w:tblCellMar>
            <w:top w:w="0" w:type="dxa"/>
            <w:left w:w="108" w:type="dxa"/>
            <w:bottom w:w="0" w:type="dxa"/>
            <w:right w:w="108" w:type="dxa"/>
          </w:tblCellMar>
        </w:tblPrEx>
        <w:trPr>
          <w:trHeight w:val="90" w:hRule="atLeast"/>
          <w:jc w:val="center"/>
        </w:trPr>
        <w:tc>
          <w:tcPr>
            <w:tcW w:w="1546" w:type="dxa"/>
            <w:vMerge w:val="continue"/>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auto" w:sz="4" w:space="0"/>
              <w:left w:val="single" w:color="auto" w:sz="4" w:space="0"/>
              <w:bottom w:val="single" w:color="auto"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业绩</w:t>
            </w:r>
          </w:p>
        </w:tc>
        <w:tc>
          <w:tcPr>
            <w:tcW w:w="799" w:type="dxa"/>
            <w:tcBorders>
              <w:top w:val="single" w:color="auto" w:sz="4" w:space="0"/>
              <w:left w:val="single" w:color="000000" w:sz="4" w:space="0"/>
              <w:bottom w:val="single" w:color="auto" w:sz="4" w:space="0"/>
              <w:right w:val="single" w:color="auto"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6</w:t>
            </w:r>
          </w:p>
        </w:tc>
        <w:tc>
          <w:tcPr>
            <w:tcW w:w="6069" w:type="dxa"/>
            <w:tcBorders>
              <w:top w:val="single" w:color="000000" w:sz="4" w:space="0"/>
              <w:left w:val="single" w:color="auto" w:sz="4" w:space="0"/>
              <w:bottom w:val="single" w:color="000000" w:sz="4" w:space="0"/>
              <w:right w:val="single" w:color="000000" w:sz="4" w:space="0"/>
            </w:tcBorders>
            <w:noWrap w:val="0"/>
            <w:vAlign w:val="center"/>
          </w:tcPr>
          <w:p>
            <w:pPr>
              <w:shd w:val="clear" w:color="auto" w:fill="auto"/>
              <w:spacing w:line="440" w:lineRule="exact"/>
              <w:ind w:firstLine="420" w:firstLineChars="200"/>
              <w:jc w:val="both"/>
              <w:rPr>
                <w:rFonts w:hint="eastAsia" w:ascii="宋体" w:hAnsi="宋体" w:eastAsia="宋体" w:cs="宋体"/>
                <w:color w:val="auto"/>
                <w:szCs w:val="21"/>
                <w:highlight w:val="none"/>
                <w:lang w:bidi="ar-SA"/>
              </w:rPr>
            </w:pPr>
            <w:r>
              <w:rPr>
                <w:rFonts w:hint="eastAsia" w:ascii="宋体" w:hAnsi="宋体" w:cs="宋体"/>
                <w:color w:val="auto"/>
                <w:szCs w:val="21"/>
                <w:highlight w:val="none"/>
                <w:lang w:val="en-US" w:eastAsia="zh-CN" w:bidi="ar-SA"/>
              </w:rPr>
              <w:t>提供</w:t>
            </w:r>
            <w:r>
              <w:rPr>
                <w:rFonts w:hint="eastAsia" w:ascii="宋体" w:hAnsi="宋体" w:eastAsia="宋体" w:cs="宋体"/>
                <w:color w:val="auto"/>
                <w:szCs w:val="21"/>
                <w:highlight w:val="none"/>
                <w:lang w:val="en-US" w:eastAsia="zh-CN" w:bidi="ar-SA"/>
              </w:rPr>
              <w:t>近三年类似项目业绩的，每个得 2分，最高得 6分。（同时提供中标通知书和合同）。</w:t>
            </w:r>
          </w:p>
        </w:tc>
      </w:tr>
      <w:tr>
        <w:tblPrEx>
          <w:tblCellMar>
            <w:top w:w="0" w:type="dxa"/>
            <w:left w:w="108" w:type="dxa"/>
            <w:bottom w:w="0" w:type="dxa"/>
            <w:right w:w="108" w:type="dxa"/>
          </w:tblCellMar>
        </w:tblPrEx>
        <w:trPr>
          <w:trHeight w:val="90" w:hRule="atLeast"/>
          <w:jc w:val="center"/>
        </w:trPr>
        <w:tc>
          <w:tcPr>
            <w:tcW w:w="1546" w:type="dxa"/>
            <w:vMerge w:val="restart"/>
            <w:tcBorders>
              <w:top w:val="single" w:color="000000" w:sz="4" w:space="0"/>
              <w:left w:val="single" w:color="000000" w:sz="4" w:space="0"/>
              <w:right w:val="single" w:color="000000" w:sz="4" w:space="0"/>
            </w:tcBorders>
            <w:shd w:val="clear" w:color="auto" w:fill="FFFFFF"/>
            <w:noWrap w:val="0"/>
            <w:vAlign w:val="center"/>
          </w:tcPr>
          <w:p>
            <w:pPr>
              <w:shd w:val="clear" w:color="auto" w:fill="auto"/>
              <w:spacing w:line="440" w:lineRule="exact"/>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技术部分55分</w:t>
            </w:r>
          </w:p>
        </w:tc>
        <w:tc>
          <w:tcPr>
            <w:tcW w:w="1304" w:type="dxa"/>
            <w:tcBorders>
              <w:top w:val="single" w:color="auto"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养护管理</w:t>
            </w:r>
          </w:p>
          <w:p>
            <w:pPr>
              <w:shd w:val="clear" w:color="auto" w:fill="auto"/>
              <w:spacing w:line="440" w:lineRule="exact"/>
              <w:jc w:val="center"/>
              <w:rPr>
                <w:rFonts w:hint="eastAsia" w:ascii="宋体" w:hAnsi="宋体" w:eastAsia="宋体" w:cs="宋体"/>
                <w:color w:val="auto"/>
                <w:szCs w:val="21"/>
                <w:highlight w:val="none"/>
                <w:lang w:bidi="ar-SA"/>
              </w:rPr>
            </w:pPr>
            <w:r>
              <w:rPr>
                <w:rFonts w:hint="eastAsia" w:ascii="宋体" w:hAnsi="宋体" w:eastAsia="宋体" w:cs="宋体"/>
                <w:color w:val="auto"/>
                <w:szCs w:val="21"/>
                <w:highlight w:val="none"/>
                <w:lang w:val="en-US" w:eastAsia="zh-CN" w:bidi="ar-SA"/>
              </w:rPr>
              <w:t>方案</w:t>
            </w:r>
          </w:p>
        </w:tc>
        <w:tc>
          <w:tcPr>
            <w:tcW w:w="799" w:type="dxa"/>
            <w:tcBorders>
              <w:top w:val="single" w:color="auto" w:sz="4" w:space="0"/>
              <w:left w:val="single" w:color="000000" w:sz="4" w:space="0"/>
              <w:bottom w:val="single" w:color="auto" w:sz="4" w:space="0"/>
              <w:right w:val="single" w:color="000000"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bidi="ar-SA"/>
              </w:rPr>
            </w:pPr>
            <w:r>
              <w:rPr>
                <w:rFonts w:hint="eastAsia" w:ascii="宋体" w:hAnsi="宋体" w:eastAsia="宋体" w:cs="宋体"/>
                <w:color w:val="auto"/>
                <w:szCs w:val="21"/>
                <w:highlight w:val="none"/>
                <w:lang w:val="en-US" w:eastAsia="zh-CN" w:bidi="ar-SA"/>
              </w:rPr>
              <w:t>15</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养护方案及措施、病虫害防治方案等，绿地养护技术方案结合季节变化、考虑各类园林植物生长特性，养护计划周密措施有效，有1-12月每月全面具体完整的养护作业计划。</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内容全面、描述详细、科学合理、针对性强的得 10-15 分；</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内容全面、描述简单、针对性一般的得5-9分；</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内容不全、描写简单的得1-4分；</w:t>
            </w:r>
          </w:p>
          <w:p>
            <w:pPr>
              <w:shd w:val="clear" w:color="auto" w:fill="auto"/>
              <w:spacing w:line="440" w:lineRule="exact"/>
              <w:ind w:firstLine="539" w:firstLineChars="257"/>
              <w:rPr>
                <w:rFonts w:hint="eastAsia" w:ascii="宋体" w:hAnsi="宋体" w:eastAsia="宋体" w:cs="宋体"/>
                <w:color w:val="auto"/>
                <w:szCs w:val="21"/>
                <w:highlight w:val="none"/>
                <w:lang w:bidi="ar-SA"/>
              </w:rPr>
            </w:pPr>
            <w:r>
              <w:rPr>
                <w:rFonts w:hint="eastAsia" w:ascii="宋体" w:hAnsi="宋体" w:cs="宋体"/>
                <w:color w:val="auto"/>
                <w:szCs w:val="21"/>
                <w:highlight w:val="none"/>
                <w:lang w:val="en-US" w:eastAsia="zh-CN" w:bidi="ar-SA"/>
              </w:rPr>
              <w:t>不提供</w:t>
            </w:r>
            <w:r>
              <w:rPr>
                <w:rFonts w:hint="eastAsia" w:ascii="宋体" w:hAnsi="宋体" w:eastAsia="宋体" w:cs="宋体"/>
                <w:color w:val="auto"/>
                <w:szCs w:val="21"/>
                <w:highlight w:val="none"/>
                <w:lang w:val="en-US" w:eastAsia="zh-CN" w:bidi="ar-SA"/>
              </w:rPr>
              <w:t xml:space="preserve">不得分。                                                                                                                                                                                                                                                                                           </w:t>
            </w:r>
          </w:p>
        </w:tc>
      </w:tr>
      <w:tr>
        <w:tblPrEx>
          <w:tblCellMar>
            <w:top w:w="0" w:type="dxa"/>
            <w:left w:w="108" w:type="dxa"/>
            <w:bottom w:w="0" w:type="dxa"/>
            <w:right w:w="108" w:type="dxa"/>
          </w:tblCellMar>
        </w:tblPrEx>
        <w:trPr>
          <w:trHeight w:val="1157" w:hRule="atLeast"/>
          <w:jc w:val="center"/>
        </w:trPr>
        <w:tc>
          <w:tcPr>
            <w:tcW w:w="1546" w:type="dxa"/>
            <w:vMerge w:val="continue"/>
            <w:tcBorders>
              <w:left w:val="single" w:color="000000"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auto" w:sz="4" w:space="0"/>
              <w:left w:val="single" w:color="auto" w:sz="4" w:space="0"/>
              <w:bottom w:val="single" w:color="auto" w:sz="4" w:space="0"/>
              <w:right w:val="single" w:color="000000" w:sz="4" w:space="0"/>
            </w:tcBorders>
            <w:noWrap w:val="0"/>
            <w:vAlign w:val="center"/>
          </w:tcPr>
          <w:p>
            <w:pPr>
              <w:shd w:val="clear" w:color="auto" w:fill="auto"/>
              <w:spacing w:line="440" w:lineRule="exact"/>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投入人员</w:t>
            </w:r>
          </w:p>
        </w:tc>
        <w:tc>
          <w:tcPr>
            <w:tcW w:w="799" w:type="dxa"/>
            <w:tcBorders>
              <w:top w:val="single" w:color="auto" w:sz="4" w:space="0"/>
              <w:left w:val="single" w:color="000000" w:sz="4" w:space="0"/>
              <w:bottom w:val="single" w:color="auto" w:sz="4" w:space="0"/>
              <w:right w:val="single" w:color="auto"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14</w:t>
            </w:r>
          </w:p>
        </w:tc>
        <w:tc>
          <w:tcPr>
            <w:tcW w:w="6069" w:type="dxa"/>
            <w:tcBorders>
              <w:top w:val="single" w:color="000000" w:sz="4" w:space="0"/>
              <w:left w:val="single" w:color="auto"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color w:val="auto"/>
                <w:lang w:val="en-US" w:eastAsia="zh-CN"/>
              </w:rPr>
            </w:pPr>
            <w:r>
              <w:rPr>
                <w:rFonts w:hint="eastAsia"/>
                <w:color w:val="auto"/>
                <w:lang w:val="en-US" w:eastAsia="zh-CN"/>
              </w:rPr>
              <w:t>提供项目拟投入养护人员名单及劳务合同，30人及以上的得8分，20人及以上的得4分，10人及以上的得2分</w:t>
            </w:r>
          </w:p>
          <w:p>
            <w:pPr>
              <w:shd w:val="clear" w:color="auto" w:fill="auto"/>
              <w:spacing w:line="440" w:lineRule="exact"/>
              <w:ind w:firstLine="420" w:firstLineChars="200"/>
              <w:rPr>
                <w:rFonts w:hint="eastAsia" w:ascii="宋体" w:hAnsi="宋体" w:eastAsia="宋体" w:cs="宋体"/>
                <w:color w:val="auto"/>
                <w:szCs w:val="21"/>
                <w:highlight w:val="none"/>
                <w:lang w:eastAsia="zh-CN" w:bidi="ar-SA"/>
              </w:rPr>
            </w:pPr>
            <w:r>
              <w:rPr>
                <w:rFonts w:hint="eastAsia" w:ascii="宋体" w:hAnsi="宋体" w:cs="宋体"/>
                <w:color w:val="auto"/>
                <w:szCs w:val="21"/>
                <w:highlight w:val="none"/>
                <w:lang w:val="en-US" w:eastAsia="zh-CN" w:bidi="ar-SA"/>
              </w:rPr>
              <w:t xml:space="preserve">  </w:t>
            </w:r>
            <w:r>
              <w:rPr>
                <w:rFonts w:hint="eastAsia" w:ascii="宋体" w:hAnsi="宋体" w:eastAsia="宋体" w:cs="宋体"/>
                <w:color w:val="auto"/>
                <w:szCs w:val="21"/>
                <w:highlight w:val="none"/>
                <w:lang w:bidi="ar-SA"/>
              </w:rPr>
              <w:t>拟投入的</w:t>
            </w:r>
            <w:r>
              <w:rPr>
                <w:rFonts w:hint="eastAsia" w:ascii="宋体" w:hAnsi="宋体" w:cs="宋体"/>
                <w:color w:val="auto"/>
                <w:szCs w:val="21"/>
                <w:highlight w:val="none"/>
                <w:lang w:val="en-US" w:eastAsia="zh-CN" w:bidi="ar-SA"/>
              </w:rPr>
              <w:t>养护人员中</w:t>
            </w:r>
            <w:r>
              <w:rPr>
                <w:rFonts w:hint="eastAsia" w:ascii="宋体" w:hAnsi="宋体" w:eastAsia="宋体" w:cs="宋体"/>
                <w:color w:val="auto"/>
                <w:szCs w:val="21"/>
                <w:highlight w:val="none"/>
                <w:lang w:bidi="ar-SA"/>
              </w:rPr>
              <w:t>具有园林绿化类相关专业高级职称的，每人得</w:t>
            </w:r>
            <w:r>
              <w:rPr>
                <w:rFonts w:hint="eastAsia" w:ascii="宋体" w:hAnsi="宋体" w:cs="宋体"/>
                <w:color w:val="auto"/>
                <w:szCs w:val="21"/>
                <w:highlight w:val="none"/>
                <w:lang w:val="en-US" w:eastAsia="zh-CN" w:bidi="ar-SA"/>
              </w:rPr>
              <w:t>3</w:t>
            </w:r>
            <w:r>
              <w:rPr>
                <w:rFonts w:hint="eastAsia" w:ascii="宋体" w:hAnsi="宋体" w:eastAsia="宋体" w:cs="宋体"/>
                <w:color w:val="auto"/>
                <w:szCs w:val="21"/>
                <w:highlight w:val="none"/>
                <w:lang w:bidi="ar-SA"/>
              </w:rPr>
              <w:t>分，最多</w:t>
            </w:r>
            <w:r>
              <w:rPr>
                <w:rFonts w:hint="eastAsia" w:ascii="宋体" w:hAnsi="宋体" w:cs="宋体"/>
                <w:color w:val="auto"/>
                <w:szCs w:val="21"/>
                <w:highlight w:val="none"/>
                <w:lang w:val="en-US" w:eastAsia="zh-CN" w:bidi="ar-SA"/>
              </w:rPr>
              <w:t>3</w:t>
            </w:r>
            <w:r>
              <w:rPr>
                <w:rFonts w:hint="eastAsia" w:ascii="宋体" w:hAnsi="宋体" w:eastAsia="宋体" w:cs="宋体"/>
                <w:color w:val="auto"/>
                <w:szCs w:val="21"/>
                <w:highlight w:val="none"/>
                <w:lang w:bidi="ar-SA"/>
              </w:rPr>
              <w:t>分</w:t>
            </w:r>
            <w:r>
              <w:rPr>
                <w:rFonts w:hint="eastAsia" w:ascii="宋体" w:hAnsi="宋体" w:eastAsia="宋体" w:cs="宋体"/>
                <w:color w:val="auto"/>
                <w:szCs w:val="21"/>
                <w:highlight w:val="none"/>
                <w:lang w:eastAsia="zh-CN" w:bidi="ar-SA"/>
              </w:rPr>
              <w:t>；</w:t>
            </w:r>
          </w:p>
          <w:p>
            <w:pPr>
              <w:pStyle w:val="2"/>
              <w:rPr>
                <w:rFonts w:hint="default"/>
                <w:color w:val="auto"/>
                <w:lang w:val="en-US" w:eastAsia="zh-CN"/>
              </w:rPr>
            </w:pPr>
            <w:r>
              <w:rPr>
                <w:rFonts w:hint="eastAsia" w:ascii="宋体" w:hAnsi="宋体" w:cs="宋体"/>
                <w:color w:val="auto"/>
                <w:szCs w:val="21"/>
                <w:highlight w:val="none"/>
                <w:lang w:val="en-US" w:eastAsia="zh-CN" w:bidi="ar-SA"/>
              </w:rPr>
              <w:t xml:space="preserve">     </w:t>
            </w:r>
            <w:r>
              <w:rPr>
                <w:rFonts w:hint="eastAsia" w:ascii="宋体" w:hAnsi="宋体" w:eastAsia="宋体" w:cs="宋体"/>
                <w:color w:val="auto"/>
                <w:szCs w:val="21"/>
                <w:highlight w:val="none"/>
                <w:lang w:bidi="ar-SA"/>
              </w:rPr>
              <w:t>拟投入的</w:t>
            </w:r>
            <w:r>
              <w:rPr>
                <w:rFonts w:hint="eastAsia" w:ascii="宋体" w:hAnsi="宋体" w:cs="宋体"/>
                <w:color w:val="auto"/>
                <w:szCs w:val="21"/>
                <w:highlight w:val="none"/>
                <w:lang w:val="en-US" w:eastAsia="zh-CN" w:bidi="ar-SA"/>
              </w:rPr>
              <w:t>养护人员中工程师人数2人及以上的得3分。</w:t>
            </w:r>
          </w:p>
        </w:tc>
      </w:tr>
      <w:tr>
        <w:tblPrEx>
          <w:tblCellMar>
            <w:top w:w="0" w:type="dxa"/>
            <w:left w:w="108" w:type="dxa"/>
            <w:bottom w:w="0" w:type="dxa"/>
            <w:right w:w="108" w:type="dxa"/>
          </w:tblCellMar>
        </w:tblPrEx>
        <w:trPr>
          <w:trHeight w:val="868" w:hRule="atLeast"/>
          <w:jc w:val="center"/>
        </w:trPr>
        <w:tc>
          <w:tcPr>
            <w:tcW w:w="1546" w:type="dxa"/>
            <w:vMerge w:val="continue"/>
            <w:tcBorders>
              <w:left w:val="single" w:color="000000"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auto" w:sz="4" w:space="0"/>
              <w:left w:val="single" w:color="000000" w:sz="4" w:space="0"/>
              <w:bottom w:val="single" w:color="000000" w:sz="4" w:space="0"/>
              <w:right w:val="single" w:color="auto"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 xml:space="preserve"> </w:t>
            </w:r>
          </w:p>
          <w:p>
            <w:pPr>
              <w:shd w:val="clear" w:color="auto" w:fill="auto"/>
              <w:spacing w:line="440" w:lineRule="exact"/>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投入设备</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p>
        </w:tc>
        <w:tc>
          <w:tcPr>
            <w:tcW w:w="799" w:type="dxa"/>
            <w:tcBorders>
              <w:top w:val="single" w:color="auto" w:sz="4" w:space="0"/>
              <w:left w:val="single" w:color="auto" w:sz="4" w:space="0"/>
              <w:bottom w:val="single" w:color="000000" w:sz="4" w:space="0"/>
              <w:right w:val="single" w:color="000000" w:sz="4" w:space="0"/>
            </w:tcBorders>
            <w:noWrap w:val="0"/>
            <w:vAlign w:val="center"/>
          </w:tcPr>
          <w:p>
            <w:pPr>
              <w:shd w:val="clear" w:color="auto" w:fill="auto"/>
              <w:spacing w:line="440" w:lineRule="exact"/>
              <w:jc w:val="center"/>
              <w:rPr>
                <w:rFonts w:hint="default"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21</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根据项目规模配备所需机械设备情况：</w:t>
            </w:r>
            <w:r>
              <w:rPr>
                <w:rFonts w:hint="eastAsia" w:ascii="宋体" w:hAnsi="宋体" w:eastAsia="宋体" w:cs="宋体"/>
                <w:color w:val="auto"/>
                <w:szCs w:val="21"/>
                <w:highlight w:val="none"/>
                <w:lang w:val="en-US" w:eastAsia="zh-CN" w:bidi="ar-SA"/>
              </w:rPr>
              <w:br w:type="textWrapping"/>
            </w:r>
            <w:r>
              <w:rPr>
                <w:rFonts w:hint="eastAsia" w:ascii="宋体" w:hAnsi="宋体" w:cs="宋体"/>
                <w:color w:val="auto"/>
                <w:szCs w:val="21"/>
                <w:highlight w:val="none"/>
                <w:lang w:val="en-US" w:eastAsia="zh-CN" w:bidi="ar-SA"/>
              </w:rPr>
              <w:t>1</w:t>
            </w:r>
            <w:r>
              <w:rPr>
                <w:rFonts w:hint="eastAsia" w:ascii="宋体" w:hAnsi="宋体" w:eastAsia="宋体" w:cs="宋体"/>
                <w:color w:val="auto"/>
                <w:szCs w:val="21"/>
                <w:highlight w:val="none"/>
                <w:lang w:val="en-US" w:eastAsia="zh-CN" w:bidi="ar-SA"/>
              </w:rPr>
              <w:t>、应急抢险车（巡查车、皮卡）：每辆得</w:t>
            </w:r>
            <w:r>
              <w:rPr>
                <w:rFonts w:hint="eastAsia" w:ascii="宋体" w:hAnsi="宋体" w:cs="宋体"/>
                <w:color w:val="auto"/>
                <w:szCs w:val="21"/>
                <w:highlight w:val="none"/>
                <w:lang w:val="en-US" w:eastAsia="zh-CN" w:bidi="ar-SA"/>
              </w:rPr>
              <w:t>2</w:t>
            </w:r>
            <w:r>
              <w:rPr>
                <w:rFonts w:hint="eastAsia" w:ascii="宋体" w:hAnsi="宋体" w:eastAsia="宋体" w:cs="宋体"/>
                <w:color w:val="auto"/>
                <w:szCs w:val="21"/>
                <w:highlight w:val="none"/>
                <w:lang w:val="en-US" w:eastAsia="zh-CN" w:bidi="ar-SA"/>
              </w:rPr>
              <w:t>分，最多</w:t>
            </w:r>
            <w:r>
              <w:rPr>
                <w:rFonts w:hint="eastAsia" w:ascii="宋体" w:hAnsi="宋体" w:cs="宋体"/>
                <w:color w:val="auto"/>
                <w:szCs w:val="21"/>
                <w:highlight w:val="none"/>
                <w:lang w:val="en-US" w:eastAsia="zh-CN" w:bidi="ar-SA"/>
              </w:rPr>
              <w:t>4</w:t>
            </w:r>
            <w:r>
              <w:rPr>
                <w:rFonts w:hint="eastAsia" w:ascii="宋体" w:hAnsi="宋体" w:eastAsia="宋体" w:cs="宋体"/>
                <w:color w:val="auto"/>
                <w:szCs w:val="21"/>
                <w:highlight w:val="none"/>
                <w:lang w:val="en-US" w:eastAsia="zh-CN" w:bidi="ar-SA"/>
              </w:rPr>
              <w:t>分；</w:t>
            </w:r>
            <w:r>
              <w:rPr>
                <w:rFonts w:hint="eastAsia" w:ascii="宋体" w:hAnsi="宋体" w:eastAsia="宋体" w:cs="宋体"/>
                <w:color w:val="auto"/>
                <w:szCs w:val="21"/>
                <w:highlight w:val="none"/>
                <w:lang w:val="en-US" w:eastAsia="zh-CN" w:bidi="ar-SA"/>
              </w:rPr>
              <w:br w:type="textWrapping"/>
            </w:r>
            <w:r>
              <w:rPr>
                <w:rFonts w:hint="eastAsia" w:ascii="宋体" w:hAnsi="宋体" w:cs="宋体"/>
                <w:color w:val="auto"/>
                <w:szCs w:val="21"/>
                <w:highlight w:val="none"/>
                <w:lang w:val="en-US" w:eastAsia="zh-CN" w:bidi="ar-SA"/>
              </w:rPr>
              <w:t>2</w:t>
            </w:r>
            <w:r>
              <w:rPr>
                <w:rFonts w:hint="eastAsia" w:ascii="宋体" w:hAnsi="宋体" w:eastAsia="宋体" w:cs="宋体"/>
                <w:color w:val="auto"/>
                <w:szCs w:val="21"/>
                <w:highlight w:val="none"/>
                <w:lang w:val="en-US" w:eastAsia="zh-CN" w:bidi="ar-SA"/>
              </w:rPr>
              <w:t>、电动三轮：4辆及以上得2分，最多得2分；</w:t>
            </w:r>
            <w:r>
              <w:rPr>
                <w:rFonts w:hint="eastAsia" w:ascii="宋体" w:hAnsi="宋体" w:eastAsia="宋体" w:cs="宋体"/>
                <w:color w:val="auto"/>
                <w:szCs w:val="21"/>
                <w:highlight w:val="none"/>
                <w:lang w:val="en-US" w:eastAsia="zh-CN" w:bidi="ar-SA"/>
              </w:rPr>
              <w:br w:type="textWrapping"/>
            </w:r>
            <w:r>
              <w:rPr>
                <w:rFonts w:hint="eastAsia" w:ascii="宋体" w:hAnsi="宋体" w:cs="宋体"/>
                <w:color w:val="auto"/>
                <w:szCs w:val="21"/>
                <w:highlight w:val="none"/>
                <w:lang w:val="en-US" w:eastAsia="zh-CN" w:bidi="ar-SA"/>
              </w:rPr>
              <w:t>3</w:t>
            </w:r>
            <w:r>
              <w:rPr>
                <w:rFonts w:hint="eastAsia" w:ascii="宋体" w:hAnsi="宋体" w:eastAsia="宋体" w:cs="宋体"/>
                <w:color w:val="auto"/>
                <w:szCs w:val="21"/>
                <w:highlight w:val="none"/>
                <w:lang w:val="en-US" w:eastAsia="zh-CN" w:bidi="ar-SA"/>
              </w:rPr>
              <w:t>、</w:t>
            </w:r>
            <w:r>
              <w:rPr>
                <w:rFonts w:hint="eastAsia" w:ascii="宋体" w:hAnsi="宋体" w:cs="宋体"/>
                <w:color w:val="auto"/>
                <w:szCs w:val="21"/>
                <w:highlight w:val="none"/>
                <w:lang w:val="en-US" w:eastAsia="zh-CN" w:bidi="ar-SA"/>
              </w:rPr>
              <w:t>炮雾机或者防尘炮雾机</w:t>
            </w:r>
            <w:r>
              <w:rPr>
                <w:rFonts w:hint="eastAsia" w:ascii="宋体" w:hAnsi="宋体" w:eastAsia="宋体" w:cs="宋体"/>
                <w:color w:val="auto"/>
                <w:szCs w:val="21"/>
                <w:highlight w:val="none"/>
                <w:lang w:val="en-US" w:eastAsia="zh-CN" w:bidi="ar-SA"/>
              </w:rPr>
              <w:t>：</w:t>
            </w:r>
            <w:r>
              <w:rPr>
                <w:rFonts w:hint="eastAsia" w:ascii="宋体" w:hAnsi="宋体" w:eastAsia="宋体" w:cs="宋体"/>
                <w:color w:val="auto"/>
                <w:szCs w:val="21"/>
                <w:highlight w:val="none"/>
                <w:lang w:bidi="ar-SA"/>
              </w:rPr>
              <w:t>每辆得</w:t>
            </w:r>
            <w:r>
              <w:rPr>
                <w:rFonts w:hint="eastAsia" w:ascii="宋体" w:hAnsi="宋体" w:cs="宋体"/>
                <w:color w:val="auto"/>
                <w:szCs w:val="21"/>
                <w:highlight w:val="none"/>
                <w:lang w:val="en-US" w:eastAsia="zh-CN" w:bidi="ar-SA"/>
              </w:rPr>
              <w:t>1</w:t>
            </w:r>
            <w:r>
              <w:rPr>
                <w:rFonts w:hint="eastAsia" w:ascii="宋体" w:hAnsi="宋体" w:eastAsia="宋体" w:cs="宋体"/>
                <w:color w:val="auto"/>
                <w:szCs w:val="21"/>
                <w:highlight w:val="none"/>
                <w:lang w:bidi="ar-SA"/>
              </w:rPr>
              <w:t>分，最多得</w:t>
            </w:r>
            <w:r>
              <w:rPr>
                <w:rFonts w:hint="eastAsia" w:ascii="宋体" w:hAnsi="宋体" w:cs="宋体"/>
                <w:color w:val="auto"/>
                <w:szCs w:val="21"/>
                <w:highlight w:val="none"/>
                <w:lang w:val="en-US" w:eastAsia="zh-CN" w:bidi="ar-SA"/>
              </w:rPr>
              <w:t>3</w:t>
            </w:r>
            <w:r>
              <w:rPr>
                <w:rFonts w:hint="eastAsia" w:ascii="宋体" w:hAnsi="宋体" w:eastAsia="宋体" w:cs="宋体"/>
                <w:color w:val="auto"/>
                <w:szCs w:val="21"/>
                <w:highlight w:val="none"/>
                <w:lang w:bidi="ar-SA"/>
              </w:rPr>
              <w:t>分</w:t>
            </w:r>
            <w:r>
              <w:rPr>
                <w:rFonts w:hint="eastAsia" w:ascii="宋体" w:hAnsi="宋体" w:eastAsia="宋体" w:cs="宋体"/>
                <w:color w:val="auto"/>
                <w:szCs w:val="21"/>
                <w:highlight w:val="none"/>
                <w:lang w:val="en-US" w:eastAsia="zh-CN" w:bidi="ar-SA"/>
              </w:rPr>
              <w:t>；</w:t>
            </w:r>
            <w:r>
              <w:rPr>
                <w:rFonts w:hint="eastAsia" w:ascii="宋体" w:hAnsi="宋体" w:eastAsia="宋体" w:cs="宋体"/>
                <w:color w:val="auto"/>
                <w:szCs w:val="21"/>
                <w:highlight w:val="none"/>
                <w:lang w:val="en-US" w:eastAsia="zh-CN" w:bidi="ar-SA"/>
              </w:rPr>
              <w:br w:type="textWrapping"/>
            </w:r>
            <w:r>
              <w:rPr>
                <w:rFonts w:hint="eastAsia" w:ascii="宋体" w:hAnsi="宋体" w:cs="宋体"/>
                <w:color w:val="auto"/>
                <w:szCs w:val="21"/>
                <w:highlight w:val="none"/>
                <w:lang w:val="en-US" w:eastAsia="zh-CN" w:bidi="ar-SA"/>
              </w:rPr>
              <w:t>4</w:t>
            </w:r>
            <w:r>
              <w:rPr>
                <w:rFonts w:hint="eastAsia" w:ascii="宋体" w:hAnsi="宋体" w:eastAsia="宋体" w:cs="宋体"/>
                <w:color w:val="auto"/>
                <w:szCs w:val="21"/>
                <w:highlight w:val="none"/>
                <w:lang w:val="en-US" w:eastAsia="zh-CN" w:bidi="ar-SA"/>
              </w:rPr>
              <w:t>、发电机：每台得</w:t>
            </w:r>
            <w:r>
              <w:rPr>
                <w:rFonts w:hint="eastAsia" w:ascii="宋体" w:hAnsi="宋体" w:cs="宋体"/>
                <w:color w:val="auto"/>
                <w:szCs w:val="21"/>
                <w:highlight w:val="none"/>
                <w:lang w:val="en-US" w:eastAsia="zh-CN" w:bidi="ar-SA"/>
              </w:rPr>
              <w:t>2</w:t>
            </w:r>
            <w:r>
              <w:rPr>
                <w:rFonts w:hint="eastAsia" w:ascii="宋体" w:hAnsi="宋体" w:eastAsia="宋体" w:cs="宋体"/>
                <w:color w:val="auto"/>
                <w:szCs w:val="21"/>
                <w:highlight w:val="none"/>
                <w:lang w:val="en-US" w:eastAsia="zh-CN" w:bidi="ar-SA"/>
              </w:rPr>
              <w:t>分，最多得</w:t>
            </w:r>
            <w:r>
              <w:rPr>
                <w:rFonts w:hint="eastAsia" w:ascii="宋体" w:hAnsi="宋体" w:cs="宋体"/>
                <w:color w:val="auto"/>
                <w:szCs w:val="21"/>
                <w:highlight w:val="none"/>
                <w:lang w:val="en-US" w:eastAsia="zh-CN" w:bidi="ar-SA"/>
              </w:rPr>
              <w:t>4</w:t>
            </w:r>
            <w:r>
              <w:rPr>
                <w:rFonts w:hint="eastAsia" w:ascii="宋体" w:hAnsi="宋体" w:eastAsia="宋体" w:cs="宋体"/>
                <w:color w:val="auto"/>
                <w:szCs w:val="21"/>
                <w:highlight w:val="none"/>
                <w:lang w:val="en-US" w:eastAsia="zh-CN" w:bidi="ar-SA"/>
              </w:rPr>
              <w:t>分；</w:t>
            </w:r>
            <w:r>
              <w:rPr>
                <w:rFonts w:hint="eastAsia" w:ascii="宋体" w:hAnsi="宋体" w:eastAsia="宋体" w:cs="宋体"/>
                <w:color w:val="auto"/>
                <w:szCs w:val="21"/>
                <w:highlight w:val="none"/>
                <w:lang w:val="en-US" w:eastAsia="zh-CN" w:bidi="ar-SA"/>
              </w:rPr>
              <w:br w:type="textWrapping"/>
            </w:r>
            <w:r>
              <w:rPr>
                <w:rFonts w:hint="eastAsia" w:ascii="宋体" w:hAnsi="宋体" w:cs="宋体"/>
                <w:color w:val="auto"/>
                <w:szCs w:val="21"/>
                <w:highlight w:val="none"/>
                <w:lang w:val="en-US" w:eastAsia="zh-CN" w:bidi="ar-SA"/>
              </w:rPr>
              <w:t>5</w:t>
            </w:r>
            <w:r>
              <w:rPr>
                <w:rFonts w:hint="eastAsia" w:ascii="宋体" w:hAnsi="宋体" w:eastAsia="宋体" w:cs="宋体"/>
                <w:color w:val="auto"/>
                <w:szCs w:val="21"/>
                <w:highlight w:val="none"/>
                <w:lang w:val="en-US" w:eastAsia="zh-CN" w:bidi="ar-SA"/>
              </w:rPr>
              <w:t xml:space="preserve">、绿化树枝粉碎机 </w:t>
            </w:r>
            <w:r>
              <w:rPr>
                <w:rFonts w:hint="eastAsia" w:ascii="宋体" w:hAnsi="宋体" w:cs="宋体"/>
                <w:color w:val="auto"/>
                <w:szCs w:val="21"/>
                <w:highlight w:val="none"/>
                <w:lang w:val="en-US" w:eastAsia="zh-CN" w:bidi="ar-SA"/>
              </w:rPr>
              <w:t>2</w:t>
            </w:r>
            <w:r>
              <w:rPr>
                <w:rFonts w:hint="eastAsia" w:ascii="宋体" w:hAnsi="宋体" w:eastAsia="宋体" w:cs="宋体"/>
                <w:color w:val="auto"/>
                <w:szCs w:val="21"/>
                <w:highlight w:val="none"/>
                <w:lang w:val="en-US" w:eastAsia="zh-CN" w:bidi="ar-SA"/>
              </w:rPr>
              <w:t>台及以上、鼓风机 2 台及以上、绿篱机 3 台及以上、园林高压喷药机2台及以上、</w:t>
            </w:r>
            <w:r>
              <w:rPr>
                <w:rFonts w:hint="eastAsia" w:ascii="宋体" w:hAnsi="宋体" w:cs="宋体"/>
                <w:color w:val="auto"/>
                <w:szCs w:val="21"/>
                <w:highlight w:val="none"/>
                <w:lang w:val="en-US" w:eastAsia="zh-CN" w:bidi="ar-SA"/>
              </w:rPr>
              <w:t>洒水车</w:t>
            </w:r>
            <w:r>
              <w:rPr>
                <w:rFonts w:hint="eastAsia" w:ascii="宋体" w:hAnsi="宋体" w:eastAsia="宋体" w:cs="宋体"/>
                <w:color w:val="auto"/>
                <w:szCs w:val="21"/>
                <w:highlight w:val="none"/>
                <w:lang w:val="en-US" w:eastAsia="zh-CN" w:bidi="ar-SA"/>
              </w:rPr>
              <w:t xml:space="preserve">2 台及以上、抽水水泵4台及以上，全部具备得 </w:t>
            </w:r>
            <w:r>
              <w:rPr>
                <w:rFonts w:hint="eastAsia" w:ascii="宋体" w:hAnsi="宋体" w:cs="宋体"/>
                <w:color w:val="auto"/>
                <w:szCs w:val="21"/>
                <w:highlight w:val="none"/>
                <w:lang w:val="en-US" w:eastAsia="zh-CN" w:bidi="ar-SA"/>
              </w:rPr>
              <w:t>8</w:t>
            </w:r>
            <w:r>
              <w:rPr>
                <w:rFonts w:hint="eastAsia" w:ascii="宋体" w:hAnsi="宋体" w:eastAsia="宋体" w:cs="宋体"/>
                <w:color w:val="auto"/>
                <w:szCs w:val="21"/>
                <w:highlight w:val="none"/>
                <w:lang w:val="en-US" w:eastAsia="zh-CN" w:bidi="ar-SA"/>
              </w:rPr>
              <w:t>分，少一台扣</w:t>
            </w:r>
            <w:r>
              <w:rPr>
                <w:rFonts w:hint="eastAsia" w:ascii="宋体" w:hAnsi="宋体" w:cs="宋体"/>
                <w:color w:val="auto"/>
                <w:szCs w:val="21"/>
                <w:highlight w:val="none"/>
                <w:lang w:val="en-US" w:eastAsia="zh-CN" w:bidi="ar-SA"/>
              </w:rPr>
              <w:t>1</w:t>
            </w:r>
            <w:r>
              <w:rPr>
                <w:rFonts w:hint="eastAsia" w:ascii="宋体" w:hAnsi="宋体" w:eastAsia="宋体" w:cs="宋体"/>
                <w:color w:val="auto"/>
                <w:szCs w:val="21"/>
                <w:highlight w:val="none"/>
                <w:lang w:val="en-US" w:eastAsia="zh-CN" w:bidi="ar-SA"/>
              </w:rPr>
              <w:t xml:space="preserve">分，扣完为止，本项最高 </w:t>
            </w:r>
            <w:r>
              <w:rPr>
                <w:rFonts w:hint="eastAsia" w:ascii="宋体" w:hAnsi="宋体" w:cs="宋体"/>
                <w:color w:val="auto"/>
                <w:szCs w:val="21"/>
                <w:highlight w:val="none"/>
                <w:lang w:val="en-US" w:eastAsia="zh-CN" w:bidi="ar-SA"/>
              </w:rPr>
              <w:t>8</w:t>
            </w:r>
            <w:r>
              <w:rPr>
                <w:rFonts w:hint="eastAsia" w:ascii="宋体" w:hAnsi="宋体" w:eastAsia="宋体" w:cs="宋体"/>
                <w:color w:val="auto"/>
                <w:szCs w:val="21"/>
                <w:highlight w:val="none"/>
                <w:lang w:val="en-US" w:eastAsia="zh-CN" w:bidi="ar-SA"/>
              </w:rPr>
              <w:t>分。</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注：按国家规定必须上牌的车辆在投标文件中</w:t>
            </w:r>
            <w:r>
              <w:rPr>
                <w:rFonts w:hint="eastAsia" w:ascii="宋体" w:hAnsi="宋体" w:cs="宋体"/>
                <w:color w:val="auto"/>
                <w:szCs w:val="21"/>
                <w:highlight w:val="none"/>
                <w:lang w:val="en-US" w:eastAsia="zh-CN" w:bidi="ar-SA"/>
              </w:rPr>
              <w:t>须</w:t>
            </w:r>
            <w:r>
              <w:rPr>
                <w:rFonts w:hint="eastAsia" w:ascii="宋体" w:hAnsi="宋体" w:eastAsia="宋体" w:cs="宋体"/>
                <w:color w:val="auto"/>
                <w:szCs w:val="21"/>
                <w:highlight w:val="none"/>
                <w:lang w:val="en-US" w:eastAsia="zh-CN" w:bidi="ar-SA"/>
              </w:rPr>
              <w:t>同时提供车辆行驶证扫描件、车辆登记证扫描件、清晰带有车牌号的正面；缺一不可，否则不得分。按国家规定无需上牌的车辆或设备在投标文件中</w:t>
            </w:r>
            <w:r>
              <w:rPr>
                <w:rFonts w:hint="eastAsia" w:ascii="宋体" w:hAnsi="宋体" w:cs="宋体"/>
                <w:color w:val="auto"/>
                <w:szCs w:val="21"/>
                <w:highlight w:val="none"/>
                <w:lang w:val="en-US" w:eastAsia="zh-CN" w:bidi="ar-SA"/>
              </w:rPr>
              <w:t>须</w:t>
            </w:r>
            <w:r>
              <w:rPr>
                <w:rFonts w:hint="eastAsia" w:ascii="宋体" w:hAnsi="宋体" w:eastAsia="宋体" w:cs="宋体"/>
                <w:color w:val="auto"/>
                <w:szCs w:val="21"/>
                <w:highlight w:val="none"/>
                <w:lang w:val="en-US" w:eastAsia="zh-CN" w:bidi="ar-SA"/>
              </w:rPr>
              <w:t>同时提供车辆或设备照片</w:t>
            </w:r>
            <w:r>
              <w:rPr>
                <w:rFonts w:hint="eastAsia" w:ascii="宋体" w:hAnsi="宋体" w:cs="宋体"/>
                <w:color w:val="auto"/>
                <w:szCs w:val="21"/>
                <w:highlight w:val="none"/>
                <w:lang w:val="en-US" w:eastAsia="zh-CN" w:bidi="ar-SA"/>
              </w:rPr>
              <w:t>，</w:t>
            </w:r>
            <w:r>
              <w:rPr>
                <w:rFonts w:hint="eastAsia" w:ascii="宋体" w:hAnsi="宋体" w:eastAsia="宋体" w:cs="宋体"/>
                <w:color w:val="auto"/>
                <w:szCs w:val="21"/>
                <w:highlight w:val="none"/>
                <w:lang w:val="en-US" w:eastAsia="zh-CN" w:bidi="ar-SA"/>
              </w:rPr>
              <w:t>否则不得分。</w:t>
            </w:r>
          </w:p>
        </w:tc>
      </w:tr>
      <w:tr>
        <w:tblPrEx>
          <w:tblCellMar>
            <w:top w:w="0" w:type="dxa"/>
            <w:left w:w="108" w:type="dxa"/>
            <w:bottom w:w="0" w:type="dxa"/>
            <w:right w:w="108" w:type="dxa"/>
          </w:tblCellMar>
        </w:tblPrEx>
        <w:trPr>
          <w:trHeight w:val="868" w:hRule="atLeast"/>
          <w:jc w:val="center"/>
        </w:trPr>
        <w:tc>
          <w:tcPr>
            <w:tcW w:w="1546" w:type="dxa"/>
            <w:vMerge w:val="continue"/>
            <w:tcBorders>
              <w:left w:val="single" w:color="000000" w:sz="4" w:space="0"/>
              <w:bottom w:val="single" w:color="auto" w:sz="4" w:space="0"/>
              <w:right w:val="single" w:color="000000" w:sz="4" w:space="0"/>
            </w:tcBorders>
            <w:shd w:val="clear" w:color="auto" w:fill="FFFFFF"/>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bidi="ar-SA"/>
              </w:rPr>
            </w:pPr>
          </w:p>
        </w:tc>
        <w:tc>
          <w:tcPr>
            <w:tcW w:w="1304" w:type="dxa"/>
            <w:tcBorders>
              <w:top w:val="single" w:color="000000" w:sz="4" w:space="0"/>
              <w:left w:val="single" w:color="000000" w:sz="4" w:space="0"/>
              <w:bottom w:val="single" w:color="auto" w:sz="4" w:space="0"/>
              <w:right w:val="single" w:color="auto" w:sz="4" w:space="0"/>
            </w:tcBorders>
            <w:noWrap w:val="0"/>
            <w:vAlign w:val="center"/>
          </w:tcPr>
          <w:p>
            <w:pPr>
              <w:shd w:val="clear" w:color="auto" w:fill="auto"/>
              <w:spacing w:line="440" w:lineRule="exact"/>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应急措施方案</w:t>
            </w:r>
          </w:p>
        </w:tc>
        <w:tc>
          <w:tcPr>
            <w:tcW w:w="799" w:type="dxa"/>
            <w:tcBorders>
              <w:top w:val="single" w:color="000000" w:sz="4" w:space="0"/>
              <w:left w:val="single" w:color="auto" w:sz="4" w:space="0"/>
              <w:bottom w:val="single" w:color="000000" w:sz="4" w:space="0"/>
              <w:right w:val="single" w:color="000000" w:sz="4" w:space="0"/>
            </w:tcBorders>
            <w:noWrap w:val="0"/>
            <w:vAlign w:val="center"/>
          </w:tcPr>
          <w:p>
            <w:pPr>
              <w:shd w:val="clear" w:color="auto" w:fill="auto"/>
              <w:spacing w:line="440" w:lineRule="exact"/>
              <w:jc w:val="center"/>
              <w:rPr>
                <w:rFonts w:hint="eastAsia" w:ascii="宋体" w:hAnsi="宋体" w:eastAsia="宋体" w:cs="宋体"/>
                <w:color w:val="auto"/>
                <w:szCs w:val="21"/>
                <w:highlight w:val="none"/>
                <w:lang w:val="en-US" w:eastAsia="zh-CN" w:bidi="ar-SA"/>
              </w:rPr>
            </w:pPr>
            <w:r>
              <w:rPr>
                <w:rFonts w:hint="eastAsia" w:ascii="宋体" w:hAnsi="宋体" w:cs="宋体"/>
                <w:color w:val="auto"/>
                <w:szCs w:val="21"/>
                <w:highlight w:val="none"/>
                <w:lang w:val="en-US" w:eastAsia="zh-CN" w:bidi="ar-SA"/>
              </w:rPr>
              <w:t>5</w:t>
            </w:r>
          </w:p>
        </w:tc>
        <w:tc>
          <w:tcPr>
            <w:tcW w:w="6069" w:type="dxa"/>
            <w:tcBorders>
              <w:top w:val="single" w:color="000000" w:sz="4" w:space="0"/>
              <w:left w:val="single" w:color="000000" w:sz="4" w:space="0"/>
              <w:bottom w:val="single" w:color="000000" w:sz="4" w:space="0"/>
              <w:right w:val="single" w:color="000000" w:sz="4" w:space="0"/>
            </w:tcBorders>
            <w:noWrap w:val="0"/>
            <w:vAlign w:val="center"/>
          </w:tcPr>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针对本项目制定完善的应急服务方案（包括重大活动、检查、自然灾害或其他突发情况的等应急处理方案）</w:t>
            </w:r>
          </w:p>
          <w:p>
            <w:pPr>
              <w:shd w:val="clear" w:color="auto" w:fill="auto"/>
              <w:spacing w:line="440" w:lineRule="exact"/>
              <w:ind w:firstLine="539" w:firstLineChars="257"/>
              <w:rPr>
                <w:rFonts w:hint="eastAsia" w:ascii="宋体" w:hAnsi="宋体" w:eastAsia="宋体" w:cs="宋体"/>
                <w:color w:val="auto"/>
                <w:szCs w:val="21"/>
                <w:highlight w:val="none"/>
                <w:lang w:val="en-US" w:eastAsia="zh-CN" w:bidi="ar-SA"/>
              </w:rPr>
            </w:pPr>
            <w:r>
              <w:rPr>
                <w:rFonts w:hint="eastAsia" w:ascii="宋体" w:hAnsi="宋体" w:eastAsia="宋体" w:cs="宋体"/>
                <w:color w:val="auto"/>
                <w:szCs w:val="21"/>
                <w:highlight w:val="none"/>
                <w:lang w:val="en-US" w:eastAsia="zh-CN" w:bidi="ar-SA"/>
              </w:rPr>
              <w:t>优</w:t>
            </w:r>
            <w:r>
              <w:rPr>
                <w:rFonts w:hint="eastAsia" w:ascii="宋体" w:hAnsi="宋体" w:cs="宋体"/>
                <w:color w:val="auto"/>
                <w:szCs w:val="21"/>
                <w:highlight w:val="none"/>
                <w:lang w:val="en-US" w:eastAsia="zh-CN" w:bidi="ar-SA"/>
              </w:rPr>
              <w:t>5-3</w:t>
            </w:r>
            <w:r>
              <w:rPr>
                <w:rFonts w:hint="eastAsia" w:ascii="宋体" w:hAnsi="宋体" w:eastAsia="宋体" w:cs="宋体"/>
                <w:color w:val="auto"/>
                <w:szCs w:val="21"/>
                <w:highlight w:val="none"/>
                <w:lang w:val="en-US" w:eastAsia="zh-CN" w:bidi="ar-SA"/>
              </w:rPr>
              <w:t>分；良</w:t>
            </w:r>
            <w:r>
              <w:rPr>
                <w:rFonts w:hint="eastAsia" w:ascii="宋体" w:hAnsi="宋体" w:cs="宋体"/>
                <w:color w:val="auto"/>
                <w:szCs w:val="21"/>
                <w:highlight w:val="none"/>
                <w:lang w:val="en-US" w:eastAsia="zh-CN" w:bidi="ar-SA"/>
              </w:rPr>
              <w:t>2-1</w:t>
            </w:r>
            <w:r>
              <w:rPr>
                <w:rFonts w:hint="eastAsia" w:ascii="宋体" w:hAnsi="宋体" w:eastAsia="宋体" w:cs="宋体"/>
                <w:color w:val="auto"/>
                <w:szCs w:val="21"/>
                <w:highlight w:val="none"/>
                <w:lang w:val="en-US" w:eastAsia="zh-CN" w:bidi="ar-SA"/>
              </w:rPr>
              <w:t>分</w:t>
            </w:r>
            <w:r>
              <w:rPr>
                <w:rFonts w:hint="eastAsia" w:ascii="宋体" w:hAnsi="宋体" w:cs="宋体"/>
                <w:color w:val="auto"/>
                <w:szCs w:val="21"/>
                <w:highlight w:val="none"/>
                <w:lang w:val="en-US" w:eastAsia="zh-CN" w:bidi="ar-SA"/>
              </w:rPr>
              <w:t>；不提供</w:t>
            </w:r>
            <w:r>
              <w:rPr>
                <w:rFonts w:hint="eastAsia" w:ascii="宋体" w:hAnsi="宋体" w:eastAsia="宋体" w:cs="宋体"/>
                <w:color w:val="auto"/>
                <w:szCs w:val="21"/>
                <w:highlight w:val="none"/>
                <w:lang w:val="en-US" w:eastAsia="zh-CN" w:bidi="ar-SA"/>
              </w:rPr>
              <w:t>不得分。</w:t>
            </w:r>
          </w:p>
        </w:tc>
      </w:tr>
    </w:tbl>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根据《政府采购服务和服务招投标管理办法》第87号令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2、供应商在评标过程中，所进行的力图影响评标结果的不符合招标规则的活动，可能导致其被取消中标资格。</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3、与招标文件有重大偏离的投标文件将被拒绝。</w:t>
      </w:r>
    </w:p>
    <w:p>
      <w:pPr>
        <w:shd w:val="clear" w:color="auto" w:fill="auto"/>
        <w:snapToGrid w:val="0"/>
        <w:spacing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附：对于商务部分（投标报价）的评分，按以下方法进行：价格分统一采用低价优先法计算，即满足招标文件要求且评标价格最低的报价为评标基准价，其价格分为满分。其他投标人的价格分统一按照下列公式计算：报价得分=(评标基准价／评标价格)×</w:t>
      </w:r>
      <w:r>
        <w:rPr>
          <w:rFonts w:hint="eastAsia" w:ascii="宋体" w:hAnsi="宋体" w:cs="宋体"/>
          <w:color w:val="auto"/>
          <w:szCs w:val="21"/>
          <w:highlight w:val="none"/>
          <w:lang w:val="en-US" w:eastAsia="zh-CN"/>
        </w:rPr>
        <w:t>25</w:t>
      </w:r>
      <w:r>
        <w:rPr>
          <w:rFonts w:hint="eastAsia" w:ascii="宋体" w:hAnsi="宋体" w:eastAsia="宋体" w:cs="宋体"/>
          <w:color w:val="auto"/>
          <w:szCs w:val="21"/>
          <w:highlight w:val="none"/>
          <w:lang w:val="en-US" w:eastAsia="zh-CN"/>
        </w:rPr>
        <w:t>%×100</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各评标委员会成员对每个投标人的上述指标的打分（除报价外）的算术平均分，加上经计算的报价得分，即为该投标人的最终综合评估分。评标委员会将按投标人得分顺序由高到低依次排名，得分相同的，按投标报价由低到高顺序排列。得分及报价相同的，按技术指标优劣顺序排列。得分最高的前一名至前三名投标人将成为</w:t>
      </w:r>
      <w:r>
        <w:rPr>
          <w:rFonts w:hint="eastAsia" w:ascii="宋体" w:hAnsi="宋体" w:cs="宋体"/>
          <w:color w:val="auto"/>
          <w:szCs w:val="21"/>
          <w:highlight w:val="none"/>
          <w:lang w:val="en-US" w:eastAsia="zh-CN"/>
        </w:rPr>
        <w:t>中标</w:t>
      </w:r>
      <w:r>
        <w:rPr>
          <w:rFonts w:hint="eastAsia" w:ascii="宋体" w:hAnsi="宋体" w:eastAsia="宋体" w:cs="宋体"/>
          <w:color w:val="auto"/>
          <w:szCs w:val="21"/>
          <w:highlight w:val="none"/>
          <w:lang w:val="en-US" w:eastAsia="zh-CN"/>
        </w:rPr>
        <w:t>候选人。</w:t>
      </w:r>
    </w:p>
    <w:p>
      <w:pPr>
        <w:shd w:val="clear" w:color="auto" w:fill="auto"/>
        <w:snapToGri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5、最低报价不作为评标的唯一依据。采购人不承诺将合同授予报价最低的投标人。</w:t>
      </w:r>
    </w:p>
    <w:p>
      <w:pPr>
        <w:shd w:val="clear" w:color="auto" w:fill="auto"/>
        <w:spacing w:before="156" w:beforeLines="50" w:line="400" w:lineRule="exact"/>
        <w:jc w:val="left"/>
        <w:outlineLvl w:val="1"/>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6、经评标委员会评议，认为投标报价过高、超出采购人预算的项目，可以不确立中标人，做为废标处理。</w:t>
      </w:r>
    </w:p>
    <w:p>
      <w:pPr>
        <w:shd w:val="clear" w:color="auto" w:fill="auto"/>
        <w:spacing w:before="156" w:beforeLines="50" w:line="400" w:lineRule="exact"/>
        <w:jc w:val="center"/>
        <w:outlineLvl w:val="1"/>
        <w:rPr>
          <w:rFonts w:hint="eastAsia" w:ascii="宋体"/>
          <w:b/>
          <w:bCs w:val="0"/>
          <w:color w:val="auto"/>
          <w:sz w:val="24"/>
          <w:highlight w:val="none"/>
        </w:rPr>
      </w:pPr>
      <w:r>
        <w:rPr>
          <w:rFonts w:hint="eastAsia" w:ascii="宋体"/>
          <w:b/>
          <w:bCs w:val="0"/>
          <w:color w:val="auto"/>
          <w:sz w:val="24"/>
          <w:highlight w:val="none"/>
        </w:rPr>
        <w:t>五</w:t>
      </w:r>
      <w:r>
        <w:rPr>
          <w:rFonts w:hint="eastAsia" w:ascii="宋体"/>
          <w:b/>
          <w:bCs w:val="0"/>
          <w:color w:val="auto"/>
          <w:sz w:val="24"/>
          <w:highlight w:val="none"/>
          <w:lang w:eastAsia="zh-CN"/>
        </w:rPr>
        <w:t>、</w:t>
      </w:r>
      <w:r>
        <w:rPr>
          <w:rFonts w:hint="eastAsia" w:ascii="宋体"/>
          <w:b/>
          <w:bCs w:val="0"/>
          <w:color w:val="auto"/>
          <w:sz w:val="24"/>
          <w:highlight w:val="none"/>
        </w:rPr>
        <w:t>推荐中标候选人</w:t>
      </w:r>
    </w:p>
    <w:p>
      <w:pPr>
        <w:shd w:val="clear" w:color="auto" w:fill="auto"/>
        <w:snapToGrid w:val="0"/>
        <w:spacing w:line="400" w:lineRule="exact"/>
        <w:ind w:firstLine="420" w:firstLineChars="200"/>
        <w:rPr>
          <w:rFonts w:hint="eastAsia" w:ascii="宋体"/>
          <w:b w:val="0"/>
          <w:bCs/>
          <w:color w:val="auto"/>
          <w:szCs w:val="21"/>
          <w:highlight w:val="none"/>
        </w:rPr>
      </w:pPr>
      <w:r>
        <w:rPr>
          <w:rFonts w:hint="eastAsia" w:ascii="宋体"/>
          <w:b w:val="0"/>
          <w:bCs/>
          <w:color w:val="auto"/>
          <w:szCs w:val="21"/>
          <w:highlight w:val="none"/>
          <w:lang w:val="en-US" w:eastAsia="zh-CN"/>
        </w:rPr>
        <w:t>11.1</w:t>
      </w:r>
      <w:r>
        <w:rPr>
          <w:rFonts w:hint="eastAsia" w:ascii="宋体" w:hAnsi="宋体"/>
          <w:b w:val="0"/>
          <w:bCs/>
          <w:color w:val="auto"/>
          <w:szCs w:val="21"/>
          <w:highlight w:val="none"/>
        </w:rPr>
        <w:t>评标委员会推荐</w:t>
      </w:r>
      <w:r>
        <w:rPr>
          <w:rFonts w:hint="eastAsia" w:ascii="宋体" w:hAnsi="宋体"/>
          <w:b w:val="0"/>
          <w:bCs/>
          <w:color w:val="auto"/>
          <w:szCs w:val="21"/>
          <w:highlight w:val="none"/>
          <w:lang w:val="en-US" w:eastAsia="zh-CN"/>
        </w:rPr>
        <w:t>3</w:t>
      </w:r>
      <w:r>
        <w:rPr>
          <w:rFonts w:hint="eastAsia" w:ascii="宋体" w:hAnsi="宋体"/>
          <w:b w:val="0"/>
          <w:bCs/>
          <w:color w:val="auto"/>
          <w:szCs w:val="21"/>
          <w:highlight w:val="none"/>
        </w:rPr>
        <w:t>名中标候选人，并标明排序。</w:t>
      </w:r>
    </w:p>
    <w:p>
      <w:pPr>
        <w:shd w:val="clear" w:color="auto" w:fill="auto"/>
        <w:spacing w:line="400" w:lineRule="exact"/>
        <w:ind w:firstLine="411" w:firstLineChars="196"/>
        <w:rPr>
          <w:rFonts w:hint="eastAsia" w:ascii="宋体" w:hAnsi="宋体"/>
          <w:b w:val="0"/>
          <w:bCs/>
          <w:color w:val="auto"/>
          <w:szCs w:val="21"/>
          <w:highlight w:val="none"/>
        </w:rPr>
      </w:pPr>
      <w:r>
        <w:rPr>
          <w:rFonts w:hint="eastAsia" w:ascii="宋体" w:hAnsi="宋体"/>
          <w:b w:val="0"/>
          <w:bCs/>
          <w:color w:val="auto"/>
          <w:szCs w:val="21"/>
          <w:highlight w:val="none"/>
          <w:lang w:val="en-US" w:eastAsia="zh-CN"/>
        </w:rPr>
        <w:t>11.2</w:t>
      </w:r>
      <w:r>
        <w:rPr>
          <w:rFonts w:hint="eastAsia" w:ascii="宋体" w:hAnsi="宋体"/>
          <w:b w:val="0"/>
          <w:bCs/>
          <w:color w:val="auto"/>
          <w:szCs w:val="21"/>
          <w:highlight w:val="none"/>
        </w:rPr>
        <w:t>如出现报价相同情况，则由招标人现场抽签确定中标候选人排名顺序。</w:t>
      </w:r>
    </w:p>
    <w:p>
      <w:pPr>
        <w:shd w:val="clear" w:color="auto" w:fill="auto"/>
        <w:snapToGrid w:val="0"/>
        <w:spacing w:line="400" w:lineRule="exact"/>
        <w:ind w:firstLine="420" w:firstLineChars="200"/>
        <w:rPr>
          <w:rFonts w:hint="eastAsia" w:ascii="宋体" w:hAnsi="宋体"/>
          <w:b w:val="0"/>
          <w:bCs/>
          <w:color w:val="auto"/>
          <w:szCs w:val="21"/>
          <w:highlight w:val="none"/>
        </w:rPr>
      </w:pPr>
      <w:r>
        <w:rPr>
          <w:rFonts w:hint="eastAsia" w:ascii="宋体" w:hAnsi="宋体"/>
          <w:b w:val="0"/>
          <w:bCs/>
          <w:color w:val="auto"/>
          <w:szCs w:val="21"/>
          <w:highlight w:val="none"/>
          <w:lang w:val="en-US" w:eastAsia="zh-CN"/>
        </w:rPr>
        <w:t>12.</w:t>
      </w:r>
      <w:r>
        <w:rPr>
          <w:rFonts w:hint="eastAsia" w:ascii="宋体" w:hAnsi="宋体"/>
          <w:b w:val="0"/>
          <w:bCs/>
          <w:color w:val="auto"/>
          <w:szCs w:val="21"/>
          <w:highlight w:val="none"/>
        </w:rPr>
        <w:t>无效投标条款</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12</w:t>
      </w:r>
      <w:r>
        <w:rPr>
          <w:rFonts w:hint="eastAsia" w:ascii="宋体" w:hAnsi="宋体" w:cs="宋体"/>
          <w:b w:val="0"/>
          <w:bCs/>
          <w:color w:val="auto"/>
          <w:szCs w:val="21"/>
          <w:highlight w:val="none"/>
        </w:rPr>
        <w:t>.1投标文件有下列情形之一的,其投标文件拒收:</w:t>
      </w:r>
    </w:p>
    <w:p>
      <w:pPr>
        <w:shd w:val="clear" w:color="auto" w:fill="auto"/>
        <w:snapToGrid w:val="0"/>
        <w:spacing w:line="400" w:lineRule="exact"/>
        <w:ind w:firstLine="420" w:firstLineChars="200"/>
        <w:jc w:val="left"/>
        <w:rPr>
          <w:rFonts w:hint="eastAsia" w:ascii="宋体" w:hAnsi="宋体" w:cs="宋体"/>
          <w:b w:val="0"/>
          <w:bCs/>
          <w:color w:val="auto"/>
          <w:szCs w:val="21"/>
          <w:highlight w:val="none"/>
        </w:rPr>
      </w:pP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lang w:val="en-US" w:eastAsia="zh-CN"/>
        </w:rPr>
        <w:t>1</w:t>
      </w:r>
      <w:r>
        <w:rPr>
          <w:rFonts w:hint="eastAsia" w:ascii="宋体" w:hAnsi="宋体" w:eastAsia="宋体" w:cs="宋体"/>
          <w:b w:val="0"/>
          <w:bCs/>
          <w:color w:val="auto"/>
          <w:szCs w:val="21"/>
          <w:highlight w:val="none"/>
          <w:lang w:eastAsia="zh-CN"/>
        </w:rPr>
        <w:t>）</w:t>
      </w:r>
      <w:r>
        <w:rPr>
          <w:rFonts w:hint="eastAsia" w:ascii="宋体" w:hAnsi="宋体" w:cs="宋体"/>
          <w:b w:val="0"/>
          <w:bCs/>
          <w:color w:val="auto"/>
          <w:szCs w:val="21"/>
          <w:highlight w:val="none"/>
        </w:rPr>
        <w:t>未在开标截止时间前通过网上招标投标系统递交有效电子投标文件的，开标系统不予接收。</w:t>
      </w:r>
    </w:p>
    <w:p>
      <w:pPr>
        <w:shd w:val="clear" w:color="auto" w:fill="auto"/>
        <w:snapToGrid w:val="0"/>
        <w:spacing w:line="400" w:lineRule="exact"/>
        <w:ind w:firstLine="420" w:firstLineChars="200"/>
        <w:jc w:val="left"/>
        <w:rPr>
          <w:rFonts w:hint="eastAsia" w:ascii="宋体" w:hAnsi="宋体"/>
          <w:b w:val="0"/>
          <w:bCs/>
          <w:color w:val="auto"/>
          <w:szCs w:val="21"/>
          <w:highlight w:val="none"/>
        </w:rPr>
      </w:pPr>
      <w:r>
        <w:rPr>
          <w:rFonts w:hint="eastAsia" w:ascii="宋体" w:hAnsi="宋体" w:cs="宋体"/>
          <w:b w:val="0"/>
          <w:bCs/>
          <w:color w:val="auto"/>
          <w:szCs w:val="21"/>
          <w:highlight w:val="none"/>
        </w:rPr>
        <w:t>（2）</w:t>
      </w:r>
      <w:r>
        <w:rPr>
          <w:rFonts w:hint="eastAsia" w:ascii="宋体" w:hAnsi="宋体"/>
          <w:b w:val="0"/>
          <w:bCs/>
          <w:color w:val="auto"/>
          <w:szCs w:val="21"/>
          <w:highlight w:val="none"/>
        </w:rPr>
        <w:t>所有投标人应在规定时间里完成投标文件的解密工作【投标人</w:t>
      </w:r>
      <w:r>
        <w:rPr>
          <w:rFonts w:hint="eastAsia" w:ascii="宋体" w:hAnsi="宋体"/>
          <w:b w:val="0"/>
          <w:bCs/>
          <w:color w:val="auto"/>
          <w:szCs w:val="21"/>
          <w:highlight w:val="none"/>
          <w:lang w:eastAsia="zh-CN"/>
        </w:rPr>
        <w:t>使用</w:t>
      </w:r>
      <w:r>
        <w:rPr>
          <w:rFonts w:hint="eastAsia" w:ascii="宋体" w:hAnsi="宋体"/>
          <w:b w:val="0"/>
          <w:bCs/>
          <w:color w:val="auto"/>
          <w:szCs w:val="21"/>
          <w:highlight w:val="none"/>
        </w:rPr>
        <w:t>其有效加密</w:t>
      </w:r>
    </w:p>
    <w:p>
      <w:pPr>
        <w:shd w:val="clear" w:color="auto" w:fill="auto"/>
        <w:snapToGrid w:val="0"/>
        <w:spacing w:line="400" w:lineRule="exact"/>
        <w:jc w:val="left"/>
        <w:rPr>
          <w:rFonts w:hint="eastAsia" w:ascii="宋体" w:hAnsi="宋体" w:cs="宋体"/>
          <w:b w:val="0"/>
          <w:bCs/>
          <w:color w:val="auto"/>
          <w:szCs w:val="21"/>
          <w:highlight w:val="none"/>
        </w:rPr>
      </w:pPr>
      <w:r>
        <w:rPr>
          <w:rFonts w:hint="eastAsia" w:ascii="宋体" w:hAnsi="宋体"/>
          <w:b w:val="0"/>
          <w:bCs/>
          <w:color w:val="auto"/>
          <w:szCs w:val="21"/>
          <w:highlight w:val="none"/>
        </w:rPr>
        <w:t>锁（CA锁）</w:t>
      </w:r>
      <w:r>
        <w:rPr>
          <w:rFonts w:hint="eastAsia" w:ascii="宋体" w:hAnsi="宋体"/>
          <w:b w:val="0"/>
          <w:bCs/>
          <w:color w:val="auto"/>
          <w:szCs w:val="21"/>
          <w:highlight w:val="none"/>
          <w:lang w:eastAsia="zh-CN"/>
        </w:rPr>
        <w:t>进行</w:t>
      </w:r>
      <w:r>
        <w:rPr>
          <w:rFonts w:hint="eastAsia" w:ascii="宋体" w:hAnsi="宋体"/>
          <w:b w:val="0"/>
          <w:bCs/>
          <w:color w:val="auto"/>
          <w:szCs w:val="21"/>
          <w:highlight w:val="none"/>
        </w:rPr>
        <w:t>解密（因投标人原因未能提供有效CA锁对其投标文件进行解密的，其投标文件按无效标处理），以网上招投标系统解密倒计时为准】，因系统原因未能成功解密的投标文件，可导入</w:t>
      </w:r>
      <w:r>
        <w:rPr>
          <w:rFonts w:hint="eastAsia" w:ascii="宋体" w:hAnsi="宋体"/>
          <w:b w:val="0"/>
          <w:bCs/>
          <w:color w:val="auto"/>
          <w:szCs w:val="21"/>
          <w:highlight w:val="none"/>
          <w:lang w:eastAsia="zh-CN"/>
        </w:rPr>
        <w:t>备份投标文件</w:t>
      </w:r>
      <w:r>
        <w:rPr>
          <w:rFonts w:hint="eastAsia" w:ascii="宋体" w:hAnsi="宋体"/>
          <w:b w:val="0"/>
          <w:bCs/>
          <w:color w:val="auto"/>
          <w:szCs w:val="21"/>
          <w:highlight w:val="none"/>
        </w:rPr>
        <w:t>。</w:t>
      </w:r>
      <w:r>
        <w:rPr>
          <w:rFonts w:hint="eastAsia" w:ascii="宋体" w:hAnsi="宋体"/>
          <w:b w:val="0"/>
          <w:bCs/>
          <w:color w:val="auto"/>
          <w:szCs w:val="21"/>
          <w:highlight w:val="none"/>
          <w:lang w:eastAsia="zh-CN"/>
        </w:rPr>
        <w:t>备份投标文件</w:t>
      </w:r>
      <w:r>
        <w:rPr>
          <w:rFonts w:hint="eastAsia" w:ascii="宋体" w:hAnsi="宋体"/>
          <w:b w:val="0"/>
          <w:bCs/>
          <w:color w:val="auto"/>
          <w:szCs w:val="21"/>
          <w:highlight w:val="none"/>
        </w:rPr>
        <w:t>也无法导入的，则投标文件被否决。</w:t>
      </w:r>
    </w:p>
    <w:p>
      <w:pPr>
        <w:shd w:val="clear" w:color="auto" w:fill="auto"/>
        <w:snapToGrid w:val="0"/>
        <w:spacing w:line="400" w:lineRule="exact"/>
        <w:rPr>
          <w:rFonts w:hint="eastAsia" w:ascii="宋体" w:hAnsi="宋体" w:cs="宋体"/>
          <w:b w:val="0"/>
          <w:bCs/>
          <w:color w:val="auto"/>
          <w:szCs w:val="21"/>
          <w:highlight w:val="none"/>
        </w:rPr>
      </w:pPr>
      <w:r>
        <w:rPr>
          <w:rFonts w:hint="eastAsia" w:ascii="宋体" w:hAnsi="宋体" w:cs="宋体"/>
          <w:b w:val="0"/>
          <w:bCs/>
          <w:color w:val="auto"/>
          <w:szCs w:val="21"/>
          <w:highlight w:val="none"/>
        </w:rPr>
        <w:t xml:space="preserve">  </w:t>
      </w:r>
      <w:r>
        <w:rPr>
          <w:rFonts w:hint="eastAsia" w:ascii="宋体" w:hAnsi="宋体" w:cs="宋体"/>
          <w:b w:val="0"/>
          <w:bCs/>
          <w:color w:val="auto"/>
          <w:szCs w:val="21"/>
          <w:highlight w:val="none"/>
          <w:lang w:val="en-US" w:eastAsia="zh-CN"/>
        </w:rPr>
        <w:t>12</w:t>
      </w:r>
      <w:r>
        <w:rPr>
          <w:rFonts w:hint="eastAsia" w:ascii="宋体" w:hAnsi="宋体" w:cs="宋体"/>
          <w:b w:val="0"/>
          <w:bCs/>
          <w:color w:val="auto"/>
          <w:szCs w:val="21"/>
          <w:highlight w:val="none"/>
        </w:rPr>
        <w:t>.2投标人有下列情形之一的,资格审查后其投标作无效投标处理：</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(2)投标人为本项目提供招标代理服务的；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(3)投标人与在本项目代理机构存在相互任职或工作的；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(4)投标保证金未按规定要求缴纳的；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(5)</w:t>
      </w:r>
      <w:r>
        <w:rPr>
          <w:rFonts w:hint="eastAsia" w:ascii="宋体" w:hAnsi="宋体"/>
          <w:b w:val="0"/>
          <w:bCs/>
          <w:color w:val="auto"/>
          <w:szCs w:val="21"/>
          <w:highlight w:val="none"/>
        </w:rPr>
        <w:t>评标专家无法查看并检验电子标书中相关资料的；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(6)投标人超出营业范围投标的；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(7)联合体投标未提交联合体协议的；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(8)被暂停营业的；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(9)被暂停或取消投标资格的；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(10)财产被接管或冻结的；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(11)投标人单位负责人为同一人或者存在控股、管理关系的不同单位的；</w:t>
      </w:r>
    </w:p>
    <w:p>
      <w:pPr>
        <w:shd w:val="clear" w:color="auto" w:fill="auto"/>
        <w:snapToGrid w:val="0"/>
        <w:spacing w:line="400" w:lineRule="exact"/>
        <w:ind w:firstLine="315" w:firstLineChars="150"/>
        <w:jc w:val="left"/>
        <w:rPr>
          <w:rFonts w:hint="eastAsia" w:ascii="宋体" w:hAnsi="宋体" w:cs="宋体"/>
          <w:b w:val="0"/>
          <w:bCs/>
          <w:color w:val="auto"/>
          <w:szCs w:val="21"/>
          <w:highlight w:val="none"/>
        </w:rPr>
      </w:pP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lang w:val="en-US" w:eastAsia="zh-CN"/>
        </w:rPr>
        <w:t>12</w:t>
      </w: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rPr>
        <w:t>投</w:t>
      </w:r>
      <w:r>
        <w:rPr>
          <w:rFonts w:hint="eastAsia" w:ascii="宋体" w:hAnsi="宋体" w:cs="宋体"/>
          <w:b w:val="0"/>
          <w:bCs/>
          <w:color w:val="auto"/>
          <w:szCs w:val="21"/>
          <w:highlight w:val="none"/>
        </w:rPr>
        <w:t>标人基本资格条件和特定资格条件中有一项及以上不符合要求的；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（13）投标人使用相同的MAC地址进行报名的；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（14）其它情形，经评标委员会委提出按无效投标处理，并经公共资源交易监督部门核准的；</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（15）投标人使用相同IP地址报名的，一经发现，监管部门将进一步核实，查实后按串通投标处理；</w:t>
      </w:r>
    </w:p>
    <w:p>
      <w:pPr>
        <w:shd w:val="clear" w:color="auto" w:fill="auto"/>
        <w:snapToGrid w:val="0"/>
        <w:spacing w:line="400" w:lineRule="exact"/>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（16）</w:t>
      </w:r>
      <w:r>
        <w:rPr>
          <w:rFonts w:hint="eastAsia" w:ascii="宋体" w:hAnsi="宋体" w:cs="宋体"/>
          <w:b w:val="0"/>
          <w:bCs/>
          <w:color w:val="auto"/>
          <w:szCs w:val="21"/>
          <w:highlight w:val="none"/>
          <w:lang w:eastAsia="zh-CN"/>
        </w:rPr>
        <w:t>采购文件</w:t>
      </w:r>
      <w:r>
        <w:rPr>
          <w:rFonts w:hint="eastAsia" w:ascii="宋体" w:hAnsi="宋体" w:cs="宋体"/>
          <w:b w:val="0"/>
          <w:bCs/>
          <w:color w:val="auto"/>
          <w:szCs w:val="21"/>
          <w:highlight w:val="none"/>
        </w:rPr>
        <w:t>规定的其它无效投标情形。</w:t>
      </w:r>
    </w:p>
    <w:p>
      <w:pPr>
        <w:shd w:val="clear" w:color="auto" w:fill="auto"/>
        <w:snapToGrid w:val="0"/>
        <w:spacing w:line="400" w:lineRule="exact"/>
        <w:ind w:firstLine="420" w:firstLineChars="200"/>
        <w:jc w:val="left"/>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12</w:t>
      </w:r>
      <w:r>
        <w:rPr>
          <w:rFonts w:hint="eastAsia" w:ascii="宋体" w:hAnsi="宋体" w:cs="宋体"/>
          <w:b w:val="0"/>
          <w:bCs/>
          <w:color w:val="auto"/>
          <w:szCs w:val="21"/>
          <w:highlight w:val="none"/>
        </w:rPr>
        <w:t>.3 投标人有下列情形之一的,符合性审查后其投标按无效投标处理：</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(1)投标文件签字、盖章不全，经评标委员会一致认定对开评标内容有实质性影响并经监督部门核准的；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2</w:t>
      </w:r>
      <w:r>
        <w:rPr>
          <w:rFonts w:hint="eastAsia" w:ascii="宋体" w:hAnsi="宋体" w:eastAsia="宋体" w:cs="宋体"/>
          <w:b w:val="0"/>
          <w:bCs/>
          <w:color w:val="auto"/>
          <w:szCs w:val="21"/>
          <w:highlight w:val="none"/>
        </w:rPr>
        <w:t>)未按规定的格式填写，实质性内容不全或关键字迹模糊、无法辨认; 经监督部门核准的；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3</w:t>
      </w:r>
      <w:r>
        <w:rPr>
          <w:rFonts w:hint="eastAsia" w:ascii="宋体" w:hAnsi="宋体" w:eastAsia="宋体" w:cs="宋体"/>
          <w:b w:val="0"/>
          <w:bCs/>
          <w:color w:val="auto"/>
          <w:szCs w:val="21"/>
          <w:highlight w:val="none"/>
        </w:rPr>
        <w:t>)同一投标人提交两个以上不同的投标文件或者投标报价，但</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规定提交备选方案的除外；</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4</w:t>
      </w:r>
      <w:r>
        <w:rPr>
          <w:rFonts w:hint="eastAsia" w:ascii="宋体" w:hAnsi="宋体" w:eastAsia="宋体" w:cs="宋体"/>
          <w:b w:val="0"/>
          <w:bCs/>
          <w:color w:val="auto"/>
          <w:szCs w:val="21"/>
          <w:highlight w:val="none"/>
        </w:rPr>
        <w:t>)投标文件没有对</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的实质性要求和条件作出响应;</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5</w:t>
      </w:r>
      <w:r>
        <w:rPr>
          <w:rFonts w:hint="eastAsia" w:ascii="宋体" w:hAnsi="宋体" w:eastAsia="宋体" w:cs="宋体"/>
          <w:b w:val="0"/>
          <w:bCs/>
          <w:color w:val="auto"/>
          <w:szCs w:val="21"/>
          <w:highlight w:val="none"/>
        </w:rPr>
        <w:t>)投标报价超出规定的投标限价或公布的采购预算的；注：投标人的投标报价各项单价均不得高于</w:t>
      </w:r>
      <w:r>
        <w:rPr>
          <w:rFonts w:hint="eastAsia" w:ascii="宋体" w:hAnsi="宋体" w:eastAsia="宋体" w:cs="宋体"/>
          <w:b w:val="0"/>
          <w:bCs/>
          <w:color w:val="auto"/>
          <w:szCs w:val="21"/>
          <w:highlight w:val="none"/>
          <w:lang w:eastAsia="zh-CN"/>
        </w:rPr>
        <w:t>招标文件</w:t>
      </w:r>
      <w:r>
        <w:rPr>
          <w:rFonts w:hint="eastAsia" w:ascii="宋体" w:hAnsi="宋体" w:eastAsia="宋体" w:cs="宋体"/>
          <w:b w:val="0"/>
          <w:bCs/>
          <w:color w:val="auto"/>
          <w:szCs w:val="21"/>
          <w:highlight w:val="none"/>
        </w:rPr>
        <w:t>给定的单价最高限价，否则，其投标文件将按无效投标处理。</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6</w:t>
      </w:r>
      <w:r>
        <w:rPr>
          <w:rFonts w:hint="eastAsia" w:ascii="宋体" w:hAnsi="宋体" w:eastAsia="宋体" w:cs="宋体"/>
          <w:b w:val="0"/>
          <w:bCs/>
          <w:color w:val="auto"/>
          <w:szCs w:val="21"/>
          <w:highlight w:val="none"/>
        </w:rPr>
        <w:t>)不按评标委员会要求澄清、说明或补正的，或者评标委员会根据</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的规定对</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的计算错误进行修正后，投标人不接受修正的投标报价的。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7</w:t>
      </w:r>
      <w:r>
        <w:rPr>
          <w:rFonts w:hint="eastAsia" w:ascii="宋体" w:hAnsi="宋体" w:eastAsia="宋体" w:cs="宋体"/>
          <w:b w:val="0"/>
          <w:bCs/>
          <w:color w:val="auto"/>
          <w:szCs w:val="21"/>
          <w:highlight w:val="none"/>
        </w:rPr>
        <w:t>）其它情形，经评标委员会委提出按无效投标处理，并经公共资源交易监督部门核准的；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8</w:t>
      </w:r>
      <w:r>
        <w:rPr>
          <w:rFonts w:hint="eastAsia" w:ascii="宋体" w:hAnsi="宋体" w:eastAsia="宋体" w:cs="宋体"/>
          <w:b w:val="0"/>
          <w:bCs/>
          <w:color w:val="auto"/>
          <w:szCs w:val="21"/>
          <w:highlight w:val="none"/>
        </w:rPr>
        <w:t>）未按照</w:t>
      </w:r>
      <w:r>
        <w:rPr>
          <w:rFonts w:hint="eastAsia" w:ascii="宋体" w:hAnsi="宋体" w:eastAsia="宋体" w:cs="宋体"/>
          <w:b w:val="0"/>
          <w:bCs/>
          <w:color w:val="auto"/>
          <w:szCs w:val="21"/>
          <w:highlight w:val="none"/>
          <w:lang w:eastAsia="zh-CN"/>
        </w:rPr>
        <w:t>招标文件</w:t>
      </w:r>
      <w:r>
        <w:rPr>
          <w:rFonts w:hint="eastAsia" w:ascii="宋体" w:hAnsi="宋体" w:eastAsia="宋体" w:cs="宋体"/>
          <w:b w:val="0"/>
          <w:bCs/>
          <w:color w:val="auto"/>
          <w:szCs w:val="21"/>
          <w:highlight w:val="none"/>
        </w:rPr>
        <w:t>的规定提交投标保证金的；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9</w:t>
      </w:r>
      <w:r>
        <w:rPr>
          <w:rFonts w:hint="eastAsia" w:ascii="宋体" w:hAnsi="宋体" w:eastAsia="宋体" w:cs="宋体"/>
          <w:b w:val="0"/>
          <w:bCs/>
          <w:color w:val="auto"/>
          <w:szCs w:val="21"/>
          <w:highlight w:val="none"/>
        </w:rPr>
        <w:t>）投标文件含有采购人不能接受的附加条件的;</w:t>
      </w:r>
    </w:p>
    <w:p>
      <w:pPr>
        <w:shd w:val="clear" w:color="auto" w:fill="auto"/>
        <w:snapToGrid w:val="0"/>
        <w:spacing w:line="400" w:lineRule="exact"/>
        <w:ind w:firstLine="420" w:firstLineChars="200"/>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val="en-US" w:eastAsia="zh-CN"/>
        </w:rPr>
        <w:t>10</w:t>
      </w:r>
      <w:r>
        <w:rPr>
          <w:rFonts w:hint="eastAsia" w:ascii="宋体" w:hAnsi="宋体" w:eastAsia="宋体" w:cs="宋体"/>
          <w:b w:val="0"/>
          <w:bCs/>
          <w:color w:val="auto"/>
          <w:szCs w:val="21"/>
          <w:highlight w:val="none"/>
        </w:rPr>
        <w:t>）</w:t>
      </w:r>
      <w:r>
        <w:rPr>
          <w:rFonts w:hint="eastAsia" w:ascii="宋体" w:hAnsi="宋体" w:eastAsia="宋体" w:cs="宋体"/>
          <w:b w:val="0"/>
          <w:bCs/>
          <w:color w:val="auto"/>
          <w:szCs w:val="21"/>
          <w:highlight w:val="none"/>
          <w:lang w:eastAsia="zh-CN"/>
        </w:rPr>
        <w:t>采购文件</w:t>
      </w:r>
      <w:r>
        <w:rPr>
          <w:rFonts w:hint="eastAsia" w:ascii="宋体" w:hAnsi="宋体" w:eastAsia="宋体" w:cs="宋体"/>
          <w:b w:val="0"/>
          <w:bCs/>
          <w:color w:val="auto"/>
          <w:szCs w:val="21"/>
          <w:highlight w:val="none"/>
        </w:rPr>
        <w:t>规定的其它无效投标情形。</w:t>
      </w:r>
    </w:p>
    <w:p>
      <w:pPr>
        <w:shd w:val="clear" w:color="auto" w:fill="auto"/>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.4 投标人有下列情形之一的, 详细评审后其投标按无效投标处理：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投标产品不符合必须强制执行的国家标准的；</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投标人有串通投标、弄虚作假、行贿等违法行为；</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投标文件含有违反国家法律、法规的内容，或附有招标人不能接受的条件的；</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在同一项目（或同一标段）中有多个投标人有效投标报价接近最高限价，且评标委员会认为报价出现异常的，可以宣布其投标无效；</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（5）报价明显低于其他投标人，且不能证明报价合理性的投标无效；</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（6）拒不确认评标委员会评审修正的投标无效；</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（7）其它情形，经评标委员会委提出按无效投标处理，并经公共资源交易监督部门核准的；</w:t>
      </w:r>
    </w:p>
    <w:p>
      <w:pPr>
        <w:shd w:val="clear" w:color="auto" w:fill="auto"/>
        <w:snapToGrid w:val="0"/>
        <w:spacing w:line="400" w:lineRule="exact"/>
        <w:ind w:firstLine="420" w:firstLineChars="200"/>
        <w:rPr>
          <w:rFonts w:hint="eastAsia" w:ascii="宋体" w:hAnsi="宋体" w:eastAsia="宋体" w:cs="宋体"/>
          <w:b/>
          <w:bCs/>
          <w:color w:val="auto"/>
          <w:kern w:val="2"/>
          <w:sz w:val="30"/>
          <w:szCs w:val="30"/>
          <w:lang w:val="en-US" w:eastAsia="zh-CN" w:bidi="ar-SA"/>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规定的其它无效投标情形。</w:t>
      </w:r>
      <w:bookmarkEnd w:id="50"/>
      <w:bookmarkEnd w:id="51"/>
      <w:bookmarkEnd w:id="55"/>
      <w:bookmarkEnd w:id="56"/>
      <w:bookmarkStart w:id="57" w:name="OLE_LINK4"/>
    </w:p>
    <w:p>
      <w:pPr>
        <w:pStyle w:val="1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6"/>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p>
      <w:pPr>
        <w:rPr>
          <w:rFonts w:hint="eastAsia" w:ascii="宋体" w:hAnsi="宋体" w:eastAsia="宋体" w:cs="宋体"/>
          <w:b/>
          <w:bCs/>
          <w:color w:val="auto"/>
          <w:kern w:val="2"/>
          <w:sz w:val="30"/>
          <w:szCs w:val="30"/>
          <w:lang w:val="en-US" w:eastAsia="zh-CN" w:bidi="ar-SA"/>
        </w:rPr>
      </w:pPr>
    </w:p>
    <w:p>
      <w:pPr>
        <w:pStyle w:val="2"/>
        <w:rPr>
          <w:rFonts w:hint="eastAsia"/>
          <w:lang w:val="en-US" w:eastAsia="zh-CN"/>
        </w:rPr>
      </w:pPr>
    </w:p>
    <w:p>
      <w:pPr>
        <w:rPr>
          <w:rFonts w:hint="eastAsia" w:ascii="宋体" w:hAnsi="宋体" w:eastAsia="宋体" w:cs="宋体"/>
          <w:b/>
          <w:bCs/>
          <w:color w:val="auto"/>
          <w:kern w:val="2"/>
          <w:sz w:val="30"/>
          <w:szCs w:val="30"/>
          <w:lang w:val="en-US" w:eastAsia="zh-CN" w:bidi="ar-SA"/>
        </w:rPr>
      </w:pPr>
    </w:p>
    <w:p>
      <w:pPr>
        <w:pStyle w:val="2"/>
        <w:rPr>
          <w:rFonts w:hint="eastAsia" w:ascii="宋体" w:hAnsi="宋体" w:eastAsia="宋体" w:cs="宋体"/>
          <w:b/>
          <w:bCs/>
          <w:color w:val="auto"/>
          <w:kern w:val="2"/>
          <w:sz w:val="30"/>
          <w:szCs w:val="30"/>
          <w:lang w:val="en-US" w:eastAsia="zh-CN" w:bidi="ar-SA"/>
        </w:rPr>
      </w:pPr>
    </w:p>
    <w:bookmarkEnd w:id="57"/>
    <w:p>
      <w:pPr>
        <w:jc w:val="center"/>
        <w:rPr>
          <w:rFonts w:hint="eastAsia" w:ascii="Times New Roman" w:hAnsi="Times New Roman" w:eastAsia="宋体" w:cs="Times New Roman"/>
          <w:b/>
          <w:bCs/>
          <w:color w:val="auto"/>
          <w:sz w:val="32"/>
          <w:szCs w:val="40"/>
          <w:lang w:val="en-US" w:eastAsia="zh-CN"/>
        </w:rPr>
      </w:pPr>
      <w:bookmarkStart w:id="58" w:name="_Toc469495740"/>
      <w:r>
        <w:rPr>
          <w:rFonts w:hint="eastAsia" w:ascii="Times New Roman" w:hAnsi="Times New Roman" w:eastAsia="宋体" w:cs="Times New Roman"/>
          <w:b/>
          <w:bCs/>
          <w:color w:val="auto"/>
          <w:sz w:val="32"/>
          <w:szCs w:val="40"/>
          <w:lang w:val="en-US" w:eastAsia="zh-CN"/>
        </w:rPr>
        <w:t>第四章、采购内容及技术要求</w:t>
      </w:r>
    </w:p>
    <w:p>
      <w:pPr>
        <w:rPr>
          <w:rFonts w:hint="eastAsia" w:ascii="宋体" w:hAnsi="宋体" w:cs="宋体"/>
          <w:b/>
          <w:bCs/>
          <w:color w:val="auto"/>
          <w:kern w:val="2"/>
          <w:sz w:val="28"/>
          <w:szCs w:val="28"/>
          <w:lang w:val="en-US" w:eastAsia="zh-CN" w:bidi="ar-SA"/>
        </w:rPr>
      </w:pPr>
    </w:p>
    <w:p>
      <w:pPr>
        <w:spacing w:line="360" w:lineRule="auto"/>
        <w:ind w:firstLine="482" w:firstLineChars="200"/>
        <w:rPr>
          <w:rFonts w:hint="default"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（一）项目概况</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p>
    <w:tbl>
      <w:tblPr>
        <w:tblStyle w:val="28"/>
        <w:tblpPr w:leftFromText="180" w:rightFromText="180" w:vertAnchor="text" w:horzAnchor="page" w:tblpX="1392" w:tblpY="8"/>
        <w:tblOverlap w:val="never"/>
        <w:tblW w:w="9221" w:type="dxa"/>
        <w:tblInd w:w="-1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4"/>
        <w:gridCol w:w="2168"/>
        <w:gridCol w:w="1397"/>
        <w:gridCol w:w="1159"/>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2994"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服务地点</w:t>
            </w:r>
          </w:p>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及范围</w:t>
            </w:r>
          </w:p>
        </w:tc>
        <w:tc>
          <w:tcPr>
            <w:tcW w:w="2168"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总面积</w:t>
            </w:r>
          </w:p>
        </w:tc>
        <w:tc>
          <w:tcPr>
            <w:tcW w:w="1397"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单价</w:t>
            </w:r>
          </w:p>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（最高限价）</w:t>
            </w:r>
          </w:p>
        </w:tc>
        <w:tc>
          <w:tcPr>
            <w:tcW w:w="1159" w:type="dxa"/>
            <w:noWrap w:val="0"/>
            <w:vAlign w:val="center"/>
          </w:tcPr>
          <w:p>
            <w:pPr>
              <w:shd w:val="clear" w:color="auto" w:fill="auto"/>
              <w:snapToGrid w:val="0"/>
              <w:spacing w:line="400" w:lineRule="exact"/>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养护标准</w:t>
            </w:r>
          </w:p>
        </w:tc>
        <w:tc>
          <w:tcPr>
            <w:tcW w:w="1503" w:type="dxa"/>
            <w:noWrap w:val="0"/>
            <w:vAlign w:val="center"/>
          </w:tcPr>
          <w:p>
            <w:pPr>
              <w:shd w:val="clear" w:color="auto" w:fill="auto"/>
              <w:snapToGrid w:val="0"/>
              <w:spacing w:line="400" w:lineRule="exact"/>
              <w:ind w:firstLine="420" w:firstLineChars="2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9" w:hRule="atLeast"/>
        </w:trPr>
        <w:tc>
          <w:tcPr>
            <w:tcW w:w="2994" w:type="dxa"/>
            <w:noWrap w:val="0"/>
            <w:vAlign w:val="center"/>
          </w:tcPr>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广场及公园绿化养护片区。养护范围：建成区内所有广场、公园(含农业小区旁公园、滨河公园、南湖公园、州体育公园、法院对面公园、人民广场、民生广场、吉祥公园</w:t>
            </w:r>
            <w:r>
              <w:rPr>
                <w:rFonts w:hint="eastAsia" w:ascii="宋体" w:hAnsi="宋体" w:cs="宋体"/>
                <w:color w:val="auto"/>
                <w:szCs w:val="21"/>
                <w:highlight w:val="none"/>
                <w:lang w:val="en-US" w:eastAsia="zh-CN"/>
              </w:rPr>
              <w:t>等</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w:t>
            </w:r>
          </w:p>
        </w:tc>
        <w:tc>
          <w:tcPr>
            <w:tcW w:w="2168" w:type="dxa"/>
            <w:noWrap w:val="0"/>
            <w:vAlign w:val="center"/>
          </w:tcPr>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770096.66㎡㎡</w:t>
            </w:r>
            <w:r>
              <w:rPr>
                <w:rFonts w:hint="eastAsia" w:ascii="宋体" w:hAnsi="宋体" w:cs="宋体"/>
                <w:color w:val="auto"/>
                <w:szCs w:val="21"/>
                <w:highlight w:val="none"/>
                <w:lang w:val="en-US" w:eastAsia="zh-CN"/>
              </w:rPr>
              <w:t>(具体以实际测量面积为准)</w:t>
            </w:r>
          </w:p>
        </w:tc>
        <w:tc>
          <w:tcPr>
            <w:tcW w:w="1397"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8元/㎡·年</w:t>
            </w:r>
          </w:p>
        </w:tc>
        <w:tc>
          <w:tcPr>
            <w:tcW w:w="1159"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一级养护</w:t>
            </w:r>
          </w:p>
        </w:tc>
        <w:tc>
          <w:tcPr>
            <w:tcW w:w="1503" w:type="dxa"/>
            <w:noWrap w:val="0"/>
            <w:vAlign w:val="center"/>
          </w:tcPr>
          <w:p>
            <w:pPr>
              <w:shd w:val="clear" w:color="auto" w:fill="auto"/>
              <w:snapToGrid w:val="0"/>
              <w:spacing w:line="40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单价招标，供应商针对每项单价进行报价</w:t>
            </w:r>
          </w:p>
        </w:tc>
      </w:tr>
    </w:tbl>
    <w:p>
      <w:pPr>
        <w:spacing w:line="360" w:lineRule="auto"/>
        <w:ind w:firstLine="482" w:firstLineChars="200"/>
        <w:rPr>
          <w:rFonts w:hint="eastAsia" w:ascii="宋体" w:hAnsi="宋体" w:eastAsia="宋体" w:cs="宋体"/>
          <w:b/>
          <w:bCs/>
          <w:color w:val="auto"/>
          <w:sz w:val="24"/>
          <w:lang w:val="en-US" w:eastAsia="zh-CN"/>
        </w:rPr>
      </w:pPr>
    </w:p>
    <w:p>
      <w:pPr>
        <w:spacing w:line="360" w:lineRule="auto"/>
        <w:ind w:firstLine="482" w:firstLineChars="200"/>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24"/>
          <w:lang w:val="en-US" w:eastAsia="zh-CN"/>
        </w:rPr>
        <w:t>（二）养护要求</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养</w:t>
      </w:r>
      <w:r>
        <w:rPr>
          <w:rFonts w:hint="eastAsia" w:ascii="宋体" w:hAnsi="宋体" w:eastAsia="宋体" w:cs="宋体"/>
          <w:color w:val="auto"/>
          <w:szCs w:val="21"/>
          <w:highlight w:val="none"/>
          <w:lang w:val="en-US" w:eastAsia="zh-CN"/>
        </w:rPr>
        <w:t>护</w:t>
      </w:r>
      <w:r>
        <w:rPr>
          <w:rFonts w:hint="eastAsia" w:ascii="宋体" w:hAnsi="宋体" w:eastAsia="宋体" w:cs="宋体"/>
          <w:color w:val="auto"/>
          <w:szCs w:val="21"/>
          <w:highlight w:val="none"/>
        </w:rPr>
        <w:t>期内，</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应按照《园林绿化养护</w:t>
      </w:r>
      <w:r>
        <w:rPr>
          <w:rFonts w:hint="eastAsia" w:ascii="宋体" w:hAnsi="宋体" w:eastAsia="宋体" w:cs="宋体"/>
          <w:color w:val="auto"/>
          <w:szCs w:val="21"/>
          <w:highlight w:val="none"/>
          <w:lang w:eastAsia="zh-CN"/>
        </w:rPr>
        <w:t>要求</w:t>
      </w:r>
      <w:r>
        <w:rPr>
          <w:rFonts w:hint="eastAsia" w:ascii="宋体" w:hAnsi="宋体" w:eastAsia="宋体" w:cs="宋体"/>
          <w:color w:val="auto"/>
          <w:szCs w:val="21"/>
          <w:highlight w:val="none"/>
        </w:rPr>
        <w:t>》(具体详见附件1)，精心组织、精心管护，保质保量完成管护任务，包括松土除</w:t>
      </w:r>
      <w:r>
        <w:rPr>
          <w:rFonts w:hint="eastAsia" w:ascii="宋体" w:hAnsi="宋体" w:eastAsia="宋体" w:cs="宋体"/>
          <w:color w:val="auto"/>
          <w:szCs w:val="21"/>
          <w:highlight w:val="none"/>
          <w:lang w:val="en-US" w:eastAsia="zh-CN"/>
        </w:rPr>
        <w:t>草</w:t>
      </w:r>
      <w:r>
        <w:rPr>
          <w:rFonts w:hint="eastAsia" w:ascii="宋体" w:hAnsi="宋体" w:eastAsia="宋体" w:cs="宋体"/>
          <w:color w:val="auto"/>
          <w:szCs w:val="21"/>
          <w:highlight w:val="none"/>
        </w:rPr>
        <w:t>、修剪、抹芽、浇水、中耕施肥、病虫害防治、抗旱防涝、缺株补植、清除枯枝、卫生保洁</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垃圾清运、树木绑扎、树干刷白、草坪切边、加土扶正</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立架加固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设施维护、安全保护措施等</w:t>
      </w:r>
      <w:r>
        <w:rPr>
          <w:rFonts w:hint="eastAsia" w:ascii="宋体" w:hAnsi="宋体" w:eastAsia="宋体" w:cs="宋体"/>
          <w:color w:val="auto"/>
          <w:szCs w:val="21"/>
          <w:highlight w:val="none"/>
          <w:lang w:val="zh-CN" w:eastAsia="zh-CN"/>
        </w:rPr>
        <w:t>整套</w:t>
      </w:r>
      <w:r>
        <w:rPr>
          <w:rFonts w:hint="eastAsia" w:ascii="宋体" w:hAnsi="宋体" w:eastAsia="宋体" w:cs="宋体"/>
          <w:color w:val="auto"/>
          <w:szCs w:val="21"/>
          <w:highlight w:val="none"/>
        </w:rPr>
        <w:t>养管工作(含养管所需材料)总承包</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绿化养护技术措施完善，管理得当</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绿化充分，植物配置合理，达到黄土不露天。</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重大节</w:t>
      </w:r>
      <w:r>
        <w:rPr>
          <w:rFonts w:hint="eastAsia" w:ascii="宋体" w:hAnsi="宋体" w:eastAsia="宋体" w:cs="宋体"/>
          <w:color w:val="auto"/>
          <w:szCs w:val="21"/>
          <w:highlight w:val="none"/>
          <w:lang w:val="en-US" w:eastAsia="zh-CN"/>
        </w:rPr>
        <w:t>假</w:t>
      </w:r>
      <w:r>
        <w:rPr>
          <w:rFonts w:hint="eastAsia" w:ascii="宋体" w:hAnsi="宋体" w:eastAsia="宋体" w:cs="宋体"/>
          <w:color w:val="auto"/>
          <w:szCs w:val="21"/>
          <w:highlight w:val="none"/>
        </w:rPr>
        <w:t>日及重大活动</w:t>
      </w:r>
      <w:r>
        <w:rPr>
          <w:rFonts w:hint="eastAsia" w:ascii="宋体" w:hAnsi="宋体" w:eastAsia="宋体" w:cs="宋体"/>
          <w:color w:val="auto"/>
          <w:szCs w:val="21"/>
          <w:highlight w:val="none"/>
          <w:lang w:eastAsia="zh-CN"/>
        </w:rPr>
        <w:t>期间</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有义务按照</w:t>
      </w:r>
      <w:r>
        <w:rPr>
          <w:rFonts w:hint="eastAsia" w:ascii="宋体" w:hAnsi="宋体" w:eastAsia="宋体" w:cs="宋体"/>
          <w:color w:val="auto"/>
          <w:szCs w:val="21"/>
          <w:highlight w:val="none"/>
          <w:lang w:val="en-US" w:eastAsia="zh-CN"/>
        </w:rPr>
        <w:t>采购单位</w:t>
      </w:r>
      <w:r>
        <w:rPr>
          <w:rFonts w:hint="eastAsia" w:ascii="宋体" w:hAnsi="宋体" w:eastAsia="宋体" w:cs="宋体"/>
          <w:color w:val="auto"/>
          <w:szCs w:val="21"/>
          <w:highlight w:val="none"/>
        </w:rPr>
        <w:t>要求，认真做好</w:t>
      </w:r>
      <w:r>
        <w:rPr>
          <w:rFonts w:hint="eastAsia" w:ascii="宋体" w:hAnsi="宋体" w:eastAsia="宋体" w:cs="宋体"/>
          <w:color w:val="auto"/>
          <w:szCs w:val="21"/>
          <w:highlight w:val="none"/>
          <w:lang w:val="en-US" w:eastAsia="zh-CN"/>
        </w:rPr>
        <w:t>辖区绿化环境卫生清理、</w:t>
      </w:r>
      <w:r>
        <w:rPr>
          <w:rFonts w:hint="eastAsia" w:ascii="宋体" w:hAnsi="宋体" w:eastAsia="宋体" w:cs="宋体"/>
          <w:color w:val="auto"/>
          <w:szCs w:val="21"/>
          <w:highlight w:val="none"/>
          <w:lang w:eastAsia="zh-CN"/>
        </w:rPr>
        <w:t>宣传标语及花卉花坛摆放工作。</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管养期内，因养护管理不到位等原因造成的绿化苗木损毁及减少，</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lang w:eastAsia="zh-CN"/>
        </w:rPr>
        <w:t>应及时补植到位。</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管养期内，养护过程中因大风作业、高空修剪等造成的安全责任及管养过程中发生其他的安全责任均由</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lang w:eastAsia="zh-CN"/>
        </w:rPr>
        <w:t>负责。</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管养考核及</w:t>
      </w:r>
      <w:r>
        <w:rPr>
          <w:rFonts w:hint="eastAsia" w:ascii="宋体" w:hAnsi="宋体" w:eastAsia="宋体" w:cs="宋体"/>
          <w:color w:val="auto"/>
          <w:szCs w:val="21"/>
          <w:highlight w:val="none"/>
        </w:rPr>
        <w:t>经费</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拨付</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5.1养</w:t>
      </w:r>
      <w:r>
        <w:rPr>
          <w:rFonts w:hint="eastAsia" w:ascii="宋体" w:hAnsi="宋体" w:eastAsia="宋体" w:cs="宋体"/>
          <w:color w:val="auto"/>
          <w:szCs w:val="21"/>
          <w:highlight w:val="none"/>
        </w:rPr>
        <w:t>护管理的考核：严格执行三级督查制度，建立规范合理的</w:t>
      </w:r>
      <w:r>
        <w:rPr>
          <w:rFonts w:hint="eastAsia" w:ascii="宋体" w:hAnsi="宋体" w:eastAsia="宋体" w:cs="宋体"/>
          <w:color w:val="auto"/>
          <w:szCs w:val="21"/>
          <w:highlight w:val="none"/>
          <w:lang w:val="en-US" w:eastAsia="zh-CN"/>
        </w:rPr>
        <w:t>奖励制度</w:t>
      </w:r>
      <w:r>
        <w:rPr>
          <w:rFonts w:hint="eastAsia" w:ascii="宋体" w:hAnsi="宋体" w:eastAsia="宋体" w:cs="宋体"/>
          <w:color w:val="auto"/>
          <w:szCs w:val="21"/>
          <w:highlight w:val="none"/>
        </w:rPr>
        <w:t>，由</w:t>
      </w:r>
      <w:r>
        <w:rPr>
          <w:rFonts w:hint="eastAsia" w:ascii="新宋体" w:hAnsi="新宋体" w:eastAsia="新宋体" w:cs="新宋体"/>
          <w:color w:val="auto"/>
          <w:kern w:val="2"/>
          <w:sz w:val="21"/>
          <w:szCs w:val="21"/>
          <w:lang w:val="en-US" w:eastAsia="zh-CN" w:bidi="ar-SA"/>
        </w:rPr>
        <w:t>采购人</w:t>
      </w:r>
      <w:r>
        <w:rPr>
          <w:rFonts w:hint="eastAsia" w:ascii="宋体" w:hAnsi="宋体" w:eastAsia="宋体" w:cs="宋体"/>
          <w:color w:val="auto"/>
          <w:szCs w:val="21"/>
          <w:highlight w:val="none"/>
          <w:lang w:val="en-US" w:eastAsia="zh-CN"/>
        </w:rPr>
        <w:t>负责监管考核，按照《园林绿化养护要求及标准》（详见附件1）、《园林</w:t>
      </w: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HYPERLINK "http://www.fdcew.com/hypx/List_270.html" \t "_blank"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lang w:val="en-US" w:eastAsia="zh-CN"/>
        </w:rPr>
        <w:t>绿化</w:t>
      </w:r>
      <w:r>
        <w:rPr>
          <w:rFonts w:hint="eastAsia" w:ascii="宋体" w:hAnsi="宋体" w:eastAsia="宋体" w:cs="宋体"/>
          <w:color w:val="auto"/>
          <w:szCs w:val="21"/>
          <w:highlight w:val="none"/>
          <w:lang w:val="en-US" w:eastAsia="zh-CN"/>
        </w:rPr>
        <w:fldChar w:fldCharType="end"/>
      </w:r>
      <w:r>
        <w:rPr>
          <w:rFonts w:hint="eastAsia" w:ascii="宋体" w:hAnsi="宋体" w:eastAsia="宋体" w:cs="宋体"/>
          <w:color w:val="auto"/>
          <w:szCs w:val="21"/>
          <w:highlight w:val="none"/>
          <w:lang w:val="en-US" w:eastAsia="zh-CN"/>
        </w:rPr>
        <w:t>养护管理考核办法》（详见附件2）、《园林绿化养护管理评分细则》(详见附件3)等，对中标供应商</w:t>
      </w:r>
      <w:r>
        <w:rPr>
          <w:rFonts w:hint="eastAsia" w:ascii="宋体" w:hAnsi="宋体" w:eastAsia="宋体" w:cs="宋体"/>
          <w:color w:val="auto"/>
          <w:szCs w:val="21"/>
          <w:highlight w:val="none"/>
        </w:rPr>
        <w:t>的养管工作实施监督、检查和考核，并对其违约行为进行处理</w:t>
      </w:r>
      <w:r>
        <w:rPr>
          <w:rFonts w:hint="eastAsia" w:ascii="宋体" w:hAnsi="宋体" w:eastAsia="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5.2采购人</w:t>
      </w:r>
      <w:r>
        <w:rPr>
          <w:rFonts w:hint="eastAsia" w:ascii="宋体" w:hAnsi="宋体" w:eastAsia="宋体" w:cs="宋体"/>
          <w:color w:val="auto"/>
          <w:szCs w:val="21"/>
          <w:highlight w:val="none"/>
        </w:rPr>
        <w:t>实行责任督查。</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应建立日常巡查组，发现问题及时整改，并将检查情况存档备查。</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签订绿化养护管理合同，划分责任区，责任到人，进一步明确和细化管理标准</w:t>
      </w:r>
      <w:r>
        <w:rPr>
          <w:rFonts w:hint="eastAsia" w:ascii="宋体" w:hAnsi="宋体" w:eastAsia="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5.3采购人</w:t>
      </w:r>
      <w:r>
        <w:rPr>
          <w:rFonts w:hint="eastAsia" w:ascii="宋体" w:hAnsi="宋体" w:eastAsia="宋体" w:cs="宋体"/>
          <w:color w:val="auto"/>
          <w:szCs w:val="21"/>
          <w:highlight w:val="none"/>
        </w:rPr>
        <w:t>对</w:t>
      </w:r>
      <w:r>
        <w:rPr>
          <w:rFonts w:hint="eastAsia" w:ascii="宋体" w:hAnsi="宋体" w:eastAsia="宋体" w:cs="宋体"/>
          <w:color w:val="auto"/>
          <w:szCs w:val="21"/>
          <w:highlight w:val="none"/>
          <w:lang w:val="en-US" w:eastAsia="zh-CN"/>
        </w:rPr>
        <w:t>辖区</w:t>
      </w:r>
      <w:r>
        <w:rPr>
          <w:rFonts w:hint="eastAsia" w:ascii="宋体" w:hAnsi="宋体" w:eastAsia="宋体" w:cs="宋体"/>
          <w:color w:val="auto"/>
          <w:szCs w:val="21"/>
          <w:highlight w:val="none"/>
        </w:rPr>
        <w:t>绿地养护管理实施考核。</w:t>
      </w:r>
      <w:r>
        <w:rPr>
          <w:rFonts w:hint="eastAsia" w:ascii="宋体" w:hAnsi="宋体" w:eastAsia="宋体" w:cs="宋体"/>
          <w:color w:val="auto"/>
          <w:szCs w:val="21"/>
          <w:highlight w:val="none"/>
          <w:lang w:val="en-US" w:eastAsia="zh-CN"/>
        </w:rPr>
        <w:t>实</w:t>
      </w:r>
      <w:r>
        <w:rPr>
          <w:rFonts w:hint="eastAsia" w:ascii="宋体" w:hAnsi="宋体" w:eastAsia="宋体" w:cs="宋体"/>
          <w:color w:val="auto"/>
          <w:szCs w:val="21"/>
          <w:highlight w:val="none"/>
        </w:rPr>
        <w:t>行项目负责人岗位责任制，采取</w:t>
      </w:r>
      <w:r>
        <w:rPr>
          <w:rFonts w:hint="eastAsia" w:ascii="宋体" w:hAnsi="宋体" w:cs="宋体"/>
          <w:color w:val="auto"/>
          <w:szCs w:val="21"/>
          <w:highlight w:val="none"/>
          <w:lang w:val="en-US" w:eastAsia="zh-CN"/>
        </w:rPr>
        <w:t>季度</w:t>
      </w:r>
      <w:r>
        <w:rPr>
          <w:rFonts w:hint="eastAsia" w:ascii="宋体" w:hAnsi="宋体" w:eastAsia="宋体" w:cs="宋体"/>
          <w:color w:val="auto"/>
          <w:szCs w:val="21"/>
          <w:highlight w:val="none"/>
        </w:rPr>
        <w:t>考核</w:t>
      </w:r>
      <w:r>
        <w:rPr>
          <w:rFonts w:hint="eastAsia" w:ascii="宋体" w:hAnsi="宋体" w:cs="宋体"/>
          <w:color w:val="auto"/>
          <w:szCs w:val="21"/>
          <w:highlight w:val="none"/>
          <w:lang w:val="en-US" w:eastAsia="zh-CN"/>
        </w:rPr>
        <w:t>模式</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按照</w:t>
      </w:r>
      <w:r>
        <w:rPr>
          <w:rFonts w:hint="eastAsia" w:ascii="宋体" w:hAnsi="宋体" w:eastAsia="宋体" w:cs="宋体"/>
          <w:color w:val="auto"/>
          <w:szCs w:val="21"/>
          <w:highlight w:val="none"/>
          <w:lang w:val="en-US" w:eastAsia="zh-CN"/>
        </w:rPr>
        <w:t>相关</w:t>
      </w:r>
      <w:r>
        <w:rPr>
          <w:rFonts w:hint="eastAsia" w:ascii="宋体" w:hAnsi="宋体" w:eastAsia="宋体" w:cs="宋体"/>
          <w:color w:val="auto"/>
          <w:szCs w:val="21"/>
          <w:highlight w:val="none"/>
        </w:rPr>
        <w:t>规定对</w:t>
      </w:r>
      <w:r>
        <w:rPr>
          <w:rFonts w:hint="eastAsia" w:ascii="宋体" w:hAnsi="宋体" w:eastAsia="宋体" w:cs="宋体"/>
          <w:color w:val="auto"/>
          <w:szCs w:val="21"/>
          <w:highlight w:val="none"/>
          <w:lang w:val="en-US" w:eastAsia="zh-CN"/>
        </w:rPr>
        <w:t>中标供应商的</w:t>
      </w:r>
      <w:r>
        <w:rPr>
          <w:rFonts w:hint="eastAsia" w:ascii="宋体" w:hAnsi="宋体" w:eastAsia="宋体" w:cs="宋体"/>
          <w:color w:val="auto"/>
          <w:szCs w:val="21"/>
          <w:highlight w:val="none"/>
        </w:rPr>
        <w:t>绿化</w:t>
      </w:r>
      <w:r>
        <w:rPr>
          <w:rFonts w:hint="eastAsia" w:ascii="宋体" w:hAnsi="宋体" w:eastAsia="宋体" w:cs="宋体"/>
          <w:color w:val="auto"/>
          <w:szCs w:val="21"/>
          <w:highlight w:val="none"/>
          <w:lang w:val="en-US" w:eastAsia="zh-CN"/>
        </w:rPr>
        <w:t>工作</w:t>
      </w:r>
      <w:r>
        <w:rPr>
          <w:rFonts w:hint="eastAsia" w:ascii="宋体" w:hAnsi="宋体" w:eastAsia="宋体" w:cs="宋体"/>
          <w:color w:val="auto"/>
          <w:szCs w:val="21"/>
          <w:highlight w:val="none"/>
        </w:rPr>
        <w:t>实行</w:t>
      </w:r>
      <w:r>
        <w:rPr>
          <w:rFonts w:hint="eastAsia" w:ascii="宋体" w:hAnsi="宋体" w:eastAsia="宋体" w:cs="宋体"/>
          <w:color w:val="auto"/>
          <w:szCs w:val="21"/>
          <w:highlight w:val="none"/>
          <w:lang w:val="en-US" w:eastAsia="zh-CN"/>
        </w:rPr>
        <w:t>每季度的</w:t>
      </w:r>
      <w:r>
        <w:rPr>
          <w:rFonts w:hint="eastAsia" w:ascii="宋体" w:hAnsi="宋体" w:eastAsia="宋体" w:cs="宋体"/>
          <w:color w:val="auto"/>
          <w:szCs w:val="21"/>
          <w:highlight w:val="none"/>
        </w:rPr>
        <w:t>全方位考核</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负责对养护管理督查</w:t>
      </w:r>
      <w:r>
        <w:rPr>
          <w:rFonts w:hint="eastAsia" w:ascii="宋体" w:hAnsi="宋体" w:eastAsia="宋体" w:cs="宋体"/>
          <w:color w:val="auto"/>
          <w:szCs w:val="21"/>
          <w:highlight w:val="none"/>
          <w:lang w:val="en-US" w:eastAsia="zh-CN"/>
        </w:rPr>
        <w:t>工作</w:t>
      </w:r>
      <w:r>
        <w:rPr>
          <w:rFonts w:hint="eastAsia" w:ascii="宋体" w:hAnsi="宋体" w:eastAsia="宋体" w:cs="宋体"/>
          <w:color w:val="auto"/>
          <w:szCs w:val="21"/>
          <w:highlight w:val="none"/>
        </w:rPr>
        <w:t>。</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5.4</w:t>
      </w:r>
      <w:r>
        <w:rPr>
          <w:rFonts w:hint="eastAsia" w:ascii="宋体" w:hAnsi="宋体" w:eastAsia="宋体" w:cs="宋体"/>
          <w:color w:val="auto"/>
          <w:szCs w:val="21"/>
          <w:highlight w:val="none"/>
          <w:lang w:eastAsia="zh-CN"/>
        </w:rPr>
        <w:t>管养</w:t>
      </w:r>
      <w:r>
        <w:rPr>
          <w:rFonts w:hint="eastAsia" w:ascii="宋体" w:hAnsi="宋体" w:eastAsia="宋体" w:cs="宋体"/>
          <w:color w:val="auto"/>
          <w:szCs w:val="21"/>
          <w:highlight w:val="none"/>
        </w:rPr>
        <w:t>经费的拨付：养护</w:t>
      </w:r>
      <w:r>
        <w:rPr>
          <w:rFonts w:hint="eastAsia" w:ascii="宋体" w:hAnsi="宋体" w:eastAsia="宋体" w:cs="宋体"/>
          <w:color w:val="auto"/>
          <w:szCs w:val="21"/>
          <w:highlight w:val="none"/>
          <w:lang w:val="en-US" w:eastAsia="zh-CN"/>
        </w:rPr>
        <w:t>款按每季度考核得分情况</w:t>
      </w:r>
      <w:r>
        <w:rPr>
          <w:rFonts w:hint="eastAsia" w:ascii="宋体" w:hAnsi="宋体" w:eastAsia="宋体" w:cs="宋体"/>
          <w:color w:val="auto"/>
          <w:szCs w:val="21"/>
          <w:highlight w:val="none"/>
        </w:rPr>
        <w:t>给</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拨付</w:t>
      </w:r>
      <w:r>
        <w:rPr>
          <w:rFonts w:hint="eastAsia" w:ascii="宋体" w:hAnsi="宋体" w:eastAsia="宋体" w:cs="宋体"/>
          <w:color w:val="auto"/>
          <w:szCs w:val="21"/>
          <w:highlight w:val="none"/>
          <w:lang w:val="en-US" w:eastAsia="zh-CN"/>
        </w:rPr>
        <w:t>养护经费。</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监督管理</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6.1</w:t>
      </w:r>
      <w:r>
        <w:rPr>
          <w:rFonts w:hint="eastAsia" w:ascii="宋体" w:hAnsi="宋体" w:eastAsia="宋体" w:cs="宋体"/>
          <w:color w:val="auto"/>
          <w:szCs w:val="21"/>
          <w:highlight w:val="none"/>
        </w:rPr>
        <w:t>强化组织管理</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具体负责绿化养护日常</w:t>
      </w:r>
      <w:r>
        <w:rPr>
          <w:rFonts w:hint="eastAsia" w:ascii="宋体" w:hAnsi="宋体" w:eastAsia="宋体" w:cs="宋体"/>
          <w:color w:val="auto"/>
          <w:szCs w:val="21"/>
          <w:highlight w:val="none"/>
          <w:lang w:val="en-US" w:eastAsia="zh-CN"/>
        </w:rPr>
        <w:t>监管</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检</w:t>
      </w:r>
      <w:r>
        <w:rPr>
          <w:rFonts w:hint="eastAsia" w:ascii="宋体" w:hAnsi="宋体" w:eastAsia="宋体" w:cs="宋体"/>
          <w:color w:val="auto"/>
          <w:szCs w:val="21"/>
          <w:highlight w:val="none"/>
        </w:rPr>
        <w:t>查验收、经费申</w:t>
      </w:r>
      <w:r>
        <w:rPr>
          <w:rFonts w:hint="eastAsia" w:ascii="宋体" w:hAnsi="宋体" w:eastAsia="宋体" w:cs="宋体"/>
          <w:color w:val="auto"/>
          <w:szCs w:val="21"/>
          <w:highlight w:val="none"/>
          <w:lang w:val="en-US" w:eastAsia="zh-CN"/>
        </w:rPr>
        <w:t>请</w:t>
      </w:r>
      <w:r>
        <w:rPr>
          <w:rFonts w:hint="eastAsia" w:ascii="宋体" w:hAnsi="宋体" w:eastAsia="宋体" w:cs="宋体"/>
          <w:color w:val="auto"/>
          <w:szCs w:val="21"/>
          <w:highlight w:val="none"/>
        </w:rPr>
        <w:t>等事宜。与</w:t>
      </w:r>
      <w:r>
        <w:rPr>
          <w:rFonts w:hint="eastAsia" w:ascii="宋体" w:hAnsi="宋体" w:eastAsia="宋体" w:cs="宋体"/>
          <w:color w:val="auto"/>
          <w:szCs w:val="21"/>
          <w:highlight w:val="none"/>
          <w:lang w:val="en-US" w:eastAsia="zh-CN"/>
        </w:rPr>
        <w:t>中标供应商签</w:t>
      </w:r>
      <w:r>
        <w:rPr>
          <w:rFonts w:hint="eastAsia" w:ascii="宋体" w:hAnsi="宋体" w:eastAsia="宋体" w:cs="宋体"/>
          <w:color w:val="auto"/>
          <w:szCs w:val="21"/>
          <w:highlight w:val="none"/>
        </w:rPr>
        <w:t>订绿化养管合同；并要严格实行督查制度，加强对绿化养管工作的监督</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检查和</w:t>
      </w:r>
      <w:r>
        <w:rPr>
          <w:rFonts w:hint="eastAsia" w:ascii="宋体" w:hAnsi="宋体" w:eastAsia="宋体" w:cs="宋体"/>
          <w:color w:val="auto"/>
          <w:szCs w:val="21"/>
          <w:highlight w:val="none"/>
          <w:lang w:val="en-US" w:eastAsia="zh-CN"/>
        </w:rPr>
        <w:t>考核</w:t>
      </w:r>
      <w:r>
        <w:rPr>
          <w:rFonts w:hint="eastAsia" w:ascii="宋体" w:hAnsi="宋体" w:eastAsia="宋体" w:cs="宋体"/>
          <w:color w:val="auto"/>
          <w:szCs w:val="21"/>
          <w:highlight w:val="none"/>
        </w:rPr>
        <w:t>，切实提高绿化养管水平</w:t>
      </w:r>
      <w:r>
        <w:rPr>
          <w:rFonts w:hint="eastAsia" w:ascii="宋体" w:hAnsi="宋体" w:eastAsia="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w:t>
      </w:r>
      <w:r>
        <w:rPr>
          <w:rFonts w:hint="eastAsia" w:ascii="宋体" w:hAnsi="宋体" w:eastAsia="宋体" w:cs="宋体"/>
          <w:color w:val="auto"/>
          <w:szCs w:val="21"/>
          <w:highlight w:val="none"/>
        </w:rPr>
        <w:t>加</w:t>
      </w:r>
      <w:r>
        <w:rPr>
          <w:rFonts w:hint="eastAsia" w:ascii="宋体" w:hAnsi="宋体" w:eastAsia="宋体" w:cs="宋体"/>
          <w:color w:val="auto"/>
          <w:szCs w:val="21"/>
          <w:highlight w:val="none"/>
          <w:lang w:val="en-US" w:eastAsia="zh-CN"/>
        </w:rPr>
        <w:t>强</w:t>
      </w:r>
      <w:r>
        <w:rPr>
          <w:rFonts w:hint="eastAsia" w:ascii="宋体" w:hAnsi="宋体" w:eastAsia="宋体" w:cs="宋体"/>
          <w:color w:val="auto"/>
          <w:szCs w:val="21"/>
          <w:highlight w:val="none"/>
        </w:rPr>
        <w:t>技术指导。</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要根据</w:t>
      </w:r>
      <w:r>
        <w:rPr>
          <w:rFonts w:hint="eastAsia" w:ascii="宋体" w:hAnsi="宋体" w:eastAsia="宋体" w:cs="宋体"/>
          <w:color w:val="auto"/>
          <w:szCs w:val="21"/>
          <w:highlight w:val="none"/>
          <w:lang w:val="en-US" w:eastAsia="zh-CN"/>
        </w:rPr>
        <w:t>养护</w:t>
      </w:r>
      <w:r>
        <w:rPr>
          <w:rFonts w:hint="eastAsia" w:ascii="宋体" w:hAnsi="宋体" w:eastAsia="宋体" w:cs="宋体"/>
          <w:color w:val="auto"/>
          <w:szCs w:val="21"/>
          <w:highlight w:val="none"/>
        </w:rPr>
        <w:t>合同，细化养管标准和技术指标</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督促</w:t>
      </w:r>
      <w:r>
        <w:rPr>
          <w:rFonts w:hint="eastAsia" w:ascii="宋体" w:hAnsi="宋体" w:eastAsia="宋体" w:cs="宋体"/>
          <w:color w:val="auto"/>
          <w:szCs w:val="21"/>
          <w:highlight w:val="none"/>
          <w:lang w:val="en-US" w:eastAsia="zh-CN"/>
        </w:rPr>
        <w:t>中标供应商</w:t>
      </w:r>
      <w:r>
        <w:rPr>
          <w:rFonts w:hint="eastAsia" w:ascii="宋体" w:hAnsi="宋体" w:eastAsia="宋体" w:cs="宋体"/>
          <w:color w:val="auto"/>
          <w:szCs w:val="21"/>
          <w:highlight w:val="none"/>
        </w:rPr>
        <w:t>按照标准及时做好修剪、除草、浇水、施肥、补植等工作，提高养管水平</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加强</w:t>
      </w:r>
      <w:r>
        <w:rPr>
          <w:rFonts w:hint="eastAsia" w:ascii="宋体" w:hAnsi="宋体" w:eastAsia="宋体" w:cs="宋体"/>
          <w:color w:val="auto"/>
          <w:szCs w:val="21"/>
          <w:highlight w:val="none"/>
        </w:rPr>
        <w:t>绿地日常巡查，发现存在问题、发放整改通知并反馈整改落实情况等。</w:t>
      </w:r>
    </w:p>
    <w:p>
      <w:pPr>
        <w:shd w:val="clear" w:color="auto" w:fill="auto"/>
        <w:snapToGrid w:val="0"/>
        <w:spacing w:line="400" w:lineRule="exact"/>
        <w:ind w:firstLine="420" w:firstLineChars="200"/>
        <w:rPr>
          <w:rFonts w:hint="eastAsia"/>
          <w:color w:val="auto"/>
          <w:lang w:val="en-US" w:eastAsia="zh-CN"/>
        </w:rPr>
      </w:pPr>
      <w:r>
        <w:rPr>
          <w:rFonts w:hint="eastAsia" w:ascii="宋体" w:hAnsi="宋体" w:eastAsia="宋体" w:cs="宋体"/>
          <w:color w:val="auto"/>
          <w:szCs w:val="21"/>
          <w:highlight w:val="none"/>
          <w:lang w:val="en-US" w:eastAsia="zh-CN"/>
        </w:rPr>
        <w:t>6.3</w:t>
      </w:r>
      <w:r>
        <w:rPr>
          <w:rFonts w:hint="eastAsia" w:ascii="宋体" w:hAnsi="宋体" w:eastAsia="宋体" w:cs="宋体"/>
          <w:color w:val="auto"/>
          <w:szCs w:val="21"/>
          <w:highlight w:val="none"/>
        </w:rPr>
        <w:t>严格考核奖惩</w:t>
      </w:r>
    </w:p>
    <w:p>
      <w:pPr>
        <w:tabs>
          <w:tab w:val="left" w:pos="1453"/>
          <w:tab w:val="center" w:pos="4215"/>
        </w:tabs>
        <w:spacing w:line="5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  6.3.1</w:t>
      </w:r>
      <w:r>
        <w:rPr>
          <w:rFonts w:hint="eastAsia" w:ascii="宋体" w:hAnsi="宋体" w:eastAsia="宋体" w:cs="宋体"/>
          <w:color w:val="auto"/>
          <w:szCs w:val="21"/>
          <w:highlight w:val="none"/>
          <w:lang w:eastAsia="zh-CN"/>
        </w:rPr>
        <w:t>管养</w:t>
      </w:r>
      <w:r>
        <w:rPr>
          <w:rFonts w:hint="eastAsia" w:ascii="宋体" w:hAnsi="宋体" w:eastAsia="宋体" w:cs="宋体"/>
          <w:color w:val="auto"/>
          <w:szCs w:val="21"/>
          <w:highlight w:val="none"/>
        </w:rPr>
        <w:t>期内，</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考核总分数在90分（含90分）以上为优秀；8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分（含8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val="en-US" w:eastAsia="zh-CN"/>
        </w:rPr>
        <w:t>以上</w:t>
      </w:r>
    </w:p>
    <w:p>
      <w:pPr>
        <w:tabs>
          <w:tab w:val="left" w:pos="1453"/>
          <w:tab w:val="center" w:pos="4215"/>
        </w:tabs>
        <w:spacing w:line="5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90分</w:t>
      </w:r>
      <w:r>
        <w:rPr>
          <w:rFonts w:hint="eastAsia" w:ascii="宋体" w:hAnsi="宋体" w:eastAsia="宋体" w:cs="宋体"/>
          <w:color w:val="auto"/>
          <w:szCs w:val="21"/>
          <w:highlight w:val="none"/>
          <w:lang w:val="en-US" w:eastAsia="zh-CN"/>
        </w:rPr>
        <w:t>以下</w:t>
      </w:r>
      <w:r>
        <w:rPr>
          <w:rFonts w:hint="eastAsia" w:ascii="宋体" w:hAnsi="宋体" w:eastAsia="宋体" w:cs="宋体"/>
          <w:color w:val="auto"/>
          <w:szCs w:val="21"/>
          <w:highlight w:val="none"/>
        </w:rPr>
        <w:t>为合格；80分以下为不合格。</w:t>
      </w:r>
    </w:p>
    <w:p>
      <w:pPr>
        <w:tabs>
          <w:tab w:val="left" w:pos="1453"/>
          <w:tab w:val="center" w:pos="4215"/>
        </w:tabs>
        <w:spacing w:line="540" w:lineRule="exact"/>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   6.3.2  根据考核情况一年一签，合同期内连续2个或累计3个季度综合评定考核结果不合格的，终止中标单位的承包权，并重新招标确定养护单位</w:t>
      </w:r>
      <w:r>
        <w:rPr>
          <w:rFonts w:hint="eastAsia" w:ascii="宋体" w:hAnsi="宋体" w:cs="宋体"/>
          <w:color w:val="auto"/>
          <w:szCs w:val="21"/>
          <w:highlight w:val="none"/>
          <w:lang w:val="en-US" w:eastAsia="zh-CN"/>
        </w:rPr>
        <w:t>。</w:t>
      </w:r>
    </w:p>
    <w:p>
      <w:pPr>
        <w:pStyle w:val="2"/>
        <w:rPr>
          <w:color w:val="auto"/>
        </w:rPr>
      </w:pPr>
    </w:p>
    <w:p>
      <w:pPr>
        <w:numPr>
          <w:ilvl w:val="0"/>
          <w:numId w:val="9"/>
        </w:numPr>
        <w:spacing w:line="360" w:lineRule="auto"/>
        <w:ind w:firstLine="482" w:firstLineChars="200"/>
        <w:rPr>
          <w:rFonts w:hint="eastAsia" w:ascii="宋体" w:hAnsi="宋体" w:eastAsia="宋体" w:cs="宋体"/>
          <w:b/>
          <w:bCs/>
          <w:color w:val="auto"/>
          <w:sz w:val="24"/>
          <w:lang w:val="en-US" w:eastAsia="zh-CN"/>
        </w:rPr>
      </w:pPr>
      <w:bookmarkStart w:id="59" w:name="_Toc1287_WPSOffice_Level2"/>
      <w:r>
        <w:rPr>
          <w:rFonts w:hint="eastAsia" w:ascii="宋体" w:hAnsi="宋体" w:eastAsia="宋体" w:cs="宋体"/>
          <w:b/>
          <w:bCs/>
          <w:color w:val="auto"/>
          <w:sz w:val="24"/>
          <w:lang w:val="en-US" w:eastAsia="zh-CN"/>
        </w:rPr>
        <w:t>养护标准</w:t>
      </w:r>
    </w:p>
    <w:p>
      <w:pPr>
        <w:pStyle w:val="6"/>
        <w:numPr>
          <w:ilvl w:val="0"/>
          <w:numId w:val="0"/>
        </w:num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附件1</w:t>
      </w:r>
      <w:r>
        <w:rPr>
          <w:rFonts w:hint="eastAsia" w:ascii="宋体" w:hAnsi="宋体" w:eastAsia="宋体" w:cs="宋体"/>
          <w:color w:val="auto"/>
          <w:szCs w:val="21"/>
          <w:highlight w:val="none"/>
        </w:rPr>
        <w:t>《园林绿化养护</w:t>
      </w:r>
      <w:r>
        <w:rPr>
          <w:rFonts w:hint="eastAsia" w:ascii="宋体" w:hAnsi="宋体" w:eastAsia="宋体" w:cs="宋体"/>
          <w:color w:val="auto"/>
          <w:szCs w:val="21"/>
          <w:highlight w:val="none"/>
          <w:lang w:eastAsia="zh-CN"/>
        </w:rPr>
        <w:t>要求</w:t>
      </w:r>
      <w:r>
        <w:rPr>
          <w:rFonts w:hint="eastAsia" w:ascii="宋体" w:hAnsi="宋体" w:eastAsia="宋体" w:cs="宋体"/>
          <w:color w:val="auto"/>
          <w:szCs w:val="21"/>
          <w:highlight w:val="none"/>
          <w:lang w:val="en-US" w:eastAsia="zh-CN"/>
        </w:rPr>
        <w:t>及标准</w:t>
      </w:r>
      <w:r>
        <w:rPr>
          <w:rFonts w:hint="eastAsia" w:ascii="宋体" w:hAnsi="宋体" w:eastAsia="宋体" w:cs="宋体"/>
          <w:color w:val="auto"/>
          <w:szCs w:val="21"/>
          <w:highlight w:val="none"/>
        </w:rPr>
        <w:t>》</w:t>
      </w:r>
    </w:p>
    <w:p>
      <w:pPr>
        <w:rPr>
          <w:rFonts w:hint="eastAsia"/>
          <w:color w:val="auto"/>
        </w:rPr>
      </w:pPr>
    </w:p>
    <w:p>
      <w:pPr>
        <w:shd w:val="clear" w:color="auto" w:fill="auto"/>
        <w:snapToGrid w:val="0"/>
        <w:spacing w:line="40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草坪管理要求</w:t>
      </w:r>
      <w:bookmarkEnd w:id="59"/>
      <w:r>
        <w:rPr>
          <w:rFonts w:hint="eastAsia" w:ascii="宋体" w:hAnsi="宋体" w:eastAsia="宋体" w:cs="宋体"/>
          <w:b/>
          <w:bCs/>
          <w:color w:val="auto"/>
          <w:szCs w:val="21"/>
          <w:highlight w:val="none"/>
          <w:lang w:val="en-US" w:eastAsia="zh-CN"/>
        </w:rPr>
        <w:t>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种植地的土壤若含有建筑废土及其他有害成份,或为盐碱土、粘土、沙土等,均应采用客土栽植或采用改良土壤的技术措施后</w:t>
      </w:r>
      <w:r>
        <w:rPr>
          <w:rFonts w:hint="eastAsia" w:ascii="宋体" w:hAnsi="宋体" w:eastAsia="宋体" w:cs="宋体"/>
          <w:color w:val="auto"/>
          <w:szCs w:val="21"/>
          <w:highlight w:val="none"/>
          <w:lang w:val="en-US" w:eastAsia="zh-CN"/>
        </w:rPr>
        <w:t>再</w:t>
      </w:r>
      <w:r>
        <w:rPr>
          <w:rFonts w:hint="eastAsia" w:ascii="宋体" w:hAnsi="宋体" w:eastAsia="宋体" w:cs="宋体"/>
          <w:color w:val="auto"/>
          <w:szCs w:val="21"/>
          <w:highlight w:val="none"/>
        </w:rPr>
        <w:t>栽植植物,并做好工作日记改良措施。</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2绿地内草坪种植前应施足基肥,翻耕20cm,搂平耙细,去除杂物,平整后</w:t>
      </w:r>
      <w:r>
        <w:rPr>
          <w:rFonts w:hint="eastAsia" w:ascii="宋体" w:hAnsi="宋体" w:eastAsia="宋体" w:cs="宋体"/>
          <w:color w:val="auto"/>
          <w:szCs w:val="21"/>
          <w:highlight w:val="none"/>
          <w:lang w:val="en-US" w:eastAsia="zh-CN"/>
        </w:rPr>
        <w:t>再</w:t>
      </w:r>
      <w:r>
        <w:rPr>
          <w:rFonts w:hint="eastAsia" w:ascii="宋体" w:hAnsi="宋体" w:eastAsia="宋体" w:cs="宋体"/>
          <w:color w:val="auto"/>
          <w:szCs w:val="21"/>
          <w:highlight w:val="none"/>
        </w:rPr>
        <w:t>进行种植。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3草坪应选择优良种籽,播前做好土壤处理,每平方米播草种18-22克。播种时应先浇水,保持土壤湿润,稍干后将表皮土耙平,进行散播,均匀覆土0.3－0.5cm后轻压,然后喷水,浇透土层8－10cm后喷水不得间断,即可用草覆盖保持湿度,至</w:t>
      </w:r>
      <w:r>
        <w:rPr>
          <w:rFonts w:hint="eastAsia" w:ascii="宋体" w:hAnsi="宋体" w:eastAsia="宋体" w:cs="宋体"/>
          <w:color w:val="auto"/>
          <w:szCs w:val="21"/>
          <w:highlight w:val="none"/>
          <w:lang w:val="en-US" w:eastAsia="zh-CN"/>
        </w:rPr>
        <w:t>发</w:t>
      </w:r>
      <w:r>
        <w:rPr>
          <w:rFonts w:hint="eastAsia" w:ascii="宋体" w:hAnsi="宋体" w:eastAsia="宋体" w:cs="宋体"/>
          <w:color w:val="auto"/>
          <w:szCs w:val="21"/>
          <w:highlight w:val="none"/>
        </w:rPr>
        <w:t>芽时拆除。</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4铺栽草坪用的草块杂草每平方米不得超过5株,草块土层厚度为3－5cm。</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5正确使用灌溉系统,保护好喷头、阀门等灌溉设施,按照操作规定控制草坪浇水时间,早晚浇水,保持土壤湿度,避开中午高温时期。</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6保证草坪质量,第一年草坪种植后要求草坪茂密平整，苗齐苗全,无秃裸现象,草坪长势旺盛,草叶叶色正常,无杂草、病虫害及干旱现象,草坪整洁、无垃圾杂物。</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7草坪地面平坦、整齐、地面坑洼积水面积不得大于0.5</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,及时清除杂草,每平方米草坪内杂草不得超过5株,并且按节令及时割草,保证草坪留茬高度在3-5cm,平坦整齐。</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8第二年、第三年草坪均要求保持以上状况,不得有枯死.秃裸现象发生。</w:t>
      </w:r>
    </w:p>
    <w:p>
      <w:pPr>
        <w:shd w:val="clear" w:color="auto" w:fill="auto"/>
        <w:snapToGrid w:val="0"/>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每年进行打孔、疏草1--2次。</w:t>
      </w:r>
    </w:p>
    <w:p>
      <w:pPr>
        <w:shd w:val="clear" w:color="auto" w:fill="auto"/>
        <w:snapToGrid w:val="0"/>
        <w:spacing w:line="400" w:lineRule="exact"/>
        <w:ind w:firstLine="420" w:firstLineChars="200"/>
        <w:rPr>
          <w:rFonts w:hint="default"/>
          <w:color w:val="auto"/>
          <w:lang w:val="en-US" w:eastAsia="zh-CN"/>
        </w:rPr>
      </w:pP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标准：草坪生长茂盛，平整，高度控制在10cm左右，无裸露地面。草坪覆盖率应基本达到100％；草坪内杂草控制在10％以内；生长茂盛颜色正常，不枯黄；无病虫害。</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0" w:name="_Toc10044_WPSOffice_Level2"/>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花卉管理要求</w:t>
      </w:r>
      <w:bookmarkEnd w:id="60"/>
      <w:r>
        <w:rPr>
          <w:rFonts w:hint="eastAsia" w:ascii="宋体" w:hAnsi="宋体" w:eastAsia="宋体" w:cs="宋体"/>
          <w:b/>
          <w:bCs/>
          <w:color w:val="auto"/>
          <w:szCs w:val="21"/>
          <w:highlight w:val="none"/>
          <w:lang w:val="en-US" w:eastAsia="zh-CN"/>
        </w:rPr>
        <w:t>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1花坛种植地的土壤应保持良好,用好土栽植花卉，适时浇水施肥，肥料配比中注重氮、磷、钾肥比重。在种植前应施足基肥,翻耕25-30cm,搂平耙细,去除杂物,平整后在进行种植。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2花坛(花带</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花境等)花卉的种植,应按设计图定点放线,准确地划出位置及轮廓线后按设计图种植。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3花坛种植图案的轮廓应用卵石或砖块铺设,保证花卉与草坪分隔。</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4花卉用苗应选择一、二年生花卉,株高应分10－40cm,冠径应为15－35cm,分枝不少于3－4个,叶簇健壮,色泽明亮，宿根花卉根必须完整,无腐烂变质.观叶植物,叶色应鲜艳,叶簇丰满。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5花卉栽植应随起苗随种植,盆育花苗应保持盆土不散,起苗后种植前,应注意保鲜,花苗不得萎缩,花卉种植应避开中午高温时间。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6种植花苗的株行距,按植株高低、分檗多少、冠丛大小决定,以成苗后不露出地面为宜,并保持花卉顶端平齐。</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7花卉种植后,应及时浇水、除草,并应保持植株整洁</w:t>
      </w:r>
      <w:r>
        <w:rPr>
          <w:rFonts w:hint="eastAsia" w:ascii="宋体" w:hAnsi="宋体" w:eastAsia="宋体" w:cs="宋体"/>
          <w:color w:val="auto"/>
          <w:szCs w:val="21"/>
          <w:highlight w:val="none"/>
          <w:lang w:val="en-US" w:eastAsia="zh-CN"/>
        </w:rPr>
        <w:t>和</w:t>
      </w:r>
      <w:r>
        <w:rPr>
          <w:rFonts w:hint="eastAsia" w:ascii="宋体" w:hAnsi="宋体" w:eastAsia="宋体" w:cs="宋体"/>
          <w:color w:val="auto"/>
          <w:szCs w:val="21"/>
          <w:highlight w:val="none"/>
        </w:rPr>
        <w:t>注重病虫害的防治。</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8确保花卉生长良好、色彩鲜艳,无枯枝枯叶、败花败露现象。</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2.9草花管养要注重水肥，残花败叶及时剪除，保持花期在60天（根据花卉品种保持花期）。草花花期过后，及时更换草花。</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2.10</w:t>
      </w:r>
      <w:r>
        <w:rPr>
          <w:rFonts w:hint="eastAsia" w:ascii="宋体" w:hAnsi="宋体" w:eastAsia="宋体" w:cs="宋体"/>
          <w:color w:val="auto"/>
          <w:szCs w:val="21"/>
          <w:highlight w:val="none"/>
        </w:rPr>
        <w:t>花卉花大、叶肥。色彩协调，观赏整体效果明显，保持三季有花。</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 </w:t>
      </w:r>
      <w:bookmarkStart w:id="61" w:name="_Toc10576_WPSOffice_Level2"/>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苗木管理要求</w:t>
      </w:r>
      <w:bookmarkEnd w:id="61"/>
      <w:r>
        <w:rPr>
          <w:rFonts w:hint="eastAsia" w:ascii="宋体" w:hAnsi="宋体" w:eastAsia="宋体" w:cs="宋体"/>
          <w:b/>
          <w:bCs/>
          <w:color w:val="auto"/>
          <w:szCs w:val="21"/>
          <w:highlight w:val="none"/>
          <w:lang w:val="en-US" w:eastAsia="zh-CN"/>
        </w:rPr>
        <w:t>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1加强乔灌木的管理,保证乔灌木生长良好,及时补植</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移植,要保持树木整齐,无缺株断垅现象。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2要求乔灌木长势强,常绿树出新枝,落叶树长旺枝,无枯枝叶、病虫害及干旱萎缩现象,树根周围需开挖树盘,树根周围40cm无草。</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3树木要及时修剪、整枝、落叶乔木每年修剪一次,修剪时,应保持原有树形。常绿树不易修剪,只剪除病虫枝、枯死枝、生长衰弱枝、过密的轮生枝和下垂枝、枝条茂密的花灌木,可根据实际要求,适量疏</w:t>
      </w:r>
      <w:r>
        <w:rPr>
          <w:rFonts w:hint="eastAsia" w:ascii="宋体" w:hAnsi="宋体" w:eastAsia="宋体" w:cs="宋体"/>
          <w:color w:val="auto"/>
          <w:szCs w:val="21"/>
          <w:highlight w:val="none"/>
          <w:lang w:val="en-US" w:eastAsia="zh-CN"/>
        </w:rPr>
        <w:t>枝</w:t>
      </w:r>
      <w:r>
        <w:rPr>
          <w:rFonts w:hint="eastAsia" w:ascii="宋体" w:hAnsi="宋体" w:eastAsia="宋体" w:cs="宋体"/>
          <w:color w:val="auto"/>
          <w:szCs w:val="21"/>
          <w:highlight w:val="none"/>
        </w:rPr>
        <w:t>和修剪成形式多样的造型。</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4按节令实时适量浇水,无干旱湿涝现象,要求地表无明水。</w:t>
      </w:r>
    </w:p>
    <w:p>
      <w:pPr>
        <w:shd w:val="clear" w:color="auto" w:fill="auto"/>
        <w:snapToGrid w:val="0"/>
        <w:spacing w:line="40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5绿地内枯树死树、枯枝败叶需及时砍伐清理,并及时补植、补种,保证苗木的整齐和绿地的整洁。</w:t>
      </w:r>
    </w:p>
    <w:p>
      <w:pPr>
        <w:shd w:val="clear" w:color="auto" w:fill="auto"/>
        <w:snapToGrid w:val="0"/>
        <w:spacing w:line="40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4、绿地养护要求及标准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bookmarkStart w:id="62" w:name="_Toc14120_WPSOffice_Level3"/>
      <w:r>
        <w:rPr>
          <w:rFonts w:hint="eastAsia" w:ascii="宋体" w:hAnsi="宋体" w:eastAsia="宋体" w:cs="宋体"/>
          <w:color w:val="auto"/>
          <w:szCs w:val="21"/>
          <w:highlight w:val="none"/>
          <w:lang w:val="en-US" w:eastAsia="zh-CN"/>
        </w:rPr>
        <w:t>4.1</w:t>
      </w:r>
      <w:r>
        <w:rPr>
          <w:rFonts w:hint="eastAsia" w:ascii="宋体" w:hAnsi="宋体" w:eastAsia="宋体" w:cs="宋体"/>
          <w:color w:val="auto"/>
          <w:szCs w:val="21"/>
          <w:highlight w:val="none"/>
        </w:rPr>
        <w:t>修剪：</w:t>
      </w:r>
      <w:bookmarkEnd w:id="62"/>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4.1.1</w:t>
      </w:r>
      <w:r>
        <w:rPr>
          <w:rFonts w:hint="eastAsia" w:ascii="宋体" w:hAnsi="宋体" w:eastAsia="宋体" w:cs="宋体"/>
          <w:color w:val="auto"/>
          <w:szCs w:val="21"/>
          <w:highlight w:val="none"/>
        </w:rPr>
        <w:t>落叶乔木修剪基本合理，根据不同路段车辆等情况确定下缘线高度和树冠控制在10--17米之间，注意不能影响高压线，路灯和交通批示牌；修剪时按操作规程进行，尽量减少伤口，剪口要平，不能留有树钉、荫枝、下垂枝、下线以下的萌蘖枝及干枯枝叶要及时修除。修剪要符合树木生长规律，行道树修剪要注重树形整齐美观，骨架均匀，树干挺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4.1.2</w:t>
      </w:r>
      <w:r>
        <w:rPr>
          <w:rFonts w:hint="eastAsia" w:ascii="宋体" w:hAnsi="宋体" w:eastAsia="宋体" w:cs="宋体"/>
          <w:color w:val="auto"/>
          <w:szCs w:val="21"/>
          <w:highlight w:val="none"/>
        </w:rPr>
        <w:t>常绿乔木</w:t>
      </w:r>
      <w:r>
        <w:rPr>
          <w:rFonts w:hint="eastAsia" w:ascii="宋体" w:hAnsi="宋体" w:eastAsia="宋体" w:cs="宋体"/>
          <w:color w:val="auto"/>
          <w:szCs w:val="21"/>
          <w:highlight w:val="none"/>
          <w:lang w:eastAsia="zh-CN"/>
        </w:rPr>
        <w:t>一</w:t>
      </w:r>
      <w:r>
        <w:rPr>
          <w:rFonts w:hint="eastAsia" w:ascii="宋体" w:hAnsi="宋体" w:eastAsia="宋体" w:cs="宋体"/>
          <w:color w:val="auto"/>
          <w:szCs w:val="21"/>
          <w:highlight w:val="none"/>
        </w:rPr>
        <w:t>年一次（基本按原型修剪，剪去过长萌发枝），灌木每年</w:t>
      </w:r>
      <w:r>
        <w:rPr>
          <w:rFonts w:hint="eastAsia" w:ascii="宋体" w:hAnsi="宋体" w:eastAsia="宋体" w:cs="宋体"/>
          <w:color w:val="auto"/>
          <w:szCs w:val="21"/>
          <w:highlight w:val="none"/>
          <w:lang w:eastAsia="zh-CN"/>
        </w:rPr>
        <w:t>四</w:t>
      </w:r>
      <w:r>
        <w:rPr>
          <w:rFonts w:hint="eastAsia" w:ascii="宋体" w:hAnsi="宋体" w:eastAsia="宋体" w:cs="宋体"/>
          <w:color w:val="auto"/>
          <w:szCs w:val="21"/>
          <w:highlight w:val="none"/>
        </w:rPr>
        <w:t>次以上（修剪成一定造型并保持造型一致）花灌木花谢后，有枝丫要及时修剪 。考虑每种植物的生长发育特点，既造型美观又能适时开花，花多色艳；花灌木和草本花卉在花芽分化前进行修剪，避免把花芽剪掉，花谢后将残花残枝剪去，常年开花植物要有目的地培养花枝，使四季有花。绿篱和花坛整形效果要与周围环境协调，增强园林美化效果，精雕细刻，产出精品。</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4.1.3</w:t>
      </w:r>
      <w:r>
        <w:rPr>
          <w:rFonts w:hint="eastAsia" w:ascii="宋体" w:hAnsi="宋体" w:eastAsia="宋体" w:cs="宋体"/>
          <w:color w:val="auto"/>
          <w:szCs w:val="21"/>
          <w:highlight w:val="none"/>
        </w:rPr>
        <w:t>绿篱随长随剪，保持完整（平整，横竖一条线），常青球类修剪要达到标准形状。</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4.1.4</w:t>
      </w:r>
      <w:r>
        <w:rPr>
          <w:rFonts w:hint="eastAsia" w:ascii="宋体" w:hAnsi="宋体" w:eastAsia="宋体" w:cs="宋体"/>
          <w:color w:val="auto"/>
          <w:szCs w:val="21"/>
          <w:highlight w:val="none"/>
        </w:rPr>
        <w:t>考虑季节特点和草种的生长发育特性，使草的高度一致，边缘整齐，草坪高度始终保持在10mm以下。</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4.1.5</w:t>
      </w:r>
      <w:r>
        <w:rPr>
          <w:rFonts w:hint="eastAsia" w:ascii="宋体" w:hAnsi="宋体" w:eastAsia="宋体" w:cs="宋体"/>
          <w:color w:val="auto"/>
          <w:szCs w:val="21"/>
          <w:highlight w:val="none"/>
        </w:rPr>
        <w:t>修剪后进行检查，及时清理修剪残枝，做到当日剪当日清、不过夜、不焚烧。</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2乔木管养</w:t>
      </w:r>
      <w:r>
        <w:rPr>
          <w:rFonts w:hint="eastAsia" w:ascii="宋体" w:hAnsi="宋体" w:eastAsia="宋体" w:cs="宋体"/>
          <w:color w:val="auto"/>
          <w:szCs w:val="21"/>
          <w:highlight w:val="none"/>
          <w:lang w:eastAsia="zh-CN"/>
        </w:rPr>
        <w:t>要求：</w:t>
      </w:r>
      <w:r>
        <w:rPr>
          <w:rFonts w:hint="eastAsia" w:ascii="宋体" w:hAnsi="宋体" w:eastAsia="宋体" w:cs="宋体"/>
          <w:color w:val="auto"/>
          <w:szCs w:val="21"/>
          <w:highlight w:val="none"/>
        </w:rPr>
        <w:t>植株生长旺盛，枝叶健壮，骨架匀称，树形美观。新植树树干挺直，草坪整体美观，行道树下缘线整齐，修剪适度，干直冠美，无死树缺株，无枯枝残叶，景观效果优良。</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3" w:name="_Toc21594_WPSOffice_Level3"/>
      <w:r>
        <w:rPr>
          <w:rFonts w:hint="eastAsia" w:ascii="宋体" w:hAnsi="宋体" w:eastAsia="宋体" w:cs="宋体"/>
          <w:b/>
          <w:bCs/>
          <w:color w:val="auto"/>
          <w:szCs w:val="21"/>
          <w:highlight w:val="none"/>
          <w:lang w:val="en-US" w:eastAsia="zh-CN"/>
        </w:rPr>
        <w:t>5、</w:t>
      </w:r>
      <w:r>
        <w:rPr>
          <w:rFonts w:hint="eastAsia" w:ascii="宋体" w:hAnsi="宋体" w:eastAsia="宋体" w:cs="宋体"/>
          <w:b/>
          <w:bCs/>
          <w:color w:val="auto"/>
          <w:szCs w:val="21"/>
          <w:highlight w:val="none"/>
        </w:rPr>
        <w:t>行道树管理：</w:t>
      </w:r>
      <w:bookmarkEnd w:id="63"/>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1规范：行道树保存率在9</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以上</w:t>
      </w:r>
      <w:r>
        <w:rPr>
          <w:rFonts w:hint="eastAsia" w:ascii="宋体" w:hAnsi="宋体" w:eastAsia="宋体" w:cs="宋体"/>
          <w:color w:val="auto"/>
          <w:szCs w:val="21"/>
          <w:highlight w:val="none"/>
        </w:rPr>
        <w:t>，苗木死亡及时清理，及时清理更换死树、枯树、坏桩、断桩，缺株春季及时补植，基本无缺株、缺档现象。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2标准：树木修剪合理，树形美观，做到</w:t>
      </w:r>
      <w:r>
        <w:rPr>
          <w:rFonts w:hint="eastAsia" w:ascii="宋体" w:hAnsi="宋体" w:eastAsia="宋体" w:cs="宋体"/>
          <w:color w:val="auto"/>
          <w:szCs w:val="21"/>
          <w:highlight w:val="none"/>
          <w:lang w:eastAsia="zh-CN"/>
        </w:rPr>
        <w:t>绿化</w:t>
      </w:r>
      <w:r>
        <w:rPr>
          <w:rFonts w:hint="eastAsia" w:ascii="宋体" w:hAnsi="宋体" w:eastAsia="宋体" w:cs="宋体"/>
          <w:color w:val="auto"/>
          <w:szCs w:val="21"/>
          <w:highlight w:val="none"/>
        </w:rPr>
        <w:t>带内无死树、枯枝，无坏桩、断桩。及时解决树木与电线、建筑物、交通等之间的矛盾。</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4" w:name="_Toc16025_WPSOffice_Level3"/>
      <w:r>
        <w:rPr>
          <w:rFonts w:hint="eastAsia" w:ascii="宋体" w:hAnsi="宋体" w:eastAsia="宋体" w:cs="宋体"/>
          <w:b/>
          <w:bCs/>
          <w:color w:val="auto"/>
          <w:szCs w:val="21"/>
          <w:highlight w:val="none"/>
          <w:lang w:val="en-US" w:eastAsia="zh-CN"/>
        </w:rPr>
        <w:t>6、</w:t>
      </w:r>
      <w:r>
        <w:rPr>
          <w:rFonts w:hint="eastAsia" w:ascii="宋体" w:hAnsi="宋体" w:eastAsia="宋体" w:cs="宋体"/>
          <w:b/>
          <w:bCs/>
          <w:color w:val="auto"/>
          <w:szCs w:val="21"/>
          <w:highlight w:val="none"/>
        </w:rPr>
        <w:t>新植树木管理：</w:t>
      </w:r>
      <w:bookmarkEnd w:id="64"/>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6.1.1</w:t>
      </w:r>
      <w:r>
        <w:rPr>
          <w:rFonts w:hint="eastAsia" w:ascii="宋体" w:hAnsi="宋体" w:eastAsia="宋体" w:cs="宋体"/>
          <w:color w:val="auto"/>
          <w:szCs w:val="21"/>
          <w:highlight w:val="none"/>
        </w:rPr>
        <w:t>树木起苗时，落叶乔木小树（胸径5cm）根径不小于50cm，大树根径为一米，常绿树根径不小于40cm，灌木 根径不小于30cm。起苗与种植时间不超过一天，超过一天的要对根部进行保护处理。同时结合起苗对树木进行修剪。</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6.1.2</w:t>
      </w:r>
      <w:r>
        <w:rPr>
          <w:rFonts w:hint="eastAsia" w:ascii="宋体" w:hAnsi="宋体" w:eastAsia="宋体" w:cs="宋体"/>
          <w:color w:val="auto"/>
          <w:szCs w:val="21"/>
          <w:highlight w:val="none"/>
        </w:rPr>
        <w:t>绿化带内换土：新建绿化带内的建筑垃圾、戈壁土、杂物以及不良土壤全部清理，按照绿化带填土高度更换农田土进行平整、待种。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6.1.3</w:t>
      </w:r>
      <w:r>
        <w:rPr>
          <w:rFonts w:hint="eastAsia" w:ascii="宋体" w:hAnsi="宋体" w:eastAsia="宋体" w:cs="宋体"/>
          <w:color w:val="auto"/>
          <w:szCs w:val="21"/>
          <w:highlight w:val="none"/>
        </w:rPr>
        <w:t>树木种植穴标准：小树种植坑穴为60cm*60cm，大树种植坑穴为80cm*80cm.种植时需在树坑内先施底肥0.05方，回填土时放土沙各半进行回填。</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6.1.4</w:t>
      </w:r>
      <w:r>
        <w:rPr>
          <w:rFonts w:hint="eastAsia" w:ascii="宋体" w:hAnsi="宋体" w:eastAsia="宋体" w:cs="宋体"/>
          <w:color w:val="auto"/>
          <w:szCs w:val="21"/>
          <w:highlight w:val="none"/>
        </w:rPr>
        <w:t>树木种植后24小时内必须浇一次透水。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6.1.5</w:t>
      </w:r>
      <w:r>
        <w:rPr>
          <w:rFonts w:hint="eastAsia" w:ascii="宋体" w:hAnsi="宋体" w:eastAsia="宋体" w:cs="宋体"/>
          <w:color w:val="auto"/>
          <w:szCs w:val="21"/>
          <w:highlight w:val="none"/>
        </w:rPr>
        <w:t>新补植行道树有扶架措施，行道树及时扶正，新补植行道树及进扶架。</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w:t>
      </w:r>
      <w:r>
        <w:rPr>
          <w:rFonts w:hint="eastAsia" w:ascii="宋体" w:hAnsi="宋体" w:eastAsia="宋体" w:cs="宋体"/>
          <w:color w:val="auto"/>
          <w:szCs w:val="21"/>
          <w:highlight w:val="none"/>
        </w:rPr>
        <w:t>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6.2.2</w:t>
      </w:r>
      <w:r>
        <w:rPr>
          <w:rFonts w:hint="eastAsia" w:ascii="宋体" w:hAnsi="宋体" w:eastAsia="宋体" w:cs="宋体"/>
          <w:color w:val="auto"/>
          <w:szCs w:val="21"/>
          <w:highlight w:val="none"/>
        </w:rPr>
        <w:t>按照适宜时间补植树木，起苗合乎规范，树木栽植符合规范。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6.2.3</w:t>
      </w:r>
      <w:r>
        <w:rPr>
          <w:rFonts w:hint="eastAsia" w:ascii="宋体" w:hAnsi="宋体" w:eastAsia="宋体" w:cs="宋体"/>
          <w:color w:val="auto"/>
          <w:szCs w:val="21"/>
          <w:highlight w:val="none"/>
        </w:rPr>
        <w:t>新种植和补植的行道树内地苗木成活率达</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5%以上，本地苗木成活率在9</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%以上。</w:t>
      </w:r>
    </w:p>
    <w:p>
      <w:pPr>
        <w:shd w:val="clear" w:color="auto" w:fill="auto"/>
        <w:snapToGrid w:val="0"/>
        <w:spacing w:line="400" w:lineRule="exact"/>
        <w:ind w:firstLine="420" w:firstLineChars="200"/>
        <w:rPr>
          <w:rFonts w:hint="eastAsia"/>
          <w:color w:val="auto"/>
        </w:rPr>
      </w:pPr>
      <w:r>
        <w:rPr>
          <w:rFonts w:hint="eastAsia" w:ascii="宋体" w:hAnsi="宋体" w:eastAsia="宋体" w:cs="宋体"/>
          <w:color w:val="auto"/>
          <w:szCs w:val="21"/>
          <w:highlight w:val="none"/>
          <w:lang w:val="en-US" w:eastAsia="zh-CN"/>
        </w:rPr>
        <w:t>6.2.4</w:t>
      </w:r>
      <w:r>
        <w:rPr>
          <w:rFonts w:hint="eastAsia" w:ascii="宋体" w:hAnsi="宋体" w:eastAsia="宋体" w:cs="宋体"/>
          <w:color w:val="auto"/>
          <w:szCs w:val="21"/>
          <w:highlight w:val="none"/>
        </w:rPr>
        <w:t>新建绿地各种植物2年内达到正常形态。</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5" w:name="_Toc18278_WPSOffice_Level3"/>
      <w:r>
        <w:rPr>
          <w:rFonts w:hint="eastAsia" w:ascii="宋体" w:hAnsi="宋体" w:eastAsia="宋体" w:cs="宋体"/>
          <w:b/>
          <w:bCs/>
          <w:color w:val="auto"/>
          <w:szCs w:val="21"/>
          <w:highlight w:val="none"/>
          <w:lang w:val="en-US" w:eastAsia="zh-CN"/>
        </w:rPr>
        <w:t>7、</w:t>
      </w:r>
      <w:r>
        <w:rPr>
          <w:rFonts w:hint="eastAsia" w:ascii="宋体" w:hAnsi="宋体" w:eastAsia="宋体" w:cs="宋体"/>
          <w:b/>
          <w:bCs/>
          <w:color w:val="auto"/>
          <w:szCs w:val="21"/>
          <w:highlight w:val="none"/>
        </w:rPr>
        <w:t>水肥管理：</w:t>
      </w:r>
      <w:bookmarkEnd w:id="65"/>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7.1.1</w:t>
      </w:r>
      <w:r>
        <w:rPr>
          <w:rFonts w:hint="eastAsia" w:ascii="宋体" w:hAnsi="宋体" w:eastAsia="宋体" w:cs="宋体"/>
          <w:color w:val="auto"/>
          <w:szCs w:val="21"/>
          <w:highlight w:val="none"/>
        </w:rPr>
        <w:t>浇水：新植树第一次水必须浇透，余后一个月，每天保持树穴潮湿。其它树5--9月每天保证一次以上，秋季注意树木控水，冬季树木保持两次冬灌。草坪每天浇水，不能积水。花卉定植当日必须保证浇水，其它与草坪相同，摆放的盆花必须每天浇水，夏天高温天气每天浇水两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7.1.2</w:t>
      </w:r>
      <w:r>
        <w:rPr>
          <w:rFonts w:hint="eastAsia" w:ascii="宋体" w:hAnsi="宋体" w:eastAsia="宋体" w:cs="宋体"/>
          <w:color w:val="auto"/>
          <w:szCs w:val="21"/>
          <w:highlight w:val="none"/>
        </w:rPr>
        <w:t>施肥：第一年新植树木成活后六月底少量施肥一次。其余乔木每年两次，灌木每年两次，草花平均每15天施肥一次，草坪每年三次。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7.1.3</w:t>
      </w:r>
      <w:r>
        <w:rPr>
          <w:rFonts w:hint="eastAsia" w:ascii="宋体" w:hAnsi="宋体" w:eastAsia="宋体" w:cs="宋体"/>
          <w:color w:val="auto"/>
          <w:szCs w:val="21"/>
          <w:highlight w:val="none"/>
        </w:rPr>
        <w:t>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（1）新栽树木及时浇水。</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（2）适时施肥、浇水、无旱涝、缺肥现象；植物生长良好。</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（3）施用水肥有记录。</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6" w:name="_Toc26558_WPSOffice_Level3"/>
      <w:r>
        <w:rPr>
          <w:rFonts w:hint="eastAsia" w:ascii="宋体" w:hAnsi="宋体" w:eastAsia="宋体" w:cs="宋体"/>
          <w:b/>
          <w:bCs/>
          <w:color w:val="auto"/>
          <w:szCs w:val="21"/>
          <w:highlight w:val="none"/>
          <w:lang w:val="en-US" w:eastAsia="zh-CN"/>
        </w:rPr>
        <w:t>8、</w:t>
      </w:r>
      <w:r>
        <w:rPr>
          <w:rFonts w:hint="eastAsia" w:ascii="宋体" w:hAnsi="宋体" w:eastAsia="宋体" w:cs="宋体"/>
          <w:b/>
          <w:bCs/>
          <w:color w:val="auto"/>
          <w:szCs w:val="21"/>
          <w:highlight w:val="none"/>
        </w:rPr>
        <w:t>病虫害防治:</w:t>
      </w:r>
      <w:bookmarkEnd w:id="66"/>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8.1.1</w:t>
      </w:r>
      <w:r>
        <w:rPr>
          <w:rFonts w:hint="eastAsia" w:ascii="宋体" w:hAnsi="宋体" w:eastAsia="宋体" w:cs="宋体"/>
          <w:color w:val="auto"/>
          <w:szCs w:val="21"/>
          <w:highlight w:val="none"/>
        </w:rPr>
        <w:t>随时观察、及时发现病虫害并汇报给管理队。</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8.1.2</w:t>
      </w:r>
      <w:r>
        <w:rPr>
          <w:rFonts w:hint="eastAsia" w:ascii="宋体" w:hAnsi="宋体" w:eastAsia="宋体" w:cs="宋体"/>
          <w:color w:val="auto"/>
          <w:szCs w:val="21"/>
          <w:highlight w:val="none"/>
        </w:rPr>
        <w:t>根据植保站下发的通知规定，及时配合进行防治。</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8.1.3</w:t>
      </w:r>
      <w:r>
        <w:rPr>
          <w:rFonts w:hint="eastAsia" w:ascii="宋体" w:hAnsi="宋体" w:eastAsia="宋体" w:cs="宋体"/>
          <w:color w:val="auto"/>
          <w:szCs w:val="21"/>
          <w:highlight w:val="none"/>
        </w:rPr>
        <w:t>药物防治每年五次以上，人工防治两次以上。</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8.1.4</w:t>
      </w:r>
      <w:r>
        <w:rPr>
          <w:rFonts w:hint="eastAsia" w:ascii="宋体" w:hAnsi="宋体" w:eastAsia="宋体" w:cs="宋体"/>
          <w:color w:val="auto"/>
          <w:szCs w:val="21"/>
          <w:highlight w:val="none"/>
        </w:rPr>
        <w:t>冬季树杆涂白一遍。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8.2</w:t>
      </w:r>
      <w:r>
        <w:rPr>
          <w:rFonts w:hint="eastAsia" w:ascii="宋体" w:hAnsi="宋体" w:eastAsia="宋体" w:cs="宋体"/>
          <w:color w:val="auto"/>
          <w:szCs w:val="21"/>
          <w:highlight w:val="none"/>
        </w:rPr>
        <w:t>标准：单位区域内病虫害程度控制在5%以下。树木基本无病虫害症状，无药害。</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7" w:name="_Toc19025_WPSOffice_Level3"/>
      <w:r>
        <w:rPr>
          <w:rFonts w:hint="eastAsia" w:ascii="宋体" w:hAnsi="宋体" w:eastAsia="宋体" w:cs="宋体"/>
          <w:b/>
          <w:bCs/>
          <w:color w:val="auto"/>
          <w:szCs w:val="21"/>
          <w:highlight w:val="none"/>
          <w:lang w:val="en-US" w:eastAsia="zh-CN"/>
        </w:rPr>
        <w:t>9、</w:t>
      </w:r>
      <w:r>
        <w:rPr>
          <w:rFonts w:hint="eastAsia" w:ascii="宋体" w:hAnsi="宋体" w:eastAsia="宋体" w:cs="宋体"/>
          <w:b/>
          <w:bCs/>
          <w:color w:val="auto"/>
          <w:szCs w:val="21"/>
          <w:highlight w:val="none"/>
        </w:rPr>
        <w:t>卫生管理：</w:t>
      </w:r>
      <w:bookmarkEnd w:id="67"/>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1规范：树穴、花坛、绿带每天清理一次，园林小品和园林设施经常擦洗，及时清除树枝上悬挂杂物，及时清理死树、枯桩、坏桩、断桩，发现人为损害及时报告。</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2标准：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9.2.1</w:t>
      </w:r>
      <w:r>
        <w:rPr>
          <w:rFonts w:hint="eastAsia" w:ascii="宋体" w:hAnsi="宋体" w:eastAsia="宋体" w:cs="宋体"/>
          <w:color w:val="auto"/>
          <w:szCs w:val="21"/>
          <w:highlight w:val="none"/>
        </w:rPr>
        <w:t>树穴、花坛、绿地及沿街绿地无杂草，无污物、无杂物、无积水，保持清洁。</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9.2.2</w:t>
      </w:r>
      <w:r>
        <w:rPr>
          <w:rFonts w:hint="eastAsia" w:ascii="宋体" w:hAnsi="宋体" w:eastAsia="宋体" w:cs="宋体"/>
          <w:color w:val="auto"/>
          <w:szCs w:val="21"/>
          <w:highlight w:val="none"/>
        </w:rPr>
        <w:t>树体保持整洁，无杂物，每年清洗树木</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次。从五月至十月，平均每</w:t>
      </w:r>
      <w:r>
        <w:rPr>
          <w:rFonts w:hint="eastAsia" w:ascii="宋体" w:hAnsi="宋体" w:eastAsia="宋体" w:cs="宋体"/>
          <w:color w:val="auto"/>
          <w:szCs w:val="21"/>
          <w:highlight w:val="none"/>
          <w:lang w:eastAsia="zh-CN"/>
        </w:rPr>
        <w:t>月</w:t>
      </w:r>
      <w:r>
        <w:rPr>
          <w:rFonts w:hint="eastAsia" w:ascii="宋体" w:hAnsi="宋体" w:eastAsia="宋体" w:cs="宋体"/>
          <w:color w:val="auto"/>
          <w:szCs w:val="21"/>
          <w:highlight w:val="none"/>
        </w:rPr>
        <w:t>清洗</w:t>
      </w:r>
      <w:r>
        <w:rPr>
          <w:rFonts w:hint="eastAsia" w:ascii="宋体" w:hAnsi="宋体" w:eastAsia="宋体" w:cs="宋体"/>
          <w:color w:val="auto"/>
          <w:szCs w:val="21"/>
          <w:highlight w:val="none"/>
          <w:lang w:eastAsia="zh-CN"/>
        </w:rPr>
        <w:t>两</w:t>
      </w:r>
      <w:r>
        <w:rPr>
          <w:rFonts w:hint="eastAsia" w:ascii="宋体" w:hAnsi="宋体" w:eastAsia="宋体" w:cs="宋体"/>
          <w:color w:val="auto"/>
          <w:szCs w:val="21"/>
          <w:highlight w:val="none"/>
        </w:rPr>
        <w:t>次。常绿乔木每</w:t>
      </w:r>
      <w:r>
        <w:rPr>
          <w:rFonts w:hint="eastAsia" w:ascii="宋体" w:hAnsi="宋体" w:eastAsia="宋体" w:cs="宋体"/>
          <w:color w:val="auto"/>
          <w:szCs w:val="21"/>
          <w:highlight w:val="none"/>
          <w:lang w:eastAsia="zh-CN"/>
        </w:rPr>
        <w:t>月</w:t>
      </w:r>
      <w:r>
        <w:rPr>
          <w:rFonts w:hint="eastAsia" w:ascii="宋体" w:hAnsi="宋体" w:eastAsia="宋体" w:cs="宋体"/>
          <w:color w:val="auto"/>
          <w:szCs w:val="21"/>
          <w:highlight w:val="none"/>
        </w:rPr>
        <w:t>清洗</w:t>
      </w:r>
      <w:r>
        <w:rPr>
          <w:rFonts w:hint="eastAsia" w:ascii="宋体" w:hAnsi="宋体" w:eastAsia="宋体" w:cs="宋体"/>
          <w:color w:val="auto"/>
          <w:szCs w:val="21"/>
          <w:highlight w:val="none"/>
          <w:lang w:eastAsia="zh-CN"/>
        </w:rPr>
        <w:t>两</w:t>
      </w:r>
      <w:r>
        <w:rPr>
          <w:rFonts w:hint="eastAsia" w:ascii="宋体" w:hAnsi="宋体" w:eastAsia="宋体" w:cs="宋体"/>
          <w:color w:val="auto"/>
          <w:szCs w:val="21"/>
          <w:highlight w:val="none"/>
        </w:rPr>
        <w:t>次。</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9.2.3</w:t>
      </w:r>
      <w:r>
        <w:rPr>
          <w:rFonts w:hint="eastAsia" w:ascii="宋体" w:hAnsi="宋体" w:eastAsia="宋体" w:cs="宋体"/>
          <w:color w:val="auto"/>
          <w:szCs w:val="21"/>
          <w:highlight w:val="none"/>
        </w:rPr>
        <w:t>园林设施保存完整，园林建筑小品卫生整洁。</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9.2.4</w:t>
      </w:r>
      <w:r>
        <w:rPr>
          <w:rFonts w:hint="eastAsia" w:ascii="宋体" w:hAnsi="宋体" w:eastAsia="宋体" w:cs="宋体"/>
          <w:color w:val="auto"/>
          <w:szCs w:val="21"/>
          <w:highlight w:val="none"/>
        </w:rPr>
        <w:t>水池管理：水池管理的标准是保持水面及水池内外清洁，水质良好，水量适度，节约用水。池壁美观，不漏水，设施完好无损。及时清除杂物，定时杀灭蚊子幼虫，定时清洗水池，控制好水的浓度，管好水闸开关，不浪费水；及时修复受损的池壁、水池设施。</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9.2.5</w:t>
      </w:r>
      <w:r>
        <w:rPr>
          <w:rFonts w:hint="eastAsia" w:ascii="宋体" w:hAnsi="宋体" w:eastAsia="宋体" w:cs="宋体"/>
          <w:color w:val="auto"/>
          <w:szCs w:val="21"/>
          <w:highlight w:val="none"/>
        </w:rPr>
        <w:t>园路管理：园路管理的标准是路面保持清洁、美观、完好无损，要求及时清除路面垃圾杂物，修补破损并保持完好；要求路面干净、美观、以增强园林美化效果。</w:t>
      </w:r>
    </w:p>
    <w:p>
      <w:pPr>
        <w:pStyle w:val="2"/>
        <w:ind w:firstLine="420" w:firstLineChars="200"/>
        <w:rPr>
          <w:rFonts w:hint="eastAsia"/>
          <w:color w:val="auto"/>
        </w:rPr>
      </w:pPr>
      <w:r>
        <w:rPr>
          <w:rFonts w:hint="eastAsia" w:ascii="宋体" w:hAnsi="宋体" w:eastAsia="宋体" w:cs="宋体"/>
          <w:color w:val="auto"/>
          <w:szCs w:val="21"/>
          <w:highlight w:val="none"/>
          <w:lang w:val="en-US" w:eastAsia="zh-CN"/>
        </w:rPr>
        <w:t>9.2.6</w:t>
      </w:r>
      <w:r>
        <w:rPr>
          <w:rFonts w:hint="eastAsia" w:ascii="宋体" w:hAnsi="宋体" w:eastAsia="宋体" w:cs="宋体"/>
          <w:color w:val="auto"/>
          <w:szCs w:val="21"/>
          <w:highlight w:val="none"/>
        </w:rPr>
        <w:t>绿化生产垃圾(如：树枝、树叶、草沫等)重点地区路段能做到随产随清，其它地区和路段做到日产日清；绿地整洁，无砖石瓦块、筐和塑料袋等废弃物，并做到经常保洁。</w:t>
      </w:r>
    </w:p>
    <w:p>
      <w:pPr>
        <w:shd w:val="clear" w:color="auto" w:fill="auto"/>
        <w:snapToGrid w:val="0"/>
        <w:spacing w:line="400" w:lineRule="exact"/>
        <w:ind w:firstLine="422" w:firstLineChars="200"/>
        <w:rPr>
          <w:rFonts w:hint="eastAsia" w:ascii="宋体" w:hAnsi="宋体" w:eastAsia="宋体" w:cs="宋体"/>
          <w:b/>
          <w:bCs/>
          <w:color w:val="auto"/>
          <w:szCs w:val="21"/>
          <w:highlight w:val="none"/>
        </w:rPr>
      </w:pPr>
      <w:bookmarkStart w:id="68" w:name="_Toc21361_WPSOffice_Level3"/>
      <w:r>
        <w:rPr>
          <w:rFonts w:hint="eastAsia" w:ascii="宋体" w:hAnsi="宋体" w:eastAsia="宋体" w:cs="宋体"/>
          <w:b/>
          <w:bCs/>
          <w:color w:val="auto"/>
          <w:szCs w:val="21"/>
          <w:highlight w:val="none"/>
          <w:lang w:val="en-US" w:eastAsia="zh-CN"/>
        </w:rPr>
        <w:t>10、</w:t>
      </w:r>
      <w:r>
        <w:rPr>
          <w:rFonts w:hint="eastAsia" w:ascii="宋体" w:hAnsi="宋体" w:eastAsia="宋体" w:cs="宋体"/>
          <w:b/>
          <w:bCs/>
          <w:color w:val="auto"/>
          <w:szCs w:val="21"/>
          <w:highlight w:val="none"/>
        </w:rPr>
        <w:t>看护责任:</w:t>
      </w:r>
      <w:bookmarkEnd w:id="68"/>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1规范：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10.1.1</w:t>
      </w:r>
      <w:r>
        <w:rPr>
          <w:rFonts w:hint="eastAsia" w:ascii="宋体" w:hAnsi="宋体" w:eastAsia="宋体" w:cs="宋体"/>
          <w:color w:val="auto"/>
          <w:szCs w:val="21"/>
          <w:highlight w:val="none"/>
        </w:rPr>
        <w:t>喷灌设施实行专人管理，出现问题，及时抢修，有喷头的绿地，不得漫灌。</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10.1.2</w:t>
      </w:r>
      <w:r>
        <w:rPr>
          <w:rFonts w:hint="eastAsia" w:ascii="宋体" w:hAnsi="宋体" w:eastAsia="宋体" w:cs="宋体"/>
          <w:color w:val="auto"/>
          <w:szCs w:val="21"/>
          <w:highlight w:val="none"/>
        </w:rPr>
        <w:t>花坛栏杆要求保持完整、清洁、美观，每月擦洗一次，每年重新油漆一遍。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10.1.3</w:t>
      </w:r>
      <w:r>
        <w:rPr>
          <w:rFonts w:hint="eastAsia" w:ascii="宋体" w:hAnsi="宋体" w:eastAsia="宋体" w:cs="宋体"/>
          <w:color w:val="auto"/>
          <w:szCs w:val="21"/>
          <w:highlight w:val="none"/>
        </w:rPr>
        <w:t>发现人为损害及时报告并及时维修。</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w:t>
      </w:r>
      <w:r>
        <w:rPr>
          <w:rFonts w:hint="eastAsia" w:ascii="宋体" w:hAnsi="宋体" w:eastAsia="宋体" w:cs="宋体"/>
          <w:color w:val="auto"/>
          <w:szCs w:val="21"/>
          <w:highlight w:val="none"/>
        </w:rPr>
        <w:t>标准：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10.2.1</w:t>
      </w:r>
      <w:r>
        <w:rPr>
          <w:rFonts w:hint="eastAsia" w:ascii="宋体" w:hAnsi="宋体" w:eastAsia="宋体" w:cs="宋体"/>
          <w:color w:val="auto"/>
          <w:szCs w:val="21"/>
          <w:highlight w:val="none"/>
        </w:rPr>
        <w:t>绿地无明显人为损害现象 。</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10.2.2</w:t>
      </w:r>
      <w:r>
        <w:rPr>
          <w:rFonts w:hint="eastAsia" w:ascii="宋体" w:hAnsi="宋体" w:eastAsia="宋体" w:cs="宋体"/>
          <w:color w:val="auto"/>
          <w:szCs w:val="21"/>
          <w:highlight w:val="none"/>
        </w:rPr>
        <w:t>无乱贴乱画现象，无树杆上有拴铁丝等缠绕物。</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10.2.3</w:t>
      </w:r>
      <w:r>
        <w:rPr>
          <w:rFonts w:hint="eastAsia" w:ascii="宋体" w:hAnsi="宋体" w:eastAsia="宋体" w:cs="宋体"/>
          <w:color w:val="auto"/>
          <w:szCs w:val="21"/>
          <w:highlight w:val="none"/>
        </w:rPr>
        <w:t>无跑水现象。</w:t>
      </w:r>
    </w:p>
    <w:p>
      <w:pPr>
        <w:pStyle w:val="2"/>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10.2.4</w:t>
      </w:r>
      <w:bookmarkStart w:id="69" w:name="_Toc17199_WPSOffice_Level3"/>
      <w:r>
        <w:rPr>
          <w:rFonts w:hint="eastAsia" w:ascii="宋体" w:hAnsi="宋体" w:eastAsia="宋体" w:cs="宋体"/>
          <w:color w:val="auto"/>
          <w:kern w:val="2"/>
          <w:sz w:val="21"/>
          <w:szCs w:val="21"/>
          <w:highlight w:val="none"/>
          <w:lang w:val="en-US" w:eastAsia="zh-CN" w:bidi="ar-SA"/>
        </w:rPr>
        <w:t>公园内严格执行车辆管理规定，园内无车辆随意出入现象，各种车辆定线定点存放。</w:t>
      </w:r>
    </w:p>
    <w:p>
      <w:pPr>
        <w:pStyle w:val="2"/>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11、</w:t>
      </w:r>
      <w:r>
        <w:rPr>
          <w:rFonts w:hint="eastAsia" w:ascii="宋体" w:hAnsi="宋体" w:eastAsia="宋体" w:cs="宋体"/>
          <w:b/>
          <w:bCs/>
          <w:color w:val="auto"/>
          <w:szCs w:val="21"/>
          <w:highlight w:val="none"/>
        </w:rPr>
        <w:t>档案管理：</w:t>
      </w:r>
      <w:bookmarkEnd w:id="69"/>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w:t>
      </w:r>
      <w:r>
        <w:rPr>
          <w:rFonts w:hint="eastAsia" w:ascii="宋体" w:hAnsi="宋体" w:eastAsia="宋体" w:cs="宋体"/>
          <w:color w:val="auto"/>
          <w:szCs w:val="21"/>
          <w:highlight w:val="none"/>
        </w:rPr>
        <w:t>规范：</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11.1.1</w:t>
      </w:r>
      <w:r>
        <w:rPr>
          <w:rFonts w:hint="eastAsia" w:ascii="宋体" w:hAnsi="宋体" w:eastAsia="宋体" w:cs="宋体"/>
          <w:color w:val="auto"/>
          <w:szCs w:val="21"/>
          <w:highlight w:val="none"/>
        </w:rPr>
        <w:t>对于街道绿地内的树木、品种、喷灌设施有了解并有文字说明。新栽植的树木有详细记录。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11.1.2</w:t>
      </w:r>
      <w:r>
        <w:rPr>
          <w:rFonts w:hint="eastAsia" w:ascii="宋体" w:hAnsi="宋体" w:eastAsia="宋体" w:cs="宋体"/>
          <w:color w:val="auto"/>
          <w:szCs w:val="21"/>
          <w:highlight w:val="none"/>
        </w:rPr>
        <w:t>施用水肥记录，树木病虫害有记录。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11.2</w:t>
      </w:r>
      <w:r>
        <w:rPr>
          <w:rFonts w:hint="eastAsia" w:ascii="宋体" w:hAnsi="宋体" w:eastAsia="宋体" w:cs="宋体"/>
          <w:color w:val="auto"/>
          <w:szCs w:val="21"/>
          <w:highlight w:val="none"/>
        </w:rPr>
        <w:t>标准：档案完整，准确</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定时交给</w:t>
      </w: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保管。</w:t>
      </w:r>
    </w:p>
    <w:p>
      <w:pPr>
        <w:shd w:val="clear" w:color="auto" w:fill="auto"/>
        <w:snapToGrid w:val="0"/>
        <w:spacing w:line="400" w:lineRule="exact"/>
        <w:ind w:firstLine="420" w:firstLineChars="200"/>
        <w:rPr>
          <w:rFonts w:hint="eastAsia" w:ascii="宋体" w:hAnsi="宋体" w:eastAsia="宋体" w:cs="宋体"/>
          <w:b/>
          <w:bCs/>
          <w:color w:val="auto"/>
          <w:sz w:val="28"/>
          <w:szCs w:val="28"/>
          <w:highlight w:val="none"/>
          <w:lang w:val="en-US" w:eastAsia="zh-CN"/>
        </w:rPr>
      </w:pPr>
      <w:r>
        <w:rPr>
          <w:rFonts w:hint="eastAsia" w:ascii="宋体" w:hAnsi="宋体" w:cs="宋体"/>
          <w:color w:val="auto"/>
          <w:szCs w:val="21"/>
          <w:highlight w:val="none"/>
          <w:lang w:val="en-US" w:eastAsia="zh-CN"/>
        </w:rPr>
        <w:t>注意：若参数内同一养护事物管理养护内容不一致的，按照参数内的最高养护标准执行。</w:t>
      </w:r>
    </w:p>
    <w:p>
      <w:pPr>
        <w:pStyle w:val="84"/>
        <w:spacing w:line="560" w:lineRule="exact"/>
        <w:ind w:firstLine="3168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附件2《园林</w:t>
      </w:r>
      <w:r>
        <w:rPr>
          <w:rFonts w:hint="eastAsia" w:ascii="宋体" w:hAnsi="宋体" w:eastAsia="宋体" w:cs="宋体"/>
          <w:b/>
          <w:bCs/>
          <w:color w:val="auto"/>
          <w:sz w:val="28"/>
          <w:szCs w:val="28"/>
          <w:highlight w:val="none"/>
          <w:lang w:val="en-US" w:eastAsia="zh-CN"/>
        </w:rPr>
        <w:fldChar w:fldCharType="begin"/>
      </w:r>
      <w:r>
        <w:rPr>
          <w:rFonts w:hint="eastAsia" w:ascii="宋体" w:hAnsi="宋体" w:eastAsia="宋体" w:cs="宋体"/>
          <w:b/>
          <w:bCs/>
          <w:color w:val="auto"/>
          <w:sz w:val="28"/>
          <w:szCs w:val="28"/>
          <w:highlight w:val="none"/>
          <w:lang w:val="en-US" w:eastAsia="zh-CN"/>
        </w:rPr>
        <w:instrText xml:space="preserve"> HYPERLINK "http://www.fdcew.com/hypx/List_270.html" \t "_blank" </w:instrText>
      </w:r>
      <w:r>
        <w:rPr>
          <w:rFonts w:hint="eastAsia" w:ascii="宋体" w:hAnsi="宋体" w:eastAsia="宋体" w:cs="宋体"/>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lang w:val="en-US" w:eastAsia="zh-CN"/>
        </w:rPr>
        <w:t>绿化</w:t>
      </w:r>
      <w:r>
        <w:rPr>
          <w:rFonts w:hint="eastAsia" w:ascii="宋体" w:hAnsi="宋体" w:eastAsia="宋体" w:cs="宋体"/>
          <w:b/>
          <w:bCs/>
          <w:color w:val="auto"/>
          <w:sz w:val="28"/>
          <w:szCs w:val="28"/>
          <w:highlight w:val="none"/>
          <w:lang w:val="en-US" w:eastAsia="zh-CN"/>
        </w:rPr>
        <w:fldChar w:fldCharType="end"/>
      </w:r>
      <w:r>
        <w:rPr>
          <w:rFonts w:hint="eastAsia" w:ascii="宋体" w:hAnsi="宋体" w:eastAsia="宋体" w:cs="宋体"/>
          <w:b/>
          <w:bCs/>
          <w:color w:val="auto"/>
          <w:sz w:val="28"/>
          <w:szCs w:val="28"/>
          <w:highlight w:val="none"/>
          <w:lang w:val="en-US" w:eastAsia="zh-CN"/>
        </w:rPr>
        <w:t>养护管理考核办法》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为加强园林绿化养护管理，提高园林绿化养护质量，促进我</w:t>
      </w:r>
      <w:r>
        <w:rPr>
          <w:rFonts w:hint="eastAsia" w:ascii="宋体" w:hAnsi="宋体" w:eastAsia="宋体" w:cs="宋体"/>
          <w:color w:val="auto"/>
          <w:szCs w:val="21"/>
          <w:highlight w:val="none"/>
          <w:lang w:val="en-US" w:eastAsia="zh-CN"/>
        </w:rPr>
        <w:t>市</w:t>
      </w:r>
      <w:r>
        <w:rPr>
          <w:rFonts w:hint="eastAsia" w:ascii="宋体" w:hAnsi="宋体" w:eastAsia="宋体" w:cs="宋体"/>
          <w:color w:val="auto"/>
          <w:szCs w:val="21"/>
          <w:highlight w:val="none"/>
        </w:rPr>
        <w:t>园林绿地养护管理工作规范化、制度化，进一步强化考核工作，提高养护管理水平，根据我</w:t>
      </w:r>
      <w:r>
        <w:rPr>
          <w:rFonts w:hint="eastAsia" w:ascii="宋体" w:hAnsi="宋体" w:eastAsia="宋体" w:cs="宋体"/>
          <w:color w:val="auto"/>
          <w:szCs w:val="21"/>
          <w:highlight w:val="none"/>
          <w:lang w:val="en-US" w:eastAsia="zh-CN"/>
        </w:rPr>
        <w:t>市</w:t>
      </w:r>
      <w:r>
        <w:rPr>
          <w:rFonts w:hint="eastAsia" w:ascii="宋体" w:hAnsi="宋体" w:eastAsia="宋体" w:cs="宋体"/>
          <w:color w:val="auto"/>
          <w:szCs w:val="21"/>
          <w:highlight w:val="none"/>
        </w:rPr>
        <w:t>绿化管养实际，制定本办法。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一、检查考核的范围</w:t>
      </w:r>
    </w:p>
    <w:p>
      <w:pPr>
        <w:shd w:val="clear" w:color="auto" w:fill="auto"/>
        <w:snapToGrid w:val="0"/>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本办法</w:t>
      </w:r>
      <w:r>
        <w:rPr>
          <w:rFonts w:hint="eastAsia" w:ascii="宋体" w:hAnsi="宋体" w:eastAsia="宋体" w:cs="宋体"/>
          <w:color w:val="auto"/>
          <w:szCs w:val="21"/>
          <w:highlight w:val="none"/>
          <w:lang w:val="en-US" w:eastAsia="zh-CN"/>
        </w:rPr>
        <w:t>仅</w:t>
      </w:r>
      <w:r>
        <w:rPr>
          <w:rFonts w:hint="eastAsia" w:ascii="宋体" w:hAnsi="宋体" w:eastAsia="宋体" w:cs="宋体"/>
          <w:color w:val="auto"/>
          <w:szCs w:val="21"/>
          <w:highlight w:val="none"/>
        </w:rPr>
        <w:t>适用于对</w:t>
      </w:r>
      <w:r>
        <w:rPr>
          <w:rFonts w:hint="eastAsia" w:ascii="宋体" w:hAnsi="宋体" w:eastAsia="宋体" w:cs="宋体"/>
          <w:color w:val="auto"/>
          <w:szCs w:val="21"/>
          <w:highlight w:val="none"/>
          <w:lang w:val="en-US" w:eastAsia="zh-CN"/>
        </w:rPr>
        <w:t>阿图什市城区园林绿化养护服务采购项目的养护管理。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二、检查考核的内容和办法</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1.考核实行百分制，满分为100分，考核内容为6项，各考核内容所占分值为：</w:t>
      </w:r>
    </w:p>
    <w:tbl>
      <w:tblPr>
        <w:tblStyle w:val="27"/>
        <w:tblW w:w="8430" w:type="dxa"/>
        <w:tblInd w:w="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65"/>
        <w:gridCol w:w="1105"/>
        <w:gridCol w:w="1259"/>
        <w:gridCol w:w="1110"/>
        <w:gridCol w:w="1536"/>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15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考核内容</w:t>
            </w:r>
          </w:p>
        </w:tc>
        <w:tc>
          <w:tcPr>
            <w:tcW w:w="106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管理</w:t>
            </w:r>
          </w:p>
        </w:tc>
        <w:tc>
          <w:tcPr>
            <w:tcW w:w="110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乔木养护</w:t>
            </w:r>
          </w:p>
        </w:tc>
        <w:tc>
          <w:tcPr>
            <w:tcW w:w="1259"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灌木绿篱</w:t>
            </w:r>
          </w:p>
        </w:tc>
        <w:tc>
          <w:tcPr>
            <w:tcW w:w="1110"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花卉草坪</w:t>
            </w:r>
          </w:p>
        </w:tc>
        <w:tc>
          <w:tcPr>
            <w:tcW w:w="1536"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植物保护</w:t>
            </w:r>
          </w:p>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及设施维护</w:t>
            </w:r>
          </w:p>
        </w:tc>
        <w:tc>
          <w:tcPr>
            <w:tcW w:w="1200" w:type="dxa"/>
            <w:noWrap w:val="0"/>
            <w:vAlign w:val="top"/>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绿地卫生、</w:t>
            </w:r>
          </w:p>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155" w:type="dxa"/>
            <w:noWrap w:val="0"/>
            <w:vAlign w:val="center"/>
          </w:tcPr>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分值</w:t>
            </w:r>
          </w:p>
        </w:tc>
        <w:tc>
          <w:tcPr>
            <w:tcW w:w="106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10分</w:t>
            </w:r>
          </w:p>
        </w:tc>
        <w:tc>
          <w:tcPr>
            <w:tcW w:w="1105"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25分</w:t>
            </w:r>
          </w:p>
        </w:tc>
        <w:tc>
          <w:tcPr>
            <w:tcW w:w="1259"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25分</w:t>
            </w:r>
          </w:p>
        </w:tc>
        <w:tc>
          <w:tcPr>
            <w:tcW w:w="1110" w:type="dxa"/>
            <w:noWrap w:val="0"/>
            <w:vAlign w:val="center"/>
          </w:tcPr>
          <w:p>
            <w:pPr>
              <w:shd w:val="clear" w:color="auto" w:fill="auto"/>
              <w:snapToGrid w:val="0"/>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15分</w:t>
            </w:r>
          </w:p>
        </w:tc>
        <w:tc>
          <w:tcPr>
            <w:tcW w:w="1536" w:type="dxa"/>
            <w:noWrap w:val="0"/>
            <w:vAlign w:val="center"/>
          </w:tcPr>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20分</w:t>
            </w:r>
          </w:p>
        </w:tc>
        <w:tc>
          <w:tcPr>
            <w:tcW w:w="1200" w:type="dxa"/>
            <w:noWrap w:val="0"/>
            <w:vAlign w:val="top"/>
          </w:tcPr>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5分</w:t>
            </w:r>
          </w:p>
        </w:tc>
      </w:tr>
    </w:tbl>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2.考核实施</w:t>
      </w:r>
      <w:r>
        <w:rPr>
          <w:rFonts w:hint="eastAsia" w:ascii="宋体" w:hAnsi="宋体" w:cs="宋体"/>
          <w:color w:val="auto"/>
          <w:szCs w:val="21"/>
          <w:highlight w:val="none"/>
          <w:lang w:val="en-US" w:eastAsia="zh-CN"/>
        </w:rPr>
        <w:t>季考</w:t>
      </w:r>
      <w:r>
        <w:rPr>
          <w:rFonts w:hint="eastAsia" w:ascii="宋体" w:hAnsi="宋体" w:eastAsia="宋体" w:cs="宋体"/>
          <w:color w:val="auto"/>
          <w:szCs w:val="21"/>
          <w:highlight w:val="none"/>
        </w:rPr>
        <w:t>，由定期考核组成，定期考核时间为每</w:t>
      </w:r>
      <w:r>
        <w:rPr>
          <w:rFonts w:hint="eastAsia" w:ascii="宋体" w:hAnsi="宋体" w:cs="宋体"/>
          <w:color w:val="auto"/>
          <w:szCs w:val="21"/>
          <w:highlight w:val="none"/>
          <w:lang w:val="en-US" w:eastAsia="zh-CN"/>
        </w:rPr>
        <w:t>季度的最后5日</w:t>
      </w:r>
      <w:r>
        <w:rPr>
          <w:rFonts w:hint="eastAsia" w:ascii="宋体" w:hAnsi="宋体" w:eastAsia="宋体" w:cs="宋体"/>
          <w:color w:val="auto"/>
          <w:szCs w:val="21"/>
          <w:highlight w:val="none"/>
        </w:rPr>
        <w:t>。考核总分为100分，每</w:t>
      </w:r>
      <w:r>
        <w:rPr>
          <w:rFonts w:hint="eastAsia" w:ascii="宋体" w:hAnsi="宋体" w:cs="宋体"/>
          <w:color w:val="auto"/>
          <w:szCs w:val="21"/>
          <w:highlight w:val="none"/>
          <w:lang w:val="en-US" w:eastAsia="zh-CN"/>
        </w:rPr>
        <w:t>季度</w:t>
      </w:r>
      <w:r>
        <w:rPr>
          <w:rFonts w:hint="eastAsia" w:ascii="宋体" w:hAnsi="宋体" w:eastAsia="宋体" w:cs="宋体"/>
          <w:color w:val="auto"/>
          <w:szCs w:val="21"/>
          <w:highlight w:val="none"/>
        </w:rPr>
        <w:t>进行</w:t>
      </w:r>
      <w:r>
        <w:rPr>
          <w:rFonts w:hint="eastAsia" w:ascii="宋体" w:hAnsi="宋体" w:eastAsia="宋体" w:cs="宋体"/>
          <w:color w:val="auto"/>
          <w:szCs w:val="21"/>
          <w:highlight w:val="none"/>
          <w:lang w:val="en-US" w:eastAsia="zh-CN"/>
        </w:rPr>
        <w:t>一次</w:t>
      </w:r>
      <w:r>
        <w:rPr>
          <w:rFonts w:hint="eastAsia" w:ascii="宋体" w:hAnsi="宋体" w:eastAsia="宋体" w:cs="宋体"/>
          <w:color w:val="auto"/>
          <w:szCs w:val="21"/>
          <w:highlight w:val="none"/>
        </w:rPr>
        <w:t>评分。</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3.考核成绩</w:t>
      </w:r>
      <w:r>
        <w:rPr>
          <w:rFonts w:hint="eastAsia" w:ascii="宋体" w:hAnsi="宋体" w:eastAsia="宋体" w:cs="宋体"/>
          <w:color w:val="auto"/>
          <w:szCs w:val="21"/>
          <w:highlight w:val="none"/>
          <w:lang w:val="en-US" w:eastAsia="zh-CN"/>
        </w:rPr>
        <w:t>综合</w:t>
      </w:r>
      <w:r>
        <w:rPr>
          <w:rFonts w:hint="eastAsia" w:ascii="宋体" w:hAnsi="宋体" w:eastAsia="宋体" w:cs="宋体"/>
          <w:color w:val="auto"/>
          <w:szCs w:val="21"/>
          <w:highlight w:val="none"/>
        </w:rPr>
        <w:t>评定。</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考核总分数在90分（含90分）以上为优秀；8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分（含8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val="en-US" w:eastAsia="zh-CN"/>
        </w:rPr>
        <w:t>以上</w:t>
      </w:r>
      <w:r>
        <w:rPr>
          <w:rFonts w:hint="eastAsia" w:ascii="宋体" w:hAnsi="宋体" w:eastAsia="宋体" w:cs="宋体"/>
          <w:color w:val="auto"/>
          <w:szCs w:val="21"/>
          <w:highlight w:val="none"/>
        </w:rPr>
        <w:t>90分</w:t>
      </w:r>
      <w:r>
        <w:rPr>
          <w:rFonts w:hint="eastAsia" w:ascii="宋体" w:hAnsi="宋体" w:eastAsia="宋体" w:cs="宋体"/>
          <w:color w:val="auto"/>
          <w:szCs w:val="21"/>
          <w:highlight w:val="none"/>
          <w:lang w:val="en-US" w:eastAsia="zh-CN"/>
        </w:rPr>
        <w:t>以下</w:t>
      </w:r>
      <w:r>
        <w:rPr>
          <w:rFonts w:hint="eastAsia" w:ascii="宋体" w:hAnsi="宋体" w:eastAsia="宋体" w:cs="宋体"/>
          <w:color w:val="auto"/>
          <w:szCs w:val="21"/>
          <w:highlight w:val="none"/>
        </w:rPr>
        <w:t>为合格；80分以下为不合格。</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4.考核由</w:t>
      </w:r>
      <w:r>
        <w:rPr>
          <w:rFonts w:hint="eastAsia" w:ascii="宋体" w:hAnsi="宋体" w:cs="宋体"/>
          <w:color w:val="auto"/>
          <w:szCs w:val="21"/>
          <w:highlight w:val="none"/>
          <w:lang w:val="en-US" w:eastAsia="zh-CN"/>
        </w:rPr>
        <w:t>采购人</w:t>
      </w:r>
      <w:r>
        <w:rPr>
          <w:rFonts w:hint="eastAsia" w:ascii="宋体" w:hAnsi="宋体" w:eastAsia="宋体" w:cs="宋体"/>
          <w:color w:val="auto"/>
          <w:szCs w:val="21"/>
          <w:highlight w:val="none"/>
        </w:rPr>
        <w:t>负责组织实施，考核结果于</w:t>
      </w:r>
      <w:r>
        <w:rPr>
          <w:rFonts w:hint="eastAsia" w:ascii="宋体" w:hAnsi="宋体" w:eastAsia="宋体" w:cs="宋体"/>
          <w:color w:val="auto"/>
          <w:szCs w:val="21"/>
          <w:highlight w:val="none"/>
          <w:lang w:val="en-US" w:eastAsia="zh-CN"/>
        </w:rPr>
        <w:t>每季度</w:t>
      </w:r>
      <w:r>
        <w:rPr>
          <w:rFonts w:hint="eastAsia" w:ascii="宋体" w:hAnsi="宋体" w:cs="宋体"/>
          <w:color w:val="auto"/>
          <w:szCs w:val="21"/>
          <w:highlight w:val="none"/>
          <w:lang w:val="en-US" w:eastAsia="zh-CN"/>
        </w:rPr>
        <w:t>考核后</w:t>
      </w:r>
      <w:r>
        <w:rPr>
          <w:rFonts w:hint="eastAsia" w:ascii="宋体" w:hAnsi="宋体" w:eastAsia="宋体" w:cs="宋体"/>
          <w:color w:val="auto"/>
          <w:szCs w:val="21"/>
          <w:highlight w:val="none"/>
        </w:rPr>
        <w:t>公布，并以书面形式通知养护单位。</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三、奖惩措施</w:t>
      </w:r>
    </w:p>
    <w:p>
      <w:pPr>
        <w:shd w:val="clear" w:color="auto" w:fill="auto"/>
        <w:snapToGrid w:val="0"/>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1.实行奖惩制度。考核结果与</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管养经费挂钩，</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综合考评为优秀的单位全额拨付养护经费；</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综合考评为</w:t>
      </w:r>
      <w:r>
        <w:rPr>
          <w:rFonts w:hint="eastAsia" w:ascii="宋体" w:hAnsi="宋体" w:eastAsia="宋体" w:cs="宋体"/>
          <w:color w:val="auto"/>
          <w:szCs w:val="21"/>
          <w:highlight w:val="none"/>
          <w:lang w:val="en-US" w:eastAsia="zh-CN"/>
        </w:rPr>
        <w:t>合格</w:t>
      </w:r>
      <w:r>
        <w:rPr>
          <w:rFonts w:hint="eastAsia" w:ascii="宋体" w:hAnsi="宋体" w:eastAsia="宋体" w:cs="宋体"/>
          <w:color w:val="auto"/>
          <w:szCs w:val="21"/>
          <w:highlight w:val="none"/>
        </w:rPr>
        <w:t>的单位拨付养护经费的</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每季度</w:t>
      </w:r>
      <w:r>
        <w:rPr>
          <w:rFonts w:hint="eastAsia" w:ascii="宋体" w:hAnsi="宋体" w:eastAsia="宋体" w:cs="宋体"/>
          <w:color w:val="auto"/>
          <w:szCs w:val="21"/>
          <w:highlight w:val="none"/>
        </w:rPr>
        <w:t>综合考评为不合格的单位拨付养护经费的</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不合格未拨付的剩余养护经费，作为奖励拨付给本项目其余标段考核优秀的养护单位。</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2.凡被新闻媒体曝光，群众举报投诉的问题，经核实又未及时整改，</w:t>
      </w:r>
      <w:r>
        <w:rPr>
          <w:rFonts w:hint="eastAsia" w:ascii="宋体" w:hAnsi="宋体" w:cs="宋体"/>
          <w:color w:val="auto"/>
          <w:szCs w:val="21"/>
          <w:highlight w:val="none"/>
          <w:lang w:val="en-US" w:eastAsia="zh-CN"/>
        </w:rPr>
        <w:t>采购人</w:t>
      </w:r>
      <w:r>
        <w:rPr>
          <w:rFonts w:hint="eastAsia" w:ascii="宋体" w:hAnsi="宋体" w:eastAsia="宋体" w:cs="宋体"/>
          <w:color w:val="auto"/>
          <w:szCs w:val="21"/>
          <w:highlight w:val="none"/>
        </w:rPr>
        <w:t>下发督查通报</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同一问题未整改的，由</w:t>
      </w:r>
      <w:r>
        <w:rPr>
          <w:rFonts w:hint="eastAsia" w:ascii="宋体" w:hAnsi="宋体" w:cs="宋体"/>
          <w:color w:val="auto"/>
          <w:szCs w:val="21"/>
          <w:highlight w:val="none"/>
          <w:lang w:val="en-US" w:eastAsia="zh-CN"/>
        </w:rPr>
        <w:t>采购人</w:t>
      </w:r>
      <w:r>
        <w:rPr>
          <w:rFonts w:hint="eastAsia" w:ascii="宋体" w:hAnsi="宋体" w:eastAsia="宋体" w:cs="宋体"/>
          <w:color w:val="auto"/>
          <w:szCs w:val="21"/>
          <w:highlight w:val="none"/>
        </w:rPr>
        <w:t>下发处罚单，扣除养护经费的10%</w:t>
      </w:r>
      <w:r>
        <w:rPr>
          <w:rFonts w:hint="eastAsia" w:ascii="宋体" w:hAnsi="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3.合同期内连续2</w:t>
      </w:r>
      <w:r>
        <w:rPr>
          <w:rFonts w:hint="eastAsia" w:ascii="宋体" w:hAnsi="宋体" w:eastAsia="宋体" w:cs="宋体"/>
          <w:color w:val="auto"/>
          <w:szCs w:val="21"/>
          <w:highlight w:val="none"/>
          <w:lang w:eastAsia="zh-CN"/>
        </w:rPr>
        <w:t>个</w:t>
      </w:r>
      <w:r>
        <w:rPr>
          <w:rFonts w:hint="eastAsia" w:ascii="宋体" w:hAnsi="宋体" w:eastAsia="宋体" w:cs="宋体"/>
          <w:color w:val="auto"/>
          <w:szCs w:val="21"/>
          <w:highlight w:val="none"/>
        </w:rPr>
        <w:t>或累计3</w:t>
      </w:r>
      <w:r>
        <w:rPr>
          <w:rFonts w:hint="eastAsia" w:ascii="宋体" w:hAnsi="宋体" w:eastAsia="宋体" w:cs="宋体"/>
          <w:color w:val="auto"/>
          <w:szCs w:val="21"/>
          <w:highlight w:val="none"/>
          <w:lang w:eastAsia="zh-CN"/>
        </w:rPr>
        <w:t>个</w:t>
      </w:r>
      <w:r>
        <w:rPr>
          <w:rFonts w:hint="eastAsia" w:ascii="宋体" w:hAnsi="宋体" w:eastAsia="宋体" w:cs="宋体"/>
          <w:color w:val="auto"/>
          <w:szCs w:val="21"/>
          <w:highlight w:val="none"/>
          <w:lang w:val="en-US" w:eastAsia="zh-CN"/>
        </w:rPr>
        <w:t>季度综合</w:t>
      </w:r>
      <w:r>
        <w:rPr>
          <w:rFonts w:hint="eastAsia" w:ascii="宋体" w:hAnsi="宋体" w:eastAsia="宋体" w:cs="宋体"/>
          <w:color w:val="auto"/>
          <w:szCs w:val="21"/>
          <w:highlight w:val="none"/>
        </w:rPr>
        <w:t>评</w:t>
      </w:r>
      <w:r>
        <w:rPr>
          <w:rFonts w:hint="eastAsia" w:ascii="宋体" w:hAnsi="宋体" w:eastAsia="宋体" w:cs="宋体"/>
          <w:color w:val="auto"/>
          <w:szCs w:val="21"/>
          <w:highlight w:val="none"/>
          <w:lang w:val="en-US" w:eastAsia="zh-CN"/>
        </w:rPr>
        <w:t>定</w:t>
      </w:r>
      <w:r>
        <w:rPr>
          <w:rFonts w:hint="eastAsia" w:ascii="宋体" w:hAnsi="宋体" w:eastAsia="宋体" w:cs="宋体"/>
          <w:color w:val="auto"/>
          <w:szCs w:val="21"/>
          <w:highlight w:val="none"/>
        </w:rPr>
        <w:t>考核结果不合格的，终止中标单位的承包权。</w:t>
      </w:r>
      <w:r>
        <w:rPr>
          <w:rFonts w:hint="eastAsia" w:ascii="宋体" w:hAnsi="宋体" w:eastAsia="宋体" w:cs="宋体"/>
          <w:color w:val="auto"/>
          <w:szCs w:val="21"/>
          <w:highlight w:val="none"/>
          <w:lang w:val="en-US" w:eastAsia="zh-CN"/>
        </w:rPr>
        <w:t>并重新招标确定养护单位</w:t>
      </w:r>
      <w:r>
        <w:rPr>
          <w:rFonts w:hint="eastAsia" w:ascii="宋体" w:hAnsi="宋体" w:cs="宋体"/>
          <w:color w:val="auto"/>
          <w:szCs w:val="21"/>
          <w:highlight w:val="none"/>
          <w:lang w:val="en-US"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巡查组</w:t>
      </w:r>
      <w:r>
        <w:rPr>
          <w:rFonts w:hint="eastAsia" w:ascii="宋体" w:hAnsi="宋体" w:eastAsia="宋体" w:cs="宋体"/>
          <w:color w:val="auto"/>
          <w:szCs w:val="21"/>
          <w:highlight w:val="none"/>
        </w:rPr>
        <w:t>在评</w:t>
      </w:r>
      <w:r>
        <w:rPr>
          <w:rFonts w:hint="eastAsia" w:ascii="宋体" w:hAnsi="宋体" w:eastAsia="宋体" w:cs="宋体"/>
          <w:color w:val="auto"/>
          <w:szCs w:val="21"/>
          <w:highlight w:val="none"/>
          <w:lang w:val="en-US" w:eastAsia="zh-CN"/>
        </w:rPr>
        <w:t>比</w:t>
      </w:r>
      <w:r>
        <w:rPr>
          <w:rFonts w:hint="eastAsia" w:ascii="宋体" w:hAnsi="宋体" w:eastAsia="宋体" w:cs="宋体"/>
          <w:color w:val="auto"/>
          <w:szCs w:val="21"/>
          <w:highlight w:val="none"/>
        </w:rPr>
        <w:t>时，对绿地养护出现相同问题，扣3分</w:t>
      </w:r>
      <w:r>
        <w:rPr>
          <w:rFonts w:hint="eastAsia" w:ascii="宋体" w:hAnsi="宋体" w:cs="宋体"/>
          <w:color w:val="auto"/>
          <w:szCs w:val="21"/>
          <w:highlight w:val="none"/>
          <w:lang w:eastAsia="zh-CN"/>
        </w:rPr>
        <w:t>。</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四、检查考核要求</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1.考核工作人员要认真履行职责，秉公办事，坚持实事求是的原则。</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2.严格按照评分细则进行</w:t>
      </w:r>
      <w:r>
        <w:rPr>
          <w:rFonts w:hint="eastAsia" w:ascii="宋体" w:hAnsi="宋体" w:eastAsia="宋体" w:cs="宋体"/>
          <w:color w:val="auto"/>
          <w:szCs w:val="21"/>
          <w:highlight w:val="none"/>
          <w:lang w:val="en-US" w:eastAsia="zh-CN"/>
        </w:rPr>
        <w:t>季度考核</w:t>
      </w:r>
      <w:r>
        <w:rPr>
          <w:rFonts w:hint="eastAsia" w:ascii="宋体" w:hAnsi="宋体" w:eastAsia="宋体" w:cs="宋体"/>
          <w:color w:val="auto"/>
          <w:szCs w:val="21"/>
          <w:highlight w:val="none"/>
        </w:rPr>
        <w:t>，按时下发督查通报。</w:t>
      </w:r>
    </w:p>
    <w:p>
      <w:pPr>
        <w:shd w:val="clear" w:color="auto" w:fill="auto"/>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3.负责养护期内档案整理归档工作。</w:t>
      </w:r>
    </w:p>
    <w:p>
      <w:pPr>
        <w:spacing w:line="600" w:lineRule="exact"/>
        <w:jc w:val="both"/>
        <w:rPr>
          <w:rFonts w:ascii="方正小标宋简体" w:eastAsia="方正小标宋简体"/>
          <w:bCs/>
          <w:color w:val="auto"/>
          <w:kern w:val="0"/>
          <w:sz w:val="36"/>
          <w:szCs w:val="36"/>
        </w:rPr>
        <w:sectPr>
          <w:footerReference r:id="rId3" w:type="default"/>
          <w:pgSz w:w="11906" w:h="16838"/>
          <w:pgMar w:top="1644" w:right="1531" w:bottom="1701" w:left="1531" w:header="851" w:footer="992" w:gutter="0"/>
          <w:pgNumType w:fmt="decimal"/>
          <w:cols w:space="720" w:num="1"/>
          <w:docGrid w:type="lines" w:linePitch="312" w:charSpace="0"/>
        </w:sectPr>
      </w:pPr>
    </w:p>
    <w:p>
      <w:pPr>
        <w:spacing w:line="240" w:lineRule="auto"/>
        <w:jc w:val="center"/>
        <w:rPr>
          <w:rFonts w:hint="eastAsia"/>
          <w:b/>
          <w:bCs/>
          <w:color w:val="auto"/>
          <w:sz w:val="24"/>
          <w:szCs w:val="24"/>
          <w:lang w:val="en-US" w:eastAsia="zh-CN"/>
        </w:rPr>
      </w:pPr>
      <w:r>
        <w:rPr>
          <w:rFonts w:hint="eastAsia" w:ascii="宋体" w:hAnsi="宋体" w:eastAsia="宋体" w:cs="宋体"/>
          <w:b/>
          <w:bCs/>
          <w:color w:val="auto"/>
          <w:sz w:val="24"/>
          <w:szCs w:val="24"/>
          <w:highlight w:val="none"/>
          <w:lang w:val="en-US" w:eastAsia="zh-CN"/>
        </w:rPr>
        <w:t>附件3   《园林绿化养护管理评分细则》</w:t>
      </w:r>
    </w:p>
    <w:p>
      <w:pPr>
        <w:spacing w:line="240" w:lineRule="auto"/>
        <w:rPr>
          <w:rFonts w:hint="eastAsia"/>
          <w:b/>
          <w:bCs/>
          <w:color w:val="auto"/>
          <w:sz w:val="24"/>
          <w:szCs w:val="32"/>
          <w:lang w:val="en-US" w:eastAsia="zh-CN"/>
        </w:rPr>
      </w:pPr>
    </w:p>
    <w:p>
      <w:pPr>
        <w:spacing w:line="240" w:lineRule="auto"/>
        <w:rPr>
          <w:rFonts w:hint="eastAsia"/>
          <w:b/>
          <w:bCs/>
          <w:color w:val="auto"/>
          <w:sz w:val="24"/>
          <w:szCs w:val="32"/>
          <w:lang w:val="en-US" w:eastAsia="zh-CN"/>
        </w:rPr>
      </w:pPr>
    </w:p>
    <w:tbl>
      <w:tblPr>
        <w:tblStyle w:val="27"/>
        <w:tblpPr w:leftFromText="180" w:rightFromText="180" w:vertAnchor="text" w:horzAnchor="page" w:tblpX="1693" w:tblpY="286"/>
        <w:tblOverlap w:val="never"/>
        <w:tblW w:w="8902" w:type="dxa"/>
        <w:tblInd w:w="0" w:type="dxa"/>
        <w:tblLayout w:type="fixed"/>
        <w:tblCellMar>
          <w:top w:w="0" w:type="dxa"/>
          <w:left w:w="108" w:type="dxa"/>
          <w:bottom w:w="0" w:type="dxa"/>
          <w:right w:w="108" w:type="dxa"/>
        </w:tblCellMar>
      </w:tblPr>
      <w:tblGrid>
        <w:gridCol w:w="772"/>
        <w:gridCol w:w="615"/>
        <w:gridCol w:w="1739"/>
        <w:gridCol w:w="1309"/>
        <w:gridCol w:w="3099"/>
        <w:gridCol w:w="700"/>
        <w:gridCol w:w="668"/>
      </w:tblGrid>
      <w:tr>
        <w:tblPrEx>
          <w:tblCellMar>
            <w:top w:w="0" w:type="dxa"/>
            <w:left w:w="108" w:type="dxa"/>
            <w:bottom w:w="0" w:type="dxa"/>
            <w:right w:w="108" w:type="dxa"/>
          </w:tblCellMar>
        </w:tblPrEx>
        <w:trPr>
          <w:trHeight w:val="592"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000000"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000000"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457" w:hRule="atLeast"/>
        </w:trPr>
        <w:tc>
          <w:tcPr>
            <w:tcW w:w="772" w:type="dxa"/>
            <w:vMerge w:val="restart"/>
            <w:tcBorders>
              <w:top w:val="nil"/>
              <w:left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管理(10分)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管理制度</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有健全的养护管理制度，未达要求扣1-2分。</w:t>
            </w:r>
          </w:p>
        </w:tc>
        <w:tc>
          <w:tcPr>
            <w:tcW w:w="700" w:type="dxa"/>
            <w:tcBorders>
              <w:top w:val="nil"/>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nil"/>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b/>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人员管理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按绿地养护面积，合理配备养管人员。人员配备不合理，扣1分。项目负责人须参加管理部门组织的考核和有关会议，未参加的一次扣1分。</w:t>
            </w:r>
          </w:p>
        </w:tc>
        <w:tc>
          <w:tcPr>
            <w:tcW w:w="700" w:type="dxa"/>
            <w:tcBorders>
              <w:top w:val="nil"/>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nil"/>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00" w:hRule="atLeast"/>
        </w:trPr>
        <w:tc>
          <w:tcPr>
            <w:tcW w:w="772" w:type="dxa"/>
            <w:vMerge w:val="continue"/>
            <w:tcBorders>
              <w:left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养护计划</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每季度需制定季度养护计划，并于4月、7月、10月的10号前向甲方报送养护计划，无养护计划，扣0.5分；未按季度养护计划实施酌情扣0.5分；未按甲方要求及时报送计划的扣0.5分；报送数据失实的扣0.5分。</w:t>
            </w:r>
          </w:p>
        </w:tc>
        <w:tc>
          <w:tcPr>
            <w:tcW w:w="700" w:type="dxa"/>
            <w:tcBorders>
              <w:top w:val="nil"/>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nil"/>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管理基础档案总结报表</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绿化基础档案详尽，总账分账相符，每缺一处基础资料扣1分。未按甲方要求及时报送报表的扣2分，报送数据失实的扣2分。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629"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736" w:hRule="atLeast"/>
        </w:trPr>
        <w:tc>
          <w:tcPr>
            <w:tcW w:w="772" w:type="dxa"/>
            <w:vMerge w:val="restart"/>
            <w:tcBorders>
              <w:top w:val="single" w:color="auto" w:sz="4" w:space="0"/>
              <w:left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乔木（含2米以上乔木）养护</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树木缺株、死亡</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树木保存率未达到98%，缺株、死亡的，每株扣1分，未及时补植、更换品种不一致、规格差别明显的，每株扣1分。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树木长势</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乔木出现萎焉，树叶有明显枯黄，每处（3株以上）每株扣0.5分；树木严重缺冠的，每处（3株以上）每处扣0.5分，依次类推。</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00" w:hRule="atLeast"/>
        </w:trPr>
        <w:tc>
          <w:tcPr>
            <w:tcW w:w="772" w:type="dxa"/>
            <w:vMerge w:val="continue"/>
            <w:tcBorders>
              <w:left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树木修剪、扶正</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树木未按时修剪或树木修剪不到位的，有明显的徒长枝、病虫枝、枯枝、伤损枝、萌蘗枝、每株扣0.5分。树木倾斜明显不及时采取扶正措施的，每株扣0.5分。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736" w:hRule="atLeast"/>
        </w:trPr>
        <w:tc>
          <w:tcPr>
            <w:tcW w:w="772" w:type="dxa"/>
            <w:vMerge w:val="continue"/>
            <w:tcBorders>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rPr>
                <w:rFonts w:hint="eastAsia" w:ascii="宋体" w:hAnsi="宋体" w:eastAsia="宋体" w:cs="宋体"/>
                <w:b/>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2.4</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树穴、支撑</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新植、补植树木无树穴，树穴不规范无形的，每株扣0.5分。新植、补植树木支撑不统一，有断桩、坏桩等不规范的，扣0.5分。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534" w:hRule="atLeast"/>
        </w:trPr>
        <w:tc>
          <w:tcPr>
            <w:tcW w:w="772" w:type="dxa"/>
            <w:tcBorders>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959" w:hRule="atLeast"/>
        </w:trPr>
        <w:tc>
          <w:tcPr>
            <w:tcW w:w="772"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绿篱</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灌木</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灌木缺株、死亡</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灌木存活率未达到98%，缺株、死亡的，每处（2株）未在7天内及时补植、更换品种不一致、规格差别特别明显的，每处扣1分。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63"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灌木长势、冠形</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灌木出现萎焉，枝叶枯黄，或出现病虫害，枝叶发生病变，未及时采取措施或措施不力者，每1处（2株）扣1分。灌木严重缺冠的，有明显徒长枝，病虫枝，枯枝，死枝，伤损枝的，每1处（2枝）扣0.5分。 </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301"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灌木修剪</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灌木未按时修剪或修剪不到位的，每1处（2枝）扣0.5分；未按色彩、层次、造型要求修剪，每1处（2枝）扣0.5分；修剪面不均匀、不美观，不平整，每1处（2枝）扣0.5分。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394" w:hRule="atLeast"/>
        </w:trPr>
        <w:tc>
          <w:tcPr>
            <w:tcW w:w="772"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花卉</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草坪</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(15分)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花卉</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有缺株倒伏、枯枝残花、枯枝杂草、垃圾，每1处扣0.5分。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p>
        </w:tc>
      </w:tr>
      <w:tr>
        <w:tblPrEx>
          <w:tblCellMar>
            <w:top w:w="0" w:type="dxa"/>
            <w:left w:w="108" w:type="dxa"/>
            <w:bottom w:w="0" w:type="dxa"/>
            <w:right w:w="108" w:type="dxa"/>
          </w:tblCellMar>
        </w:tblPrEx>
        <w:trPr>
          <w:trHeight w:val="1547"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草坪</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不及时修剪，修剪不到位的，每处扣0.5分。原有草坪处发现黄土露天，超过1平方米，每平方米扣0.5分，依次类推。修剪面不均匀、不美观，不平整，每1处（1平方米以上）扣0.5分。有杂草、杂物，每处扣0.5分，草坪枯黄超过1平方米，每1处（1平方米以上）扣0.5分依次类推。</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642"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1081" w:hRule="atLeast"/>
        </w:trPr>
        <w:tc>
          <w:tcPr>
            <w:tcW w:w="772"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植物保护及设施维护</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(20分)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绿地施肥</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春、秋季绿地树木没有施肥的，每处扣1分。因缺肥导致植物叶片黄叶、长势不良或因施肥不当出现肥害每处扣0.5分。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72"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4.2</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病虫害防治</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乔灌木有明显病虫害未及时进行防治的，每处扣0.5分；发生病虫害，植株受害面积达8%以上，每处扣0.5分，严重导致死亡的，扣3分；使用不当发生药害，致使植物落叶死亡，每处扣0.5分；出现攀援或寄生植物影响植物正常生长的，每1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1100" w:hRule="atLeast"/>
        </w:trPr>
        <w:tc>
          <w:tcPr>
            <w:tcW w:w="772" w:type="dxa"/>
            <w:vMerge w:val="continue"/>
            <w:tcBorders>
              <w:top w:val="single" w:color="auto" w:sz="4" w:space="0"/>
              <w:left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4.3</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栏杆、浇灌设施、栽植容器等</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管线维护不当，出现跑水、漏水现象不及时处理的，每1处扣0.5分；护栏损坏未及时修复的，每处扣0.5分；辅助设施未及时检修、清洁的、每处扣0.5分。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416" w:hRule="atLeast"/>
        </w:trPr>
        <w:tc>
          <w:tcPr>
            <w:tcW w:w="772"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00" w:lineRule="auto"/>
              <w:jc w:val="left"/>
              <w:rPr>
                <w:rFonts w:hint="eastAsia" w:ascii="宋体" w:hAnsi="宋体" w:eastAsia="宋体" w:cs="宋体"/>
                <w:color w:val="auto"/>
                <w:kern w:val="0"/>
                <w:sz w:val="21"/>
                <w:szCs w:val="21"/>
              </w:rPr>
            </w:pP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4.4</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违章占绿、毁绿</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未及时发现违章占绿、毁绿或发现了未采取相应措施的，每处扣5分。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626"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项目</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编号</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考核标准</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评分细则</w:t>
            </w:r>
          </w:p>
        </w:tc>
        <w:tc>
          <w:tcPr>
            <w:tcW w:w="70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实际</w:t>
            </w:r>
          </w:p>
          <w:p>
            <w:pPr>
              <w:adjustRightInd w:val="0"/>
              <w:snapToGrid w:val="0"/>
              <w:spacing w:line="400" w:lineRule="exact"/>
              <w:jc w:val="both"/>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得分</w:t>
            </w: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备注</w:t>
            </w:r>
          </w:p>
        </w:tc>
      </w:tr>
      <w:tr>
        <w:tblPrEx>
          <w:tblCellMar>
            <w:top w:w="0" w:type="dxa"/>
            <w:left w:w="108" w:type="dxa"/>
            <w:bottom w:w="0" w:type="dxa"/>
            <w:right w:w="108" w:type="dxa"/>
          </w:tblCellMar>
        </w:tblPrEx>
        <w:trPr>
          <w:trHeight w:val="1718" w:hRule="atLeast"/>
        </w:trPr>
        <w:tc>
          <w:tcPr>
            <w:tcW w:w="7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绿地</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卫生</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保洁</w:t>
            </w:r>
          </w:p>
          <w:p>
            <w:pPr>
              <w:adjustRightInd w:val="0"/>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(5分)</w:t>
            </w:r>
          </w:p>
        </w:tc>
        <w:tc>
          <w:tcPr>
            <w:tcW w:w="615" w:type="dxa"/>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5.1</w:t>
            </w:r>
          </w:p>
        </w:tc>
        <w:tc>
          <w:tcPr>
            <w:tcW w:w="1739" w:type="dxa"/>
            <w:tcBorders>
              <w:top w:val="single" w:color="auto" w:sz="4" w:space="0"/>
              <w:left w:val="single" w:color="auto" w:sz="4" w:space="0"/>
              <w:bottom w:val="single" w:color="auto" w:sz="4" w:space="0"/>
              <w:right w:val="single" w:color="000000"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绿地卫生</w:t>
            </w:r>
          </w:p>
        </w:tc>
        <w:tc>
          <w:tcPr>
            <w:tcW w:w="4408"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有垃圾、杂物的，每1处扣0.5分；对园林小品、设施、园路等清洁不力的，每1处扣0.5分；树冠上有悬挂物的，每1处扣0.5分。</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522" w:hRule="atLeast"/>
        </w:trPr>
        <w:tc>
          <w:tcPr>
            <w:tcW w:w="753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center"/>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合计分数</w:t>
            </w:r>
          </w:p>
        </w:tc>
        <w:tc>
          <w:tcPr>
            <w:tcW w:w="70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before="100" w:beforeAutospacing="1" w:after="100" w:afterAutospacing="1" w:line="300" w:lineRule="auto"/>
              <w:jc w:val="left"/>
              <w:rPr>
                <w:rFonts w:hint="eastAsia" w:ascii="宋体" w:hAnsi="宋体" w:eastAsia="宋体" w:cs="宋体"/>
                <w:color w:val="auto"/>
                <w:kern w:val="0"/>
                <w:sz w:val="21"/>
                <w:szCs w:val="21"/>
              </w:rPr>
            </w:pPr>
          </w:p>
        </w:tc>
      </w:tr>
      <w:tr>
        <w:tblPrEx>
          <w:tblCellMar>
            <w:top w:w="0" w:type="dxa"/>
            <w:left w:w="108" w:type="dxa"/>
            <w:bottom w:w="0" w:type="dxa"/>
            <w:right w:w="108" w:type="dxa"/>
          </w:tblCellMar>
        </w:tblPrEx>
        <w:trPr>
          <w:trHeight w:val="2430" w:hRule="atLeast"/>
        </w:trPr>
        <w:tc>
          <w:tcPr>
            <w:tcW w:w="4435"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76"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采购</w:t>
            </w:r>
            <w:r>
              <w:rPr>
                <w:rFonts w:hint="eastAsia" w:ascii="宋体" w:hAnsi="宋体" w:eastAsia="宋体" w:cs="宋体"/>
                <w:color w:val="auto"/>
                <w:kern w:val="0"/>
                <w:sz w:val="21"/>
                <w:szCs w:val="21"/>
              </w:rPr>
              <w:t xml:space="preserve">单位（签字盖章）： </w:t>
            </w: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2662" w:firstLineChars="125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年   月  日                               </w:t>
            </w:r>
          </w:p>
        </w:tc>
        <w:tc>
          <w:tcPr>
            <w:tcW w:w="446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76"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养护</w:t>
            </w:r>
            <w:r>
              <w:rPr>
                <w:rFonts w:hint="eastAsia" w:ascii="宋体" w:hAnsi="宋体" w:eastAsia="宋体" w:cs="宋体"/>
                <w:color w:val="auto"/>
                <w:kern w:val="0"/>
                <w:sz w:val="21"/>
                <w:szCs w:val="21"/>
              </w:rPr>
              <w:t>单位（签字盖章）：</w:t>
            </w:r>
          </w:p>
          <w:p>
            <w:pPr>
              <w:adjustRightInd w:val="0"/>
              <w:snapToGrid w:val="0"/>
              <w:spacing w:line="300" w:lineRule="exact"/>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line="276" w:lineRule="auto"/>
              <w:ind w:firstLine="1917" w:firstLineChars="900"/>
              <w:jc w:val="left"/>
              <w:rPr>
                <w:rFonts w:hint="eastAsia" w:ascii="宋体" w:hAnsi="宋体" w:eastAsia="宋体" w:cs="宋体"/>
                <w:color w:val="auto"/>
                <w:kern w:val="0"/>
                <w:sz w:val="21"/>
                <w:szCs w:val="21"/>
              </w:rPr>
            </w:pPr>
          </w:p>
          <w:p>
            <w:pPr>
              <w:adjustRightInd w:val="0"/>
              <w:snapToGrid w:val="0"/>
              <w:spacing w:before="100" w:beforeAutospacing="1" w:after="100" w:afterAutospacing="1" w:line="360" w:lineRule="auto"/>
              <w:ind w:firstLine="2982" w:firstLineChars="14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年   月  日 </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b/>
          <w:color w:val="auto"/>
          <w:szCs w:val="21"/>
        </w:rPr>
      </w:pPr>
    </w:p>
    <w:p>
      <w:pPr>
        <w:spacing w:line="240" w:lineRule="auto"/>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b/>
          <w:bCs/>
          <w:color w:val="auto"/>
          <w:sz w:val="24"/>
          <w:szCs w:val="32"/>
          <w:lang w:val="en-US" w:eastAsia="zh-CN"/>
        </w:rPr>
      </w:pPr>
    </w:p>
    <w:p>
      <w:pPr>
        <w:rPr>
          <w:rFonts w:hint="eastAsia"/>
          <w:b/>
          <w:bCs/>
          <w:color w:val="auto"/>
          <w:sz w:val="24"/>
          <w:szCs w:val="32"/>
          <w:lang w:val="en-US" w:eastAsia="zh-CN"/>
        </w:rPr>
      </w:pPr>
    </w:p>
    <w:p>
      <w:pPr>
        <w:pStyle w:val="2"/>
        <w:rPr>
          <w:rFonts w:hint="eastAsia"/>
          <w:color w:val="auto"/>
          <w:lang w:val="en-US" w:eastAsia="zh-CN"/>
        </w:rPr>
      </w:pPr>
    </w:p>
    <w:p>
      <w:pPr>
        <w:spacing w:line="240" w:lineRule="auto"/>
        <w:rPr>
          <w:rFonts w:hint="eastAsia"/>
          <w:b/>
          <w:bCs/>
          <w:color w:val="auto"/>
          <w:sz w:val="24"/>
          <w:szCs w:val="32"/>
          <w:lang w:val="en-US" w:eastAsia="zh-CN"/>
        </w:rPr>
      </w:pPr>
      <w:r>
        <w:rPr>
          <w:rFonts w:hint="eastAsia"/>
          <w:b/>
          <w:bCs/>
          <w:color w:val="auto"/>
          <w:sz w:val="24"/>
          <w:szCs w:val="32"/>
          <w:lang w:val="en-US" w:eastAsia="zh-CN"/>
        </w:rPr>
        <w:t>二、</w:t>
      </w:r>
      <w:bookmarkStart w:id="70" w:name="_Toc340225290"/>
      <w:bookmarkStart w:id="71" w:name="_Toc267320049"/>
      <w:r>
        <w:rPr>
          <w:rFonts w:hint="eastAsia"/>
          <w:b/>
          <w:bCs/>
          <w:color w:val="auto"/>
          <w:sz w:val="22"/>
          <w:szCs w:val="28"/>
          <w:lang w:val="en-US" w:eastAsia="zh-CN"/>
        </w:rPr>
        <w:t>项目服务等其他要求</w:t>
      </w:r>
    </w:p>
    <w:bookmarkEnd w:id="70"/>
    <w:bookmarkEnd w:id="71"/>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b/>
          <w:color w:val="auto"/>
          <w:szCs w:val="21"/>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color w:val="auto"/>
          <w:szCs w:val="21"/>
        </w:rPr>
      </w:pPr>
      <w:r>
        <w:rPr>
          <w:rFonts w:hint="eastAsia" w:ascii="宋体" w:hAnsi="宋体" w:cs="宋体"/>
          <w:b/>
          <w:color w:val="auto"/>
          <w:szCs w:val="21"/>
        </w:rPr>
        <w:t>（一）</w:t>
      </w:r>
      <w:r>
        <w:rPr>
          <w:rFonts w:hint="eastAsia" w:ascii="宋体" w:hAnsi="宋体" w:cs="宋体"/>
          <w:b/>
          <w:color w:val="auto"/>
          <w:szCs w:val="21"/>
          <w:lang w:val="en-US" w:eastAsia="zh-CN"/>
        </w:rPr>
        <w:t xml:space="preserve"> 服务</w:t>
      </w:r>
      <w:r>
        <w:rPr>
          <w:rFonts w:hint="eastAsia" w:ascii="宋体" w:hAnsi="宋体" w:cs="宋体"/>
          <w:b/>
          <w:color w:val="auto"/>
          <w:szCs w:val="21"/>
        </w:rPr>
        <w:t>时间</w:t>
      </w:r>
    </w:p>
    <w:p>
      <w:pPr>
        <w:pStyle w:val="2"/>
        <w:numPr>
          <w:ilvl w:val="0"/>
          <w:numId w:val="0"/>
        </w:numPr>
        <w:spacing w:line="360" w:lineRule="auto"/>
        <w:ind w:firstLine="426" w:firstLineChars="200"/>
        <w:rPr>
          <w:rFonts w:hint="eastAsia"/>
          <w:color w:val="auto"/>
        </w:rPr>
      </w:pPr>
      <w:r>
        <w:rPr>
          <w:rFonts w:hint="eastAsia" w:ascii="Times New Roman" w:hAnsi="Times New Roman" w:cs="Times New Roman"/>
          <w:b w:val="0"/>
          <w:bCs/>
          <w:color w:val="auto"/>
          <w:kern w:val="2"/>
          <w:sz w:val="21"/>
          <w:szCs w:val="21"/>
          <w:lang w:val="en-US" w:eastAsia="zh-CN" w:bidi="ar-SA"/>
        </w:rPr>
        <w:t>合同签订之日起3年。（注：根据考核情况一年一签，共计3年。如合同期内连续2个或累计3个季度综合评定考核结果不合格的，终止中标单位的承包权，并重新招标确定养护单位）</w:t>
      </w:r>
    </w:p>
    <w:p>
      <w:pPr>
        <w:keepNext w:val="0"/>
        <w:keepLines w:val="0"/>
        <w:pageBreakBefore w:val="0"/>
        <w:numPr>
          <w:ilvl w:val="0"/>
          <w:numId w:val="10"/>
        </w:numPr>
        <w:kinsoku/>
        <w:wordWrap/>
        <w:overflowPunct/>
        <w:topLinePunct w:val="0"/>
        <w:autoSpaceDE/>
        <w:autoSpaceDN/>
        <w:bidi w:val="0"/>
        <w:adjustRightInd/>
        <w:snapToGrid/>
        <w:spacing w:line="360" w:lineRule="auto"/>
        <w:textAlignment w:val="auto"/>
        <w:rPr>
          <w:rFonts w:hint="eastAsia" w:ascii="宋体" w:hAnsi="宋体" w:cs="宋体"/>
          <w:b/>
          <w:color w:val="auto"/>
          <w:szCs w:val="21"/>
        </w:rPr>
      </w:pPr>
      <w:r>
        <w:rPr>
          <w:rFonts w:hint="eastAsia" w:ascii="宋体" w:hAnsi="宋体" w:cs="宋体"/>
          <w:b/>
          <w:color w:val="auto"/>
          <w:szCs w:val="21"/>
          <w:lang w:val="en-US" w:eastAsia="zh-CN"/>
        </w:rPr>
        <w:t>服务</w:t>
      </w:r>
      <w:r>
        <w:rPr>
          <w:rFonts w:hint="eastAsia" w:ascii="宋体" w:hAnsi="宋体" w:cs="宋体"/>
          <w:b/>
          <w:color w:val="auto"/>
          <w:szCs w:val="21"/>
        </w:rPr>
        <w:t>地点</w:t>
      </w:r>
    </w:p>
    <w:p>
      <w:pPr>
        <w:keepNext w:val="0"/>
        <w:keepLines w:val="0"/>
        <w:pageBreakBefore w:val="0"/>
        <w:kinsoku/>
        <w:wordWrap/>
        <w:overflowPunct/>
        <w:topLinePunct w:val="0"/>
        <w:autoSpaceDE/>
        <w:autoSpaceDN/>
        <w:bidi w:val="0"/>
        <w:adjustRightInd/>
        <w:snapToGrid/>
        <w:spacing w:line="360" w:lineRule="auto"/>
        <w:ind w:firstLine="426" w:firstLineChars="200"/>
        <w:textAlignment w:val="auto"/>
        <w:rPr>
          <w:rFonts w:hint="default" w:ascii="宋体" w:hAnsi="宋体" w:cs="宋体"/>
          <w:b/>
          <w:color w:val="auto"/>
          <w:szCs w:val="21"/>
          <w:lang w:val="en-US" w:eastAsia="zh-CN"/>
        </w:rPr>
      </w:pPr>
      <w:r>
        <w:rPr>
          <w:rFonts w:hint="eastAsia" w:ascii="宋体" w:hAnsi="宋体" w:cs="宋体"/>
          <w:b w:val="0"/>
          <w:bCs/>
          <w:color w:val="auto"/>
          <w:szCs w:val="21"/>
          <w:lang w:val="en-US" w:eastAsia="zh-CN"/>
        </w:rPr>
        <w:t>采购人指定地点。</w:t>
      </w:r>
      <w:r>
        <w:rPr>
          <w:rFonts w:hint="eastAsia" w:ascii="宋体" w:hAnsi="宋体" w:cs="宋体"/>
          <w:b/>
          <w:color w:val="auto"/>
          <w:szCs w:val="21"/>
          <w:lang w:val="en-US" w:eastAsia="zh-CN"/>
        </w:rPr>
        <w:t xml:space="preserve"> </w:t>
      </w:r>
    </w:p>
    <w:p>
      <w:pPr>
        <w:spacing w:line="360" w:lineRule="auto"/>
        <w:rPr>
          <w:rFonts w:hint="eastAsia" w:ascii="宋体" w:hAnsi="宋体" w:cs="宋体"/>
          <w:b/>
          <w:color w:val="auto"/>
          <w:szCs w:val="21"/>
        </w:rPr>
      </w:pPr>
      <w:bookmarkStart w:id="72" w:name="_Toc340225291"/>
      <w:bookmarkStart w:id="73" w:name="_Toc267320050"/>
      <w:r>
        <w:rPr>
          <w:rFonts w:hint="eastAsia" w:ascii="宋体" w:hAnsi="宋体" w:cs="宋体"/>
          <w:b/>
          <w:color w:val="auto"/>
          <w:szCs w:val="21"/>
        </w:rPr>
        <w:t>（三）报价要求</w:t>
      </w:r>
      <w:bookmarkEnd w:id="72"/>
    </w:p>
    <w:p>
      <w:pPr>
        <w:snapToGrid w:val="0"/>
        <w:spacing w:line="360" w:lineRule="auto"/>
        <w:ind w:firstLine="416" w:firstLineChars="196"/>
        <w:jc w:val="left"/>
        <w:rPr>
          <w:rFonts w:hint="eastAsia"/>
          <w:color w:val="auto"/>
          <w:lang w:val="en-US" w:eastAsia="zh-CN"/>
        </w:rPr>
      </w:pPr>
      <w:r>
        <w:rPr>
          <w:rFonts w:hint="eastAsia" w:ascii="宋体" w:hAnsi="宋体" w:eastAsia="宋体" w:cs="宋体"/>
          <w:bCs/>
          <w:color w:val="auto"/>
          <w:kern w:val="2"/>
          <w:sz w:val="21"/>
          <w:szCs w:val="21"/>
          <w:lang w:val="en-US" w:eastAsia="zh-CN" w:bidi="ar-SA"/>
        </w:rPr>
        <w:t>本次报价为人民币报价，</w:t>
      </w:r>
      <w:bookmarkEnd w:id="73"/>
      <w:r>
        <w:rPr>
          <w:rFonts w:hint="eastAsia" w:ascii="宋体" w:hAnsi="宋体" w:eastAsia="宋体" w:cs="宋体"/>
          <w:bCs/>
          <w:color w:val="auto"/>
          <w:kern w:val="2"/>
          <w:sz w:val="21"/>
          <w:szCs w:val="21"/>
          <w:lang w:val="en-US" w:eastAsia="zh-CN" w:bidi="ar-SA"/>
        </w:rPr>
        <w:t>绿化养护等费用由供应商自主报价，报价不得超过单价最高限价。投标报价应包括：服务本身价格、包装费、运输费用、税金费用、</w:t>
      </w:r>
      <w:r>
        <w:rPr>
          <w:rFonts w:hint="eastAsia" w:ascii="宋体" w:hAnsi="宋体" w:cs="宋体"/>
          <w:bCs/>
          <w:color w:val="auto"/>
          <w:kern w:val="2"/>
          <w:sz w:val="21"/>
          <w:szCs w:val="21"/>
          <w:lang w:val="en-US" w:eastAsia="zh-CN" w:bidi="ar-SA"/>
        </w:rPr>
        <w:t>养护管理用工</w:t>
      </w:r>
      <w:r>
        <w:rPr>
          <w:rFonts w:hint="eastAsia" w:ascii="宋体" w:hAnsi="宋体" w:eastAsia="宋体" w:cs="宋体"/>
          <w:bCs/>
          <w:color w:val="auto"/>
          <w:kern w:val="2"/>
          <w:sz w:val="21"/>
          <w:szCs w:val="21"/>
          <w:lang w:val="en-US" w:eastAsia="zh-CN" w:bidi="ar-SA"/>
        </w:rPr>
        <w:t>、专项费用（绿化施肥费、绿化防病防虫用药费</w:t>
      </w:r>
      <w:r>
        <w:rPr>
          <w:rFonts w:hint="eastAsia" w:ascii="宋体" w:hAnsi="宋体" w:cs="宋体"/>
          <w:bCs/>
          <w:color w:val="auto"/>
          <w:kern w:val="2"/>
          <w:sz w:val="21"/>
          <w:szCs w:val="21"/>
          <w:lang w:val="en-US" w:eastAsia="zh-CN" w:bidi="ar-SA"/>
        </w:rPr>
        <w:t>等药剂</w:t>
      </w:r>
      <w:r>
        <w:rPr>
          <w:rFonts w:hint="eastAsia" w:ascii="宋体" w:hAnsi="宋体" w:eastAsia="宋体" w:cs="宋体"/>
          <w:bCs/>
          <w:color w:val="auto"/>
          <w:kern w:val="2"/>
          <w:sz w:val="21"/>
          <w:szCs w:val="21"/>
          <w:lang w:val="en-US" w:eastAsia="zh-CN" w:bidi="ar-SA"/>
        </w:rPr>
        <w:t>、绿化零星补植费、专用工具费、车辆及动力机械、防风抗雪等应急物资储备费、及养护期内须提供的伴随服务/售后服务费用以及招标文件要求的供应商需要支付的所有费用等费用）；因中标供应商自身原因造成漏报、少报</w:t>
      </w:r>
      <w:r>
        <w:rPr>
          <w:rFonts w:hint="eastAsia" w:ascii="宋体" w:hAnsi="宋体" w:cs="宋体"/>
          <w:bCs/>
          <w:color w:val="auto"/>
          <w:kern w:val="2"/>
          <w:sz w:val="21"/>
          <w:szCs w:val="21"/>
          <w:lang w:val="en-US" w:eastAsia="zh-CN" w:bidi="ar-SA"/>
        </w:rPr>
        <w:t>的</w:t>
      </w:r>
      <w:r>
        <w:rPr>
          <w:rFonts w:hint="eastAsia" w:ascii="宋体" w:hAnsi="宋体" w:eastAsia="宋体" w:cs="宋体"/>
          <w:bCs/>
          <w:color w:val="auto"/>
          <w:kern w:val="2"/>
          <w:sz w:val="21"/>
          <w:szCs w:val="21"/>
          <w:lang w:val="en-US" w:eastAsia="zh-CN" w:bidi="ar-SA"/>
        </w:rPr>
        <w:t>皆由其自行承担责任，采购人不再补偿。</w:t>
      </w:r>
    </w:p>
    <w:p>
      <w:pPr>
        <w:numPr>
          <w:ilvl w:val="0"/>
          <w:numId w:val="10"/>
        </w:numPr>
        <w:spacing w:line="360" w:lineRule="auto"/>
        <w:ind w:left="0" w:leftChars="0" w:firstLine="0" w:firstLineChars="0"/>
        <w:rPr>
          <w:rFonts w:hint="eastAsia" w:ascii="宋体" w:hAnsi="宋体" w:cs="宋体"/>
          <w:b/>
          <w:color w:val="auto"/>
          <w:szCs w:val="21"/>
        </w:rPr>
      </w:pPr>
      <w:r>
        <w:rPr>
          <w:rFonts w:hint="eastAsia" w:ascii="宋体" w:hAnsi="宋体" w:cs="宋体"/>
          <w:b/>
          <w:color w:val="auto"/>
          <w:szCs w:val="21"/>
        </w:rPr>
        <w:t>付款方式</w:t>
      </w:r>
    </w:p>
    <w:p>
      <w:pPr>
        <w:spacing w:line="360" w:lineRule="auto"/>
        <w:rPr>
          <w:rFonts w:hint="eastAsia" w:cs="Times New Roman"/>
          <w:b w:val="0"/>
          <w:bCs/>
          <w:color w:val="auto"/>
          <w:kern w:val="2"/>
          <w:sz w:val="21"/>
          <w:szCs w:val="21"/>
          <w:lang w:val="en-US" w:eastAsia="zh-CN" w:bidi="ar-SA"/>
        </w:rPr>
      </w:pPr>
      <w:r>
        <w:rPr>
          <w:rFonts w:hint="eastAsia" w:ascii="Times New Roman" w:hAnsi="Times New Roman" w:eastAsia="宋体" w:cs="Times New Roman"/>
          <w:b w:val="0"/>
          <w:bCs/>
          <w:color w:val="auto"/>
          <w:kern w:val="2"/>
          <w:sz w:val="21"/>
          <w:szCs w:val="21"/>
          <w:lang w:val="en-US" w:eastAsia="zh-CN" w:bidi="ar-SA"/>
        </w:rPr>
        <w:t>考核通过后，按</w:t>
      </w:r>
      <w:r>
        <w:rPr>
          <w:rFonts w:hint="eastAsia" w:cs="Times New Roman"/>
          <w:b w:val="0"/>
          <w:bCs/>
          <w:color w:val="auto"/>
          <w:kern w:val="2"/>
          <w:sz w:val="21"/>
          <w:szCs w:val="21"/>
          <w:lang w:val="en-US" w:eastAsia="zh-CN" w:bidi="ar-SA"/>
        </w:rPr>
        <w:t>实际养护面积季度</w:t>
      </w:r>
      <w:r>
        <w:rPr>
          <w:rFonts w:hint="eastAsia" w:ascii="Times New Roman" w:hAnsi="Times New Roman" w:eastAsia="宋体" w:cs="Times New Roman"/>
          <w:b w:val="0"/>
          <w:bCs/>
          <w:color w:val="auto"/>
          <w:kern w:val="2"/>
          <w:sz w:val="21"/>
          <w:szCs w:val="21"/>
          <w:lang w:val="en-US" w:eastAsia="zh-CN" w:bidi="ar-SA"/>
        </w:rPr>
        <w:t>支付</w:t>
      </w:r>
      <w:r>
        <w:rPr>
          <w:rFonts w:hint="eastAsia" w:cs="Times New Roman"/>
          <w:b w:val="0"/>
          <w:bCs/>
          <w:color w:val="auto"/>
          <w:kern w:val="2"/>
          <w:sz w:val="21"/>
          <w:szCs w:val="21"/>
          <w:lang w:val="en-US" w:eastAsia="zh-CN" w:bidi="ar-SA"/>
        </w:rPr>
        <w:t>（严格参考本项目考核标准制度拨付）。</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四</w:t>
      </w:r>
      <w:r>
        <w:rPr>
          <w:rFonts w:hint="eastAsia" w:ascii="宋体" w:hAnsi="宋体" w:eastAsia="宋体" w:cs="宋体"/>
          <w:b/>
          <w:color w:val="auto"/>
          <w:sz w:val="21"/>
          <w:szCs w:val="21"/>
          <w:highlight w:val="none"/>
          <w:lang w:val="en-US" w:eastAsia="zh-CN"/>
        </w:rPr>
        <w:t>）售后</w:t>
      </w:r>
      <w:r>
        <w:rPr>
          <w:rFonts w:hint="eastAsia" w:ascii="宋体" w:hAnsi="宋体" w:eastAsia="宋体" w:cs="宋体"/>
          <w:b/>
          <w:color w:val="auto"/>
          <w:sz w:val="21"/>
          <w:szCs w:val="21"/>
          <w:highlight w:val="none"/>
          <w:lang w:eastAsia="zh-CN"/>
        </w:rPr>
        <w:t>服务</w:t>
      </w:r>
      <w:r>
        <w:rPr>
          <w:rFonts w:hint="eastAsia" w:ascii="宋体" w:hAnsi="宋体" w:eastAsia="宋体" w:cs="宋体"/>
          <w:b/>
          <w:color w:val="auto"/>
          <w:sz w:val="21"/>
          <w:szCs w:val="21"/>
          <w:highlight w:val="none"/>
        </w:rPr>
        <w:t>要求</w:t>
      </w:r>
    </w:p>
    <w:p>
      <w:pPr>
        <w:snapToGrid w:val="0"/>
        <w:spacing w:line="360" w:lineRule="auto"/>
        <w:ind w:firstLine="416" w:firstLineChars="196"/>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1、服务期：3 年。</w:t>
      </w:r>
    </w:p>
    <w:p>
      <w:pPr>
        <w:snapToGrid w:val="0"/>
        <w:spacing w:line="360" w:lineRule="auto"/>
        <w:ind w:firstLine="416" w:firstLineChars="196"/>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2、处理问题响应时间：承诺24 小时响应，必要时，接到通知后 30 分钟内到达采购人指定现场提供服务。</w:t>
      </w:r>
    </w:p>
    <w:p>
      <w:pPr>
        <w:snapToGrid w:val="0"/>
        <w:spacing w:line="360" w:lineRule="auto"/>
        <w:ind w:firstLine="416" w:firstLineChars="196"/>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3、投标人</w:t>
      </w:r>
      <w:r>
        <w:rPr>
          <w:rFonts w:hint="eastAsia" w:ascii="宋体" w:hAnsi="宋体" w:cs="宋体"/>
          <w:bCs/>
          <w:color w:val="auto"/>
          <w:kern w:val="2"/>
          <w:sz w:val="21"/>
          <w:szCs w:val="21"/>
          <w:lang w:val="en-US" w:eastAsia="zh-CN" w:bidi="ar-SA"/>
        </w:rPr>
        <w:t>须</w:t>
      </w:r>
      <w:r>
        <w:rPr>
          <w:rFonts w:hint="eastAsia" w:ascii="宋体" w:hAnsi="宋体" w:eastAsia="宋体" w:cs="宋体"/>
          <w:bCs/>
          <w:color w:val="auto"/>
          <w:kern w:val="2"/>
          <w:sz w:val="21"/>
          <w:szCs w:val="21"/>
          <w:lang w:val="en-US" w:eastAsia="zh-CN" w:bidi="ar-SA"/>
        </w:rPr>
        <w:t>提供项目养护人员名单</w:t>
      </w:r>
      <w:r>
        <w:rPr>
          <w:rFonts w:hint="eastAsia" w:ascii="宋体" w:hAnsi="宋体" w:cs="宋体"/>
          <w:bCs/>
          <w:color w:val="auto"/>
          <w:kern w:val="2"/>
          <w:sz w:val="21"/>
          <w:szCs w:val="21"/>
          <w:lang w:val="en-US" w:eastAsia="zh-CN" w:bidi="ar-SA"/>
        </w:rPr>
        <w:t>。</w:t>
      </w:r>
    </w:p>
    <w:p>
      <w:pPr>
        <w:spacing w:line="360" w:lineRule="auto"/>
        <w:jc w:val="left"/>
        <w:rPr>
          <w:rFonts w:hint="eastAsia" w:ascii="宋体" w:hAnsi="宋体" w:cs="宋体"/>
          <w:b/>
          <w:color w:val="auto"/>
          <w:szCs w:val="21"/>
        </w:rPr>
      </w:pPr>
      <w:r>
        <w:rPr>
          <w:rFonts w:hint="eastAsia" w:ascii="宋体" w:hAnsi="宋体" w:cs="宋体"/>
          <w:b/>
          <w:color w:val="auto"/>
          <w:szCs w:val="21"/>
        </w:rPr>
        <w:t>（</w:t>
      </w:r>
      <w:r>
        <w:rPr>
          <w:rFonts w:hint="eastAsia" w:ascii="宋体" w:hAnsi="宋体" w:cs="宋体"/>
          <w:b/>
          <w:color w:val="auto"/>
          <w:szCs w:val="21"/>
          <w:lang w:val="en-US" w:eastAsia="zh-CN"/>
        </w:rPr>
        <w:t>五</w:t>
      </w:r>
      <w:r>
        <w:rPr>
          <w:rFonts w:hint="eastAsia" w:ascii="宋体" w:hAnsi="宋体" w:cs="宋体"/>
          <w:b/>
          <w:color w:val="auto"/>
          <w:szCs w:val="21"/>
        </w:rPr>
        <w:t>）知识产权</w:t>
      </w:r>
    </w:p>
    <w:p>
      <w:pPr>
        <w:spacing w:line="360" w:lineRule="auto"/>
        <w:rPr>
          <w:rFonts w:hint="eastAsia" w:ascii="宋体" w:hAnsi="宋体" w:cs="宋体"/>
          <w:bCs/>
          <w:color w:val="auto"/>
          <w:szCs w:val="21"/>
        </w:rPr>
      </w:pPr>
      <w:r>
        <w:rPr>
          <w:rFonts w:hint="eastAsia" w:ascii="宋体" w:hAnsi="宋体" w:cs="宋体"/>
          <w:bCs/>
          <w:color w:val="auto"/>
          <w:szCs w:val="21"/>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pPr>
        <w:spacing w:line="360" w:lineRule="auto"/>
        <w:rPr>
          <w:rFonts w:hint="eastAsia" w:ascii="宋体" w:hAnsi="宋体" w:cs="宋体"/>
          <w:b/>
          <w:color w:val="auto"/>
          <w:szCs w:val="21"/>
        </w:rPr>
      </w:pPr>
      <w:r>
        <w:rPr>
          <w:rFonts w:hint="eastAsia" w:ascii="宋体" w:hAnsi="宋体" w:cs="宋体"/>
          <w:b/>
          <w:color w:val="auto"/>
          <w:szCs w:val="21"/>
        </w:rPr>
        <w:t>（</w:t>
      </w:r>
      <w:r>
        <w:rPr>
          <w:rFonts w:hint="eastAsia" w:ascii="宋体" w:hAnsi="宋体" w:cs="宋体"/>
          <w:b/>
          <w:color w:val="auto"/>
          <w:szCs w:val="21"/>
          <w:lang w:val="en-US" w:eastAsia="zh-CN"/>
        </w:rPr>
        <w:t>六</w:t>
      </w:r>
      <w:r>
        <w:rPr>
          <w:rFonts w:hint="eastAsia" w:ascii="宋体" w:hAnsi="宋体" w:cs="宋体"/>
          <w:b/>
          <w:color w:val="auto"/>
          <w:szCs w:val="21"/>
        </w:rPr>
        <w:t>）其他</w:t>
      </w:r>
    </w:p>
    <w:p>
      <w:pPr>
        <w:spacing w:line="360" w:lineRule="auto"/>
        <w:ind w:firstLine="426" w:firstLineChars="200"/>
        <w:rPr>
          <w:rFonts w:hint="eastAsia" w:ascii="宋体" w:hAnsi="宋体" w:cs="宋体"/>
          <w:bCs/>
          <w:color w:val="auto"/>
          <w:szCs w:val="21"/>
        </w:rPr>
      </w:pPr>
      <w:r>
        <w:rPr>
          <w:rFonts w:hint="eastAsia" w:ascii="宋体" w:hAnsi="宋体" w:cs="宋体"/>
          <w:bCs/>
          <w:color w:val="auto"/>
          <w:szCs w:val="21"/>
        </w:rPr>
        <w:t>1、投标人必须在投标文件中对以上条款和服务承诺明确列出，承诺内容必须达到本篇及招标文件其他条款的要求。</w:t>
      </w:r>
    </w:p>
    <w:p>
      <w:pPr>
        <w:spacing w:line="360" w:lineRule="auto"/>
        <w:ind w:firstLine="426" w:firstLineChars="200"/>
        <w:rPr>
          <w:rFonts w:hint="eastAsia" w:ascii="宋体" w:hAnsi="宋体" w:cs="宋体"/>
          <w:bCs/>
          <w:color w:val="auto"/>
          <w:szCs w:val="21"/>
        </w:rPr>
      </w:pPr>
      <w:r>
        <w:rPr>
          <w:rFonts w:hint="eastAsia" w:ascii="宋体" w:hAnsi="宋体" w:cs="宋体"/>
          <w:bCs/>
          <w:color w:val="auto"/>
          <w:szCs w:val="21"/>
        </w:rPr>
        <w:t>2、其他未尽事宜由供需双方在采购合同中详细约定。</w:t>
      </w:r>
    </w:p>
    <w:p>
      <w:pPr>
        <w:spacing w:line="360" w:lineRule="auto"/>
        <w:ind w:firstLine="426" w:firstLineChars="200"/>
        <w:rPr>
          <w:rFonts w:hint="eastAsia" w:ascii="宋体" w:hAnsi="宋体" w:cs="宋体"/>
          <w:bCs/>
          <w:color w:val="auto"/>
          <w:szCs w:val="21"/>
          <w:lang w:val="en-US" w:eastAsia="zh-CN"/>
        </w:rPr>
      </w:pPr>
      <w:r>
        <w:rPr>
          <w:rFonts w:hint="eastAsia" w:ascii="宋体" w:hAnsi="宋体" w:cs="宋体"/>
          <w:bCs/>
          <w:color w:val="auto"/>
          <w:szCs w:val="21"/>
          <w:lang w:val="en-US" w:eastAsia="zh-CN"/>
        </w:rPr>
        <w:t>3、投标人在服务期必须遵守安全生产事项、如：发生安全事故由投标人承担一切责任。</w:t>
      </w: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pStyle w:val="12"/>
        <w:ind w:left="0" w:leftChars="0" w:firstLine="0" w:firstLineChars="0"/>
        <w:rPr>
          <w:rFonts w:hint="eastAsia"/>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24" w:firstLineChars="800"/>
        <w:jc w:val="both"/>
        <w:textAlignment w:val="auto"/>
        <w:outlineLvl w:val="1"/>
        <w:rPr>
          <w:rFonts w:hint="eastAsia" w:ascii="宋体"/>
          <w:b/>
          <w:color w:val="auto"/>
          <w:sz w:val="30"/>
          <w:szCs w:val="30"/>
          <w:highlight w:val="none"/>
        </w:rPr>
      </w:pPr>
      <w:r>
        <w:rPr>
          <w:rFonts w:hint="eastAsia" w:ascii="宋体"/>
          <w:b/>
          <w:color w:val="auto"/>
          <w:sz w:val="30"/>
          <w:szCs w:val="30"/>
          <w:highlight w:val="none"/>
          <w:lang w:val="en-US" w:eastAsia="zh-CN"/>
        </w:rPr>
        <w:t xml:space="preserve">第五章 </w:t>
      </w:r>
      <w:r>
        <w:rPr>
          <w:rFonts w:hint="eastAsia" w:ascii="宋体"/>
          <w:b/>
          <w:color w:val="auto"/>
          <w:sz w:val="30"/>
          <w:szCs w:val="30"/>
          <w:highlight w:val="none"/>
        </w:rPr>
        <w:t xml:space="preserve"> 合同条款及格式</w:t>
      </w:r>
      <w:bookmarkEnd w:id="58"/>
      <w:bookmarkStart w:id="74" w:name="_Toc20669"/>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宋体" w:hAnsi="宋体" w:eastAsia="宋体" w:cs="宋体"/>
          <w:bCs/>
          <w:color w:val="auto"/>
          <w:szCs w:val="21"/>
          <w:lang w:val="en-US" w:eastAsia="zh-CN"/>
        </w:rPr>
      </w:pPr>
      <w:r>
        <w:rPr>
          <w:rFonts w:hint="eastAsia" w:ascii="宋体" w:hAnsi="宋体" w:eastAsia="宋体" w:cs="宋体"/>
          <w:color w:val="auto"/>
          <w:szCs w:val="21"/>
          <w:highlight w:val="none"/>
        </w:rPr>
        <w:t>（本合同为合同样稿，最终稿由供需双方协商后确定）</w:t>
      </w:r>
      <w:bookmarkEnd w:id="74"/>
      <w:bookmarkStart w:id="75" w:name="_Toc469495743"/>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甲方：</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乙方：</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根据《中华人民共和国合同法》及有关法律规定，遵循平等、自愿、公平和诚实信用的原则，双方就承包绿化养护事宜协商一致，共同达到如下协议。</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第一条 项目名称：</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第二条 养护内容：乔灌木、绿篱、草本植物的浇灌、修剪、</w:t>
      </w:r>
      <w:r>
        <w:rPr>
          <w:rFonts w:hint="eastAsia" w:ascii="宋体" w:hAnsi="宋体" w:cs="宋体"/>
          <w:bCs/>
          <w:color w:val="auto"/>
          <w:szCs w:val="21"/>
          <w:lang w:val="en-US" w:eastAsia="zh-CN"/>
        </w:rPr>
        <w:t>施</w:t>
      </w:r>
      <w:r>
        <w:rPr>
          <w:rFonts w:hint="eastAsia" w:ascii="宋体" w:hAnsi="宋体" w:eastAsia="宋体" w:cs="宋体"/>
          <w:bCs/>
          <w:color w:val="auto"/>
          <w:szCs w:val="21"/>
          <w:lang w:val="en-US" w:eastAsia="zh-CN"/>
        </w:rPr>
        <w:t>肥、去除枯死植株，草坪的杂草清除，树木扶正、病虫害防治和监测，植物防护、卫生管理等工作。</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第三条：养护时间：自   年 月 日起至   年 月  日止 。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第四条：  养护考核验收标准</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4.1 严格执行《 园林绿化养护要求》、《园林</w:t>
      </w:r>
      <w:r>
        <w:rPr>
          <w:rFonts w:hint="eastAsia" w:ascii="宋体" w:hAnsi="宋体" w:eastAsia="宋体" w:cs="宋体"/>
          <w:bCs/>
          <w:color w:val="auto"/>
          <w:szCs w:val="21"/>
          <w:lang w:val="en-US" w:eastAsia="zh-CN"/>
        </w:rPr>
        <w:fldChar w:fldCharType="begin"/>
      </w:r>
      <w:r>
        <w:rPr>
          <w:rFonts w:hint="eastAsia" w:ascii="宋体" w:hAnsi="宋体" w:eastAsia="宋体" w:cs="宋体"/>
          <w:bCs/>
          <w:color w:val="auto"/>
          <w:szCs w:val="21"/>
          <w:lang w:val="en-US" w:eastAsia="zh-CN"/>
        </w:rPr>
        <w:instrText xml:space="preserve"> HYPERLINK "http://www.fdcew.com/hypx/List_270.html" \t "_blank" </w:instrText>
      </w:r>
      <w:r>
        <w:rPr>
          <w:rFonts w:hint="eastAsia" w:ascii="宋体" w:hAnsi="宋体" w:eastAsia="宋体" w:cs="宋体"/>
          <w:bCs/>
          <w:color w:val="auto"/>
          <w:szCs w:val="21"/>
          <w:lang w:val="en-US" w:eastAsia="zh-CN"/>
        </w:rPr>
        <w:fldChar w:fldCharType="separate"/>
      </w:r>
      <w:r>
        <w:rPr>
          <w:rFonts w:hint="eastAsia" w:ascii="宋体" w:hAnsi="宋体" w:eastAsia="宋体" w:cs="宋体"/>
          <w:bCs/>
          <w:color w:val="auto"/>
          <w:szCs w:val="21"/>
          <w:lang w:val="en-US" w:eastAsia="zh-CN"/>
        </w:rPr>
        <w:t>绿化</w:t>
      </w:r>
      <w:r>
        <w:rPr>
          <w:rFonts w:hint="eastAsia" w:ascii="宋体" w:hAnsi="宋体" w:eastAsia="宋体" w:cs="宋体"/>
          <w:bCs/>
          <w:color w:val="auto"/>
          <w:szCs w:val="21"/>
          <w:lang w:val="en-US" w:eastAsia="zh-CN"/>
        </w:rPr>
        <w:fldChar w:fldCharType="end"/>
      </w:r>
      <w:r>
        <w:rPr>
          <w:rFonts w:hint="eastAsia" w:ascii="宋体" w:hAnsi="宋体" w:eastAsia="宋体" w:cs="宋体"/>
          <w:bCs/>
          <w:color w:val="auto"/>
          <w:szCs w:val="21"/>
          <w:lang w:val="en-US" w:eastAsia="zh-CN"/>
        </w:rPr>
        <w:t>养护管理考核办法》、《园林绿化养护管理评分细则》</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4.2  每季度养护费根据当季考核结果核算确定。</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第五条：合同价款及付款方式</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每年度养护费：          元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付款方式：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第六条  双方的权利和义务</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6.1甲方权力和义务：</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6.1.1甲方根据甲方绿化养护要求及乙方投标文件中的承诺，对乙方提供的服务及履行本合同情况实行验收考核。</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6.1.2甲方保证乙方绿化养护所需用水和电的畅通，养护期间所产生的水、电费由甲方承担。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6.1.3甲方发现养护质量达不到约定标准的，有权要求其无偿返工，并视情节给予1000元-5000元的处罚，造成不良后果的，由乙方承担相应的失职责任。并有权对乙方无正当理由拒绝的整改项目委托他人予以整改，所产生的费用从乙方的养护费中扣除。</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6.1.4因不可抗拒的因素（风、雨、雪、洪、震等自然灾害）造成植物死亡或设施损坏的，甲方有权要求乙方严格按照甲方的要求及时补种或恢复，费用由乙方承担。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6.1.5养护范围内场地、设施租赁收入由甲方收取。</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 xml:space="preserve">6.2乙方权力和义务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6.2.1乙方应认真履行合同，未经甲方批准不得将绿化养护项目进行分包或转包。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6.2.2乙方严格按照甲方的要求，管理好绿化用水和电，不得将其转为他用，私自外接水电、每次权扣除养护费1000-5000元/次，情节严重的可终止合同。</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6.2.3乙方须认真按照园林绿化行业标准、规范及本合同条款，高标准管理好承担的绿化管护任务。并接受甲方的管理、监督、检查和考核，对甲方发出的养护指令或整改通知，及时按要求落实。</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6.2.4乙方应建立健全生产管理和安全保障制度及应急预案，并符合国家或本地区的要求。因管理不到或操作不当造成的安全事故而造成的损失，由乙方承担责任，造成严重后果的，甲方有权终止合同。</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6.2.5 乙方因管理不善造成植物死亡或缺失以及设施损坏的，乙方应及时恢复，所需费用全部由乙方承担。</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6.2.6乙方负责承担绿化养护工作人员的劳动保护和人身安全、薪酬、福利、社会保险、税金及其它一切费用。</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七、绿化养护基本要求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7.1 为确保养护质量，乙方需对成交后的绿地落实专人进行动态养护管理，统一着装上岗，全天候作业。</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7.2养护过程中，乙方必须采取周密的安全措施，以避免对人身和财产的损害。如因乙方操作不当、养护不当（如蛀干害虫未及时防治引起枝条砸落）或管理不善而造成人身伤害或财产损失的，由乙方自行承担。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7.3 因不可抗拒因素（如由于大风、暴雨、大雪等自然灾害引起树木突然倒塌，碰线、非养护原因造成的树枝伤人、伤物），乙方在接到甲方通知后应迅速组织力量，半小时内到达现场并及时处理，处理费用甲方按实另行核算。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7.4 对于乙方养护期间由于养护工作不能及时完成，且造成较大影响的，甲方有权安排第三方进行养护，所发生的费用从乙方季度养护费中扣除。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7.5乙方养护期间的乔灌花草保存率低于要求的，必须在适合的季节及时补植同品种、同规格的苗木，并确保成活。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7.6乙方对所承包绿地发生的病、虫、草害要及时进行上报，并按照甲方的要求及时进行防治。如控制不及时，漫延面积超过单块绿地面积的30%以上的，每次扣除养护费10000元。</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7.7养护范围之外的突击性、突发性工作，乙方须服从甲方的安排，不得无故拖延。 </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7.8承包范围内的场地、设施未经甲方同意，乙方不得出租转让牟利。</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第八条  其他</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未尽事宜，甲乙双方协商解决，并作书面补充协议，补充协议与本合同具有同等效力。本合同一式六份，具有同等效力，双经双方盖章后生效。</w:t>
      </w:r>
    </w:p>
    <w:p>
      <w:pPr>
        <w:spacing w:line="360" w:lineRule="auto"/>
        <w:ind w:firstLine="426" w:firstLineChars="200"/>
        <w:rPr>
          <w:rFonts w:hint="eastAsia" w:ascii="宋体" w:hAnsi="宋体" w:eastAsia="宋体" w:cs="宋体"/>
          <w:bCs/>
          <w:color w:val="auto"/>
          <w:szCs w:val="21"/>
          <w:lang w:val="en-US" w:eastAsia="zh-CN"/>
        </w:rPr>
      </w:pPr>
    </w:p>
    <w:p>
      <w:pPr>
        <w:spacing w:line="360" w:lineRule="auto"/>
        <w:ind w:firstLine="426" w:firstLineChars="200"/>
        <w:rPr>
          <w:rFonts w:hint="eastAsia" w:ascii="宋体" w:hAnsi="宋体" w:eastAsia="宋体" w:cs="宋体"/>
          <w:bCs/>
          <w:color w:val="auto"/>
          <w:szCs w:val="21"/>
          <w:lang w:val="en-US" w:eastAsia="zh-CN"/>
        </w:rPr>
      </w:pP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甲方（盖章）：                 乙方（盖章）：</w:t>
      </w:r>
    </w:p>
    <w:p>
      <w:pPr>
        <w:spacing w:line="360" w:lineRule="auto"/>
        <w:ind w:firstLine="426" w:firstLineChars="200"/>
        <w:rPr>
          <w:rFonts w:hint="eastAsia" w:ascii="宋体" w:hAnsi="宋体" w:eastAsia="宋体" w:cs="宋体"/>
          <w:bCs/>
          <w:color w:val="auto"/>
          <w:szCs w:val="21"/>
          <w:lang w:val="en-US" w:eastAsia="zh-CN"/>
        </w:rPr>
      </w:pP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法定代表人：                  法定代表人：</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委托代理人：                  委托代理人：</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电      话：                  电      话：</w:t>
      </w:r>
    </w:p>
    <w:p>
      <w:pPr>
        <w:spacing w:line="360" w:lineRule="auto"/>
        <w:ind w:firstLine="426" w:firstLineChars="200"/>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年  月  日                    年  月  日</w:t>
      </w:r>
    </w:p>
    <w:p>
      <w:pPr>
        <w:pageBreakBefore/>
        <w:shd w:val="clear" w:color="auto" w:fill="auto"/>
        <w:jc w:val="center"/>
        <w:outlineLvl w:val="0"/>
        <w:rPr>
          <w:rFonts w:hint="eastAsia" w:ascii="宋体"/>
          <w:b/>
          <w:color w:val="auto"/>
          <w:sz w:val="30"/>
          <w:szCs w:val="30"/>
          <w:highlight w:val="none"/>
        </w:rPr>
      </w:pPr>
      <w:r>
        <w:rPr>
          <w:rFonts w:hint="eastAsia" w:ascii="宋体"/>
          <w:b/>
          <w:color w:val="auto"/>
          <w:sz w:val="30"/>
          <w:szCs w:val="30"/>
          <w:highlight w:val="none"/>
        </w:rPr>
        <w:t>第六章  投标文件格式</w:t>
      </w:r>
      <w:bookmarkEnd w:id="75"/>
    </w:p>
    <w:p>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pPr>
        <w:pStyle w:val="4"/>
        <w:numPr>
          <w:ilvl w:val="0"/>
          <w:numId w:val="0"/>
        </w:numPr>
        <w:shd w:val="clear" w:color="auto" w:fill="auto"/>
        <w:spacing w:before="0" w:line="240" w:lineRule="atLeast"/>
        <w:rPr>
          <w:rFonts w:hint="eastAsia" w:ascii="宋体" w:hAnsi="宋体" w:eastAsia="宋体" w:cs="宋体"/>
          <w:color w:val="auto"/>
          <w:sz w:val="24"/>
          <w:highlight w:val="none"/>
        </w:rPr>
      </w:pPr>
      <w:bookmarkStart w:id="76" w:name="_Toc515647803"/>
      <w:bookmarkStart w:id="77" w:name="_Toc18974"/>
      <w:bookmarkStart w:id="78" w:name="_Toc8919"/>
      <w:bookmarkStart w:id="79" w:name="_Toc18694"/>
      <w:r>
        <w:rPr>
          <w:rFonts w:hint="eastAsia" w:ascii="宋体" w:hAnsi="宋体" w:eastAsia="宋体" w:cs="宋体"/>
          <w:b/>
          <w:bCs/>
          <w:color w:val="auto"/>
          <w:sz w:val="24"/>
          <w:highlight w:val="none"/>
        </w:rPr>
        <w:t>第一部分 资格证明文件</w:t>
      </w:r>
      <w:bookmarkEnd w:id="76"/>
      <w:bookmarkEnd w:id="77"/>
      <w:bookmarkEnd w:id="78"/>
      <w:bookmarkEnd w:id="79"/>
    </w:p>
    <w:p>
      <w:pPr>
        <w:shd w:val="clear" w:color="auto" w:fill="auto"/>
        <w:spacing w:line="240" w:lineRule="atLeast"/>
        <w:ind w:left="708" w:hanging="716" w:hangingChars="295"/>
        <w:jc w:val="center"/>
        <w:rPr>
          <w:rFonts w:hint="eastAsia" w:ascii="宋体" w:hAnsi="宋体" w:eastAsia="宋体" w:cs="宋体"/>
          <w:color w:val="auto"/>
          <w:sz w:val="24"/>
          <w:highlight w:val="none"/>
        </w:rPr>
      </w:pP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1、法人或者非法人组织的营业执照等证明文件复印件（须加盖本单位章）或自然人的身份证明复印件;</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2、法定代表人资格证明书</w:t>
      </w:r>
      <w:r>
        <w:rPr>
          <w:rFonts w:hint="eastAsia" w:ascii="宋体" w:hAnsi="宋体" w:cs="Times New Roman"/>
          <w:color w:val="auto"/>
          <w:szCs w:val="21"/>
          <w:highlight w:val="none"/>
          <w:lang w:val="en-US" w:eastAsia="zh-CN"/>
        </w:rPr>
        <w:t>；</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3、法定代表人授权书</w:t>
      </w:r>
      <w:r>
        <w:rPr>
          <w:rFonts w:hint="eastAsia" w:ascii="宋体" w:hAnsi="宋体" w:cs="Times New Roman"/>
          <w:color w:val="auto"/>
          <w:szCs w:val="21"/>
          <w:highlight w:val="none"/>
          <w:lang w:val="en-US" w:eastAsia="zh-CN"/>
        </w:rPr>
        <w:t>；</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4、投标保证金收据或</w:t>
      </w:r>
      <w:r>
        <w:rPr>
          <w:rFonts w:hint="eastAsia" w:ascii="宋体" w:hAnsi="宋体" w:eastAsia="宋体" w:cs="Times New Roman"/>
          <w:color w:val="auto"/>
          <w:szCs w:val="21"/>
          <w:lang w:val="en-US" w:eastAsia="zh-CN"/>
        </w:rPr>
        <w:t>加盖阿图什市</w:t>
      </w:r>
      <w:r>
        <w:rPr>
          <w:rFonts w:hint="eastAsia" w:ascii="宋体" w:hAnsi="宋体" w:eastAsia="宋体" w:cs="Times New Roman"/>
          <w:color w:val="auto"/>
          <w:sz w:val="21"/>
          <w:szCs w:val="21"/>
          <w:highlight w:val="none"/>
          <w:lang w:val="en-US" w:eastAsia="zh-CN"/>
        </w:rPr>
        <w:t>政</w:t>
      </w:r>
      <w:r>
        <w:rPr>
          <w:rFonts w:hint="eastAsia" w:ascii="宋体" w:hAnsi="宋体" w:eastAsia="宋体" w:cs="Times New Roman"/>
          <w:color w:val="auto"/>
          <w:szCs w:val="21"/>
          <w:lang w:val="en-US" w:eastAsia="zh-CN"/>
        </w:rPr>
        <w:t>资中心财务专用章的银行回单</w:t>
      </w:r>
      <w:r>
        <w:rPr>
          <w:rFonts w:hint="eastAsia" w:ascii="宋体" w:hAnsi="宋体" w:eastAsia="宋体" w:cs="Times New Roman"/>
          <w:color w:val="auto"/>
          <w:szCs w:val="21"/>
          <w:highlight w:val="none"/>
          <w:lang w:val="en-US" w:eastAsia="zh-CN"/>
        </w:rPr>
        <w:t>或投标担保函；</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5</w:t>
      </w:r>
      <w:r>
        <w:rPr>
          <w:rFonts w:hint="eastAsia" w:ascii="宋体" w:hAnsi="宋体" w:eastAsia="宋体" w:cs="Times New Roman"/>
          <w:color w:val="auto"/>
          <w:szCs w:val="21"/>
          <w:highlight w:val="none"/>
          <w:lang w:val="en-US" w:eastAsia="zh-CN"/>
        </w:rPr>
        <w:t>、参加政府采购活动前3年内在经营活动中没有重大违法记录的书面声明;</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6</w:t>
      </w:r>
      <w:r>
        <w:rPr>
          <w:rFonts w:hint="eastAsia" w:ascii="宋体" w:hAnsi="宋体" w:eastAsia="宋体" w:cs="Times New Roman"/>
          <w:color w:val="auto"/>
          <w:szCs w:val="21"/>
          <w:highlight w:val="none"/>
          <w:lang w:val="en-US"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440" w:lineRule="exact"/>
        <w:ind w:firstLine="287" w:firstLineChars="135"/>
        <w:rPr>
          <w:rFonts w:hint="eastAsia"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7</w:t>
      </w:r>
      <w:r>
        <w:rPr>
          <w:rFonts w:hint="eastAsia" w:ascii="宋体" w:hAnsi="宋体" w:eastAsia="宋体" w:cs="Times New Roman"/>
          <w:color w:val="auto"/>
          <w:szCs w:val="21"/>
          <w:highlight w:val="none"/>
          <w:lang w:val="en-US" w:eastAsia="zh-CN"/>
        </w:rPr>
        <w:t>、投标人须知资料表要求的其他资格证明文件;</w:t>
      </w: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pStyle w:val="5"/>
        <w:rPr>
          <w:rFonts w:hint="eastAsia" w:ascii="宋体" w:hAnsi="宋体" w:eastAsia="宋体" w:cs="宋体"/>
          <w:color w:val="auto"/>
          <w:sz w:val="24"/>
          <w:highlight w:val="none"/>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shd w:val="clear" w:color="auto" w:fill="auto"/>
        <w:tabs>
          <w:tab w:val="left" w:pos="5580"/>
        </w:tabs>
        <w:spacing w:line="240" w:lineRule="atLeast"/>
        <w:ind w:left="1" w:firstLine="571" w:firstLineChars="235"/>
        <w:rPr>
          <w:rFonts w:hint="eastAsia" w:ascii="宋体" w:hAnsi="宋体" w:eastAsia="宋体" w:cs="宋体"/>
          <w:color w:val="auto"/>
          <w:sz w:val="24"/>
          <w:highlight w:val="none"/>
        </w:rPr>
      </w:pPr>
    </w:p>
    <w:p>
      <w:pPr>
        <w:pStyle w:val="4"/>
        <w:pageBreakBefore w:val="0"/>
        <w:widowControl w:val="0"/>
        <w:numPr>
          <w:ilvl w:val="0"/>
          <w:numId w:val="0"/>
        </w:numPr>
        <w:shd w:val="clear" w:color="auto" w:fill="auto"/>
        <w:kinsoku/>
        <w:wordWrap/>
        <w:overflowPunct/>
        <w:topLinePunct w:val="0"/>
        <w:autoSpaceDE/>
        <w:autoSpaceDN/>
        <w:bidi w:val="0"/>
        <w:snapToGrid/>
        <w:spacing w:before="0" w:line="400" w:lineRule="exact"/>
        <w:jc w:val="center"/>
        <w:rPr>
          <w:rFonts w:hint="eastAsia" w:ascii="宋体" w:hAnsi="宋体" w:eastAsia="宋体" w:cs="宋体"/>
          <w:b/>
          <w:bCs/>
          <w:color w:val="auto"/>
          <w:sz w:val="24"/>
          <w:highlight w:val="none"/>
        </w:rPr>
      </w:pPr>
      <w:bookmarkStart w:id="80" w:name="_Toc515647805"/>
      <w:bookmarkStart w:id="81" w:name="_Toc17577"/>
      <w:bookmarkStart w:id="82" w:name="_Toc29899"/>
      <w:bookmarkStart w:id="83" w:name="_Toc4844"/>
      <w:bookmarkStart w:id="84" w:name="_Toc480942349"/>
      <w:bookmarkStart w:id="85" w:name="_Toc216582813"/>
      <w:bookmarkStart w:id="86" w:name="_Toc520356217"/>
      <w:bookmarkStart w:id="87" w:name="_Ref467988698"/>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rPr>
        <w:t xml:space="preserve"> 法人或者非法人组织的营业执照等证明文件</w:t>
      </w:r>
      <w:bookmarkEnd w:id="80"/>
      <w:bookmarkStart w:id="88" w:name="_Toc515647806"/>
      <w:r>
        <w:rPr>
          <w:rFonts w:hint="eastAsia" w:ascii="宋体" w:hAnsi="宋体" w:eastAsia="宋体" w:cs="宋体"/>
          <w:b/>
          <w:bCs/>
          <w:color w:val="auto"/>
          <w:sz w:val="24"/>
          <w:highlight w:val="none"/>
        </w:rPr>
        <w:t>或自然人的身份证明</w:t>
      </w:r>
      <w:bookmarkEnd w:id="81"/>
      <w:bookmarkEnd w:id="82"/>
      <w:bookmarkEnd w:id="83"/>
      <w:bookmarkEnd w:id="88"/>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jc w:val="both"/>
        <w:rPr>
          <w:rFonts w:hint="eastAsia" w:ascii="宋体" w:hAnsi="宋体" w:eastAsia="宋体" w:cs="宋体"/>
          <w:b/>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b/>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b/>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说明：1.提供有效的营业执照等证明文件复印件，复印件上应加盖本单位章。</w:t>
      </w: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 投标人为自然人的，应提供身份证明的复印件。</w:t>
      </w: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宋体" w:hAnsi="宋体" w:eastAsia="宋体" w:cs="宋体"/>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rPr>
          <w:rFonts w:hint="eastAsia" w:ascii="宋体" w:hAnsi="宋体" w:eastAsia="宋体" w:cs="宋体"/>
          <w:color w:val="auto"/>
          <w:sz w:val="24"/>
          <w:highlight w:val="none"/>
        </w:rPr>
      </w:pPr>
    </w:p>
    <w:p>
      <w:pPr>
        <w:pStyle w:val="14"/>
        <w:pageBreakBefore w:val="0"/>
        <w:widowControl w:val="0"/>
        <w:shd w:val="clear" w:color="auto" w:fill="auto"/>
        <w:tabs>
          <w:tab w:val="left" w:pos="5580"/>
        </w:tabs>
        <w:kinsoku/>
        <w:wordWrap/>
        <w:overflowPunct/>
        <w:topLinePunct w:val="0"/>
        <w:autoSpaceDE/>
        <w:autoSpaceDN/>
        <w:bidi w:val="0"/>
        <w:snapToGrid/>
        <w:spacing w:line="400" w:lineRule="exac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rPr>
          <w:rFonts w:hint="eastAsia" w:ascii="宋体" w:hAnsi="宋体" w:eastAsia="宋体" w:cs="宋体"/>
          <w:color w:val="auto"/>
          <w:sz w:val="24"/>
          <w:highlight w:val="none"/>
        </w:rPr>
      </w:pPr>
    </w:p>
    <w:p>
      <w:pPr>
        <w:pStyle w:val="14"/>
        <w:shd w:val="clear" w:color="auto" w:fill="auto"/>
        <w:tabs>
          <w:tab w:val="left" w:pos="5580"/>
        </w:tabs>
        <w:spacing w:line="240" w:lineRule="atLeast"/>
        <w:ind w:left="1087" w:leftChars="257" w:hanging="540"/>
        <w:jc w:val="center"/>
        <w:rPr>
          <w:rFonts w:hint="eastAsia" w:ascii="宋体" w:hAnsi="宋体" w:eastAsia="宋体" w:cs="宋体"/>
          <w:color w:val="auto"/>
          <w:sz w:val="24"/>
          <w:highlight w:val="none"/>
        </w:rPr>
      </w:pPr>
      <w:bookmarkStart w:id="89" w:name="_Toc515647808"/>
      <w:bookmarkStart w:id="90" w:name="_Toc32520"/>
      <w:bookmarkStart w:id="91" w:name="_Toc7039"/>
    </w:p>
    <w:p>
      <w:pPr>
        <w:pStyle w:val="4"/>
        <w:numPr>
          <w:ilvl w:val="0"/>
          <w:numId w:val="0"/>
        </w:numPr>
        <w:shd w:val="clear" w:color="auto" w:fill="auto"/>
        <w:spacing w:before="0" w:line="240" w:lineRule="atLeast"/>
        <w:ind w:leftChars="257"/>
        <w:rPr>
          <w:rFonts w:hint="eastAsia" w:ascii="宋体" w:hAnsi="宋体" w:eastAsia="宋体" w:cs="宋体"/>
          <w:color w:val="auto"/>
          <w:sz w:val="24"/>
          <w:highlight w:val="none"/>
        </w:rPr>
      </w:pPr>
      <w:bookmarkStart w:id="92" w:name="_Toc515647807"/>
      <w:bookmarkStart w:id="93" w:name="_Toc23503"/>
      <w:bookmarkStart w:id="94" w:name="_Toc22472"/>
      <w:bookmarkStart w:id="95" w:name="_Toc1083"/>
    </w:p>
    <w:p>
      <w:pPr>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9"/>
        <w:shd w:val="clear" w:color="auto" w:fill="auto"/>
        <w:rPr>
          <w:rFonts w:hint="eastAsia" w:ascii="宋体" w:hAnsi="宋体" w:eastAsia="宋体" w:cs="宋体"/>
          <w:color w:val="auto"/>
          <w:sz w:val="24"/>
          <w:highlight w:val="none"/>
        </w:rPr>
      </w:pPr>
    </w:p>
    <w:p>
      <w:pPr>
        <w:pStyle w:val="4"/>
        <w:numPr>
          <w:ilvl w:val="0"/>
          <w:numId w:val="0"/>
        </w:numPr>
        <w:shd w:val="clear" w:color="auto" w:fill="auto"/>
        <w:spacing w:before="0" w:line="240" w:lineRule="atLeast"/>
        <w:jc w:val="center"/>
        <w:rPr>
          <w:rFonts w:hint="eastAsia" w:ascii="宋体" w:hAnsi="宋体" w:eastAsia="宋体" w:cs="宋体"/>
          <w:b w:val="0"/>
          <w:color w:val="auto"/>
          <w:sz w:val="24"/>
          <w:highlight w:val="none"/>
          <w:u w:val="single"/>
        </w:rPr>
      </w:pPr>
      <w:bookmarkStart w:id="96" w:name="_Toc30244"/>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 xml:space="preserve"> </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法定代表人资格证明书</w:t>
      </w:r>
    </w:p>
    <w:p>
      <w:pPr>
        <w:adjustRightInd w:val="0"/>
        <w:snapToGrid w:val="0"/>
        <w:spacing w:before="240" w:beforeLines="100" w:after="240" w:afterLines="100"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同志，现任我单位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职务，为法定代表人，特此证明。</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签发日期：                  单位：           （盖章）</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附：代表人性别：            年龄：           身份证号码：</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营业执照号码：              经济性质：</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1、法定代表人为企业事业单位、国家机关、社会团体的主要行政负责人。</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2、内容必须填写真实、清楚、涂改无效，不得转让。</w:t>
      </w:r>
    </w:p>
    <w:p>
      <w:pPr>
        <w:spacing w:line="500" w:lineRule="exact"/>
        <w:ind w:firstLine="213"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3、将此证明书原件提交采购代理机构作为投标文件附件。</w:t>
      </w:r>
    </w:p>
    <w:p>
      <w:pPr>
        <w:spacing w:line="5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(为避免废标，请投标人务必提供本附件)</w:t>
      </w:r>
    </w:p>
    <w:p>
      <w:pPr>
        <w:spacing w:line="500" w:lineRule="exact"/>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67456" behindDoc="0" locked="0" layoutInCell="1" allowOverlap="1">
                <wp:simplePos x="0" y="0"/>
                <wp:positionH relativeFrom="column">
                  <wp:posOffset>398780</wp:posOffset>
                </wp:positionH>
                <wp:positionV relativeFrom="paragraph">
                  <wp:posOffset>38100</wp:posOffset>
                </wp:positionV>
                <wp:extent cx="2333625" cy="1584325"/>
                <wp:effectExtent l="4445" t="4445" r="5080" b="11430"/>
                <wp:wrapNone/>
                <wp:docPr id="10" name="流程图: 可选过程 1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7456;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cS+LcykCAABSBAAADgAAAAAAAAABACAAAAAlAQAAZHJzL2Uyb0RvYy54bWxQSwUGAAAA&#10;AAYABgBZAQAAwA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宋体" w:hAnsi="宋体" w:eastAsia="宋体" w:cs="宋体"/>
          <w:color w:val="auto"/>
          <w:sz w:val="24"/>
          <w:szCs w:val="24"/>
          <w:highlight w:val="none"/>
        </w:rPr>
        <mc:AlternateContent>
          <mc:Choice Requires="wps">
            <w:drawing>
              <wp:anchor distT="0" distB="0" distL="114300" distR="114300" simplePos="0" relativeHeight="251668480" behindDoc="0" locked="0" layoutInCell="1" allowOverlap="1">
                <wp:simplePos x="0" y="0"/>
                <wp:positionH relativeFrom="column">
                  <wp:posOffset>3226435</wp:posOffset>
                </wp:positionH>
                <wp:positionV relativeFrom="paragraph">
                  <wp:posOffset>34290</wp:posOffset>
                </wp:positionV>
                <wp:extent cx="2333625" cy="1584325"/>
                <wp:effectExtent l="4445" t="4445" r="5080" b="11430"/>
                <wp:wrapNone/>
                <wp:docPr id="11" name="流程图: 可选过程 1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8480;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oTxGHYAAAACQEAAA8AAAAAAAAAAQAgAAAAIgAAAGRycy9kb3ducmV2LnhtbFBLAQIUABQA&#10;AAAIAIdO4kAB7+mmKQIAAFIEAAAOAAAAAAAAAAEAIAAAACcBAABkcnMvZTJvRG9jLnhtbFBLBQYA&#10;AAAABgAGAFkBAADC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pPr>
        <w:spacing w:line="500" w:lineRule="exact"/>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p>
    <w:p>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宋体" w:hAnsi="宋体" w:eastAsia="宋体" w:cs="宋体"/>
          <w:color w:val="auto"/>
          <w:sz w:val="24"/>
          <w:szCs w:val="24"/>
          <w:highlight w:val="none"/>
        </w:rPr>
      </w:pPr>
    </w:p>
    <w:p>
      <w:pPr>
        <w:spacing w:line="500" w:lineRule="exact"/>
        <w:jc w:val="center"/>
        <w:rPr>
          <w:rFonts w:hint="eastAsia" w:ascii="宋体" w:hAnsi="宋体" w:eastAsia="宋体" w:cs="宋体"/>
          <w:color w:val="auto"/>
          <w:sz w:val="24"/>
          <w:szCs w:val="24"/>
          <w:highlight w:val="none"/>
        </w:rPr>
      </w:pPr>
    </w:p>
    <w:p>
      <w:pPr>
        <w:autoSpaceDE w:val="0"/>
        <w:autoSpaceDN w:val="0"/>
        <w:adjustRightInd w:val="0"/>
        <w:spacing w:line="500" w:lineRule="exact"/>
        <w:ind w:right="246" w:firstLine="793" w:firstLineChars="327"/>
        <w:rPr>
          <w:rFonts w:hint="eastAsia" w:ascii="宋体" w:hAnsi="宋体" w:eastAsia="宋体" w:cs="宋体"/>
          <w:color w:val="auto"/>
          <w:kern w:val="0"/>
          <w:sz w:val="24"/>
          <w:szCs w:val="24"/>
          <w:highlight w:val="none"/>
        </w:rPr>
      </w:pPr>
    </w:p>
    <w:p>
      <w:pPr>
        <w:pStyle w:val="14"/>
        <w:shd w:val="clear" w:color="auto" w:fill="auto"/>
        <w:tabs>
          <w:tab w:val="left" w:pos="5580"/>
        </w:tabs>
        <w:spacing w:line="240" w:lineRule="atLeast"/>
        <w:ind w:firstLine="426"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 xml:space="preserve">                           </w:t>
      </w:r>
    </w:p>
    <w:p>
      <w:pPr>
        <w:pStyle w:val="14"/>
        <w:shd w:val="clear" w:color="auto" w:fill="auto"/>
        <w:tabs>
          <w:tab w:val="left" w:pos="5580"/>
        </w:tabs>
        <w:spacing w:line="240" w:lineRule="atLeast"/>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法定代表人（签字或签章）：</w:t>
      </w:r>
      <w:r>
        <w:rPr>
          <w:rFonts w:hint="eastAsia" w:ascii="宋体" w:hAnsi="宋体" w:eastAsia="宋体" w:cs="宋体"/>
          <w:color w:val="auto"/>
          <w:sz w:val="21"/>
          <w:szCs w:val="21"/>
          <w:highlight w:val="none"/>
          <w:u w:val="single"/>
        </w:rPr>
        <w:t xml:space="preserve">                     </w:t>
      </w:r>
    </w:p>
    <w:p>
      <w:pPr>
        <w:shd w:val="clear" w:color="auto" w:fill="auto"/>
        <w:spacing w:line="360" w:lineRule="auto"/>
        <w:ind w:firstLine="426" w:firstLineChars="200"/>
        <w:jc w:val="left"/>
        <w:rPr>
          <w:rFonts w:hint="eastAsia" w:ascii="宋体" w:hAnsi="宋体" w:eastAsia="宋体" w:cs="宋体"/>
          <w:color w:val="auto"/>
          <w:kern w:val="2"/>
          <w:sz w:val="21"/>
          <w:szCs w:val="21"/>
          <w:highlight w:val="none"/>
          <w:u w:val="none" w:color="000000"/>
          <w:lang w:val="en-US" w:eastAsia="zh-CN" w:bidi="ar-SA"/>
        </w:rPr>
      </w:pPr>
      <w:r>
        <w:rPr>
          <w:rFonts w:hint="eastAsia" w:ascii="宋体" w:hAnsi="宋体" w:eastAsia="宋体" w:cs="宋体"/>
          <w:color w:val="auto"/>
          <w:kern w:val="2"/>
          <w:sz w:val="21"/>
          <w:szCs w:val="21"/>
          <w:highlight w:val="none"/>
          <w:u w:val="none" w:color="000000"/>
          <w:lang w:val="en-US" w:eastAsia="zh-CN" w:bidi="ar-SA"/>
        </w:rPr>
        <w:t xml:space="preserve">年   月   日 </w:t>
      </w:r>
    </w:p>
    <w:p>
      <w:pPr>
        <w:spacing w:line="500" w:lineRule="exact"/>
        <w:jc w:val="center"/>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pStyle w:val="49"/>
        <w:rPr>
          <w:rFonts w:hint="eastAsia" w:ascii="宋体" w:hAnsi="宋体" w:eastAsia="宋体" w:cs="宋体"/>
          <w:b/>
          <w:color w:val="auto"/>
          <w:sz w:val="28"/>
          <w:szCs w:val="28"/>
          <w:highlight w:val="none"/>
        </w:rPr>
      </w:pPr>
    </w:p>
    <w:p>
      <w:pPr>
        <w:spacing w:line="500" w:lineRule="exact"/>
        <w:jc w:val="center"/>
        <w:rPr>
          <w:rFonts w:hint="eastAsia" w:ascii="宋体" w:hAnsi="宋体" w:eastAsia="宋体" w:cs="宋体"/>
          <w:b/>
          <w:color w:val="auto"/>
          <w:sz w:val="28"/>
          <w:szCs w:val="28"/>
          <w:highlight w:val="none"/>
        </w:rPr>
      </w:pPr>
    </w:p>
    <w:p>
      <w:pPr>
        <w:spacing w:line="500" w:lineRule="exact"/>
        <w:jc w:val="center"/>
        <w:rPr>
          <w:rFonts w:hint="eastAsia" w:ascii="宋体" w:hAnsi="宋体" w:eastAsia="宋体" w:cs="宋体"/>
          <w:b/>
          <w:color w:val="auto"/>
          <w:sz w:val="28"/>
          <w:szCs w:val="28"/>
          <w:highlight w:val="none"/>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 xml:space="preserve"> </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法定代表人授权委托书</w:t>
      </w:r>
      <w:bookmarkEnd w:id="92"/>
      <w:bookmarkEnd w:id="93"/>
      <w:bookmarkEnd w:id="94"/>
      <w:bookmarkEnd w:id="95"/>
      <w:bookmarkEnd w:id="96"/>
    </w:p>
    <w:p>
      <w:pPr>
        <w:pStyle w:val="14"/>
        <w:shd w:val="clear" w:color="auto" w:fill="auto"/>
        <w:spacing w:line="240" w:lineRule="atLeast"/>
        <w:ind w:left="1087" w:leftChars="257" w:hanging="54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cr/>
      </w:r>
    </w:p>
    <w:p>
      <w:pPr>
        <w:pStyle w:val="14"/>
        <w:shd w:val="clear" w:color="auto" w:fill="auto"/>
        <w:tabs>
          <w:tab w:val="left" w:pos="5580"/>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0"/>
          <w:highlight w:val="none"/>
        </w:rPr>
        <w:t xml:space="preserve">   </w:t>
      </w:r>
      <w:r>
        <w:rPr>
          <w:rFonts w:hint="eastAsia" w:ascii="宋体" w:hAnsi="宋体" w:eastAsia="宋体" w:cs="宋体"/>
          <w:color w:val="auto"/>
          <w:sz w:val="22"/>
          <w:szCs w:val="18"/>
          <w:highlight w:val="none"/>
        </w:rPr>
        <w:t>本授权书声明</w:t>
      </w:r>
      <w:r>
        <w:rPr>
          <w:rFonts w:hint="eastAsia" w:ascii="宋体" w:hAnsi="宋体" w:eastAsia="宋体" w:cs="宋体"/>
          <w:i w:val="0"/>
          <w:iCs w:val="0"/>
          <w:color w:val="auto"/>
          <w:sz w:val="22"/>
          <w:szCs w:val="18"/>
          <w:highlight w:val="none"/>
        </w:rPr>
        <w:t>：注册于</w:t>
      </w:r>
      <w:r>
        <w:rPr>
          <w:rFonts w:hint="eastAsia" w:ascii="宋体" w:hAnsi="宋体" w:eastAsia="宋体" w:cs="宋体"/>
          <w:i w:val="0"/>
          <w:iCs w:val="0"/>
          <w:color w:val="auto"/>
          <w:sz w:val="22"/>
          <w:szCs w:val="18"/>
          <w:highlight w:val="none"/>
          <w:u w:val="single"/>
        </w:rPr>
        <w:t>（国家或地区的名称）</w:t>
      </w:r>
      <w:r>
        <w:rPr>
          <w:rFonts w:hint="eastAsia" w:ascii="宋体" w:hAnsi="宋体" w:eastAsia="宋体" w:cs="宋体"/>
          <w:i w:val="0"/>
          <w:iCs w:val="0"/>
          <w:color w:val="auto"/>
          <w:sz w:val="22"/>
          <w:szCs w:val="18"/>
          <w:highlight w:val="none"/>
        </w:rPr>
        <w:t>的（</w:t>
      </w:r>
      <w:r>
        <w:rPr>
          <w:rFonts w:hint="eastAsia" w:ascii="宋体" w:hAnsi="宋体" w:eastAsia="宋体" w:cs="宋体"/>
          <w:i w:val="0"/>
          <w:iCs w:val="0"/>
          <w:color w:val="auto"/>
          <w:sz w:val="22"/>
          <w:szCs w:val="18"/>
          <w:highlight w:val="none"/>
          <w:u w:val="single"/>
        </w:rPr>
        <w:t>投标人</w:t>
      </w:r>
      <w:r>
        <w:rPr>
          <w:rFonts w:hint="eastAsia" w:ascii="宋体" w:hAnsi="宋体" w:eastAsia="宋体" w:cs="宋体"/>
          <w:i w:val="0"/>
          <w:iCs w:val="0"/>
          <w:color w:val="auto"/>
          <w:sz w:val="22"/>
          <w:szCs w:val="18"/>
          <w:highlight w:val="none"/>
        </w:rPr>
        <w:t>）的在下面签字的（</w:t>
      </w:r>
      <w:r>
        <w:rPr>
          <w:rFonts w:hint="eastAsia" w:ascii="宋体" w:hAnsi="宋体" w:eastAsia="宋体" w:cs="宋体"/>
          <w:i w:val="0"/>
          <w:iCs w:val="0"/>
          <w:color w:val="auto"/>
          <w:sz w:val="22"/>
          <w:szCs w:val="18"/>
          <w:highlight w:val="none"/>
          <w:u w:val="single"/>
        </w:rPr>
        <w:t>法人代表姓名、职务</w:t>
      </w:r>
      <w:r>
        <w:rPr>
          <w:rFonts w:hint="eastAsia" w:ascii="宋体" w:hAnsi="宋体" w:eastAsia="宋体" w:cs="宋体"/>
          <w:i w:val="0"/>
          <w:iCs w:val="0"/>
          <w:color w:val="auto"/>
          <w:sz w:val="22"/>
          <w:szCs w:val="18"/>
          <w:highlight w:val="none"/>
        </w:rPr>
        <w:t>）代表我单位授权（</w:t>
      </w:r>
      <w:r>
        <w:rPr>
          <w:rFonts w:hint="eastAsia" w:ascii="宋体" w:hAnsi="宋体" w:eastAsia="宋体" w:cs="宋体"/>
          <w:i w:val="0"/>
          <w:iCs w:val="0"/>
          <w:color w:val="auto"/>
          <w:sz w:val="22"/>
          <w:szCs w:val="18"/>
          <w:highlight w:val="none"/>
          <w:u w:val="single"/>
        </w:rPr>
        <w:t>单位名称</w:t>
      </w:r>
      <w:r>
        <w:rPr>
          <w:rFonts w:hint="eastAsia" w:ascii="宋体" w:hAnsi="宋体" w:eastAsia="宋体" w:cs="宋体"/>
          <w:i w:val="0"/>
          <w:iCs w:val="0"/>
          <w:color w:val="auto"/>
          <w:sz w:val="22"/>
          <w:szCs w:val="18"/>
          <w:highlight w:val="none"/>
        </w:rPr>
        <w:t>）的在下面签字的（</w:t>
      </w:r>
      <w:r>
        <w:rPr>
          <w:rFonts w:hint="eastAsia" w:ascii="宋体" w:hAnsi="宋体" w:eastAsia="宋体" w:cs="宋体"/>
          <w:i w:val="0"/>
          <w:iCs w:val="0"/>
          <w:color w:val="auto"/>
          <w:sz w:val="22"/>
          <w:szCs w:val="18"/>
          <w:highlight w:val="none"/>
          <w:u w:val="single"/>
        </w:rPr>
        <w:t>被授权人的姓名、职务</w:t>
      </w:r>
      <w:r>
        <w:rPr>
          <w:rFonts w:hint="eastAsia" w:hAnsi="宋体" w:cs="宋体"/>
          <w:i w:val="0"/>
          <w:iCs w:val="0"/>
          <w:color w:val="auto"/>
          <w:sz w:val="22"/>
          <w:szCs w:val="18"/>
          <w:highlight w:val="none"/>
          <w:u w:val="single"/>
          <w:lang w:eastAsia="zh-CN"/>
        </w:rPr>
        <w:t>、</w:t>
      </w:r>
      <w:r>
        <w:rPr>
          <w:rFonts w:hint="eastAsia" w:hAnsi="宋体" w:cs="宋体"/>
          <w:i w:val="0"/>
          <w:iCs w:val="0"/>
          <w:color w:val="auto"/>
          <w:sz w:val="22"/>
          <w:szCs w:val="18"/>
          <w:highlight w:val="none"/>
          <w:u w:val="single"/>
          <w:lang w:val="en-US" w:eastAsia="zh-CN"/>
        </w:rPr>
        <w:t>联系方式</w:t>
      </w:r>
      <w:r>
        <w:rPr>
          <w:rFonts w:hint="eastAsia" w:ascii="宋体" w:hAnsi="宋体" w:eastAsia="宋体" w:cs="宋体"/>
          <w:i w:val="0"/>
          <w:iCs w:val="0"/>
          <w:color w:val="auto"/>
          <w:sz w:val="22"/>
          <w:szCs w:val="18"/>
          <w:highlight w:val="none"/>
        </w:rPr>
        <w:t>）</w:t>
      </w:r>
      <w:r>
        <w:rPr>
          <w:rFonts w:hint="eastAsia" w:ascii="宋体" w:hAnsi="宋体" w:eastAsia="宋体" w:cs="宋体"/>
          <w:color w:val="auto"/>
          <w:sz w:val="22"/>
          <w:szCs w:val="18"/>
          <w:highlight w:val="none"/>
        </w:rPr>
        <w:t>为我单位的合法代理人，</w:t>
      </w:r>
      <w:r>
        <w:rPr>
          <w:rFonts w:hint="eastAsia" w:ascii="宋体" w:hAnsi="宋体" w:eastAsia="宋体" w:cs="宋体"/>
          <w:i w:val="0"/>
          <w:iCs w:val="0"/>
          <w:color w:val="auto"/>
          <w:sz w:val="22"/>
          <w:szCs w:val="18"/>
          <w:highlight w:val="none"/>
        </w:rPr>
        <w:t>就（</w:t>
      </w:r>
      <w:r>
        <w:rPr>
          <w:rFonts w:hint="eastAsia" w:ascii="宋体" w:hAnsi="宋体" w:eastAsia="宋体" w:cs="宋体"/>
          <w:i w:val="0"/>
          <w:iCs w:val="0"/>
          <w:color w:val="auto"/>
          <w:sz w:val="22"/>
          <w:szCs w:val="18"/>
          <w:highlight w:val="none"/>
          <w:u w:val="single"/>
        </w:rPr>
        <w:t>项目名称</w:t>
      </w:r>
      <w:r>
        <w:rPr>
          <w:rFonts w:hint="eastAsia" w:ascii="宋体" w:hAnsi="宋体" w:eastAsia="宋体" w:cs="宋体"/>
          <w:color w:val="auto"/>
          <w:sz w:val="22"/>
          <w:szCs w:val="18"/>
          <w:highlight w:val="none"/>
        </w:rPr>
        <w:t>）投标，以我单位名义处理一切与之有关的事务。</w:t>
      </w:r>
      <w:r>
        <w:rPr>
          <w:rFonts w:hint="eastAsia" w:ascii="宋体" w:hAnsi="宋体" w:eastAsia="宋体" w:cs="宋体"/>
          <w:color w:val="auto"/>
          <w:sz w:val="22"/>
          <w:szCs w:val="18"/>
          <w:highlight w:val="none"/>
        </w:rPr>
        <w:cr/>
      </w:r>
      <w:r>
        <w:rPr>
          <w:rFonts w:hint="eastAsia" w:ascii="宋体" w:hAnsi="宋体" w:eastAsia="宋体" w:cs="宋体"/>
          <w:color w:val="auto"/>
          <w:sz w:val="22"/>
          <w:szCs w:val="18"/>
          <w:highlight w:val="none"/>
        </w:rPr>
        <w:t>　　本授权书于</w:t>
      </w:r>
      <w:r>
        <w:rPr>
          <w:rFonts w:hint="eastAsia" w:ascii="宋体" w:hAnsi="宋体" w:eastAsia="宋体" w:cs="宋体"/>
          <w:color w:val="auto"/>
          <w:sz w:val="22"/>
          <w:szCs w:val="18"/>
          <w:highlight w:val="none"/>
          <w:u w:val="single"/>
        </w:rPr>
        <w:t xml:space="preserve">           </w:t>
      </w:r>
      <w:r>
        <w:rPr>
          <w:rFonts w:hint="eastAsia" w:ascii="宋体" w:hAnsi="宋体" w:eastAsia="宋体" w:cs="宋体"/>
          <w:color w:val="auto"/>
          <w:sz w:val="22"/>
          <w:szCs w:val="18"/>
          <w:highlight w:val="none"/>
        </w:rPr>
        <w:t>年</w:t>
      </w:r>
      <w:r>
        <w:rPr>
          <w:rFonts w:hint="eastAsia" w:ascii="宋体" w:hAnsi="宋体" w:eastAsia="宋体" w:cs="宋体"/>
          <w:color w:val="auto"/>
          <w:sz w:val="22"/>
          <w:szCs w:val="18"/>
          <w:highlight w:val="none"/>
          <w:u w:val="single"/>
        </w:rPr>
        <w:t xml:space="preserve">     </w:t>
      </w:r>
      <w:r>
        <w:rPr>
          <w:rFonts w:hint="eastAsia" w:ascii="宋体" w:hAnsi="宋体" w:eastAsia="宋体" w:cs="宋体"/>
          <w:color w:val="auto"/>
          <w:sz w:val="22"/>
          <w:szCs w:val="18"/>
          <w:highlight w:val="none"/>
        </w:rPr>
        <w:t>月</w:t>
      </w:r>
      <w:r>
        <w:rPr>
          <w:rFonts w:hint="eastAsia" w:ascii="宋体" w:hAnsi="宋体" w:eastAsia="宋体" w:cs="宋体"/>
          <w:color w:val="auto"/>
          <w:sz w:val="22"/>
          <w:szCs w:val="18"/>
          <w:highlight w:val="none"/>
          <w:u w:val="single"/>
        </w:rPr>
        <w:t xml:space="preserve">     </w:t>
      </w:r>
      <w:r>
        <w:rPr>
          <w:rFonts w:hint="eastAsia" w:ascii="宋体" w:hAnsi="宋体" w:eastAsia="宋体" w:cs="宋体"/>
          <w:color w:val="auto"/>
          <w:sz w:val="22"/>
          <w:szCs w:val="18"/>
          <w:highlight w:val="none"/>
        </w:rPr>
        <w:t>日签字生效,特此声明。</w:t>
      </w:r>
      <w:r>
        <w:rPr>
          <w:rFonts w:hint="eastAsia" w:ascii="宋体" w:hAnsi="宋体" w:eastAsia="宋体" w:cs="宋体"/>
          <w:color w:val="auto"/>
          <w:sz w:val="24"/>
          <w:highlight w:val="none"/>
        </w:rPr>
        <w:cr/>
      </w:r>
    </w:p>
    <w:p>
      <w:pPr>
        <w:pStyle w:val="14"/>
        <w:shd w:val="clear" w:color="auto" w:fill="auto"/>
        <w:tabs>
          <w:tab w:val="left" w:pos="5580"/>
        </w:tabs>
        <w:spacing w:line="240" w:lineRule="atLeast"/>
        <w:ind w:left="-547" w:leftChars="-257" w:firstLine="911" w:firstLineChars="375"/>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3039110</wp:posOffset>
                </wp:positionH>
                <wp:positionV relativeFrom="paragraph">
                  <wp:posOffset>167640</wp:posOffset>
                </wp:positionV>
                <wp:extent cx="2478405" cy="1125220"/>
                <wp:effectExtent l="7620" t="7620" r="9525" b="1016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rPr>
                                <w:rFonts w:hint="eastAsia" w:hAnsi="宋体"/>
                              </w:rPr>
                            </w:pPr>
                          </w:p>
                          <w:p>
                            <w:pPr>
                              <w:rPr>
                                <w:rFonts w:hint="eastAsia" w:hAnsi="宋体"/>
                              </w:rPr>
                            </w:pPr>
                          </w:p>
                          <w:p>
                            <w:pPr>
                              <w:jc w:val="center"/>
                              <w:rPr>
                                <w:rFonts w:hint="eastAsia" w:hAnsi="宋体"/>
                              </w:rPr>
                            </w:pPr>
                            <w:r>
                              <w:rPr>
                                <w:rFonts w:hint="eastAsia" w:hAnsi="宋体"/>
                              </w:rPr>
                              <w:t>法人身份证复印件反面</w:t>
                            </w:r>
                          </w:p>
                          <w:p/>
                        </w:txbxContent>
                      </wps:txbx>
                      <wps:bodyPr upright="1"/>
                    </wps:wsp>
                  </a:graphicData>
                </a:graphic>
              </wp:anchor>
            </w:drawing>
          </mc:Choice>
          <mc:Fallback>
            <w:pict>
              <v:roundrect id="_x0000_s1026" o:spid="_x0000_s1026" o:spt="2" style="position:absolute;left:0pt;margin-left:239.3pt;margin-top:13.2pt;height:88.6pt;width:195.15pt;z-index:251664384;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oXJItsAAAAKAQAADwAAAAAAAAABACAAAAAiAAAAZHJzL2Rvd25yZXYueG1sUEsB&#10;AhQAFAAAAAgAh07iQKUw96QrAgAAZgQAAA4AAAAAAAAAAQAgAAAAKgEAAGRycy9lMm9Eb2MueG1s&#10;UEsFBgAAAAAGAAYAWQEAAMcFAAAAAA==&#10;">
                <v:fill on="t" focussize="0,0"/>
                <v:stroke weight="1.25pt" color="#808080" joinstyle="round"/>
                <v:imagedata o:title=""/>
                <o:lock v:ext="edit" aspectratio="f"/>
                <v:textbox>
                  <w:txbxContent>
                    <w:p>
                      <w:pPr>
                        <w:rPr>
                          <w:rFonts w:hint="eastAsia" w:hAnsi="宋体"/>
                        </w:rPr>
                      </w:pPr>
                    </w:p>
                    <w:p>
                      <w:pPr>
                        <w:rPr>
                          <w:rFonts w:hint="eastAsia" w:hAnsi="宋体"/>
                        </w:rPr>
                      </w:pPr>
                    </w:p>
                    <w:p>
                      <w:pPr>
                        <w:jc w:val="center"/>
                        <w:rPr>
                          <w:rFonts w:hint="eastAsia" w:hAnsi="宋体"/>
                        </w:rPr>
                      </w:pPr>
                      <w:r>
                        <w:rPr>
                          <w:rFonts w:hint="eastAsia" w:hAnsi="宋体"/>
                        </w:rPr>
                        <w:t>法人身份证复印件反面</w:t>
                      </w:r>
                    </w:p>
                    <w:p/>
                  </w:txbxContent>
                </v:textbox>
              </v:roundrect>
            </w:pict>
          </mc:Fallback>
        </mc:AlternateContent>
      </w:r>
      <w:r>
        <w:rPr>
          <w:rFonts w:hint="eastAsia" w:ascii="宋体" w:hAnsi="宋体" w:eastAsia="宋体" w:cs="宋体"/>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20955</wp:posOffset>
                </wp:positionH>
                <wp:positionV relativeFrom="paragraph">
                  <wp:posOffset>135890</wp:posOffset>
                </wp:positionV>
                <wp:extent cx="2507615" cy="1143000"/>
                <wp:effectExtent l="4445" t="4445" r="21590" b="14605"/>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pPr>
                            <w:r>
                              <w:rPr>
                                <w:rFonts w:hint="eastAsia" w:hAnsi="宋体"/>
                              </w:rPr>
                              <w:t>法人身份证复印件正面</w:t>
                            </w:r>
                          </w:p>
                          <w:p>
                            <w:pPr>
                              <w:jc w:val="center"/>
                              <w:rPr>
                                <w:rFonts w:hint="eastAsia" w:hAnsi="宋体"/>
                              </w:rPr>
                            </w:pPr>
                          </w:p>
                        </w:txbxContent>
                      </wps:txbx>
                      <wps:bodyPr upright="1"/>
                    </wps:wsp>
                  </a:graphicData>
                </a:graphic>
              </wp:anchor>
            </w:drawing>
          </mc:Choice>
          <mc:Fallback>
            <w:pict>
              <v:shape id="_x0000_s1026" o:spid="_x0000_s1026" o:spt="176" type="#_x0000_t176" style="position:absolute;left:0pt;margin-left:1.65pt;margin-top:10.7pt;height:90pt;width:197.45pt;z-index:251663360;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gSMjDWAAAACAEAAA8AAAAAAAAAAQAgAAAAIgAAAGRycy9kb3ducmV2LnhtbFBL&#10;AQIUABQAAAAIAIdO4kDJH0QGMQIAAF4EAAAOAAAAAAAAAAEAIAAAACUBAABkcnMvZTJvRG9jLnht&#10;bFBLBQYAAAAABgAGAFkBAADIBQAAAAA=&#10;">
                <v:fill on="t" focussize="0,0"/>
                <v:stroke color="#000000" joinstyle="miter"/>
                <v:imagedata o:title=""/>
                <o:lock v:ext="edit" aspectratio="f"/>
                <v:textbox>
                  <w:txbxContent>
                    <w:p>
                      <w:pPr>
                        <w:jc w:val="center"/>
                        <w:rPr>
                          <w:rFonts w:hint="eastAsia" w:hAnsi="宋体"/>
                        </w:rPr>
                      </w:pPr>
                    </w:p>
                    <w:p>
                      <w:pPr>
                        <w:jc w:val="center"/>
                        <w:rPr>
                          <w:rFonts w:hint="eastAsia" w:hAnsi="宋体"/>
                        </w:rPr>
                      </w:pPr>
                    </w:p>
                    <w:p>
                      <w:pPr>
                        <w:jc w:val="center"/>
                      </w:pPr>
                      <w:r>
                        <w:rPr>
                          <w:rFonts w:hint="eastAsia" w:hAnsi="宋体"/>
                        </w:rPr>
                        <w:t>法人身份证复印件正面</w:t>
                      </w:r>
                    </w:p>
                    <w:p>
                      <w:pPr>
                        <w:jc w:val="center"/>
                        <w:rPr>
                          <w:rFonts w:hint="eastAsia" w:hAnsi="宋体"/>
                        </w:rPr>
                      </w:pPr>
                    </w:p>
                  </w:txbxContent>
                </v:textbox>
              </v:shape>
            </w:pict>
          </mc:Fallback>
        </mc:AlternateContent>
      </w: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3018155</wp:posOffset>
                </wp:positionH>
                <wp:positionV relativeFrom="paragraph">
                  <wp:posOffset>53975</wp:posOffset>
                </wp:positionV>
                <wp:extent cx="2535555" cy="1029335"/>
                <wp:effectExtent l="7620" t="7620" r="9525" b="10795"/>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r>
                              <w:rPr>
                                <w:rFonts w:hint="eastAsia" w:hAnsi="宋体"/>
                              </w:rPr>
                              <w:t xml:space="preserve">  </w:t>
                            </w:r>
                          </w:p>
                          <w:p>
                            <w:pPr>
                              <w:jc w:val="both"/>
                              <w:rPr>
                                <w:rFonts w:hint="eastAsia" w:hAnsi="宋体"/>
                              </w:rPr>
                            </w:pPr>
                          </w:p>
                          <w:p>
                            <w:pPr>
                              <w:jc w:val="center"/>
                            </w:pPr>
                            <w:r>
                              <w:rPr>
                                <w:rFonts w:hint="eastAsia" w:hAnsi="宋体"/>
                              </w:rPr>
                              <w:t>授权委托人身份证复印件反面</w:t>
                            </w:r>
                          </w:p>
                          <w:p>
                            <w:pPr>
                              <w:jc w:val="center"/>
                            </w:pPr>
                          </w:p>
                          <w:p/>
                        </w:txbxContent>
                      </wps:txbx>
                      <wps:bodyPr upright="1"/>
                    </wps:wsp>
                  </a:graphicData>
                </a:graphic>
              </wp:anchor>
            </w:drawing>
          </mc:Choice>
          <mc:Fallback>
            <w:pict>
              <v:roundrect id="_x0000_s1026" o:spid="_x0000_s1026" o:spt="2" style="position:absolute;left:0pt;margin-left:237.65pt;margin-top:4.25pt;height:81.05pt;width:199.65pt;z-index:251666432;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r+OQhKwIAAGY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HNIL2gAAAAkBAAAPAAAAAAAAAAEAIAAAACIAAABkcnMvZG93bnJldi54bWxQSwEC&#10;FAAUAAAACACHTuJAq/jkISsCAABmBAAADgAAAAAAAAABACAAAAApAQAAZHJzL2Uyb0RvYy54bWxQ&#10;SwUGAAAAAAYABgBZAQAAxgUAAAAA&#10;">
                <v:fill on="t" focussize="0,0"/>
                <v:stroke weight="1.25pt" color="#808080" joinstyle="round"/>
                <v:imagedata o:title=""/>
                <o:lock v:ext="edit" aspectratio="f"/>
                <v:textbox>
                  <w:txbxContent>
                    <w:p>
                      <w:pPr>
                        <w:jc w:val="center"/>
                        <w:rPr>
                          <w:rFonts w:hint="eastAsia" w:hAnsi="宋体"/>
                        </w:rPr>
                      </w:pPr>
                      <w:r>
                        <w:rPr>
                          <w:rFonts w:hint="eastAsia" w:hAnsi="宋体"/>
                        </w:rPr>
                        <w:t xml:space="preserve">  </w:t>
                      </w:r>
                    </w:p>
                    <w:p>
                      <w:pPr>
                        <w:jc w:val="both"/>
                        <w:rPr>
                          <w:rFonts w:hint="eastAsia" w:hAnsi="宋体"/>
                        </w:rPr>
                      </w:pPr>
                    </w:p>
                    <w:p>
                      <w:pPr>
                        <w:jc w:val="center"/>
                      </w:pPr>
                      <w:r>
                        <w:rPr>
                          <w:rFonts w:hint="eastAsia" w:hAnsi="宋体"/>
                        </w:rPr>
                        <w:t>授权委托人身份证复印件反面</w:t>
                      </w:r>
                    </w:p>
                    <w:p>
                      <w:pPr>
                        <w:jc w:val="center"/>
                      </w:pPr>
                    </w:p>
                    <w:p/>
                  </w:txbxContent>
                </v:textbox>
              </v:roundrect>
            </w:pict>
          </mc:Fallback>
        </mc:AlternateContent>
      </w:r>
      <w:r>
        <w:rPr>
          <w:rFonts w:hint="eastAsia" w:ascii="宋体" w:hAnsi="宋体" w:eastAsia="宋体" w:cs="宋体"/>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-10795</wp:posOffset>
                </wp:positionH>
                <wp:positionV relativeFrom="paragraph">
                  <wp:posOffset>29845</wp:posOffset>
                </wp:positionV>
                <wp:extent cx="2555240" cy="1024890"/>
                <wp:effectExtent l="7620" t="7620" r="8890" b="15240"/>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p>
                            <w:pPr>
                              <w:jc w:val="center"/>
                              <w:rPr>
                                <w:rFonts w:hint="eastAsia" w:hAnsi="宋体"/>
                              </w:rPr>
                            </w:pPr>
                          </w:p>
                          <w:p/>
                        </w:txbxContent>
                      </wps:txbx>
                      <wps:bodyPr upright="1"/>
                    </wps:wsp>
                  </a:graphicData>
                </a:graphic>
              </wp:anchor>
            </w:drawing>
          </mc:Choice>
          <mc:Fallback>
            <w:pict>
              <v:roundrect id="_x0000_s1026" o:spid="_x0000_s1026" o:spt="2" style="position:absolute;left:0pt;margin-left:-0.85pt;margin-top:2.35pt;height:80.7pt;width:201.2pt;z-index:251665408;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PP4MUouAgAAZgQAAA4AAAAAAAAAAQAgAAAAJwEAAGRycy9lMm9Eb2MueG1s&#10;UEsFBgAAAAAGAAYAWQEAAMcFAAAAAA==&#10;">
                <v:fill on="t" focussize="0,0"/>
                <v:stroke weight="1.25pt" color="#808080" joinstyle="round"/>
                <v:imagedata o:title=""/>
                <o:lock v:ext="edit" aspectratio="f"/>
                <v:textbox>
                  <w:txbxContent>
                    <w:p>
                      <w:pPr>
                        <w:jc w:val="center"/>
                        <w:rPr>
                          <w:rFonts w:hint="eastAsia" w:hAnsi="宋体"/>
                        </w:rPr>
                      </w:pPr>
                    </w:p>
                    <w:p>
                      <w:pPr>
                        <w:jc w:val="center"/>
                        <w:rPr>
                          <w:rFonts w:hint="eastAsia" w:hAnsi="宋体"/>
                        </w:rPr>
                      </w:pPr>
                    </w:p>
                    <w:p>
                      <w:pPr>
                        <w:jc w:val="center"/>
                      </w:pPr>
                      <w:r>
                        <w:rPr>
                          <w:rFonts w:hint="eastAsia" w:hAnsi="宋体"/>
                        </w:rPr>
                        <w:t>授权委托人身份证复印件正面</w:t>
                      </w:r>
                    </w:p>
                    <w:p>
                      <w:pPr>
                        <w:jc w:val="center"/>
                        <w:rPr>
                          <w:rFonts w:hint="eastAsia" w:hAnsi="宋体"/>
                        </w:rPr>
                      </w:pPr>
                    </w:p>
                    <w:p/>
                  </w:txbxContent>
                </v:textbox>
              </v:roundrect>
            </w:pict>
          </mc:Fallback>
        </mc:AlternateContent>
      </w: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shd w:val="clear" w:color="auto" w:fill="auto"/>
        <w:spacing w:line="360" w:lineRule="auto"/>
        <w:ind w:firstLine="243" w:firstLineChars="100"/>
        <w:rPr>
          <w:rFonts w:hint="eastAsia" w:ascii="宋体" w:hAnsi="宋体" w:eastAsia="宋体" w:cs="宋体"/>
          <w:color w:val="auto"/>
          <w:sz w:val="24"/>
          <w:highlight w:val="none"/>
        </w:rPr>
      </w:pPr>
    </w:p>
    <w:p>
      <w:pPr>
        <w:pStyle w:val="14"/>
        <w:shd w:val="clear" w:color="auto" w:fill="auto"/>
        <w:tabs>
          <w:tab w:val="left" w:pos="5580"/>
        </w:tabs>
        <w:spacing w:line="240" w:lineRule="atLeast"/>
        <w:ind w:left="-547" w:leftChars="-257" w:firstLine="911" w:firstLineChars="375"/>
        <w:rPr>
          <w:rFonts w:hint="eastAsia" w:ascii="宋体" w:hAnsi="宋体" w:eastAsia="宋体" w:cs="宋体"/>
          <w:color w:val="auto"/>
          <w:sz w:val="24"/>
          <w:highlight w:val="none"/>
        </w:rPr>
      </w:pPr>
    </w:p>
    <w:p>
      <w:pPr>
        <w:pStyle w:val="14"/>
        <w:shd w:val="clear" w:color="auto" w:fill="auto"/>
        <w:tabs>
          <w:tab w:val="left" w:pos="5580"/>
        </w:tabs>
        <w:spacing w:line="240" w:lineRule="atLeast"/>
        <w:ind w:left="-547" w:leftChars="-257" w:firstLine="911" w:firstLineChars="375"/>
        <w:rPr>
          <w:rFonts w:hint="eastAsia" w:ascii="宋体" w:hAnsi="宋体" w:eastAsia="宋体" w:cs="宋体"/>
          <w:color w:val="auto"/>
          <w:sz w:val="24"/>
          <w:highlight w:val="none"/>
        </w:rPr>
      </w:pPr>
    </w:p>
    <w:p>
      <w:pPr>
        <w:pStyle w:val="14"/>
        <w:shd w:val="clear" w:color="auto" w:fill="auto"/>
        <w:tabs>
          <w:tab w:val="left" w:pos="5580"/>
        </w:tabs>
        <w:spacing w:line="360" w:lineRule="auto"/>
        <w:ind w:firstLine="446" w:firstLineChars="200"/>
        <w:rPr>
          <w:rFonts w:hint="eastAsia" w:ascii="宋体" w:hAnsi="宋体" w:eastAsia="宋体" w:cs="宋体"/>
          <w:color w:val="auto"/>
          <w:sz w:val="22"/>
          <w:szCs w:val="18"/>
          <w:highlight w:val="none"/>
          <w:u w:val="single"/>
        </w:rPr>
      </w:pPr>
      <w:r>
        <w:rPr>
          <w:rFonts w:hint="eastAsia" w:ascii="宋体" w:hAnsi="宋体" w:eastAsia="宋体" w:cs="宋体"/>
          <w:color w:val="auto"/>
          <w:sz w:val="22"/>
          <w:szCs w:val="18"/>
          <w:highlight w:val="none"/>
        </w:rPr>
        <w:t>投标人（盖单位章）;</w:t>
      </w:r>
      <w:r>
        <w:rPr>
          <w:rFonts w:hint="eastAsia" w:ascii="宋体" w:hAnsi="宋体" w:eastAsia="宋体" w:cs="宋体"/>
          <w:color w:val="auto"/>
          <w:sz w:val="22"/>
          <w:szCs w:val="18"/>
          <w:highlight w:val="none"/>
          <w:u w:val="single"/>
        </w:rPr>
        <w:t xml:space="preserve">                           </w:t>
      </w:r>
    </w:p>
    <w:p>
      <w:pPr>
        <w:pStyle w:val="14"/>
        <w:shd w:val="clear" w:color="auto" w:fill="auto"/>
        <w:tabs>
          <w:tab w:val="left" w:pos="5580"/>
        </w:tabs>
        <w:spacing w:line="360" w:lineRule="auto"/>
        <w:ind w:firstLine="446" w:firstLineChars="200"/>
        <w:rPr>
          <w:rFonts w:hint="eastAsia" w:ascii="宋体" w:hAnsi="宋体" w:eastAsia="宋体" w:cs="宋体"/>
          <w:color w:val="auto"/>
          <w:sz w:val="22"/>
          <w:szCs w:val="18"/>
          <w:highlight w:val="none"/>
        </w:rPr>
      </w:pPr>
      <w:r>
        <w:rPr>
          <w:rFonts w:hint="eastAsia" w:ascii="宋体" w:hAnsi="宋体" w:eastAsia="宋体" w:cs="宋体"/>
          <w:color w:val="auto"/>
          <w:sz w:val="22"/>
          <w:szCs w:val="18"/>
          <w:highlight w:val="none"/>
        </w:rPr>
        <w:t>法定代表人（签字或签章）：</w:t>
      </w:r>
      <w:r>
        <w:rPr>
          <w:rFonts w:hint="eastAsia" w:ascii="宋体" w:hAnsi="宋体" w:eastAsia="宋体" w:cs="宋体"/>
          <w:color w:val="auto"/>
          <w:sz w:val="22"/>
          <w:szCs w:val="18"/>
          <w:highlight w:val="none"/>
          <w:u w:val="single"/>
        </w:rPr>
        <w:t xml:space="preserve">                     </w:t>
      </w:r>
    </w:p>
    <w:p>
      <w:pPr>
        <w:pStyle w:val="14"/>
        <w:shd w:val="clear" w:color="auto" w:fill="auto"/>
        <w:tabs>
          <w:tab w:val="left" w:pos="5580"/>
        </w:tabs>
        <w:spacing w:line="360" w:lineRule="auto"/>
        <w:ind w:firstLine="446" w:firstLineChars="200"/>
        <w:rPr>
          <w:rFonts w:hint="eastAsia" w:ascii="宋体" w:hAnsi="宋体" w:eastAsia="宋体" w:cs="宋体"/>
          <w:color w:val="auto"/>
          <w:sz w:val="22"/>
          <w:szCs w:val="18"/>
          <w:highlight w:val="none"/>
          <w:u w:val="single"/>
        </w:rPr>
      </w:pPr>
      <w:r>
        <w:rPr>
          <w:rFonts w:hint="eastAsia" w:ascii="宋体" w:hAnsi="宋体" w:eastAsia="宋体" w:cs="宋体"/>
          <w:color w:val="auto"/>
          <w:sz w:val="22"/>
          <w:szCs w:val="18"/>
          <w:highlight w:val="none"/>
        </w:rPr>
        <w:t>委托代理人：</w:t>
      </w:r>
      <w:r>
        <w:rPr>
          <w:rFonts w:hint="eastAsia" w:ascii="宋体" w:hAnsi="宋体" w:eastAsia="宋体" w:cs="宋体"/>
          <w:color w:val="auto"/>
          <w:sz w:val="22"/>
          <w:szCs w:val="18"/>
          <w:highlight w:val="none"/>
          <w:u w:val="single"/>
        </w:rPr>
        <w:t xml:space="preserve">                                   </w:t>
      </w:r>
    </w:p>
    <w:p>
      <w:pPr>
        <w:shd w:val="clear" w:color="auto" w:fill="auto"/>
        <w:spacing w:line="360" w:lineRule="auto"/>
        <w:ind w:firstLine="446" w:firstLineChars="200"/>
        <w:jc w:val="left"/>
        <w:rPr>
          <w:rFonts w:hint="eastAsia" w:ascii="宋体" w:hAnsi="宋体" w:eastAsia="宋体" w:cs="宋体"/>
          <w:color w:val="auto"/>
          <w:kern w:val="2"/>
          <w:sz w:val="22"/>
          <w:szCs w:val="18"/>
          <w:highlight w:val="none"/>
          <w:u w:val="none" w:color="000000"/>
          <w:lang w:val="en-US" w:eastAsia="zh-CN" w:bidi="ar-SA"/>
        </w:rPr>
      </w:pPr>
      <w:r>
        <w:rPr>
          <w:rFonts w:hint="eastAsia" w:ascii="宋体" w:hAnsi="宋体" w:eastAsia="宋体" w:cs="宋体"/>
          <w:color w:val="auto"/>
          <w:kern w:val="2"/>
          <w:sz w:val="22"/>
          <w:szCs w:val="18"/>
          <w:highlight w:val="none"/>
          <w:u w:val="none" w:color="000000"/>
          <w:lang w:val="en-US" w:eastAsia="zh-CN" w:bidi="ar-SA"/>
        </w:rPr>
        <w:t xml:space="preserve">年   月   日 </w:t>
      </w:r>
    </w:p>
    <w:p>
      <w:pPr>
        <w:pStyle w:val="4"/>
        <w:numPr>
          <w:ilvl w:val="0"/>
          <w:numId w:val="0"/>
        </w:numPr>
        <w:shd w:val="clear" w:color="auto" w:fill="auto"/>
        <w:spacing w:before="0" w:line="240" w:lineRule="atLeast"/>
        <w:ind w:leftChars="257"/>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bookmarkStart w:id="97" w:name="_Toc26357"/>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lang w:eastAsia="zh-CN"/>
        </w:rPr>
        <w:t>、</w:t>
      </w:r>
      <w:bookmarkEnd w:id="89"/>
      <w:bookmarkEnd w:id="90"/>
      <w:bookmarkEnd w:id="91"/>
      <w:bookmarkEnd w:id="97"/>
      <w:bookmarkStart w:id="98" w:name="_Toc515647809"/>
      <w:bookmarkStart w:id="99" w:name="_Toc28445"/>
      <w:bookmarkStart w:id="100" w:name="_Toc4866"/>
      <w:bookmarkStart w:id="101" w:name="_Toc11047"/>
      <w:r>
        <w:rPr>
          <w:rFonts w:hint="eastAsia" w:ascii="宋体" w:hAnsi="宋体" w:eastAsia="宋体" w:cs="宋体"/>
          <w:b/>
          <w:bCs/>
          <w:color w:val="auto"/>
          <w:sz w:val="24"/>
          <w:highlight w:val="none"/>
        </w:rPr>
        <w:t>投标保证金缴纳凭证或投标担保函</w:t>
      </w:r>
      <w:bookmarkEnd w:id="98"/>
      <w:bookmarkEnd w:id="99"/>
      <w:bookmarkEnd w:id="100"/>
      <w:bookmarkEnd w:id="101"/>
    </w:p>
    <w:p>
      <w:pPr>
        <w:shd w:val="clear" w:color="auto" w:fill="auto"/>
        <w:ind w:firstLine="426" w:firstLineChars="200"/>
        <w:rPr>
          <w:rFonts w:hint="eastAsia" w:ascii="宋体" w:hAnsi="宋体" w:eastAsia="宋体" w:cs="宋体"/>
          <w:color w:val="auto"/>
          <w:sz w:val="21"/>
          <w:szCs w:val="21"/>
          <w:highlight w:val="none"/>
        </w:rPr>
      </w:pPr>
      <w:bookmarkStart w:id="102" w:name="_Toc494296665"/>
      <w:bookmarkStart w:id="103" w:name="_Toc494296991"/>
    </w:p>
    <w:p>
      <w:pPr>
        <w:shd w:val="clear" w:color="auto" w:fill="auto"/>
        <w:spacing w:line="360" w:lineRule="auto"/>
        <w:ind w:firstLine="426"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w:t>
      </w:r>
      <w:r>
        <w:rPr>
          <w:rFonts w:hint="eastAsia" w:ascii="宋体" w:hAnsi="宋体" w:eastAsia="宋体" w:cs="宋体"/>
          <w:color w:val="auto"/>
          <w:sz w:val="21"/>
          <w:szCs w:val="21"/>
          <w:highlight w:val="none"/>
          <w:lang w:val="en-US" w:eastAsia="zh-CN"/>
        </w:rPr>
        <w:t>下述</w:t>
      </w:r>
      <w:r>
        <w:rPr>
          <w:rFonts w:hint="eastAsia" w:ascii="宋体" w:hAnsi="宋体" w:eastAsia="宋体" w:cs="宋体"/>
          <w:color w:val="auto"/>
          <w:sz w:val="21"/>
          <w:szCs w:val="21"/>
          <w:highlight w:val="none"/>
        </w:rPr>
        <w:t>投标担保函</w:t>
      </w:r>
      <w:r>
        <w:rPr>
          <w:rFonts w:hint="eastAsia" w:ascii="宋体" w:hAnsi="宋体" w:eastAsia="宋体" w:cs="宋体"/>
          <w:color w:val="auto"/>
          <w:sz w:val="21"/>
          <w:szCs w:val="21"/>
          <w:highlight w:val="none"/>
          <w:lang w:val="en-US" w:eastAsia="zh-CN"/>
        </w:rPr>
        <w:t>格式</w:t>
      </w:r>
      <w:r>
        <w:rPr>
          <w:rFonts w:hint="eastAsia" w:ascii="宋体" w:hAnsi="宋体" w:eastAsia="宋体" w:cs="宋体"/>
          <w:color w:val="auto"/>
          <w:sz w:val="21"/>
          <w:szCs w:val="21"/>
          <w:highlight w:val="none"/>
        </w:rPr>
        <w:t xml:space="preserve"> ）,将原件装订在本部分正本中。</w:t>
      </w:r>
      <w:bookmarkEnd w:id="102"/>
      <w:bookmarkEnd w:id="103"/>
    </w:p>
    <w:p>
      <w:pPr>
        <w:pStyle w:val="7"/>
        <w:shd w:val="clear" w:color="auto" w:fill="auto"/>
        <w:spacing w:line="360" w:lineRule="auto"/>
        <w:rPr>
          <w:rFonts w:hint="eastAsia" w:ascii="宋体" w:hAnsi="宋体" w:eastAsia="宋体" w:cs="宋体"/>
          <w:color w:val="auto"/>
          <w:highlight w:val="none"/>
        </w:rPr>
      </w:pPr>
    </w:p>
    <w:tbl>
      <w:tblPr>
        <w:tblStyle w:val="27"/>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jc w:val="both"/>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p>
          <w:p>
            <w:pPr>
              <w:shd w:val="clear" w:color="auto" w:fill="auto"/>
              <w:jc w:val="center"/>
              <w:rPr>
                <w:rFonts w:hint="eastAsia" w:ascii="宋体" w:hAnsi="宋体" w:eastAsia="宋体" w:cs="宋体"/>
                <w:b/>
                <w:bCs/>
                <w:color w:val="auto"/>
                <w:sz w:val="30"/>
                <w:szCs w:val="30"/>
                <w:highlight w:val="none"/>
              </w:rPr>
            </w:pPr>
            <w:r>
              <w:rPr>
                <w:rFonts w:hint="eastAsia" w:ascii="宋体" w:hAnsi="宋体" w:eastAsia="宋体" w:cs="宋体"/>
                <w:color w:val="auto"/>
                <w:kern w:val="2"/>
                <w:sz w:val="21"/>
                <w:szCs w:val="21"/>
                <w:lang w:val="en-US" w:eastAsia="zh-CN" w:bidi="ar-SA"/>
              </w:rPr>
              <w:t>投标企业提供</w:t>
            </w:r>
            <w:r>
              <w:rPr>
                <w:rFonts w:hint="eastAsia" w:ascii="宋体" w:hAnsi="宋体" w:eastAsia="宋体" w:cs="Times New Roman"/>
                <w:color w:val="auto"/>
                <w:szCs w:val="21"/>
                <w:highlight w:val="none"/>
                <w:lang w:val="en-US" w:eastAsia="zh-CN"/>
              </w:rPr>
              <w:t>投标保证金收据或</w:t>
            </w:r>
            <w:r>
              <w:rPr>
                <w:rFonts w:hint="eastAsia" w:ascii="宋体" w:hAnsi="宋体" w:eastAsia="宋体" w:cs="Times New Roman"/>
                <w:color w:val="auto"/>
                <w:szCs w:val="21"/>
                <w:lang w:val="en-US" w:eastAsia="zh-CN"/>
              </w:rPr>
              <w:t>加盖阿图什市</w:t>
            </w:r>
            <w:r>
              <w:rPr>
                <w:rFonts w:hint="eastAsia" w:ascii="宋体" w:hAnsi="宋体" w:eastAsia="宋体" w:cs="Times New Roman"/>
                <w:color w:val="auto"/>
                <w:sz w:val="21"/>
                <w:szCs w:val="21"/>
                <w:highlight w:val="none"/>
                <w:lang w:val="en-US" w:eastAsia="zh-CN"/>
              </w:rPr>
              <w:t>政</w:t>
            </w:r>
            <w:r>
              <w:rPr>
                <w:rFonts w:hint="eastAsia" w:ascii="宋体" w:hAnsi="宋体" w:eastAsia="宋体" w:cs="Times New Roman"/>
                <w:color w:val="auto"/>
                <w:szCs w:val="21"/>
                <w:lang w:val="en-US" w:eastAsia="zh-CN"/>
              </w:rPr>
              <w:t>资中心财务专用章的银行回单</w:t>
            </w:r>
          </w:p>
          <w:p>
            <w:pPr>
              <w:shd w:val="clear" w:color="auto" w:fill="auto"/>
              <w:jc w:val="center"/>
              <w:rPr>
                <w:rFonts w:hint="eastAsia" w:ascii="宋体" w:hAnsi="宋体" w:eastAsia="宋体" w:cs="宋体"/>
                <w:b/>
                <w:bCs/>
                <w:color w:val="auto"/>
                <w:sz w:val="30"/>
                <w:szCs w:val="30"/>
                <w:highlight w:val="none"/>
                <w:lang w:val="en-US" w:eastAsia="zh-CN"/>
              </w:rPr>
            </w:pPr>
          </w:p>
        </w:tc>
      </w:tr>
    </w:tbl>
    <w:p>
      <w:pPr>
        <w:pStyle w:val="7"/>
        <w:shd w:val="clear" w:color="auto" w:fill="auto"/>
        <w:rPr>
          <w:rFonts w:hint="eastAsia" w:ascii="宋体" w:hAnsi="宋体" w:eastAsia="宋体" w:cs="宋体"/>
          <w:color w:val="auto"/>
          <w:highlight w:val="none"/>
        </w:rPr>
      </w:pPr>
    </w:p>
    <w:p>
      <w:pPr>
        <w:shd w:val="clear" w:color="auto" w:fill="auto"/>
        <w:spacing w:line="240" w:lineRule="atLeast"/>
        <w:ind w:left="1087" w:leftChars="257" w:hanging="540"/>
        <w:jc w:val="center"/>
        <w:rPr>
          <w:rFonts w:hint="eastAsia" w:ascii="宋体" w:hAnsi="宋体" w:eastAsia="宋体" w:cs="宋体"/>
          <w:color w:val="auto"/>
          <w:sz w:val="24"/>
          <w:highlight w:val="none"/>
        </w:rPr>
      </w:pPr>
    </w:p>
    <w:p>
      <w:pPr>
        <w:shd w:val="clear" w:color="auto" w:fill="auto"/>
        <w:rPr>
          <w:rFonts w:hint="eastAsia" w:ascii="宋体" w:hAnsi="宋体" w:eastAsia="宋体" w:cs="宋体"/>
          <w:color w:val="auto"/>
          <w:sz w:val="28"/>
          <w:szCs w:val="28"/>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pStyle w:val="7"/>
        <w:shd w:val="clear" w:color="auto" w:fill="auto"/>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rPr>
          <w:rFonts w:hint="eastAsia"/>
          <w:color w:val="auto"/>
        </w:rPr>
      </w:pPr>
    </w:p>
    <w:p>
      <w:pPr>
        <w:pStyle w:val="7"/>
        <w:shd w:val="clear" w:color="auto" w:fill="auto"/>
        <w:rPr>
          <w:rFonts w:hint="eastAsia" w:ascii="宋体" w:hAnsi="宋体" w:eastAsia="宋体" w:cs="宋体"/>
          <w:color w:val="auto"/>
          <w:highlight w:val="none"/>
        </w:rPr>
      </w:pPr>
    </w:p>
    <w:p>
      <w:pPr>
        <w:shd w:val="clear" w:color="auto" w:fill="auto"/>
        <w:jc w:val="both"/>
        <w:rPr>
          <w:rFonts w:hint="eastAsia" w:ascii="宋体" w:hAnsi="宋体" w:eastAsia="宋体" w:cs="宋体"/>
          <w:color w:val="auto"/>
          <w:sz w:val="28"/>
          <w:szCs w:val="28"/>
          <w:highlight w:val="none"/>
        </w:rPr>
      </w:pPr>
    </w:p>
    <w:p>
      <w:pPr>
        <w:shd w:val="clear" w:color="auto" w:fill="auto"/>
        <w:jc w:val="center"/>
        <w:rPr>
          <w:rFonts w:hint="eastAsia" w:ascii="宋体" w:hAnsi="宋体" w:eastAsia="宋体" w:cs="宋体"/>
          <w:b/>
          <w:bCs/>
          <w:color w:val="auto"/>
          <w:kern w:val="0"/>
          <w:sz w:val="24"/>
          <w:szCs w:val="20"/>
          <w:highlight w:val="none"/>
          <w:lang w:val="en-US" w:eastAsia="zh-CN" w:bidi="ar-SA"/>
        </w:rPr>
      </w:pPr>
      <w:r>
        <w:rPr>
          <w:rFonts w:hint="eastAsia" w:ascii="宋体" w:hAnsi="宋体" w:eastAsia="宋体" w:cs="宋体"/>
          <w:b/>
          <w:bCs/>
          <w:color w:val="auto"/>
          <w:kern w:val="0"/>
          <w:sz w:val="24"/>
          <w:szCs w:val="20"/>
          <w:highlight w:val="none"/>
          <w:lang w:val="en-US" w:eastAsia="zh-CN" w:bidi="ar-SA"/>
        </w:rPr>
        <w:t>政府采购投标担保函 （项目用）</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6816" w:firstLineChars="3200"/>
        <w:rPr>
          <w:rFonts w:hint="eastAsia" w:ascii="宋体" w:hAnsi="宋体" w:eastAsia="宋体" w:cs="宋体"/>
          <w:color w:val="auto"/>
          <w:highlight w:val="none"/>
        </w:rPr>
      </w:pPr>
      <w:r>
        <w:rPr>
          <w:rFonts w:hint="eastAsia" w:ascii="宋体" w:hAnsi="宋体" w:eastAsia="宋体" w:cs="宋体"/>
          <w:color w:val="auto"/>
          <w:highlight w:val="none"/>
        </w:rPr>
        <w:t>编号：</w:t>
      </w:r>
    </w:p>
    <w:p>
      <w:pPr>
        <w:keepNext w:val="0"/>
        <w:keepLines w:val="0"/>
        <w:pageBreakBefore w:val="0"/>
        <w:widowControl w:val="0"/>
        <w:shd w:val="clear" w:color="auto" w:fill="auto"/>
        <w:kinsoku/>
        <w:wordWrap/>
        <w:overflowPunct/>
        <w:topLinePunct w:val="0"/>
        <w:autoSpaceDE/>
        <w:autoSpaceDN/>
        <w:bidi w:val="0"/>
        <w:snapToGrid/>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（采购人或采购代理机构）：</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鉴于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（以下简称“投标人”）拟参加编号为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keepNext w:val="0"/>
        <w:keepLines w:val="0"/>
        <w:pageBreakBefore w:val="0"/>
        <w:widowControl w:val="0"/>
        <w:shd w:val="clear" w:color="auto" w:fill="auto"/>
        <w:kinsoku/>
        <w:wordWrap/>
        <w:overflowPunct/>
        <w:topLinePunct w:val="0"/>
        <w:autoSpaceDE/>
        <w:autoSpaceDN/>
        <w:bidi w:val="0"/>
        <w:snapToGrid/>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项目（以下简称“本项目”）投标，根据本项目</w:t>
      </w:r>
      <w:r>
        <w:rPr>
          <w:rFonts w:hint="eastAsia" w:ascii="宋体" w:hAnsi="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，供应商参加投标时应向你方交纳投标保证金，且可以投标担保函的形式交纳投标保证金。应供应商的申请，我方以保证的方式向你方提供如下投标保证金担保：</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一、保证责任的情形及保证金额</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（一）在投标人出现下列情形之一时，我方承担保证责任：</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eastAsia="zh-CN"/>
        </w:rPr>
        <w:t>成交</w:t>
      </w:r>
      <w:r>
        <w:rPr>
          <w:rFonts w:hint="eastAsia" w:ascii="宋体" w:hAnsi="宋体" w:eastAsia="宋体" w:cs="宋体"/>
          <w:color w:val="auto"/>
          <w:highlight w:val="none"/>
        </w:rPr>
        <w:t>后投标人无正当理由不与采购人或者采购代理机构签订《政府采购合同》；</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规定的投标人应当缴纳保证金的其他情形。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213" w:firstLineChars="100"/>
        <w:rPr>
          <w:rFonts w:hint="eastAsia" w:ascii="宋体" w:hAnsi="宋体" w:eastAsia="宋体" w:cs="宋体"/>
          <w:color w:val="auto"/>
          <w:highlight w:val="none"/>
        </w:rPr>
      </w:pPr>
      <w:r>
        <w:rPr>
          <w:rFonts w:hint="eastAsia" w:ascii="宋体" w:hAnsi="宋体" w:eastAsia="宋体" w:cs="宋体"/>
          <w:color w:val="auto"/>
          <w:highlight w:val="none"/>
        </w:rPr>
        <w:t>（二）我方承担保证责任的最高金额为人民币</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），即本项目的投标保证金金额。</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二、保证的方式及保证期间</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我方保证的方式为：连带责任保证。</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我方的保证期间为：自本保函生效之日起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个月止。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三、承担保证责任的程序</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1．你方要求我方承担保证责任的，应在本保函保证期间内向我方发出书面索赔通知。索赔通知应写明要求索赔的金额，支付款项应到达的账号，并附有证明投标人发生我方应承担保证责任情形的事实材料。</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2．我方在收到索赔通知及相关证明材料后，在</w:t>
      </w:r>
      <w:r>
        <w:rPr>
          <w:rFonts w:hint="eastAsia" w:ascii="宋体" w:hAnsi="宋体" w:eastAsia="宋体" w:cs="宋体"/>
          <w:color w:val="auto"/>
          <w:highlight w:val="none"/>
          <w:u w:val="single"/>
        </w:rPr>
        <w:t>　　　</w:t>
      </w:r>
      <w:r>
        <w:rPr>
          <w:rFonts w:hint="eastAsia" w:ascii="宋体" w:hAnsi="宋体" w:eastAsia="宋体" w:cs="宋体"/>
          <w:color w:val="auto"/>
          <w:highlight w:val="none"/>
        </w:rPr>
        <w:t>个工作日内进行审查，符合应承担保证责任情形的，我方应按照你方的要求代投标人向你方支付投标保证金。</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四、保证责任的终止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1．保证期间届满你方未向我方书面主张保证责任的，自保证期间届满次日起，我方保证责任自动终止。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2．我方按照本保函向你贵方履行了保证责任后，自我方向你贵方支付款项（支付款项从我方账户划出）之日起，保证责任终止。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3．按照法律法规的规定或出现我方保证责任终止的其它情形的，我方在本保函项下的保证责任亦终止。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五、免责条款</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1．依照法律规定或你方与投标人的另行约定，全部或者部分免除投标人投标保证金义务时，我方亦免除相应的保证责任。</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2．因你方原因致使投标人发生本保函第一条第（一）款约定情形的，我方不承担保证责任。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3．因不可抗力造成投标人发生本保函第一条约定情形的，我方不承担保证责任。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4．你方或其他有权机关对</w:t>
      </w:r>
      <w:r>
        <w:rPr>
          <w:rFonts w:hint="eastAsia" w:ascii="宋体" w:hAnsi="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进行任何澄清或修改，加重我方保证责任的，我方对加重部分不承担保证责任，但该澄清或修改经我方事先书面同意的除外。</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六、争议的解决</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因本保函发生的纠纷，由你我双方协商解决，协商不成的，通过诉讼程序解决，诉讼管辖地法院为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法院。</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七、保函的生效</w:t>
      </w:r>
    </w:p>
    <w:p>
      <w:pPr>
        <w:keepNext w:val="0"/>
        <w:keepLines w:val="0"/>
        <w:pageBreakBefore w:val="0"/>
        <w:widowControl w:val="0"/>
        <w:shd w:val="clear" w:color="auto" w:fill="auto"/>
        <w:kinsoku/>
        <w:wordWrap/>
        <w:overflowPunct/>
        <w:topLinePunct w:val="0"/>
        <w:autoSpaceDE/>
        <w:autoSpaceDN/>
        <w:bidi w:val="0"/>
        <w:snapToGrid/>
        <w:spacing w:line="400" w:lineRule="exact"/>
        <w:ind w:firstLine="426" w:firstLineChars="200"/>
        <w:rPr>
          <w:rFonts w:hint="eastAsia" w:ascii="宋体" w:hAnsi="宋体" w:eastAsia="宋体" w:cs="宋体"/>
          <w:color w:val="auto"/>
          <w:highlight w:val="none"/>
        </w:rPr>
      </w:pPr>
      <w:r>
        <w:rPr>
          <w:rFonts w:hint="eastAsia" w:ascii="宋体" w:hAnsi="宋体" w:eastAsia="宋体" w:cs="宋体"/>
          <w:color w:val="auto"/>
          <w:highlight w:val="none"/>
        </w:rPr>
        <w:t>本保函自我方加盖公章之日起生效。</w:t>
      </w:r>
    </w:p>
    <w:p>
      <w:pPr>
        <w:keepNext w:val="0"/>
        <w:keepLines w:val="0"/>
        <w:pageBreakBefore w:val="0"/>
        <w:widowControl w:val="0"/>
        <w:shd w:val="clear" w:color="auto" w:fill="auto"/>
        <w:kinsoku/>
        <w:wordWrap/>
        <w:overflowPunct/>
        <w:topLinePunct w:val="0"/>
        <w:autoSpaceDE/>
        <w:autoSpaceDN/>
        <w:bidi w:val="0"/>
        <w:snapToGrid/>
        <w:spacing w:line="400" w:lineRule="exact"/>
        <w:jc w:val="right"/>
        <w:rPr>
          <w:rFonts w:hint="eastAsia" w:ascii="宋体" w:hAnsi="宋体" w:eastAsia="宋体" w:cs="宋体"/>
          <w:color w:val="auto"/>
          <w:highlight w:val="none"/>
        </w:rPr>
      </w:pPr>
      <w:r>
        <w:rPr>
          <w:rFonts w:hint="eastAsia" w:ascii="宋体" w:hAnsi="宋体" w:eastAsia="宋体" w:cs="宋体"/>
          <w:color w:val="auto"/>
          <w:highlight w:val="none"/>
        </w:rPr>
        <w:t>保证人：（公章）</w:t>
      </w:r>
    </w:p>
    <w:p>
      <w:pPr>
        <w:keepNext w:val="0"/>
        <w:keepLines w:val="0"/>
        <w:pageBreakBefore w:val="0"/>
        <w:widowControl w:val="0"/>
        <w:shd w:val="clear" w:color="auto" w:fill="auto"/>
        <w:kinsoku/>
        <w:wordWrap/>
        <w:overflowPunct/>
        <w:topLinePunct w:val="0"/>
        <w:autoSpaceDE/>
        <w:autoSpaceDN/>
        <w:bidi w:val="0"/>
        <w:snapToGrid/>
        <w:spacing w:line="400" w:lineRule="exact"/>
        <w:jc w:val="right"/>
        <w:rPr>
          <w:rFonts w:hint="eastAsia" w:ascii="宋体" w:hAnsi="宋体" w:eastAsia="宋体" w:cs="宋体"/>
          <w:color w:val="auto"/>
          <w:highlight w:val="none"/>
        </w:rPr>
      </w:pPr>
      <w:r>
        <w:rPr>
          <w:rFonts w:hint="eastAsia" w:ascii="宋体" w:hAnsi="宋体" w:eastAsia="宋体" w:cs="宋体"/>
          <w:color w:val="auto"/>
          <w:highlight w:val="none"/>
        </w:rPr>
        <w:t>年     月      日</w:t>
      </w:r>
    </w:p>
    <w:p>
      <w:pPr>
        <w:pStyle w:val="7"/>
        <w:keepNext w:val="0"/>
        <w:keepLines w:val="0"/>
        <w:pageBreakBefore w:val="0"/>
        <w:widowControl w:val="0"/>
        <w:kinsoku/>
        <w:wordWrap/>
        <w:overflowPunct/>
        <w:topLinePunct w:val="0"/>
        <w:autoSpaceDE/>
        <w:autoSpaceDN/>
        <w:bidi w:val="0"/>
        <w:snapToGrid/>
        <w:spacing w:line="400" w:lineRule="exact"/>
        <w:rPr>
          <w:rFonts w:hint="eastAsia"/>
          <w:color w:val="auto"/>
        </w:rPr>
        <w:sectPr>
          <w:headerReference r:id="rId4" w:type="default"/>
          <w:footerReference r:id="rId5" w:type="default"/>
          <w:pgSz w:w="11905" w:h="16838"/>
          <w:pgMar w:top="1440" w:right="1797" w:bottom="1440" w:left="1797" w:header="850" w:footer="992" w:gutter="0"/>
          <w:pgNumType w:fmt="decimal"/>
          <w:cols w:space="720" w:num="1"/>
          <w:rtlGutter w:val="0"/>
          <w:docGrid w:type="linesAndChars" w:linePitch="325" w:charSpace="635"/>
        </w:sectPr>
      </w:pPr>
    </w:p>
    <w:p>
      <w:pPr>
        <w:shd w:val="clear" w:color="auto" w:fill="auto"/>
        <w:spacing w:line="360" w:lineRule="auto"/>
        <w:jc w:val="both"/>
        <w:rPr>
          <w:rFonts w:hint="eastAsia" w:ascii="宋体" w:hAnsi="宋体" w:eastAsia="宋体" w:cs="宋体"/>
          <w:b/>
          <w:bCs/>
          <w:color w:val="auto"/>
          <w:kern w:val="0"/>
          <w:sz w:val="24"/>
          <w:szCs w:val="20"/>
          <w:highlight w:val="none"/>
          <w:lang w:val="en-US" w:eastAsia="zh-CN" w:bidi="ar-SA"/>
        </w:rPr>
      </w:pPr>
    </w:p>
    <w:p>
      <w:pPr>
        <w:pStyle w:val="4"/>
        <w:numPr>
          <w:ilvl w:val="0"/>
          <w:numId w:val="0"/>
        </w:numPr>
        <w:shd w:val="clear" w:color="auto" w:fill="auto"/>
        <w:spacing w:before="0" w:line="360" w:lineRule="auto"/>
        <w:jc w:val="both"/>
        <w:rPr>
          <w:rFonts w:hint="eastAsia" w:ascii="宋体" w:hAnsi="宋体" w:eastAsia="宋体" w:cs="宋体"/>
          <w:b/>
          <w:bCs/>
          <w:color w:val="auto"/>
          <w:kern w:val="0"/>
          <w:sz w:val="24"/>
          <w:szCs w:val="20"/>
          <w:highlight w:val="none"/>
          <w:lang w:val="en-US" w:eastAsia="zh-CN" w:bidi="ar-SA"/>
        </w:rPr>
      </w:pPr>
      <w:bookmarkStart w:id="104" w:name="_Toc515647810"/>
      <w:bookmarkStart w:id="105" w:name="_Toc18754"/>
      <w:bookmarkStart w:id="106" w:name="_Toc5710"/>
      <w:bookmarkStart w:id="107" w:name="_Toc27021"/>
    </w:p>
    <w:p>
      <w:pPr>
        <w:pStyle w:val="4"/>
        <w:numPr>
          <w:ilvl w:val="0"/>
          <w:numId w:val="0"/>
        </w:numPr>
        <w:shd w:val="clear" w:color="auto" w:fill="auto"/>
        <w:spacing w:before="0" w:line="360" w:lineRule="auto"/>
        <w:jc w:val="both"/>
        <w:rPr>
          <w:rFonts w:hint="eastAsia" w:ascii="宋体" w:hAnsi="宋体" w:eastAsia="宋体" w:cs="宋体"/>
          <w:b/>
          <w:bCs/>
          <w:color w:val="auto"/>
          <w:kern w:val="2"/>
          <w:sz w:val="21"/>
          <w:szCs w:val="24"/>
          <w:highlight w:val="none"/>
          <w:lang w:val="en-US" w:eastAsia="zh-CN" w:bidi="ar-SA"/>
        </w:rPr>
      </w:pPr>
      <w:r>
        <w:rPr>
          <w:rFonts w:hint="eastAsia" w:ascii="宋体" w:hAnsi="宋体" w:cs="宋体"/>
          <w:b/>
          <w:bCs/>
          <w:color w:val="auto"/>
          <w:kern w:val="0"/>
          <w:sz w:val="24"/>
          <w:szCs w:val="20"/>
          <w:highlight w:val="none"/>
          <w:lang w:val="en-US" w:eastAsia="zh-CN" w:bidi="ar-SA"/>
        </w:rPr>
        <w:t>5</w:t>
      </w:r>
      <w:r>
        <w:rPr>
          <w:rFonts w:hint="eastAsia" w:ascii="宋体" w:hAnsi="宋体" w:eastAsia="宋体" w:cs="宋体"/>
          <w:b/>
          <w:bCs/>
          <w:color w:val="auto"/>
          <w:kern w:val="0"/>
          <w:sz w:val="24"/>
          <w:szCs w:val="20"/>
          <w:highlight w:val="none"/>
          <w:lang w:val="en-US" w:eastAsia="zh-CN" w:bidi="ar-SA"/>
        </w:rPr>
        <w:t>、</w:t>
      </w:r>
      <w:bookmarkEnd w:id="104"/>
      <w:bookmarkEnd w:id="105"/>
      <w:bookmarkEnd w:id="106"/>
      <w:bookmarkEnd w:id="107"/>
      <w:r>
        <w:rPr>
          <w:rFonts w:hint="eastAsia" w:ascii="宋体" w:hAnsi="宋体" w:eastAsia="宋体" w:cs="宋体"/>
          <w:b/>
          <w:bCs/>
          <w:color w:val="auto"/>
          <w:kern w:val="2"/>
          <w:sz w:val="21"/>
          <w:szCs w:val="24"/>
          <w:highlight w:val="none"/>
          <w:lang w:val="en-US" w:eastAsia="zh-CN" w:bidi="ar-SA"/>
        </w:rPr>
        <w:t>参加政府采购活动前3年内在经营活动中没有重大违法记录的书面声明</w:t>
      </w:r>
    </w:p>
    <w:p>
      <w:pPr>
        <w:pStyle w:val="14"/>
        <w:shd w:val="clear" w:color="auto" w:fill="auto"/>
        <w:tabs>
          <w:tab w:val="left" w:pos="5580"/>
        </w:tabs>
        <w:spacing w:line="360" w:lineRule="auto"/>
        <w:ind w:left="1087" w:leftChars="257" w:hanging="540"/>
        <w:jc w:val="center"/>
        <w:rPr>
          <w:rFonts w:hint="eastAsia" w:ascii="宋体" w:hAnsi="宋体" w:eastAsia="宋体" w:cs="宋体"/>
          <w:b/>
          <w:color w:val="auto"/>
          <w:sz w:val="24"/>
          <w:highlight w:val="none"/>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4"/>
          <w:highlight w:val="none"/>
        </w:rPr>
      </w:pPr>
    </w:p>
    <w:p>
      <w:pPr>
        <w:shd w:val="clear" w:color="auto" w:fill="auto"/>
        <w:spacing w:line="360" w:lineRule="auto"/>
        <w:rPr>
          <w:rFonts w:hint="eastAsia" w:ascii="宋体" w:hAnsi="宋体" w:eastAsia="宋体" w:cs="宋体"/>
          <w:b/>
          <w:bCs/>
          <w:color w:val="auto"/>
          <w:highlight w:val="none"/>
          <w:lang w:val="en-US" w:eastAsia="zh-CN"/>
        </w:rPr>
      </w:pPr>
    </w:p>
    <w:p>
      <w:pPr>
        <w:shd w:val="clear" w:color="auto" w:fill="auto"/>
        <w:spacing w:line="360" w:lineRule="auto"/>
        <w:rPr>
          <w:rFonts w:hint="eastAsia"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6</w:t>
      </w:r>
      <w:r>
        <w:rPr>
          <w:rFonts w:hint="eastAsia" w:ascii="宋体" w:hAnsi="宋体" w:eastAsia="宋体" w:cs="宋体"/>
          <w:b/>
          <w:bCs/>
          <w:color w:val="auto"/>
          <w:highlight w:val="none"/>
          <w:lang w:val="en-US"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rPr>
          <w:rFonts w:hint="eastAsia" w:ascii="宋体" w:hAnsi="宋体" w:eastAsia="宋体" w:cs="宋体"/>
          <w:b/>
          <w:bCs/>
          <w:color w:val="auto"/>
          <w:highlight w:val="none"/>
          <w:lang w:val="en-US" w:eastAsia="zh-CN"/>
        </w:rPr>
      </w:pPr>
    </w:p>
    <w:p>
      <w:pPr>
        <w:pStyle w:val="4"/>
        <w:numPr>
          <w:ilvl w:val="0"/>
          <w:numId w:val="0"/>
        </w:numPr>
        <w:shd w:val="clear" w:color="auto" w:fill="auto"/>
        <w:spacing w:before="0" w:line="240" w:lineRule="atLeast"/>
        <w:rPr>
          <w:rFonts w:hint="eastAsia" w:ascii="宋体" w:hAnsi="宋体" w:eastAsia="宋体" w:cs="宋体"/>
          <w:color w:val="auto"/>
          <w:sz w:val="24"/>
          <w:highlight w:val="none"/>
        </w:rPr>
      </w:pPr>
    </w:p>
    <w:p>
      <w:pPr>
        <w:shd w:val="clear" w:color="auto" w:fill="auto"/>
        <w:spacing w:line="440" w:lineRule="exact"/>
        <w:rPr>
          <w:rFonts w:hint="eastAsia" w:ascii="宋体" w:hAnsi="宋体" w:eastAsia="宋体" w:cs="宋体"/>
          <w:b/>
          <w:bCs/>
          <w:color w:val="auto"/>
          <w:kern w:val="2"/>
          <w:sz w:val="21"/>
          <w:szCs w:val="24"/>
          <w:highlight w:val="none"/>
          <w:lang w:val="en-US" w:eastAsia="zh-CN" w:bidi="ar-SA"/>
        </w:rPr>
      </w:pPr>
      <w:r>
        <w:rPr>
          <w:rFonts w:hint="eastAsia" w:ascii="宋体" w:hAnsi="宋体" w:cs="宋体"/>
          <w:b/>
          <w:bCs/>
          <w:color w:val="auto"/>
          <w:kern w:val="2"/>
          <w:sz w:val="21"/>
          <w:szCs w:val="24"/>
          <w:highlight w:val="none"/>
          <w:lang w:val="en-US" w:eastAsia="zh-CN" w:bidi="ar-SA"/>
        </w:rPr>
        <w:t>7</w:t>
      </w:r>
      <w:r>
        <w:rPr>
          <w:rFonts w:hint="eastAsia" w:ascii="宋体" w:hAnsi="宋体" w:eastAsia="宋体" w:cs="宋体"/>
          <w:b/>
          <w:bCs/>
          <w:color w:val="auto"/>
          <w:kern w:val="2"/>
          <w:sz w:val="21"/>
          <w:szCs w:val="24"/>
          <w:highlight w:val="none"/>
          <w:lang w:val="en-US" w:eastAsia="zh-CN" w:bidi="ar-SA"/>
        </w:rPr>
        <w:t>、投标人须知资料表要求的其他资格证明文件;</w:t>
      </w:r>
    </w:p>
    <w:p>
      <w:pPr>
        <w:pStyle w:val="4"/>
        <w:numPr>
          <w:ilvl w:val="0"/>
          <w:numId w:val="0"/>
        </w:numPr>
        <w:shd w:val="clear" w:color="auto" w:fill="auto"/>
        <w:spacing w:before="0" w:line="240" w:lineRule="atLeast"/>
        <w:rPr>
          <w:rFonts w:hint="eastAsia" w:ascii="宋体" w:hAnsi="宋体" w:eastAsia="宋体" w:cs="宋体"/>
          <w:color w:val="auto"/>
          <w:sz w:val="24"/>
          <w:highlight w:val="none"/>
          <w:lang w:val="en-US" w:eastAsia="zh-CN"/>
        </w:rPr>
      </w:pPr>
      <w:bookmarkStart w:id="108" w:name="_Toc4937"/>
      <w:bookmarkStart w:id="109" w:name="_Toc32670"/>
      <w:bookmarkStart w:id="110" w:name="_Toc515647811"/>
      <w:bookmarkStart w:id="111" w:name="_Toc24428"/>
    </w:p>
    <w:p>
      <w:pPr>
        <w:rPr>
          <w:rFonts w:hint="eastAsia" w:ascii="宋体" w:hAnsi="宋体" w:eastAsia="宋体" w:cs="宋体"/>
          <w:color w:val="auto"/>
          <w:sz w:val="24"/>
          <w:highlight w:val="none"/>
          <w:lang w:val="en-US" w:eastAsia="zh-CN"/>
        </w:rPr>
      </w:pPr>
    </w:p>
    <w:p>
      <w:pPr>
        <w:pStyle w:val="2"/>
        <w:rPr>
          <w:rFonts w:hint="eastAsia" w:ascii="宋体" w:hAnsi="宋体" w:eastAsia="宋体" w:cs="宋体"/>
          <w:color w:val="auto"/>
          <w:sz w:val="24"/>
          <w:highlight w:val="none"/>
          <w:lang w:val="en-US" w:eastAsia="zh-CN"/>
        </w:rPr>
      </w:pPr>
    </w:p>
    <w:p>
      <w:pPr>
        <w:rPr>
          <w:rFonts w:hint="eastAsia" w:ascii="宋体" w:hAnsi="宋体" w:eastAsia="宋体" w:cs="宋体"/>
          <w:color w:val="auto"/>
          <w:sz w:val="24"/>
          <w:highlight w:val="none"/>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bookmarkEnd w:id="108"/>
    <w:bookmarkEnd w:id="109"/>
    <w:bookmarkEnd w:id="110"/>
    <w:bookmarkEnd w:id="111"/>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p>
    <w:p>
      <w:pPr>
        <w:pStyle w:val="3"/>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color w:val="auto"/>
          <w:sz w:val="32"/>
          <w:szCs w:val="32"/>
          <w:highlight w:val="none"/>
        </w:rPr>
      </w:pPr>
      <w:bookmarkStart w:id="112" w:name="_Toc11180"/>
      <w:bookmarkStart w:id="113" w:name="_Toc515647816"/>
      <w:bookmarkStart w:id="114" w:name="_Toc22967"/>
      <w:bookmarkStart w:id="115" w:name="_Toc5695"/>
      <w:r>
        <w:rPr>
          <w:rFonts w:hint="eastAsia"/>
          <w:color w:val="auto"/>
          <w:sz w:val="32"/>
          <w:szCs w:val="32"/>
          <w:highlight w:val="none"/>
        </w:rPr>
        <w:t>第二部分  商务及技术文件</w:t>
      </w:r>
      <w:bookmarkEnd w:id="112"/>
      <w:bookmarkEnd w:id="113"/>
      <w:bookmarkEnd w:id="114"/>
      <w:bookmarkEnd w:id="115"/>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1、投标函</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2、开标一览表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3、货物说明一览表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4、投标分项报价表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5、技术规格偏离表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6、商务条款偏离表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7、投标人基本情况表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8、近三年类似项目业绩表</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9、中小企业声明函(</w:t>
      </w:r>
      <w:r>
        <w:rPr>
          <w:rFonts w:hint="eastAsia" w:ascii="宋体" w:hAnsi="宋体" w:cs="Times New Roman"/>
          <w:color w:val="auto"/>
          <w:szCs w:val="21"/>
          <w:highlight w:val="none"/>
          <w:lang w:val="en-US" w:eastAsia="zh-CN"/>
        </w:rPr>
        <w:t>服务</w:t>
      </w:r>
      <w:r>
        <w:rPr>
          <w:rFonts w:hint="eastAsia" w:ascii="宋体" w:hAnsi="宋体" w:eastAsia="宋体" w:cs="Times New Roman"/>
          <w:color w:val="auto"/>
          <w:szCs w:val="21"/>
          <w:highlight w:val="none"/>
          <w:lang w:val="en-US" w:eastAsia="zh-CN"/>
        </w:rPr>
        <w:t>)</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10、《残疾人福利性单位声明函》</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11、评分标准和细则中技术部分证明材料</w:t>
      </w:r>
    </w:p>
    <w:p>
      <w:pPr>
        <w:shd w:val="clear" w:color="auto" w:fill="auto"/>
        <w:spacing w:line="360" w:lineRule="auto"/>
        <w:ind w:firstLine="287" w:firstLineChars="135"/>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12、评分标准和细则中</w:t>
      </w:r>
      <w:r>
        <w:rPr>
          <w:rFonts w:hint="eastAsia" w:ascii="宋体" w:hAnsi="宋体" w:cs="Times New Roman"/>
          <w:color w:val="auto"/>
          <w:szCs w:val="21"/>
          <w:highlight w:val="none"/>
          <w:lang w:val="en-US" w:eastAsia="zh-CN"/>
        </w:rPr>
        <w:t>商务</w:t>
      </w:r>
      <w:r>
        <w:rPr>
          <w:rFonts w:hint="eastAsia" w:ascii="宋体" w:hAnsi="宋体" w:eastAsia="宋体" w:cs="Times New Roman"/>
          <w:color w:val="auto"/>
          <w:szCs w:val="21"/>
          <w:highlight w:val="none"/>
          <w:lang w:val="en-US" w:eastAsia="zh-CN"/>
        </w:rPr>
        <w:t>部分证明材料（格式自拟）</w:t>
      </w:r>
    </w:p>
    <w:p>
      <w:pPr>
        <w:shd w:val="clear" w:color="auto" w:fill="auto"/>
        <w:spacing w:line="360" w:lineRule="auto"/>
        <w:ind w:firstLine="287" w:firstLineChars="135"/>
        <w:rPr>
          <w:rFonts w:hint="eastAsia" w:ascii="宋体" w:hAnsi="宋体" w:eastAsia="宋体" w:cs="宋体"/>
          <w:color w:val="auto"/>
          <w:sz w:val="24"/>
          <w:highlight w:val="none"/>
        </w:rPr>
      </w:pPr>
      <w:r>
        <w:rPr>
          <w:rFonts w:hint="eastAsia" w:ascii="宋体" w:hAnsi="宋体" w:eastAsia="宋体" w:cs="Times New Roman"/>
          <w:color w:val="auto"/>
          <w:szCs w:val="21"/>
          <w:highlight w:val="none"/>
          <w:lang w:val="en-US" w:eastAsia="zh-CN"/>
        </w:rPr>
        <w:t>13、投标人认为有必要提供的其他证明材料（格式自拟）</w:t>
      </w:r>
    </w:p>
    <w:bookmarkEnd w:id="84"/>
    <w:bookmarkEnd w:id="85"/>
    <w:bookmarkEnd w:id="86"/>
    <w:bookmarkEnd w:id="87"/>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bookmarkStart w:id="116" w:name="_Toc1266"/>
      <w:bookmarkStart w:id="117" w:name="_Toc23473"/>
      <w:bookmarkStart w:id="118" w:name="_Toc10107"/>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36"/>
          <w:szCs w:val="36"/>
          <w:lang w:val="en-US" w:eastAsia="zh-CN"/>
        </w:rPr>
      </w:pPr>
    </w:p>
    <w:p>
      <w:pPr>
        <w:pStyle w:val="2"/>
        <w:numPr>
          <w:ilvl w:val="0"/>
          <w:numId w:val="0"/>
        </w:numPr>
        <w:kinsoku w:val="0"/>
        <w:overflowPunct w:val="0"/>
        <w:spacing w:before="130" w:line="355" w:lineRule="auto"/>
        <w:ind w:left="480" w:leftChars="0" w:right="7" w:rightChars="0"/>
        <w:jc w:val="center"/>
        <w:rPr>
          <w:rFonts w:hint="eastAsia" w:ascii="仿宋" w:hAnsi="仿宋" w:eastAsia="仿宋" w:cs="仿宋"/>
          <w:b/>
          <w:bCs/>
          <w:color w:val="auto"/>
          <w:sz w:val="28"/>
          <w:szCs w:val="28"/>
          <w:lang w:val="en-US" w:eastAsia="zh-CN"/>
        </w:rPr>
      </w:pPr>
    </w:p>
    <w:p>
      <w:pPr>
        <w:pStyle w:val="2"/>
        <w:numPr>
          <w:ilvl w:val="0"/>
          <w:numId w:val="0"/>
        </w:numPr>
        <w:kinsoku w:val="0"/>
        <w:overflowPunct w:val="0"/>
        <w:spacing w:before="130" w:line="355" w:lineRule="auto"/>
        <w:ind w:left="480" w:leftChars="0" w:right="7" w:right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1</w:t>
      </w:r>
      <w:r>
        <w:rPr>
          <w:rFonts w:hint="eastAsia" w:ascii="宋体" w:hAnsi="宋体" w:eastAsia="宋体" w:cs="宋体"/>
          <w:b/>
          <w:bCs/>
          <w:color w:val="auto"/>
          <w:sz w:val="28"/>
          <w:szCs w:val="28"/>
        </w:rPr>
        <w:t>、投标函</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致：</w:t>
      </w:r>
      <w:r>
        <w:rPr>
          <w:rFonts w:hint="eastAsia" w:ascii="宋体" w:hAnsi="宋体" w:eastAsia="宋体" w:cs="宋体"/>
          <w:color w:val="auto"/>
          <w:kern w:val="0"/>
          <w:sz w:val="21"/>
          <w:szCs w:val="21"/>
          <w:u w:val="single"/>
        </w:rPr>
        <w:t xml:space="preserve">                     </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为响应你方组织的</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项目的招标项目编号为：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，我方愿参与投标。</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我方确认收到贵方提供的</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none"/>
        </w:rPr>
        <w:t>招标</w:t>
      </w:r>
      <w:r>
        <w:rPr>
          <w:rFonts w:hint="eastAsia" w:ascii="宋体" w:hAnsi="宋体" w:eastAsia="宋体" w:cs="宋体"/>
          <w:color w:val="auto"/>
          <w:kern w:val="0"/>
          <w:sz w:val="21"/>
          <w:szCs w:val="21"/>
        </w:rPr>
        <w:t>文件的全部内容。</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我方在参与投标前已详细研究了招标文件的所有内容，包括澄清、修改文件（如果有）和所有已提供的参考资料以及有关附件，我方完全明白并认为此招标文件没有倾向性，也不存在排斥潜在报价投标人的内容，我方同意招标文件的相关条款，放弃对招标文件提出误解和质疑的一切权力。</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rPr>
        <w:t xml:space="preserve">      (投标人名称)      </w:t>
      </w:r>
      <w:r>
        <w:rPr>
          <w:rFonts w:hint="eastAsia" w:ascii="宋体" w:hAnsi="宋体" w:eastAsia="宋体" w:cs="宋体"/>
          <w:color w:val="auto"/>
          <w:kern w:val="0"/>
          <w:sz w:val="21"/>
          <w:szCs w:val="21"/>
        </w:rPr>
        <w:t>作为投标人正式授权</w:t>
      </w:r>
      <w:r>
        <w:rPr>
          <w:rFonts w:hint="eastAsia" w:ascii="宋体" w:hAnsi="宋体" w:eastAsia="宋体" w:cs="宋体"/>
          <w:color w:val="auto"/>
          <w:kern w:val="0"/>
          <w:sz w:val="21"/>
          <w:szCs w:val="21"/>
          <w:u w:val="single"/>
        </w:rPr>
        <w:t xml:space="preserve">  (授权代表全名, 职务)  </w:t>
      </w:r>
      <w:r>
        <w:rPr>
          <w:rFonts w:hint="eastAsia" w:ascii="宋体" w:hAnsi="宋体" w:eastAsia="宋体" w:cs="宋体"/>
          <w:color w:val="auto"/>
          <w:kern w:val="0"/>
          <w:sz w:val="21"/>
          <w:szCs w:val="21"/>
        </w:rPr>
        <w:t>代表我方全权处理有关本报价的一切事宜。</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我方已完全明白招标文件的所有条款要求，并申明如下：</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（一）按招标文件提供的全部货物与相关服务的投标总价详见《报价一览表》。</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（二）本投标文件的有效期为投标截止时间起</w:t>
      </w:r>
      <w:r>
        <w:rPr>
          <w:rFonts w:hint="eastAsia" w:ascii="宋体" w:hAnsi="宋体" w:eastAsia="宋体" w:cs="宋体"/>
          <w:color w:val="auto"/>
          <w:kern w:val="0"/>
          <w:sz w:val="21"/>
          <w:szCs w:val="21"/>
          <w:u w:val="single"/>
          <w:lang w:val="en-US" w:eastAsia="zh-CN"/>
        </w:rPr>
        <w:t>60</w:t>
      </w:r>
      <w:r>
        <w:rPr>
          <w:rFonts w:hint="eastAsia" w:ascii="宋体" w:hAnsi="宋体" w:eastAsia="宋体" w:cs="宋体"/>
          <w:color w:val="auto"/>
          <w:kern w:val="0"/>
          <w:sz w:val="21"/>
          <w:szCs w:val="21"/>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（三）我方同意按照贵方可能提出的要求而提供与投标有关的任何其它数据、信息或资料。</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四</w:t>
      </w:r>
      <w:r>
        <w:rPr>
          <w:rFonts w:hint="eastAsia" w:ascii="宋体" w:hAnsi="宋体" w:eastAsia="宋体" w:cs="宋体"/>
          <w:color w:val="auto"/>
          <w:kern w:val="0"/>
          <w:sz w:val="21"/>
          <w:szCs w:val="21"/>
        </w:rPr>
        <w:t>）我方理解贵方不一定接受最低投标价或任何贵方可能收到的投标。</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五</w:t>
      </w:r>
      <w:r>
        <w:rPr>
          <w:rFonts w:hint="eastAsia" w:ascii="宋体" w:hAnsi="宋体" w:eastAsia="宋体" w:cs="宋体"/>
          <w:color w:val="auto"/>
          <w:kern w:val="0"/>
          <w:sz w:val="21"/>
          <w:szCs w:val="21"/>
        </w:rPr>
        <w:t>）我方如果中标，将保证履行招标文件及其澄清、修改文件（如果有）中的全部责任和义务，按质、按量、按期完成《招标内容》及《合同书》中的全部任务。</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六</w:t>
      </w:r>
      <w:r>
        <w:rPr>
          <w:rFonts w:hint="eastAsia" w:ascii="宋体" w:hAnsi="宋体" w:eastAsia="宋体" w:cs="宋体"/>
          <w:color w:val="auto"/>
          <w:kern w:val="0"/>
          <w:sz w:val="21"/>
          <w:szCs w:val="21"/>
        </w:rPr>
        <w:t>）如我方被授予合同，我方承诺支付就本次招标应支付或将支付的中标服务费（详见按招标文件要求格式填写的《中标服务费支付承诺书》）。</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七</w:t>
      </w:r>
      <w:r>
        <w:rPr>
          <w:rFonts w:hint="eastAsia" w:ascii="宋体" w:hAnsi="宋体" w:eastAsia="宋体" w:cs="宋体"/>
          <w:color w:val="auto"/>
          <w:kern w:val="0"/>
          <w:sz w:val="21"/>
          <w:szCs w:val="21"/>
        </w:rPr>
        <w:t>）我方作为在法律、财务和运作上独立于采购人、招标代理机构的投标人，在此保证所提交的所有文件和全部说明是真实的和正确的。</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八</w:t>
      </w:r>
      <w:r>
        <w:rPr>
          <w:rFonts w:hint="eastAsia" w:ascii="宋体" w:hAnsi="宋体" w:eastAsia="宋体" w:cs="宋体"/>
          <w:color w:val="auto"/>
          <w:kern w:val="0"/>
          <w:sz w:val="21"/>
          <w:szCs w:val="21"/>
        </w:rPr>
        <w:t>）我方投标报价已包含应向知识产权所有权人支付的所有相关税费，并保证采购人在中国使用我方提供的货物时，如有第三方提出侵犯其知识产权主张的，责任由我方承担。</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九</w:t>
      </w:r>
      <w:r>
        <w:rPr>
          <w:rFonts w:hint="eastAsia" w:ascii="宋体" w:hAnsi="宋体" w:eastAsia="宋体" w:cs="宋体"/>
          <w:color w:val="auto"/>
          <w:kern w:val="0"/>
          <w:sz w:val="21"/>
          <w:szCs w:val="21"/>
        </w:rPr>
        <w:t>）我方与其他投标人不存在单位负责人为同一人或者存在直接控股、管理关系。</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（十）我方承诺未为本项目提供整体设计、规范编制或者项目管理、监理、检测等服务。</w:t>
      </w:r>
    </w:p>
    <w:p>
      <w:pPr>
        <w:spacing w:line="480" w:lineRule="exact"/>
        <w:ind w:firstLine="426"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w:t>
      </w:r>
      <w:r>
        <w:rPr>
          <w:rFonts w:hint="eastAsia" w:ascii="宋体" w:hAnsi="宋体" w:eastAsia="宋体" w:cs="宋体"/>
          <w:color w:val="auto"/>
          <w:kern w:val="0"/>
          <w:sz w:val="21"/>
          <w:szCs w:val="21"/>
          <w:lang w:eastAsia="zh-CN"/>
        </w:rPr>
        <w:t>一</w:t>
      </w:r>
      <w:r>
        <w:rPr>
          <w:rFonts w:hint="eastAsia" w:ascii="宋体" w:hAnsi="宋体" w:eastAsia="宋体" w:cs="宋体"/>
          <w:color w:val="auto"/>
          <w:kern w:val="0"/>
          <w:sz w:val="21"/>
          <w:szCs w:val="21"/>
        </w:rPr>
        <w:t>）我方具备《政府采购法》第二十二条规定的条件，承诺如下：</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（1）我方已依法缴纳了各项税费及社会保险费用，如有需要，可随时向采购人提供近三个月内的相关缴费证明，以便核查。</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（2）我方已依法建立健全的财务会计制度，如有需要，可随时向采购人提供相关的证明材料，以便核查。</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（3）我方参加本项目政府采购活动前3年内在经营活动中没有重大违法记录。</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（4）我方具备履行合同所必需的设备和专业技术能力。</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（5）我方符合法律、行政法规规定的其他条件。</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以上内容如有虚假或与事实不符的，评审委员会可将我方做无效投标处理，我方愿意承担相应的法律责任。</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（十三）我方对在本函及投标文件中所作的所有承诺承担法律责任。</w:t>
      </w:r>
    </w:p>
    <w:p>
      <w:pPr>
        <w:keepNext w:val="0"/>
        <w:keepLines w:val="0"/>
        <w:pageBreakBefore w:val="0"/>
        <w:widowControl w:val="0"/>
        <w:topLinePunct w:val="0"/>
        <w:autoSpaceDE/>
        <w:autoSpaceDN/>
        <w:bidi w:val="0"/>
        <w:adjustRightInd/>
        <w:snapToGrid/>
        <w:spacing w:line="440" w:lineRule="exact"/>
        <w:ind w:firstLine="426"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（十四）所有与本招标有关的函件请发往下列地址：</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地    址：</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.邮政编码：</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电    话：</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传    真：</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代表姓名：</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.职    务：</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keepNext w:val="0"/>
        <w:keepLines w:val="0"/>
        <w:pageBreakBefore w:val="0"/>
        <w:widowControl w:val="0"/>
        <w:topLinePunct w:val="0"/>
        <w:autoSpaceDE/>
        <w:autoSpaceDN/>
        <w:bidi w:val="0"/>
        <w:adjustRightInd/>
        <w:snapToGrid/>
        <w:spacing w:line="440" w:lineRule="exact"/>
        <w:ind w:right="480"/>
        <w:jc w:val="righ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w:t>
      </w:r>
      <w:r>
        <w:rPr>
          <w:rFonts w:hint="eastAsia" w:ascii="宋体" w:hAnsi="宋体" w:eastAsia="宋体" w:cs="宋体"/>
          <w:color w:val="auto"/>
          <w:kern w:val="0"/>
          <w:sz w:val="21"/>
          <w:szCs w:val="21"/>
          <w:u w:val="single"/>
        </w:rPr>
        <w:tab/>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（公章） </w:t>
      </w:r>
    </w:p>
    <w:p>
      <w:pPr>
        <w:keepNext w:val="0"/>
        <w:keepLines w:val="0"/>
        <w:pageBreakBefore w:val="0"/>
        <w:widowControl w:val="0"/>
        <w:wordWrap w:val="0"/>
        <w:topLinePunct w:val="0"/>
        <w:autoSpaceDE/>
        <w:autoSpaceDN/>
        <w:bidi w:val="0"/>
        <w:adjustRightInd/>
        <w:snapToGrid/>
        <w:spacing w:line="440" w:lineRule="exact"/>
        <w:ind w:firstLine="426" w:firstLineChars="200"/>
        <w:jc w:val="righ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法定代表人或委托人：</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签字或盖章</w:t>
      </w:r>
      <w:r>
        <w:rPr>
          <w:rFonts w:hint="eastAsia" w:ascii="宋体" w:hAnsi="宋体" w:eastAsia="宋体" w:cs="宋体"/>
          <w:color w:val="auto"/>
          <w:kern w:val="0"/>
          <w:sz w:val="21"/>
          <w:szCs w:val="21"/>
        </w:rPr>
        <w:t xml:space="preserve">）  </w:t>
      </w:r>
    </w:p>
    <w:p>
      <w:pPr>
        <w:keepNext w:val="0"/>
        <w:keepLines w:val="0"/>
        <w:pageBreakBefore w:val="0"/>
        <w:widowControl w:val="0"/>
        <w:wordWrap w:val="0"/>
        <w:topLinePunct w:val="0"/>
        <w:autoSpaceDE/>
        <w:autoSpaceDN/>
        <w:bidi w:val="0"/>
        <w:adjustRightInd/>
        <w:snapToGrid/>
        <w:spacing w:line="440" w:lineRule="exact"/>
        <w:ind w:firstLine="426" w:firstLineChars="200"/>
        <w:jc w:val="righ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rPr>
        <w:tab/>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u w:val="single"/>
        </w:rPr>
        <w:tab/>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日</w:t>
      </w:r>
    </w:p>
    <w:p>
      <w:pPr>
        <w:pStyle w:val="4"/>
        <w:numPr>
          <w:ilvl w:val="0"/>
          <w:numId w:val="0"/>
        </w:numPr>
        <w:shd w:val="clear" w:color="auto" w:fill="auto"/>
        <w:spacing w:before="0" w:line="240" w:lineRule="atLeast"/>
        <w:ind w:left="431" w:leftChars="0"/>
        <w:rPr>
          <w:rFonts w:hint="eastAsia" w:ascii="宋体" w:hAnsi="宋体" w:eastAsia="宋体" w:cs="宋体"/>
          <w:color w:val="auto"/>
          <w:sz w:val="24"/>
          <w:highlight w:val="none"/>
        </w:rPr>
      </w:pPr>
    </w:p>
    <w:p>
      <w:pPr>
        <w:pStyle w:val="5"/>
        <w:rPr>
          <w:rFonts w:hint="eastAsia"/>
          <w:color w:val="auto"/>
        </w:rPr>
      </w:pPr>
    </w:p>
    <w:p>
      <w:pPr>
        <w:pStyle w:val="7"/>
        <w:shd w:val="clear" w:color="auto" w:fill="auto"/>
        <w:tabs>
          <w:tab w:val="left" w:pos="5580"/>
        </w:tabs>
        <w:spacing w:line="240" w:lineRule="atLeast"/>
        <w:ind w:left="0" w:leftChars="0" w:firstLine="0" w:firstLineChars="0"/>
        <w:jc w:val="both"/>
        <w:rPr>
          <w:rFonts w:hint="eastAsia" w:ascii="宋体" w:hAnsi="宋体" w:eastAsia="宋体" w:cs="宋体"/>
          <w:b/>
          <w:color w:val="auto"/>
          <w:sz w:val="36"/>
          <w:szCs w:val="24"/>
          <w:highlight w:val="none"/>
        </w:rPr>
      </w:pPr>
      <w:bookmarkStart w:id="119" w:name="_Toc494296984"/>
    </w:p>
    <w:p>
      <w:pPr>
        <w:rPr>
          <w:rFonts w:hint="eastAsia"/>
          <w:color w:val="auto"/>
        </w:rPr>
      </w:pPr>
    </w:p>
    <w:p>
      <w:pPr>
        <w:pStyle w:val="7"/>
        <w:numPr>
          <w:numId w:val="0"/>
        </w:numPr>
        <w:shd w:val="clear" w:color="auto" w:fill="auto"/>
        <w:tabs>
          <w:tab w:val="left" w:pos="5580"/>
        </w:tabs>
        <w:spacing w:line="240" w:lineRule="atLeast"/>
        <w:ind w:left="3195" w:leftChars="0"/>
        <w:jc w:val="both"/>
        <w:rPr>
          <w:rFonts w:hint="eastAsia" w:ascii="宋体" w:hAnsi="宋体" w:eastAsia="宋体" w:cs="宋体"/>
          <w:b/>
          <w:color w:val="auto"/>
          <w:sz w:val="28"/>
          <w:szCs w:val="21"/>
          <w:highlight w:val="none"/>
        </w:rPr>
      </w:pPr>
      <w:r>
        <w:rPr>
          <w:rFonts w:hint="eastAsia" w:ascii="宋体" w:hAnsi="宋体" w:cs="宋体"/>
          <w:b/>
          <w:color w:val="auto"/>
          <w:sz w:val="28"/>
          <w:szCs w:val="21"/>
          <w:highlight w:val="none"/>
          <w:lang w:val="en-US" w:eastAsia="zh-CN"/>
        </w:rPr>
        <w:t>2、</w:t>
      </w:r>
      <w:r>
        <w:rPr>
          <w:rFonts w:hint="eastAsia" w:ascii="宋体" w:hAnsi="宋体" w:eastAsia="宋体" w:cs="宋体"/>
          <w:b/>
          <w:color w:val="auto"/>
          <w:sz w:val="28"/>
          <w:szCs w:val="21"/>
          <w:highlight w:val="none"/>
        </w:rPr>
        <w:t>开标一览表</w:t>
      </w:r>
      <w:bookmarkEnd w:id="119"/>
    </w:p>
    <w:p>
      <w:pPr>
        <w:pStyle w:val="7"/>
        <w:numPr>
          <w:ilvl w:val="0"/>
          <w:numId w:val="0"/>
        </w:numPr>
        <w:shd w:val="clear" w:color="auto" w:fill="auto"/>
        <w:tabs>
          <w:tab w:val="left" w:pos="5580"/>
        </w:tabs>
        <w:spacing w:line="240" w:lineRule="atLeast"/>
        <w:ind w:leftChars="0"/>
        <w:jc w:val="both"/>
        <w:rPr>
          <w:rFonts w:hint="eastAsia" w:ascii="宋体" w:hAnsi="宋体" w:eastAsia="宋体" w:cs="宋体"/>
          <w:color w:val="auto"/>
          <w:szCs w:val="21"/>
          <w:highlight w:val="none"/>
          <w:u w:val="single"/>
        </w:rPr>
      </w:pPr>
      <w:r>
        <w:rPr>
          <w:rFonts w:hint="eastAsia" w:ascii="宋体" w:hAnsi="宋体" w:eastAsia="宋体" w:cs="宋体"/>
          <w:color w:val="auto"/>
          <w:sz w:val="21"/>
          <w:szCs w:val="21"/>
          <w:highlight w:val="none"/>
        </w:rPr>
        <w:t>招标项目名称</w:t>
      </w:r>
      <w:r>
        <w:rPr>
          <w:rFonts w:hint="eastAsia" w:ascii="宋体" w:hAnsi="宋体" w:eastAsia="宋体" w:cs="宋体"/>
          <w:color w:val="auto"/>
          <w:szCs w:val="21"/>
          <w:highlight w:val="none"/>
        </w:rPr>
        <w:t>：</w:t>
      </w:r>
    </w:p>
    <w:p>
      <w:pPr>
        <w:shd w:val="clear" w:color="auto" w:fill="auto"/>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招标项目编号：                                                </w:t>
      </w:r>
    </w:p>
    <w:p>
      <w:pPr>
        <w:shd w:val="clear" w:color="auto" w:fill="auto"/>
        <w:spacing w:line="50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单位：元（人民币）</w:t>
      </w:r>
    </w:p>
    <w:tbl>
      <w:tblPr>
        <w:tblStyle w:val="27"/>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6185" w:type="dxa"/>
            <w:noWrap w:val="0"/>
            <w:vAlign w:val="center"/>
          </w:tcPr>
          <w:p>
            <w:pPr>
              <w:shd w:val="clear" w:color="auto" w:fill="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服务时间</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w:t>
            </w:r>
            <w:r>
              <w:rPr>
                <w:rFonts w:hint="eastAsia" w:ascii="宋体" w:hAnsi="宋体" w:eastAsia="宋体" w:cs="宋体"/>
                <w:color w:val="auto"/>
                <w:szCs w:val="21"/>
                <w:highlight w:val="none"/>
                <w:lang w:val="en-US" w:eastAsia="zh-CN"/>
              </w:rPr>
              <w:t>地点</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w:t>
            </w:r>
            <w:r>
              <w:rPr>
                <w:rFonts w:hint="eastAsia" w:ascii="宋体" w:hAnsi="宋体" w:cs="宋体"/>
                <w:color w:val="auto"/>
                <w:szCs w:val="21"/>
                <w:highlight w:val="none"/>
                <w:lang w:val="en-US" w:eastAsia="zh-CN"/>
              </w:rPr>
              <w:t>单价</w:t>
            </w:r>
            <w:r>
              <w:rPr>
                <w:rFonts w:hint="eastAsia" w:ascii="宋体" w:hAnsi="宋体" w:eastAsia="宋体" w:cs="宋体"/>
                <w:color w:val="auto"/>
                <w:szCs w:val="21"/>
                <w:highlight w:val="none"/>
              </w:rPr>
              <w:t>报价</w:t>
            </w:r>
          </w:p>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小写</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shd w:val="clear" w:color="auto" w:fill="auto"/>
              <w:jc w:val="center"/>
              <w:rPr>
                <w:rFonts w:hint="eastAsia" w:ascii="宋体" w:hAnsi="宋体" w:eastAsia="宋体" w:cs="宋体"/>
                <w:color w:val="auto"/>
                <w:szCs w:val="21"/>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大写</w:t>
            </w:r>
          </w:p>
        </w:tc>
        <w:tc>
          <w:tcPr>
            <w:tcW w:w="6185" w:type="dxa"/>
            <w:noWrap w:val="0"/>
            <w:vAlign w:val="center"/>
          </w:tcPr>
          <w:p>
            <w:pPr>
              <w:shd w:val="clear" w:color="auto" w:fill="auto"/>
              <w:jc w:val="center"/>
              <w:rPr>
                <w:rFonts w:hint="eastAsia" w:ascii="宋体" w:hAnsi="宋体" w:eastAsia="宋体" w:cs="宋体"/>
                <w:color w:val="auto"/>
                <w:szCs w:val="21"/>
                <w:highlight w:val="none"/>
              </w:rPr>
            </w:pPr>
          </w:p>
        </w:tc>
      </w:tr>
    </w:tbl>
    <w:p>
      <w:pPr>
        <w:shd w:val="clear" w:color="auto" w:fill="auto"/>
        <w:spacing w:line="50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填写说明：</w:t>
      </w:r>
    </w:p>
    <w:p>
      <w:pPr>
        <w:shd w:val="clear" w:color="auto" w:fill="auto"/>
        <w:spacing w:line="500" w:lineRule="exact"/>
        <w:ind w:firstLine="416"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1.为方便开标唱标，投标人应将开标一览表单独密封，并在信封上标明“开标一览表”字样，然后在递交投标文件时单独递交</w:t>
      </w:r>
      <w:r>
        <w:rPr>
          <w:rFonts w:hint="eastAsia" w:ascii="宋体" w:hAnsi="宋体" w:eastAsia="宋体" w:cs="宋体"/>
          <w:b/>
          <w:bCs/>
          <w:color w:val="auto"/>
          <w:sz w:val="24"/>
          <w:highlight w:val="none"/>
        </w:rPr>
        <w:t>。</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3.投标总价为招标范围所列全部招标项目的报价总和，并应与投标报价明细表及分项价格表保持一致。</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4.必须在投标文件中装订。</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5.投标报价不得填报选择性报价。</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r>
        <w:rPr>
          <w:rFonts w:hint="eastAsia" w:ascii="宋体" w:hAnsi="宋体" w:eastAsia="宋体" w:cs="宋体"/>
          <w:color w:val="auto"/>
          <w:szCs w:val="21"/>
          <w:highlight w:val="none"/>
          <w:u w:val="single"/>
        </w:rPr>
        <w:t xml:space="preserve">    （加盖公章）     </w:t>
      </w:r>
      <w:r>
        <w:rPr>
          <w:rFonts w:hint="eastAsia" w:ascii="宋体" w:hAnsi="宋体" w:eastAsia="宋体" w:cs="宋体"/>
          <w:color w:val="auto"/>
          <w:szCs w:val="21"/>
          <w:highlight w:val="none"/>
        </w:rPr>
        <w:t xml:space="preserve">       </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法定代表人签字或盖章：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授权代表签字或盖章：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shd w:val="clear" w:color="auto" w:fill="auto"/>
        <w:spacing w:line="500" w:lineRule="exact"/>
        <w:ind w:firstLine="426"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签署日期：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月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rPr>
          <w:color w:val="auto"/>
        </w:rPr>
      </w:pPr>
    </w:p>
    <w:p>
      <w:pPr>
        <w:pStyle w:val="4"/>
        <w:numPr>
          <w:ilvl w:val="0"/>
          <w:numId w:val="0"/>
        </w:numPr>
        <w:shd w:val="clear" w:color="auto" w:fill="auto"/>
        <w:spacing w:before="0" w:line="240" w:lineRule="atLeast"/>
        <w:jc w:val="both"/>
        <w:rPr>
          <w:rFonts w:hint="eastAsia" w:ascii="宋体" w:hAnsi="宋体" w:eastAsia="宋体" w:cs="宋体"/>
          <w:b/>
          <w:bCs/>
          <w:color w:val="auto"/>
          <w:sz w:val="24"/>
          <w:highlight w:val="none"/>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3</w:t>
      </w:r>
      <w:r>
        <w:rPr>
          <w:rFonts w:hint="eastAsia" w:ascii="宋体" w:hAnsi="宋体" w:eastAsia="宋体" w:cs="宋体"/>
          <w:b/>
          <w:bCs/>
          <w:color w:val="auto"/>
          <w:sz w:val="24"/>
          <w:highlight w:val="none"/>
          <w:lang w:eastAsia="zh-CN"/>
        </w:rPr>
        <w:t>、</w:t>
      </w:r>
      <w:bookmarkEnd w:id="116"/>
      <w:bookmarkEnd w:id="117"/>
      <w:bookmarkEnd w:id="118"/>
      <w:bookmarkStart w:id="120" w:name="_Toc10313"/>
      <w:bookmarkStart w:id="121" w:name="_Toc1881"/>
      <w:bookmarkStart w:id="122" w:name="_Toc515647818"/>
      <w:bookmarkStart w:id="123" w:name="_Toc216582815"/>
      <w:bookmarkStart w:id="124" w:name="_Toc20897"/>
      <w:bookmarkStart w:id="125" w:name="_Toc216582817"/>
      <w:bookmarkStart w:id="126" w:name="_Toc28959"/>
      <w:bookmarkStart w:id="127" w:name="_Toc22563"/>
      <w:bookmarkStart w:id="128" w:name="_Toc515647820"/>
      <w:r>
        <w:rPr>
          <w:rFonts w:hint="eastAsia" w:ascii="宋体" w:hAnsi="宋体" w:eastAsia="宋体" w:cs="宋体"/>
          <w:b/>
          <w:bCs/>
          <w:color w:val="auto"/>
          <w:sz w:val="24"/>
          <w:highlight w:val="none"/>
        </w:rPr>
        <w:t>投标分项报价表</w:t>
      </w:r>
      <w:bookmarkEnd w:id="120"/>
      <w:bookmarkEnd w:id="121"/>
      <w:bookmarkEnd w:id="122"/>
      <w:bookmarkEnd w:id="123"/>
      <w:bookmarkEnd w:id="124"/>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项目名称:                      招标编号:                  包号: 　 </w:t>
      </w:r>
    </w:p>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rPr>
      </w:pPr>
      <w:r>
        <w:rPr>
          <w:rFonts w:hint="eastAsia"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w:t>
      </w:r>
      <w:r>
        <w:rPr>
          <w:rFonts w:hint="eastAsia" w:ascii="仿宋" w:hAnsi="仿宋" w:eastAsia="仿宋" w:cs="仿宋"/>
          <w:color w:val="auto"/>
          <w:sz w:val="21"/>
          <w:szCs w:val="21"/>
          <w:highlight w:val="none"/>
          <w:lang w:val="en-US" w:eastAsia="zh-CN"/>
        </w:rPr>
        <w:t xml:space="preserve"> </w:t>
      </w:r>
      <w:r>
        <w:rPr>
          <w:rFonts w:hint="eastAsia" w:ascii="宋体" w:hAnsi="宋体" w:eastAsia="宋体" w:cs="宋体"/>
          <w:color w:val="auto"/>
          <w:sz w:val="21"/>
          <w:szCs w:val="21"/>
          <w:highlight w:val="none"/>
        </w:rPr>
        <w:t>单位：元（人民币）</w:t>
      </w:r>
    </w:p>
    <w:tbl>
      <w:tblPr>
        <w:tblStyle w:val="27"/>
        <w:tblW w:w="8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2325"/>
        <w:gridCol w:w="1502"/>
        <w:gridCol w:w="1502"/>
        <w:gridCol w:w="1087"/>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2325"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服务</w:t>
            </w:r>
            <w:r>
              <w:rPr>
                <w:rFonts w:hint="eastAsia" w:hAnsi="宋体" w:eastAsia="宋体" w:cs="宋体"/>
                <w:color w:val="auto"/>
                <w:sz w:val="21"/>
                <w:szCs w:val="21"/>
                <w:highlight w:val="none"/>
                <w:lang w:val="en-US" w:eastAsia="zh-CN"/>
              </w:rPr>
              <w:t>名称</w:t>
            </w:r>
          </w:p>
        </w:tc>
        <w:tc>
          <w:tcPr>
            <w:tcW w:w="1502" w:type="dxa"/>
            <w:noWrap w:val="0"/>
            <w:vAlign w:val="center"/>
          </w:tcPr>
          <w:p>
            <w:pPr>
              <w:pStyle w:val="14"/>
              <w:shd w:val="clear" w:color="auto" w:fill="auto"/>
              <w:spacing w:line="240" w:lineRule="atLeast"/>
              <w:jc w:val="center"/>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服务内容</w:t>
            </w:r>
          </w:p>
          <w:p>
            <w:pPr>
              <w:pStyle w:val="14"/>
              <w:shd w:val="clear" w:color="auto" w:fill="auto"/>
              <w:spacing w:line="240" w:lineRule="atLeast"/>
              <w:jc w:val="center"/>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及范围</w:t>
            </w:r>
          </w:p>
        </w:tc>
        <w:tc>
          <w:tcPr>
            <w:tcW w:w="1502" w:type="dxa"/>
            <w:noWrap w:val="0"/>
            <w:vAlign w:val="center"/>
          </w:tcPr>
          <w:p>
            <w:pPr>
              <w:pStyle w:val="14"/>
              <w:shd w:val="clear" w:color="auto" w:fill="auto"/>
              <w:spacing w:line="240" w:lineRule="atLeast"/>
              <w:jc w:val="center"/>
              <w:rPr>
                <w:rFonts w:hint="eastAsia"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w:t>
            </w:r>
            <w:r>
              <w:rPr>
                <w:rFonts w:hint="eastAsia" w:hAnsi="宋体" w:eastAsia="宋体" w:cs="宋体"/>
                <w:color w:val="auto"/>
                <w:sz w:val="21"/>
                <w:szCs w:val="21"/>
                <w:highlight w:val="none"/>
                <w:lang w:val="en-US" w:eastAsia="zh-CN"/>
              </w:rPr>
              <w:t>量及</w:t>
            </w:r>
          </w:p>
          <w:p>
            <w:pPr>
              <w:pStyle w:val="14"/>
              <w:shd w:val="clear" w:color="auto" w:fill="auto"/>
              <w:spacing w:line="240" w:lineRule="atLeast"/>
              <w:jc w:val="center"/>
              <w:rPr>
                <w:rFonts w:hint="default" w:ascii="宋体"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单位</w:t>
            </w:r>
          </w:p>
        </w:tc>
        <w:tc>
          <w:tcPr>
            <w:tcW w:w="1087"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单价</w:t>
            </w:r>
          </w:p>
        </w:tc>
        <w:tc>
          <w:tcPr>
            <w:tcW w:w="924"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2325"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98"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325" w:type="dxa"/>
            <w:noWrap w:val="0"/>
            <w:vAlign w:val="center"/>
          </w:tcPr>
          <w:p>
            <w:pPr>
              <w:pStyle w:val="14"/>
              <w:shd w:val="clear" w:color="auto" w:fill="auto"/>
              <w:spacing w:line="240" w:lineRule="atLeast"/>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502"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1087"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c>
          <w:tcPr>
            <w:tcW w:w="924" w:type="dxa"/>
            <w:noWrap w:val="0"/>
            <w:vAlign w:val="center"/>
          </w:tcPr>
          <w:p>
            <w:pPr>
              <w:pStyle w:val="14"/>
              <w:shd w:val="clear" w:color="auto" w:fill="auto"/>
              <w:spacing w:line="240" w:lineRule="atLeast"/>
              <w:ind w:left="1087" w:leftChars="257" w:hanging="540"/>
              <w:jc w:val="both"/>
              <w:rPr>
                <w:rFonts w:hint="eastAsia" w:ascii="宋体" w:hAnsi="宋体" w:eastAsia="宋体" w:cs="宋体"/>
                <w:color w:val="auto"/>
                <w:sz w:val="21"/>
                <w:szCs w:val="21"/>
                <w:highlight w:val="none"/>
                <w:lang w:val="en-US" w:eastAsia="zh-CN"/>
              </w:rPr>
            </w:pPr>
          </w:p>
        </w:tc>
      </w:tr>
    </w:tbl>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pPr>
        <w:pStyle w:val="14"/>
        <w:shd w:val="clear" w:color="auto" w:fill="auto"/>
        <w:tabs>
          <w:tab w:val="left" w:pos="5370"/>
        </w:tabs>
        <w:spacing w:line="240" w:lineRule="atLeast"/>
        <w:ind w:left="1087" w:leftChars="257" w:hanging="54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ab/>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.如果按单价计算的结果与总价不一致,以单价为准修正总价。</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.如果不提供详细分项报价将视为没有实质性响应</w:t>
      </w:r>
      <w:r>
        <w:rPr>
          <w:rFonts w:hint="eastAsia" w:hAnsi="宋体" w:cs="宋体"/>
          <w:color w:val="auto"/>
          <w:sz w:val="21"/>
          <w:szCs w:val="21"/>
          <w:highlight w:val="none"/>
          <w:lang w:val="en-US" w:eastAsia="zh-CN"/>
        </w:rPr>
        <w:t>招标</w:t>
      </w:r>
      <w:r>
        <w:rPr>
          <w:rFonts w:hint="eastAsia"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.如果开标一览表（报价表）内容与投标文件中明细表内容不一致的，以开标一览表（报价表）内容为准。</w:t>
      </w:r>
    </w:p>
    <w:p>
      <w:pPr>
        <w:pStyle w:val="14"/>
        <w:shd w:val="clear" w:color="auto" w:fill="auto"/>
        <w:spacing w:line="240" w:lineRule="atLeast"/>
        <w:ind w:left="1089" w:leftChars="455" w:hanging="120" w:hangingChars="5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投标人必须按此表格式中的对应栏目内容填写，若需增加栏目，请在栏目</w:t>
      </w:r>
      <w:r>
        <w:rPr>
          <w:rFonts w:hint="eastAsia" w:ascii="宋体" w:hAnsi="宋体" w:eastAsia="宋体" w:cs="宋体"/>
          <w:color w:val="auto"/>
          <w:sz w:val="21"/>
          <w:szCs w:val="21"/>
          <w:highlight w:val="none"/>
          <w:lang w:val="zh-CN" w:eastAsia="zh-CN"/>
        </w:rPr>
        <w:t>“其</w:t>
      </w:r>
      <w:r>
        <w:rPr>
          <w:rFonts w:hint="eastAsia" w:ascii="宋体" w:hAnsi="宋体" w:eastAsia="宋体" w:cs="宋体"/>
          <w:color w:val="auto"/>
          <w:sz w:val="21"/>
          <w:szCs w:val="21"/>
          <w:highlight w:val="none"/>
        </w:rPr>
        <w:t>它”中填写，并作详细说明。</w:t>
      </w:r>
    </w:p>
    <w:p>
      <w:pPr>
        <w:pStyle w:val="14"/>
        <w:shd w:val="clear" w:color="auto" w:fill="auto"/>
        <w:spacing w:line="240" w:lineRule="atLeast"/>
        <w:ind w:left="1087" w:leftChars="257" w:hanging="540"/>
        <w:rPr>
          <w:rFonts w:hint="eastAsia" w:ascii="宋体" w:hAnsi="宋体" w:eastAsia="宋体" w:cs="宋体"/>
          <w:b/>
          <w:bCs/>
          <w:color w:val="auto"/>
          <w:sz w:val="24"/>
          <w:highlight w:val="none"/>
          <w:lang w:val="en-US" w:eastAsia="zh-CN"/>
        </w:rPr>
      </w:pPr>
      <w:r>
        <w:rPr>
          <w:rFonts w:hint="eastAsia" w:ascii="宋体" w:hAnsi="宋体" w:eastAsia="宋体" w:cs="宋体"/>
          <w:color w:val="auto"/>
          <w:sz w:val="24"/>
          <w:highlight w:val="yellow"/>
        </w:rPr>
        <w:br w:type="page"/>
      </w:r>
      <w:bookmarkStart w:id="129" w:name="_Toc12170"/>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rPr>
        <w:t>技术规格偏离表</w:t>
      </w:r>
      <w:bookmarkEnd w:id="125"/>
      <w:bookmarkEnd w:id="126"/>
      <w:bookmarkEnd w:id="127"/>
      <w:bookmarkEnd w:id="128"/>
      <w:bookmarkEnd w:id="129"/>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                       招标编号:                 包号:</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tbl>
      <w:tblPr>
        <w:tblStyle w:val="27"/>
        <w:tblW w:w="7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357"/>
        <w:gridCol w:w="1297"/>
        <w:gridCol w:w="1194"/>
        <w:gridCol w:w="2184"/>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91"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1357"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lang w:val="en-US" w:eastAsia="zh-CN"/>
              </w:rPr>
              <w:t>名称</w:t>
            </w:r>
          </w:p>
        </w:tc>
        <w:tc>
          <w:tcPr>
            <w:tcW w:w="1297"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招标规格</w:t>
            </w:r>
          </w:p>
        </w:tc>
        <w:tc>
          <w:tcPr>
            <w:tcW w:w="1194"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投标规格</w:t>
            </w:r>
          </w:p>
        </w:tc>
        <w:tc>
          <w:tcPr>
            <w:tcW w:w="2184"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偏离</w:t>
            </w:r>
          </w:p>
        </w:tc>
        <w:tc>
          <w:tcPr>
            <w:tcW w:w="669" w:type="dxa"/>
            <w:noWrap w:val="0"/>
            <w:vAlign w:val="center"/>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center"/>
          </w:tcPr>
          <w:p>
            <w:pPr>
              <w:pStyle w:val="14"/>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91"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35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297"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19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1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66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bl>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eastAsia="zh-CN"/>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pPr>
        <w:pStyle w:val="14"/>
        <w:shd w:val="clear" w:color="auto" w:fill="auto"/>
        <w:tabs>
          <w:tab w:val="left" w:pos="5370"/>
        </w:tabs>
        <w:spacing w:line="240" w:lineRule="atLeast"/>
        <w:ind w:left="1087" w:leftChars="257" w:hanging="54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ab/>
      </w:r>
    </w:p>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yellow"/>
        </w:rPr>
      </w:pPr>
      <w:r>
        <w:rPr>
          <w:rFonts w:hint="eastAsia" w:ascii="宋体" w:hAnsi="宋体" w:eastAsia="宋体" w:cs="宋体"/>
          <w:color w:val="auto"/>
          <w:sz w:val="21"/>
          <w:szCs w:val="21"/>
          <w:highlight w:val="none"/>
          <w:lang w:val="en-US" w:eastAsia="zh-CN"/>
        </w:rPr>
        <w:t>日期：          年    月      日</w:t>
      </w:r>
      <w:r>
        <w:rPr>
          <w:rFonts w:hint="eastAsia" w:ascii="宋体" w:hAnsi="宋体" w:eastAsia="宋体" w:cs="宋体"/>
          <w:color w:val="auto"/>
          <w:sz w:val="24"/>
          <w:highlight w:val="yellow"/>
          <w:u w:val="single"/>
        </w:rPr>
        <w:br w:type="page"/>
      </w: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bookmarkStart w:id="130" w:name="_Toc216582818"/>
      <w:bookmarkStart w:id="131" w:name="_Toc23"/>
      <w:bookmarkStart w:id="132" w:name="_Toc21391"/>
      <w:bookmarkStart w:id="133" w:name="_Toc1980"/>
      <w:bookmarkStart w:id="134" w:name="_Toc515647821"/>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商务条款偏离表</w:t>
      </w:r>
      <w:bookmarkEnd w:id="130"/>
      <w:r>
        <w:rPr>
          <w:rFonts w:hint="eastAsia" w:ascii="宋体" w:hAnsi="宋体" w:eastAsia="宋体" w:cs="宋体"/>
          <w:b/>
          <w:bCs/>
          <w:color w:val="auto"/>
          <w:sz w:val="24"/>
          <w:highlight w:val="none"/>
        </w:rPr>
        <w:t>（投标文件格式</w:t>
      </w:r>
      <w:r>
        <w:rPr>
          <w:rFonts w:hint="eastAsia" w:ascii="宋体" w:hAnsi="宋体" w:eastAsia="宋体" w:cs="宋体"/>
          <w:b/>
          <w:bCs/>
          <w:color w:val="auto"/>
          <w:sz w:val="24"/>
          <w:highlight w:val="none"/>
          <w:lang w:eastAsia="zh-CN"/>
        </w:rPr>
        <w:t>九</w:t>
      </w:r>
      <w:r>
        <w:rPr>
          <w:rFonts w:hint="eastAsia" w:ascii="宋体" w:hAnsi="宋体" w:eastAsia="宋体" w:cs="宋体"/>
          <w:b/>
          <w:bCs/>
          <w:color w:val="auto"/>
          <w:sz w:val="24"/>
          <w:highlight w:val="none"/>
        </w:rPr>
        <w:t>）</w:t>
      </w:r>
      <w:bookmarkEnd w:id="131"/>
      <w:bookmarkEnd w:id="132"/>
      <w:bookmarkEnd w:id="133"/>
      <w:bookmarkEnd w:id="134"/>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ind w:left="1087" w:leftChars="257" w:hanging="540"/>
        <w:rPr>
          <w:rFonts w:hint="eastAsia" w:ascii="宋体" w:hAnsi="宋体" w:eastAsia="宋体" w:cs="宋体"/>
          <w:color w:val="auto"/>
          <w:sz w:val="24"/>
          <w:highlight w:val="none"/>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项目名称:                      招标编号:    </w:t>
      </w:r>
      <w:r>
        <w:rPr>
          <w:rFonts w:hint="eastAsia"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包号:</w:t>
      </w: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2882"/>
        <w:gridCol w:w="2882"/>
        <w:gridCol w:w="1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2882"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招标</w:t>
            </w:r>
            <w:r>
              <w:rPr>
                <w:rFonts w:hint="eastAsia" w:hAnsi="宋体" w:eastAsia="宋体" w:cs="宋体"/>
                <w:color w:val="auto"/>
                <w:sz w:val="21"/>
                <w:szCs w:val="21"/>
                <w:highlight w:val="none"/>
                <w:lang w:val="en-US" w:eastAsia="zh-CN"/>
              </w:rPr>
              <w:t>文件</w:t>
            </w:r>
            <w:r>
              <w:rPr>
                <w:rFonts w:hint="eastAsia" w:ascii="宋体" w:hAnsi="宋体" w:eastAsia="宋体" w:cs="宋体"/>
                <w:color w:val="auto"/>
                <w:sz w:val="21"/>
                <w:szCs w:val="21"/>
                <w:highlight w:val="none"/>
                <w:lang w:val="en-US" w:eastAsia="zh-CN"/>
              </w:rPr>
              <w:t>的商务条款</w:t>
            </w:r>
          </w:p>
        </w:tc>
        <w:tc>
          <w:tcPr>
            <w:tcW w:w="2882"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投标文件的商务条款</w:t>
            </w:r>
          </w:p>
        </w:tc>
        <w:tc>
          <w:tcPr>
            <w:tcW w:w="1029" w:type="dxa"/>
            <w:noWrap w:val="0"/>
            <w:vAlign w:val="top"/>
          </w:tcPr>
          <w:p>
            <w:pPr>
              <w:pStyle w:val="14"/>
              <w:shd w:val="clear" w:color="auto" w:fill="auto"/>
              <w:spacing w:line="24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jc w:val="center"/>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2882"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c>
          <w:tcPr>
            <w:tcW w:w="1029" w:type="dxa"/>
            <w:noWrap w:val="0"/>
            <w:vAlign w:val="top"/>
          </w:tcPr>
          <w:p>
            <w:pPr>
              <w:pStyle w:val="14"/>
              <w:shd w:val="clear" w:color="auto" w:fill="auto"/>
              <w:spacing w:line="240" w:lineRule="atLeast"/>
              <w:ind w:left="1087" w:leftChars="257" w:hanging="540"/>
              <w:rPr>
                <w:rFonts w:hint="eastAsia" w:ascii="宋体" w:hAnsi="宋体" w:eastAsia="宋体" w:cs="宋体"/>
                <w:color w:val="auto"/>
                <w:sz w:val="21"/>
                <w:szCs w:val="21"/>
                <w:highlight w:val="yellow"/>
                <w:lang w:val="en-US" w:eastAsia="zh-CN"/>
              </w:rPr>
            </w:pPr>
          </w:p>
        </w:tc>
      </w:tr>
    </w:tbl>
    <w:p>
      <w:pPr>
        <w:pStyle w:val="14"/>
        <w:shd w:val="clear" w:color="auto" w:fill="auto"/>
        <w:spacing w:line="240" w:lineRule="atLeast"/>
        <w:ind w:left="1087" w:leftChars="257" w:hanging="540"/>
        <w:rPr>
          <w:rFonts w:hint="eastAsia" w:ascii="宋体" w:hAnsi="宋体" w:eastAsia="宋体" w:cs="宋体"/>
          <w:color w:val="auto"/>
          <w:sz w:val="21"/>
          <w:szCs w:val="21"/>
          <w:highlight w:val="yellow"/>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yellow"/>
        </w:rPr>
      </w:pPr>
    </w:p>
    <w:p>
      <w:pPr>
        <w:pStyle w:val="14"/>
        <w:shd w:val="clear" w:color="auto" w:fill="auto"/>
        <w:spacing w:line="240" w:lineRule="atLeast"/>
        <w:ind w:left="1087" w:leftChars="257" w:hanging="5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pPr>
        <w:pStyle w:val="14"/>
        <w:shd w:val="clear" w:color="auto" w:fill="auto"/>
        <w:tabs>
          <w:tab w:val="left" w:pos="5370"/>
        </w:tabs>
        <w:spacing w:line="240" w:lineRule="atLeast"/>
        <w:ind w:left="1087" w:leftChars="257" w:hanging="54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投标人(盖单位章):</w:t>
      </w:r>
      <w:r>
        <w:rPr>
          <w:rFonts w:hint="eastAsia" w:ascii="宋体" w:hAnsi="宋体" w:eastAsia="宋体" w:cs="宋体"/>
          <w:color w:val="auto"/>
          <w:sz w:val="21"/>
          <w:szCs w:val="21"/>
          <w:highlight w:val="none"/>
          <w:u w:val="single"/>
        </w:rPr>
        <w:tab/>
      </w:r>
    </w:p>
    <w:p>
      <w:pPr>
        <w:pStyle w:val="79"/>
        <w:keepNext w:val="0"/>
        <w:keepLines w:val="0"/>
        <w:widowControl w:val="0"/>
        <w:shd w:val="clear" w:color="auto" w:fill="auto"/>
        <w:bidi w:val="0"/>
        <w:spacing w:before="0" w:after="0" w:line="240" w:lineRule="auto"/>
        <w:ind w:left="0" w:right="0" w:firstLine="420"/>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135" w:name="_Toc2963"/>
      <w:bookmarkStart w:id="136" w:name="_Toc515647823"/>
      <w:bookmarkStart w:id="137" w:name="_Toc21312"/>
      <w:bookmarkStart w:id="138" w:name="_Toc10725"/>
      <w:bookmarkStart w:id="139" w:name="_Toc28099"/>
      <w:bookmarkStart w:id="140" w:name="_Toc515647827"/>
      <w:bookmarkStart w:id="141" w:name="_Toc30795"/>
    </w:p>
    <w:p>
      <w:pPr>
        <w:pStyle w:val="79"/>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b/>
          <w:bCs/>
          <w:color w:val="auto"/>
          <w:spacing w:val="0"/>
          <w:w w:val="100"/>
          <w:position w:val="0"/>
          <w:sz w:val="36"/>
          <w:szCs w:val="36"/>
          <w:lang w:val="en-US" w:eastAsia="zh-CN"/>
        </w:rPr>
      </w:pPr>
      <w:r>
        <w:rPr>
          <w:rFonts w:hint="eastAsia" w:ascii="宋体" w:hAnsi="宋体" w:eastAsia="宋体" w:cs="宋体"/>
          <w:b/>
          <w:bCs/>
          <w:color w:val="auto"/>
          <w:spacing w:val="0"/>
          <w:w w:val="100"/>
          <w:position w:val="0"/>
          <w:sz w:val="24"/>
          <w:szCs w:val="24"/>
          <w:lang w:val="en-US" w:eastAsia="zh-CN"/>
        </w:rPr>
        <w:t>6、投标人基本情况表</w:t>
      </w:r>
    </w:p>
    <w:p>
      <w:pPr>
        <w:pStyle w:val="2"/>
        <w:numPr>
          <w:ilvl w:val="0"/>
          <w:numId w:val="0"/>
        </w:numPr>
        <w:kinsoku w:val="0"/>
        <w:overflowPunct w:val="0"/>
        <w:spacing w:before="5"/>
        <w:ind w:leftChars="0" w:right="0" w:rightChars="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表1</w:t>
      </w:r>
    </w:p>
    <w:tbl>
      <w:tblPr>
        <w:tblStyle w:val="27"/>
        <w:tblW w:w="8639" w:type="dxa"/>
        <w:jc w:val="center"/>
        <w:tblLayout w:type="fixed"/>
        <w:tblCellMar>
          <w:top w:w="0" w:type="dxa"/>
          <w:left w:w="0" w:type="dxa"/>
          <w:bottom w:w="0" w:type="dxa"/>
          <w:right w:w="0" w:type="dxa"/>
        </w:tblCellMar>
      </w:tblPr>
      <w:tblGrid>
        <w:gridCol w:w="1231"/>
        <w:gridCol w:w="1432"/>
        <w:gridCol w:w="842"/>
        <w:gridCol w:w="488"/>
        <w:gridCol w:w="1331"/>
        <w:gridCol w:w="455"/>
        <w:gridCol w:w="910"/>
        <w:gridCol w:w="1950"/>
      </w:tblGrid>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单位名称</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单位地址</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主管部门</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37"/>
              <w:rPr>
                <w:rFonts w:hint="eastAsia" w:ascii="宋体" w:hAnsi="宋体" w:eastAsia="宋体" w:cs="宋体"/>
                <w:color w:val="auto"/>
                <w:sz w:val="21"/>
                <w:szCs w:val="21"/>
              </w:rPr>
            </w:pPr>
            <w:r>
              <w:rPr>
                <w:rFonts w:hint="eastAsia" w:ascii="宋体" w:hAnsi="宋体" w:eastAsia="宋体" w:cs="宋体"/>
                <w:color w:val="auto"/>
                <w:sz w:val="21"/>
                <w:szCs w:val="21"/>
              </w:rPr>
              <w:t>成立时间</w:t>
            </w:r>
          </w:p>
        </w:tc>
        <w:tc>
          <w:tcPr>
            <w:tcW w:w="2274"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c>
          <w:tcPr>
            <w:tcW w:w="2274" w:type="dxa"/>
            <w:gridSpan w:val="3"/>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5"/>
              <w:ind w:left="181"/>
              <w:rPr>
                <w:rFonts w:hint="eastAsia" w:ascii="宋体" w:hAnsi="宋体" w:eastAsia="宋体" w:cs="宋体"/>
                <w:color w:val="auto"/>
                <w:sz w:val="21"/>
                <w:szCs w:val="21"/>
              </w:rPr>
            </w:pPr>
            <w:r>
              <w:rPr>
                <w:rFonts w:hint="eastAsia" w:ascii="宋体" w:hAnsi="宋体" w:eastAsia="宋体" w:cs="宋体"/>
                <w:color w:val="auto"/>
                <w:sz w:val="21"/>
                <w:szCs w:val="21"/>
              </w:rPr>
              <w:t>注册资金（万元）</w:t>
            </w:r>
          </w:p>
        </w:tc>
        <w:tc>
          <w:tcPr>
            <w:tcW w:w="2860"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852"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6"/>
              <w:ind w:left="137"/>
              <w:rPr>
                <w:rFonts w:hint="eastAsia" w:ascii="宋体" w:hAnsi="宋体" w:eastAsia="宋体" w:cs="宋体"/>
                <w:color w:val="auto"/>
                <w:sz w:val="21"/>
                <w:szCs w:val="21"/>
              </w:rPr>
            </w:pPr>
            <w:r>
              <w:rPr>
                <w:rFonts w:hint="eastAsia" w:ascii="宋体" w:hAnsi="宋体" w:eastAsia="宋体" w:cs="宋体"/>
                <w:color w:val="auto"/>
                <w:sz w:val="21"/>
                <w:szCs w:val="21"/>
              </w:rPr>
              <w:t>单位性质</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1150"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1" w:line="312" w:lineRule="exact"/>
              <w:ind w:left="257" w:right="133" w:hanging="120"/>
              <w:rPr>
                <w:rFonts w:hint="eastAsia" w:ascii="宋体" w:hAnsi="宋体" w:eastAsia="宋体" w:cs="宋体"/>
                <w:color w:val="auto"/>
                <w:sz w:val="21"/>
                <w:szCs w:val="21"/>
              </w:rPr>
            </w:pPr>
            <w:r>
              <w:rPr>
                <w:rFonts w:hint="eastAsia" w:ascii="宋体" w:hAnsi="宋体" w:eastAsia="宋体" w:cs="宋体"/>
                <w:color w:val="auto"/>
                <w:sz w:val="21"/>
                <w:szCs w:val="21"/>
              </w:rPr>
              <w:t>投标期间 联系人</w:t>
            </w:r>
          </w:p>
        </w:tc>
        <w:tc>
          <w:tcPr>
            <w:tcW w:w="1432"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c>
          <w:tcPr>
            <w:tcW w:w="1330" w:type="dxa"/>
            <w:gridSpan w:val="2"/>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4"/>
              <w:rPr>
                <w:rFonts w:hint="eastAsia" w:ascii="宋体" w:hAnsi="宋体" w:eastAsia="宋体" w:cs="宋体"/>
                <w:b/>
                <w:bCs/>
                <w:color w:val="auto"/>
                <w:sz w:val="21"/>
                <w:szCs w:val="21"/>
              </w:rPr>
            </w:pPr>
          </w:p>
          <w:p>
            <w:pPr>
              <w:pStyle w:val="54"/>
              <w:kinsoku w:val="0"/>
              <w:overflowPunct w:val="0"/>
              <w:ind w:left="366"/>
              <w:rPr>
                <w:rFonts w:hint="eastAsia" w:ascii="宋体" w:hAnsi="宋体" w:eastAsia="宋体" w:cs="宋体"/>
                <w:color w:val="auto"/>
                <w:sz w:val="21"/>
                <w:szCs w:val="21"/>
              </w:rPr>
            </w:pPr>
            <w:r>
              <w:rPr>
                <w:rFonts w:hint="eastAsia" w:ascii="宋体" w:hAnsi="宋体" w:eastAsia="宋体" w:cs="宋体"/>
                <w:color w:val="auto"/>
                <w:sz w:val="21"/>
                <w:szCs w:val="21"/>
              </w:rPr>
              <w:t>电 话</w:t>
            </w:r>
          </w:p>
        </w:tc>
        <w:tc>
          <w:tcPr>
            <w:tcW w:w="1331"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c>
          <w:tcPr>
            <w:tcW w:w="1365" w:type="dxa"/>
            <w:gridSpan w:val="2"/>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4"/>
              <w:rPr>
                <w:rFonts w:hint="eastAsia" w:ascii="宋体" w:hAnsi="宋体" w:eastAsia="宋体" w:cs="宋体"/>
                <w:b/>
                <w:bCs/>
                <w:color w:val="auto"/>
                <w:sz w:val="21"/>
                <w:szCs w:val="21"/>
              </w:rPr>
            </w:pPr>
          </w:p>
          <w:p>
            <w:pPr>
              <w:pStyle w:val="54"/>
              <w:kinsoku w:val="0"/>
              <w:overflowPunct w:val="0"/>
              <w:ind w:left="383"/>
              <w:rPr>
                <w:rFonts w:hint="eastAsia" w:ascii="宋体" w:hAnsi="宋体" w:eastAsia="宋体" w:cs="宋体"/>
                <w:color w:val="auto"/>
                <w:sz w:val="21"/>
                <w:szCs w:val="21"/>
              </w:rPr>
            </w:pPr>
            <w:r>
              <w:rPr>
                <w:rFonts w:hint="eastAsia" w:ascii="宋体" w:hAnsi="宋体" w:eastAsia="宋体" w:cs="宋体"/>
                <w:color w:val="auto"/>
                <w:sz w:val="21"/>
                <w:szCs w:val="21"/>
              </w:rPr>
              <w:t>传 真</w:t>
            </w:r>
          </w:p>
        </w:tc>
        <w:tc>
          <w:tcPr>
            <w:tcW w:w="1950"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1150"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1" w:line="312" w:lineRule="exact"/>
              <w:ind w:left="257" w:right="133" w:hanging="120"/>
              <w:rPr>
                <w:rFonts w:hint="eastAsia" w:ascii="宋体" w:hAnsi="宋体" w:eastAsia="宋体" w:cs="宋体"/>
                <w:color w:val="auto"/>
                <w:sz w:val="21"/>
                <w:szCs w:val="21"/>
              </w:rPr>
            </w:pPr>
            <w:r>
              <w:rPr>
                <w:rFonts w:hint="eastAsia" w:ascii="宋体" w:hAnsi="宋体" w:eastAsia="宋体" w:cs="宋体"/>
                <w:color w:val="auto"/>
                <w:sz w:val="21"/>
                <w:szCs w:val="21"/>
              </w:rPr>
              <w:t>职工总数</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before="144"/>
              <w:rPr>
                <w:rFonts w:hint="eastAsia" w:ascii="宋体" w:hAnsi="宋体" w:eastAsia="宋体" w:cs="宋体"/>
                <w:color w:val="auto"/>
                <w:sz w:val="21"/>
                <w:szCs w:val="21"/>
              </w:rPr>
            </w:pPr>
          </w:p>
        </w:tc>
      </w:tr>
      <w:tr>
        <w:tblPrEx>
          <w:tblCellMar>
            <w:top w:w="0" w:type="dxa"/>
            <w:left w:w="0" w:type="dxa"/>
            <w:bottom w:w="0" w:type="dxa"/>
            <w:right w:w="0" w:type="dxa"/>
          </w:tblCellMar>
        </w:tblPrEx>
        <w:trPr>
          <w:trHeight w:val="2009" w:hRule="exact"/>
          <w:jc w:val="center"/>
        </w:trPr>
        <w:tc>
          <w:tcPr>
            <w:tcW w:w="1231" w:type="dxa"/>
            <w:tcBorders>
              <w:top w:val="single" w:color="000000" w:sz="4" w:space="0"/>
              <w:left w:val="single" w:color="000000" w:sz="4" w:space="0"/>
              <w:bottom w:val="single" w:color="000000" w:sz="4" w:space="0"/>
              <w:right w:val="single" w:color="000000" w:sz="4" w:space="0"/>
            </w:tcBorders>
            <w:noWrap w:val="0"/>
            <w:vAlign w:val="top"/>
          </w:tcPr>
          <w:p>
            <w:pPr>
              <w:pStyle w:val="54"/>
              <w:kinsoku w:val="0"/>
              <w:overflowPunct w:val="0"/>
              <w:spacing w:line="237" w:lineRule="auto"/>
              <w:ind w:left="497" w:right="493"/>
              <w:jc w:val="both"/>
              <w:rPr>
                <w:rFonts w:hint="eastAsia" w:ascii="宋体" w:hAnsi="宋体" w:eastAsia="宋体" w:cs="宋体"/>
                <w:color w:val="auto"/>
                <w:sz w:val="21"/>
                <w:szCs w:val="21"/>
              </w:rPr>
            </w:pPr>
            <w:r>
              <w:rPr>
                <w:rFonts w:hint="eastAsia" w:ascii="宋体" w:hAnsi="宋体" w:eastAsia="宋体" w:cs="宋体"/>
                <w:color w:val="auto"/>
                <w:sz w:val="21"/>
                <w:szCs w:val="21"/>
              </w:rPr>
              <w:t>单 位 概 况</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sz w:val="21"/>
                <w:szCs w:val="21"/>
              </w:rPr>
            </w:pPr>
          </w:p>
        </w:tc>
      </w:tr>
    </w:tbl>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tabs>
          <w:tab w:val="left" w:pos="6300"/>
        </w:tabs>
        <w:snapToGrid w:val="0"/>
        <w:spacing w:line="560" w:lineRule="exact"/>
        <w:jc w:val="center"/>
        <w:outlineLvl w:val="0"/>
        <w:rPr>
          <w:rFonts w:hint="default"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表2  本项目拟定管理服务团队服务人员情况表</w:t>
      </w:r>
    </w:p>
    <w:tbl>
      <w:tblPr>
        <w:tblStyle w:val="27"/>
        <w:tblpPr w:leftFromText="180" w:rightFromText="180" w:vertAnchor="text" w:horzAnchor="margin" w:tblpY="197"/>
        <w:tblOverlap w:val="never"/>
        <w:tblW w:w="87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870"/>
        <w:gridCol w:w="1760"/>
        <w:gridCol w:w="1520"/>
        <w:gridCol w:w="1420"/>
        <w:gridCol w:w="120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序号</w:t>
            </w:r>
          </w:p>
        </w:tc>
        <w:tc>
          <w:tcPr>
            <w:tcW w:w="87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姓名</w:t>
            </w:r>
          </w:p>
        </w:tc>
        <w:tc>
          <w:tcPr>
            <w:tcW w:w="176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身份证号</w:t>
            </w:r>
          </w:p>
        </w:tc>
        <w:tc>
          <w:tcPr>
            <w:tcW w:w="152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联系电话</w:t>
            </w:r>
          </w:p>
        </w:tc>
        <w:tc>
          <w:tcPr>
            <w:tcW w:w="142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从业时间</w:t>
            </w:r>
          </w:p>
        </w:tc>
        <w:tc>
          <w:tcPr>
            <w:tcW w:w="1200"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相关工作</w:t>
            </w:r>
          </w:p>
        </w:tc>
        <w:tc>
          <w:tcPr>
            <w:tcW w:w="1200" w:type="dxa"/>
            <w:noWrap w:val="0"/>
            <w:vAlign w:val="center"/>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87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76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5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4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87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76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5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4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75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87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76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5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42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00"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bl>
    <w:p>
      <w:pPr>
        <w:pStyle w:val="2"/>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注：本表后附拟定人员的身份证复印件等证明材料。</w:t>
      </w: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default"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color w:val="auto"/>
          <w:sz w:val="24"/>
          <w:szCs w:val="24"/>
          <w:lang w:val="en-US" w:eastAsia="zh-CN"/>
        </w:rPr>
      </w:pPr>
    </w:p>
    <w:p>
      <w:pPr>
        <w:pStyle w:val="2"/>
        <w:jc w:val="center"/>
        <w:rPr>
          <w:rFonts w:hint="default"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表3：设备情况一览表</w:t>
      </w:r>
    </w:p>
    <w:tbl>
      <w:tblPr>
        <w:tblStyle w:val="27"/>
        <w:tblpPr w:leftFromText="180" w:rightFromText="180" w:vertAnchor="text" w:horzAnchor="margin" w:tblpX="1" w:tblpY="197"/>
        <w:tblOverlap w:val="never"/>
        <w:tblW w:w="83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666"/>
        <w:gridCol w:w="1249"/>
        <w:gridCol w:w="937"/>
        <w:gridCol w:w="1361"/>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序号</w:t>
            </w:r>
          </w:p>
        </w:tc>
        <w:tc>
          <w:tcPr>
            <w:tcW w:w="2666"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设备名称</w:t>
            </w:r>
          </w:p>
        </w:tc>
        <w:tc>
          <w:tcPr>
            <w:tcW w:w="1249"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数量</w:t>
            </w:r>
          </w:p>
        </w:tc>
        <w:tc>
          <w:tcPr>
            <w:tcW w:w="937"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单位</w:t>
            </w:r>
          </w:p>
        </w:tc>
        <w:tc>
          <w:tcPr>
            <w:tcW w:w="1361"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型号</w:t>
            </w:r>
          </w:p>
        </w:tc>
        <w:tc>
          <w:tcPr>
            <w:tcW w:w="1338" w:type="dxa"/>
            <w:noWrap w:val="0"/>
            <w:vAlign w:val="center"/>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2666" w:type="dxa"/>
            <w:noWrap w:val="0"/>
            <w:vAlign w:val="top"/>
          </w:tcPr>
          <w:p>
            <w:pPr>
              <w:tabs>
                <w:tab w:val="left" w:pos="512"/>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4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p>
        </w:tc>
        <w:tc>
          <w:tcPr>
            <w:tcW w:w="937"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61"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38"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266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49"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p>
        </w:tc>
        <w:tc>
          <w:tcPr>
            <w:tcW w:w="937"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61"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38"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846" w:type="dxa"/>
            <w:noWrap w:val="0"/>
            <w:vAlign w:val="top"/>
          </w:tcPr>
          <w:p>
            <w:pPr>
              <w:tabs>
                <w:tab w:val="left" w:pos="6300"/>
              </w:tabs>
              <w:snapToGrid w:val="0"/>
              <w:spacing w:line="560" w:lineRule="exact"/>
              <w:jc w:val="center"/>
              <w:outlineLvl w:val="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2666"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249"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937"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61"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c>
          <w:tcPr>
            <w:tcW w:w="1338" w:type="dxa"/>
            <w:noWrap w:val="0"/>
            <w:vAlign w:val="top"/>
          </w:tcPr>
          <w:p>
            <w:pPr>
              <w:tabs>
                <w:tab w:val="left" w:pos="6300"/>
              </w:tabs>
              <w:snapToGrid w:val="0"/>
              <w:spacing w:line="560" w:lineRule="exact"/>
              <w:jc w:val="center"/>
              <w:outlineLvl w:val="0"/>
              <w:rPr>
                <w:rFonts w:hint="eastAsia" w:ascii="宋体" w:hAnsi="宋体" w:eastAsia="宋体" w:cs="宋体"/>
                <w:color w:val="auto"/>
                <w:kern w:val="2"/>
                <w:sz w:val="21"/>
                <w:szCs w:val="21"/>
                <w:lang w:val="en-US" w:eastAsia="zh-CN" w:bidi="ar-SA"/>
              </w:rPr>
            </w:pPr>
          </w:p>
        </w:tc>
      </w:tr>
    </w:tbl>
    <w:p>
      <w:pPr>
        <w:pStyle w:val="2"/>
        <w:rPr>
          <w:rFonts w:hint="eastAsia" w:ascii="宋体" w:hAnsi="宋体" w:eastAsia="宋体" w:cs="宋体"/>
          <w:color w:val="auto"/>
          <w:kern w:val="2"/>
          <w:sz w:val="21"/>
          <w:szCs w:val="21"/>
          <w:lang w:val="en-US" w:eastAsia="zh-CN" w:bidi="ar-SA"/>
        </w:rPr>
      </w:pPr>
    </w:p>
    <w:p>
      <w:pPr>
        <w:pStyle w:val="2"/>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注：本表后附设备图片等证明材料作为打分依据。</w:t>
      </w: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宋体" w:hAnsi="宋体" w:eastAsia="宋体" w:cs="宋体"/>
          <w:color w:val="auto"/>
          <w:kern w:val="2"/>
          <w:sz w:val="21"/>
          <w:szCs w:val="21"/>
          <w:lang w:val="en-US" w:eastAsia="zh-CN" w:bidi="ar-SA"/>
        </w:rPr>
      </w:pPr>
    </w:p>
    <w:p>
      <w:pPr>
        <w:pStyle w:val="80"/>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b/>
          <w:color w:val="auto"/>
          <w:sz w:val="30"/>
          <w:szCs w:val="30"/>
        </w:rPr>
      </w:pPr>
    </w:p>
    <w:p>
      <w:pPr>
        <w:pStyle w:val="2"/>
        <w:numPr>
          <w:ilvl w:val="0"/>
          <w:numId w:val="0"/>
        </w:numPr>
        <w:kinsoku w:val="0"/>
        <w:overflowPunct w:val="0"/>
        <w:spacing w:before="34" w:line="357" w:lineRule="auto"/>
        <w:ind w:left="480" w:leftChars="0" w:right="126" w:rightChars="0"/>
        <w:jc w:val="center"/>
        <w:rPr>
          <w:rFonts w:hint="eastAsia" w:ascii="宋体" w:hAnsi="宋体" w:eastAsia="宋体" w:cs="宋体"/>
          <w:b/>
          <w:bCs/>
          <w:color w:val="auto"/>
          <w:w w:val="90"/>
          <w:sz w:val="24"/>
          <w:szCs w:val="24"/>
          <w:lang w:eastAsia="zh-CN"/>
        </w:rPr>
      </w:pPr>
      <w:r>
        <w:rPr>
          <w:rFonts w:hint="eastAsia" w:ascii="宋体" w:hAnsi="宋体" w:eastAsia="宋体" w:cs="宋体"/>
          <w:b w:val="0"/>
          <w:bCs/>
          <w:color w:val="auto"/>
          <w:kern w:val="0"/>
          <w:sz w:val="24"/>
          <w:szCs w:val="24"/>
          <w:lang w:val="en-US" w:eastAsia="zh-CN"/>
        </w:rPr>
        <w:t>7、</w:t>
      </w:r>
      <w:r>
        <w:rPr>
          <w:rFonts w:hint="eastAsia" w:ascii="宋体" w:hAnsi="宋体" w:eastAsia="宋体" w:cs="宋体"/>
          <w:b/>
          <w:bCs/>
          <w:color w:val="auto"/>
          <w:w w:val="90"/>
          <w:sz w:val="24"/>
          <w:szCs w:val="24"/>
        </w:rPr>
        <w:t>近三年类似项目业绩</w:t>
      </w:r>
      <w:r>
        <w:rPr>
          <w:rFonts w:hint="eastAsia" w:ascii="宋体" w:hAnsi="宋体" w:eastAsia="宋体" w:cs="宋体"/>
          <w:b/>
          <w:bCs/>
          <w:color w:val="auto"/>
          <w:w w:val="90"/>
          <w:sz w:val="24"/>
          <w:szCs w:val="24"/>
          <w:lang w:eastAsia="zh-CN"/>
        </w:rPr>
        <w:t>表</w:t>
      </w:r>
    </w:p>
    <w:p>
      <w:pPr>
        <w:pStyle w:val="2"/>
        <w:numPr>
          <w:ilvl w:val="0"/>
          <w:numId w:val="0"/>
        </w:numPr>
        <w:kinsoku w:val="0"/>
        <w:overflowPunct w:val="0"/>
        <w:ind w:leftChars="0" w:right="0" w:rightChars="0"/>
        <w:rPr>
          <w:rFonts w:hint="eastAsia" w:ascii="仿宋" w:hAnsi="仿宋" w:eastAsia="仿宋" w:cs="仿宋"/>
          <w:b/>
          <w:bCs/>
          <w:color w:val="auto"/>
          <w:sz w:val="20"/>
          <w:szCs w:val="20"/>
        </w:rPr>
      </w:pPr>
    </w:p>
    <w:tbl>
      <w:tblPr>
        <w:tblStyle w:val="27"/>
        <w:tblW w:w="9115" w:type="dxa"/>
        <w:jc w:val="center"/>
        <w:tblLayout w:type="fixed"/>
        <w:tblCellMar>
          <w:top w:w="0" w:type="dxa"/>
          <w:left w:w="10" w:type="dxa"/>
          <w:bottom w:w="0" w:type="dxa"/>
          <w:right w:w="10" w:type="dxa"/>
        </w:tblCellMar>
      </w:tblPr>
      <w:tblGrid>
        <w:gridCol w:w="1919"/>
        <w:gridCol w:w="7196"/>
      </w:tblGrid>
      <w:tr>
        <w:tblPrEx>
          <w:tblCellMar>
            <w:top w:w="0" w:type="dxa"/>
            <w:left w:w="10" w:type="dxa"/>
            <w:bottom w:w="0" w:type="dxa"/>
            <w:right w:w="10" w:type="dxa"/>
          </w:tblCellMar>
        </w:tblPrEx>
        <w:trPr>
          <w:trHeight w:val="511"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项目名称</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518"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120" w:after="0" w:line="240" w:lineRule="auto"/>
              <w:ind w:left="0" w:leftChars="0" w:right="0" w:firstLine="0" w:firstLineChars="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项目单位名称</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724"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320" w:lineRule="exact"/>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项目单位联系姓名及联系方式</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634"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合同金额</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637"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0" w:after="0" w:line="306" w:lineRule="exact"/>
              <w:ind w:left="0" w:right="0" w:firstLine="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项目负责人姓名</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noWrap w:val="0"/>
            <w:vAlign w:val="center"/>
          </w:tcPr>
          <w:p>
            <w:pPr>
              <w:pStyle w:val="81"/>
              <w:keepNext w:val="0"/>
              <w:keepLines w:val="0"/>
              <w:widowControl w:val="0"/>
              <w:shd w:val="clear" w:color="auto" w:fill="auto"/>
              <w:bidi w:val="0"/>
              <w:spacing w:before="120" w:after="0" w:line="240" w:lineRule="auto"/>
              <w:ind w:left="0" w:leftChars="0" w:right="0" w:firstLine="0" w:firstLineChars="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项目实施时间</w:t>
            </w:r>
          </w:p>
        </w:tc>
        <w:tc>
          <w:tcPr>
            <w:tcW w:w="7196" w:type="dxa"/>
            <w:tcBorders>
              <w:top w:val="single" w:color="auto" w:sz="4" w:space="0"/>
              <w:left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r>
        <w:tblPrEx>
          <w:tblCellMar>
            <w:top w:w="0" w:type="dxa"/>
            <w:left w:w="10" w:type="dxa"/>
            <w:bottom w:w="0" w:type="dxa"/>
            <w:right w:w="10" w:type="dxa"/>
          </w:tblCellMar>
        </w:tblPrEx>
        <w:trPr>
          <w:trHeight w:val="1699" w:hRule="exact"/>
          <w:jc w:val="center"/>
        </w:trPr>
        <w:tc>
          <w:tcPr>
            <w:tcW w:w="1919" w:type="dxa"/>
            <w:tcBorders>
              <w:top w:val="single" w:color="auto" w:sz="4" w:space="0"/>
              <w:left w:val="single" w:color="auto" w:sz="4" w:space="0"/>
              <w:bottom w:val="single" w:color="auto" w:sz="4" w:space="0"/>
            </w:tcBorders>
            <w:noWrap w:val="0"/>
            <w:vAlign w:val="center"/>
          </w:tcPr>
          <w:p>
            <w:pPr>
              <w:pStyle w:val="81"/>
              <w:keepNext w:val="0"/>
              <w:keepLines w:val="0"/>
              <w:widowControl w:val="0"/>
              <w:shd w:val="clear" w:color="auto" w:fill="auto"/>
              <w:bidi w:val="0"/>
              <w:spacing w:before="0" w:after="0" w:line="240" w:lineRule="auto"/>
              <w:ind w:left="0" w:leftChars="0" w:right="0" w:firstLine="0" w:firstLineChars="0"/>
              <w:jc w:val="center"/>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rPr>
              <w:t>项目内容说明</w:t>
            </w:r>
          </w:p>
        </w:tc>
        <w:tc>
          <w:tcPr>
            <w:tcW w:w="7196" w:type="dxa"/>
            <w:tcBorders>
              <w:top w:val="single" w:color="auto" w:sz="4" w:space="0"/>
              <w:left w:val="single" w:color="auto" w:sz="4" w:space="0"/>
              <w:bottom w:val="single" w:color="auto" w:sz="4" w:space="0"/>
              <w:right w:val="single" w:color="auto" w:sz="4" w:space="0"/>
            </w:tcBorders>
            <w:noWrap w:val="0"/>
            <w:vAlign w:val="top"/>
          </w:tcPr>
          <w:p>
            <w:pPr>
              <w:widowControl w:val="0"/>
              <w:rPr>
                <w:rFonts w:hint="eastAsia" w:ascii="宋体" w:hAnsi="宋体" w:eastAsia="宋体" w:cs="宋体"/>
                <w:color w:val="auto"/>
                <w:sz w:val="21"/>
                <w:szCs w:val="21"/>
              </w:rPr>
            </w:pPr>
          </w:p>
        </w:tc>
      </w:tr>
    </w:tbl>
    <w:p>
      <w:pPr>
        <w:rPr>
          <w:rFonts w:hint="eastAsia" w:ascii="仿宋" w:hAnsi="仿宋" w:eastAsia="仿宋" w:cs="仿宋"/>
          <w:color w:val="auto"/>
          <w:spacing w:val="-1"/>
          <w:kern w:val="0"/>
          <w:sz w:val="24"/>
        </w:rPr>
      </w:pPr>
    </w:p>
    <w:p>
      <w:pPr>
        <w:rPr>
          <w:rFonts w:hint="eastAsia" w:ascii="宋体" w:hAnsi="宋体" w:eastAsia="宋体" w:cs="宋体"/>
          <w:color w:val="auto"/>
          <w:spacing w:val="-1"/>
          <w:kern w:val="0"/>
          <w:sz w:val="21"/>
          <w:szCs w:val="21"/>
        </w:rPr>
      </w:pPr>
      <w:r>
        <w:rPr>
          <w:rFonts w:hint="eastAsia" w:ascii="宋体" w:hAnsi="宋体" w:eastAsia="宋体" w:cs="宋体"/>
          <w:color w:val="auto"/>
          <w:spacing w:val="-1"/>
          <w:kern w:val="0"/>
          <w:sz w:val="21"/>
          <w:szCs w:val="21"/>
        </w:rPr>
        <w:t>注：每个</w:t>
      </w:r>
      <w:r>
        <w:rPr>
          <w:rFonts w:hint="eastAsia" w:ascii="宋体" w:hAnsi="宋体" w:eastAsia="宋体" w:cs="宋体"/>
          <w:color w:val="auto"/>
          <w:spacing w:val="-1"/>
          <w:kern w:val="0"/>
          <w:sz w:val="21"/>
          <w:szCs w:val="21"/>
          <w:lang w:eastAsia="zh-CN"/>
        </w:rPr>
        <w:t>业绩</w:t>
      </w:r>
      <w:r>
        <w:rPr>
          <w:rFonts w:hint="eastAsia" w:ascii="宋体" w:hAnsi="宋体" w:eastAsia="宋体" w:cs="宋体"/>
          <w:color w:val="auto"/>
          <w:spacing w:val="-1"/>
          <w:kern w:val="0"/>
          <w:sz w:val="21"/>
          <w:szCs w:val="21"/>
        </w:rPr>
        <w:t>须单独附表，并附上</w:t>
      </w:r>
      <w:r>
        <w:rPr>
          <w:rFonts w:hint="eastAsia" w:ascii="宋体" w:hAnsi="宋体" w:eastAsia="宋体" w:cs="宋体"/>
          <w:color w:val="auto"/>
          <w:spacing w:val="-1"/>
          <w:kern w:val="0"/>
          <w:sz w:val="21"/>
          <w:szCs w:val="21"/>
          <w:lang w:eastAsia="zh-CN"/>
        </w:rPr>
        <w:t>合同</w:t>
      </w:r>
      <w:r>
        <w:rPr>
          <w:rFonts w:hint="eastAsia" w:ascii="宋体" w:hAnsi="宋体" w:cs="宋体"/>
          <w:color w:val="auto"/>
          <w:spacing w:val="-1"/>
          <w:kern w:val="0"/>
          <w:sz w:val="21"/>
          <w:szCs w:val="21"/>
          <w:lang w:val="en-US" w:eastAsia="zh-CN"/>
        </w:rPr>
        <w:t>及</w:t>
      </w:r>
      <w:r>
        <w:rPr>
          <w:rFonts w:hint="eastAsia" w:ascii="宋体" w:hAnsi="宋体" w:eastAsia="宋体" w:cs="宋体"/>
          <w:color w:val="auto"/>
          <w:spacing w:val="-1"/>
          <w:kern w:val="0"/>
          <w:sz w:val="21"/>
          <w:szCs w:val="21"/>
          <w:lang w:eastAsia="zh-CN"/>
        </w:rPr>
        <w:t>中标通知书</w:t>
      </w:r>
      <w:r>
        <w:rPr>
          <w:rFonts w:hint="eastAsia" w:ascii="宋体" w:hAnsi="宋体" w:eastAsia="宋体" w:cs="宋体"/>
          <w:color w:val="auto"/>
          <w:spacing w:val="-1"/>
          <w:kern w:val="0"/>
          <w:sz w:val="21"/>
          <w:szCs w:val="21"/>
        </w:rPr>
        <w:t>相关证明材料，否则专家在评审时将不予采信。</w:t>
      </w: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sz w:val="21"/>
          <w:szCs w:val="21"/>
        </w:rPr>
      </w:pP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sz w:val="21"/>
          <w:szCs w:val="21"/>
        </w:rPr>
      </w:pP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sz w:val="21"/>
          <w:szCs w:val="21"/>
        </w:rPr>
      </w:pP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投标人：</w:t>
      </w:r>
      <w:r>
        <w:rPr>
          <w:rFonts w:hint="eastAsia" w:ascii="宋体" w:hAnsi="宋体" w:eastAsia="宋体" w:cs="宋体"/>
          <w:color w:val="auto"/>
          <w:kern w:val="2"/>
          <w:sz w:val="21"/>
          <w:szCs w:val="21"/>
          <w:u w:val="single"/>
          <w:lang w:val="en-US" w:eastAsia="zh-CN" w:bidi="ar-SA"/>
        </w:rPr>
        <w:t xml:space="preserve">                                </w:t>
      </w:r>
      <w:r>
        <w:rPr>
          <w:rFonts w:hint="eastAsia" w:ascii="宋体" w:hAnsi="宋体" w:eastAsia="宋体" w:cs="宋体"/>
          <w:color w:val="auto"/>
          <w:kern w:val="2"/>
          <w:sz w:val="21"/>
          <w:szCs w:val="21"/>
          <w:lang w:val="en-US" w:eastAsia="zh-CN" w:bidi="ar-SA"/>
        </w:rPr>
        <w:t>（盖章）</w:t>
      </w:r>
    </w:p>
    <w:p>
      <w:pPr>
        <w:pStyle w:val="2"/>
        <w:numPr>
          <w:ilvl w:val="0"/>
          <w:numId w:val="0"/>
        </w:numPr>
        <w:tabs>
          <w:tab w:val="left" w:pos="8227"/>
        </w:tabs>
        <w:kinsoku w:val="0"/>
        <w:overflowPunct w:val="0"/>
        <w:spacing w:line="381" w:lineRule="auto"/>
        <w:ind w:left="1680" w:leftChars="0" w:right="118" w:rightChars="0"/>
        <w:rPr>
          <w:rFonts w:hint="eastAsia" w:ascii="宋体" w:hAnsi="宋体" w:eastAsia="宋体" w:cs="宋体"/>
          <w:color w:val="auto"/>
          <w:w w:val="95"/>
          <w:sz w:val="21"/>
          <w:szCs w:val="21"/>
        </w:rPr>
      </w:pPr>
      <w:r>
        <w:rPr>
          <w:rFonts w:hint="eastAsia" w:ascii="宋体" w:hAnsi="宋体" w:eastAsia="宋体" w:cs="宋体"/>
          <w:color w:val="auto"/>
          <w:sz w:val="21"/>
          <w:szCs w:val="21"/>
        </w:rPr>
        <w:t>法定代表人或被授权人：</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kern w:val="2"/>
          <w:sz w:val="21"/>
          <w:szCs w:val="21"/>
          <w:lang w:val="en-US" w:eastAsia="zh-CN" w:bidi="ar-SA"/>
        </w:rPr>
        <w:t>(签字或盖章）</w:t>
      </w:r>
    </w:p>
    <w:p>
      <w:pPr>
        <w:pStyle w:val="2"/>
        <w:numPr>
          <w:ilvl w:val="0"/>
          <w:numId w:val="0"/>
        </w:numPr>
        <w:tabs>
          <w:tab w:val="left" w:pos="5551"/>
          <w:tab w:val="left" w:pos="6511"/>
          <w:tab w:val="left" w:pos="7111"/>
          <w:tab w:val="left" w:pos="7711"/>
        </w:tabs>
        <w:kinsoku w:val="0"/>
        <w:overflowPunct w:val="0"/>
        <w:spacing w:before="46"/>
        <w:ind w:right="0" w:rightChars="0" w:firstLine="3834" w:firstLineChars="1800"/>
        <w:rPr>
          <w:rFonts w:hint="eastAsia" w:ascii="宋体" w:hAnsi="宋体" w:eastAsia="宋体" w:cs="宋体"/>
          <w:color w:val="auto"/>
          <w:sz w:val="21"/>
          <w:szCs w:val="21"/>
        </w:rPr>
      </w:pPr>
      <w:r>
        <w:rPr>
          <w:rFonts w:hint="eastAsia" w:ascii="宋体" w:hAnsi="宋体" w:eastAsia="宋体" w:cs="宋体"/>
          <w:color w:val="auto"/>
          <w:sz w:val="21"/>
          <w:szCs w:val="21"/>
        </w:rPr>
        <w:t>日期：</w:t>
      </w:r>
      <w:r>
        <w:rPr>
          <w:rFonts w:hint="eastAsia" w:ascii="宋体" w:hAnsi="宋体" w:eastAsia="宋体" w:cs="宋体"/>
          <w:color w:val="auto"/>
          <w:sz w:val="21"/>
          <w:szCs w:val="21"/>
          <w:u w:val="single"/>
        </w:rPr>
        <w:tab/>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日</w:t>
      </w:r>
    </w:p>
    <w:p>
      <w:pPr>
        <w:pStyle w:val="79"/>
        <w:keepNext w:val="0"/>
        <w:keepLines w:val="0"/>
        <w:widowControl w:val="0"/>
        <w:shd w:val="clear" w:color="auto" w:fill="auto"/>
        <w:bidi w:val="0"/>
        <w:spacing w:before="0" w:after="580" w:line="240" w:lineRule="auto"/>
        <w:ind w:left="0" w:right="0" w:firstLine="360"/>
        <w:jc w:val="left"/>
        <w:rPr>
          <w:rFonts w:hint="eastAsia" w:ascii="仿宋" w:hAnsi="仿宋" w:eastAsia="仿宋" w:cs="仿宋"/>
          <w:color w:val="auto"/>
          <w:spacing w:val="0"/>
          <w:w w:val="100"/>
          <w:position w:val="0"/>
        </w:rPr>
      </w:pPr>
    </w:p>
    <w:p>
      <w:pPr>
        <w:pStyle w:val="4"/>
        <w:numPr>
          <w:ilvl w:val="0"/>
          <w:numId w:val="0"/>
        </w:numPr>
        <w:shd w:val="clear" w:color="auto" w:fill="auto"/>
        <w:spacing w:before="0" w:line="240" w:lineRule="atLeast"/>
        <w:jc w:val="both"/>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5"/>
        <w:jc w:val="both"/>
        <w:rPr>
          <w:rFonts w:hint="eastAsia" w:ascii="宋体" w:hAnsi="宋体" w:eastAsia="宋体" w:cs="宋体"/>
          <w:b/>
          <w:bCs/>
          <w:color w:val="auto"/>
          <w:kern w:val="0"/>
          <w:sz w:val="24"/>
          <w:szCs w:val="20"/>
          <w:highlight w:val="none"/>
          <w:u w:val="none"/>
          <w:lang w:val="en-US" w:eastAsia="zh-CN" w:bidi="ar-SA"/>
        </w:rPr>
      </w:pPr>
    </w:p>
    <w:p>
      <w:pPr>
        <w:pStyle w:val="5"/>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kern w:val="0"/>
          <w:sz w:val="24"/>
          <w:szCs w:val="20"/>
          <w:highlight w:val="none"/>
          <w:u w:val="none"/>
          <w:lang w:val="en-US" w:eastAsia="zh-CN" w:bidi="ar-SA"/>
        </w:rPr>
        <w:t>8、中小企业声明函(</w:t>
      </w:r>
      <w:r>
        <w:rPr>
          <w:rFonts w:hint="eastAsia" w:ascii="宋体" w:hAnsi="宋体" w:cs="宋体"/>
          <w:b/>
          <w:bCs/>
          <w:color w:val="auto"/>
          <w:kern w:val="0"/>
          <w:sz w:val="24"/>
          <w:szCs w:val="20"/>
          <w:highlight w:val="none"/>
          <w:u w:val="none"/>
          <w:lang w:val="en-US" w:eastAsia="zh-CN" w:bidi="ar-SA"/>
        </w:rPr>
        <w:t>服务</w:t>
      </w:r>
      <w:r>
        <w:rPr>
          <w:rFonts w:hint="eastAsia" w:ascii="宋体" w:hAnsi="宋体" w:eastAsia="宋体" w:cs="宋体"/>
          <w:b/>
          <w:bCs/>
          <w:color w:val="auto"/>
          <w:kern w:val="0"/>
          <w:sz w:val="24"/>
          <w:szCs w:val="20"/>
          <w:highlight w:val="none"/>
          <w:u w:val="none"/>
          <w:lang w:val="en-US" w:eastAsia="zh-CN" w:bidi="ar-SA"/>
        </w:rPr>
        <w:t>)</w:t>
      </w:r>
    </w:p>
    <w:bookmarkEnd w:id="135"/>
    <w:bookmarkEnd w:id="136"/>
    <w:bookmarkEnd w:id="137"/>
    <w:bookmarkEnd w:id="138"/>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本公司郑重声明，根据《政府采购促进中小企业发展管理办法》（财库﹝2020﹞46 号）的规定，本公司参加（单位名称）的（项目名称）采购活动，提供的</w:t>
      </w:r>
      <w:r>
        <w:rPr>
          <w:rFonts w:hint="eastAsia" w:ascii="宋体" w:hAnsi="宋体" w:cs="宋体"/>
          <w:color w:val="auto"/>
          <w:kern w:val="2"/>
          <w:sz w:val="21"/>
          <w:szCs w:val="21"/>
          <w:u w:val="none" w:color="000000"/>
          <w:lang w:val="en-US" w:eastAsia="zh-CN" w:bidi="ar-SA"/>
        </w:rPr>
        <w:t>服务</w:t>
      </w:r>
      <w:r>
        <w:rPr>
          <w:rFonts w:hint="eastAsia" w:ascii="宋体" w:hAnsi="宋体" w:eastAsia="宋体" w:cs="宋体"/>
          <w:color w:val="auto"/>
          <w:kern w:val="2"/>
          <w:sz w:val="21"/>
          <w:szCs w:val="21"/>
          <w:u w:val="none" w:color="000000"/>
          <w:lang w:val="en-US" w:eastAsia="zh-CN" w:bidi="ar-SA"/>
        </w:rPr>
        <w:t xml:space="preserve">全部由符合政策要求的中小企业制造。相关企业 （含联合体中的中小企业、签订分包意向协议的中小企业） 的具体情况如下：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1. （标的名称） ，属于（采购文件中明确的所属行业） 行业；承接企业为（企业名称），从业人员     人，营业收 入为   万元，资产总额为   万元，属于（中型企业、小 型企业、微型企业）；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2. （标的名称） ，属于（采购文件中明确的所属行业）行业；承接企业为（企业名称），从业人员     人，营业收入为    万元，资产总额为员     万元，属于（中型企业、小型 企业、微型企业）； </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以上企业，不属于大企业的分支机构，不存在控股股东为大企业的情形，也不存在与大企业的负责人为同一人的情形。</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本企业对上述声明内容的真实性负责。如有虚假，将依法承担相应责任。 </w:t>
      </w:r>
    </w:p>
    <w:p>
      <w:pPr>
        <w:widowControl/>
        <w:kinsoku/>
        <w:topLinePunct w:val="0"/>
        <w:bidi w:val="0"/>
        <w:spacing w:before="100" w:beforeAutospacing="1" w:after="100" w:afterAutospacing="1" w:line="380" w:lineRule="exact"/>
        <w:ind w:firstLine="420"/>
        <w:jc w:val="righ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企业名称（盖章）：      </w:t>
      </w:r>
    </w:p>
    <w:p>
      <w:pPr>
        <w:widowControl/>
        <w:kinsoku/>
        <w:topLinePunct w:val="0"/>
        <w:bidi w:val="0"/>
        <w:spacing w:before="100" w:beforeAutospacing="1" w:after="100" w:afterAutospacing="1" w:line="380" w:lineRule="exact"/>
        <w:ind w:firstLine="420"/>
        <w:jc w:val="right"/>
        <w:rPr>
          <w:rFonts w:hint="eastAsia" w:ascii="宋体" w:hAnsi="宋体" w:eastAsia="宋体" w:cs="宋体"/>
          <w:color w:val="auto"/>
          <w:kern w:val="0"/>
          <w:sz w:val="24"/>
          <w:u w:val="single"/>
        </w:rPr>
      </w:pPr>
      <w:r>
        <w:rPr>
          <w:rFonts w:hint="eastAsia" w:ascii="宋体" w:hAnsi="宋体" w:eastAsia="宋体" w:cs="宋体"/>
          <w:color w:val="auto"/>
          <w:kern w:val="2"/>
          <w:sz w:val="21"/>
          <w:szCs w:val="21"/>
          <w:u w:val="none" w:color="000000"/>
          <w:lang w:val="en-US" w:eastAsia="zh-CN" w:bidi="ar-SA"/>
        </w:rPr>
        <w:t xml:space="preserve">日 期：    </w:t>
      </w:r>
      <w:r>
        <w:rPr>
          <w:rFonts w:hint="eastAsia" w:ascii="宋体" w:hAnsi="宋体" w:eastAsia="宋体" w:cs="宋体"/>
          <w:color w:val="auto"/>
          <w:kern w:val="0"/>
          <w:sz w:val="24"/>
          <w:u w:val="single"/>
          <w:lang w:val="en-US" w:eastAsia="zh-CN"/>
        </w:rPr>
        <w:t xml:space="preserve"> </w:t>
      </w:r>
    </w:p>
    <w:p>
      <w:pPr>
        <w:widowControl/>
        <w:kinsoku/>
        <w:topLinePunct w:val="0"/>
        <w:bidi w:val="0"/>
        <w:spacing w:before="100" w:beforeAutospacing="1" w:after="100" w:afterAutospacing="1" w:line="380" w:lineRule="exact"/>
        <w:ind w:firstLine="3159" w:firstLineChars="1300"/>
        <w:jc w:val="left"/>
        <w:rPr>
          <w:rFonts w:hint="eastAsia" w:ascii="宋体" w:hAnsi="宋体" w:eastAsia="宋体" w:cs="宋体"/>
          <w:color w:val="auto"/>
          <w:kern w:val="0"/>
          <w:sz w:val="24"/>
        </w:rPr>
      </w:pPr>
      <w:r>
        <w:rPr>
          <w:rFonts w:hint="eastAsia" w:ascii="宋体" w:hAnsi="宋体" w:eastAsia="宋体" w:cs="宋体"/>
          <w:color w:val="auto"/>
          <w:kern w:val="0"/>
          <w:sz w:val="24"/>
        </w:rPr>
        <w:t xml:space="preserve">        </w:t>
      </w:r>
    </w:p>
    <w:p>
      <w:pPr>
        <w:pStyle w:val="49"/>
        <w:kinsoku/>
        <w:topLinePunct w:val="0"/>
        <w:bidi w:val="0"/>
        <w:spacing w:line="380" w:lineRule="exact"/>
        <w:rPr>
          <w:rFonts w:hint="eastAsia" w:ascii="宋体" w:hAnsi="宋体" w:eastAsia="宋体" w:cs="宋体"/>
          <w:color w:val="auto"/>
          <w:kern w:val="0"/>
          <w:sz w:val="24"/>
        </w:rPr>
      </w:pPr>
    </w:p>
    <w:p>
      <w:pPr>
        <w:pStyle w:val="49"/>
        <w:kinsoku/>
        <w:topLinePunct w:val="0"/>
        <w:bidi w:val="0"/>
        <w:spacing w:line="380" w:lineRule="exact"/>
        <w:rPr>
          <w:rFonts w:hint="eastAsia" w:ascii="宋体" w:hAnsi="宋体" w:eastAsia="宋体" w:cs="宋体"/>
          <w:color w:val="auto"/>
          <w:kern w:val="0"/>
          <w:sz w:val="24"/>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0"/>
          <w:sz w:val="24"/>
        </w:rPr>
      </w:pPr>
    </w:p>
    <w:p>
      <w:pPr>
        <w:kinsoku/>
        <w:topLinePunct w:val="0"/>
        <w:bidi w:val="0"/>
        <w:spacing w:line="380" w:lineRule="exact"/>
        <w:rPr>
          <w:rFonts w:hint="eastAsia" w:ascii="宋体" w:hAnsi="宋体" w:eastAsia="宋体" w:cs="宋体"/>
          <w:color w:val="auto"/>
        </w:rPr>
      </w:pPr>
      <w:bookmarkStart w:id="142" w:name="_Toc515647824"/>
      <w:bookmarkStart w:id="143" w:name="_Toc10877"/>
      <w:bookmarkStart w:id="144" w:name="_Toc11803"/>
      <w:bookmarkStart w:id="145" w:name="_Toc10977"/>
    </w:p>
    <w:p>
      <w:pPr>
        <w:pStyle w:val="26"/>
        <w:kinsoku/>
        <w:topLinePunct w:val="0"/>
        <w:bidi w:val="0"/>
        <w:spacing w:line="380" w:lineRule="exact"/>
        <w:rPr>
          <w:rFonts w:hint="eastAsia" w:ascii="宋体" w:hAnsi="宋体" w:eastAsia="宋体" w:cs="宋体"/>
          <w:color w:val="auto"/>
        </w:rPr>
      </w:pPr>
    </w:p>
    <w:p>
      <w:pPr>
        <w:kinsoku/>
        <w:topLinePunct w:val="0"/>
        <w:bidi w:val="0"/>
        <w:spacing w:line="380" w:lineRule="exact"/>
        <w:rPr>
          <w:rFonts w:hint="eastAsia" w:ascii="宋体" w:hAnsi="宋体" w:eastAsia="宋体" w:cs="宋体"/>
          <w:color w:val="auto"/>
        </w:rPr>
      </w:pPr>
    </w:p>
    <w:p>
      <w:pPr>
        <w:pStyle w:val="4"/>
        <w:numPr>
          <w:ilvl w:val="0"/>
          <w:numId w:val="0"/>
        </w:numPr>
        <w:kinsoku/>
        <w:topLinePunct w:val="0"/>
        <w:bidi w:val="0"/>
        <w:spacing w:line="380" w:lineRule="exact"/>
        <w:jc w:val="both"/>
        <w:rPr>
          <w:rFonts w:hint="eastAsia" w:ascii="宋体" w:hAnsi="宋体" w:eastAsia="宋体" w:cs="宋体"/>
          <w:b/>
          <w:bCs/>
          <w:color w:val="auto"/>
        </w:rPr>
      </w:pPr>
    </w:p>
    <w:bookmarkEnd w:id="142"/>
    <w:bookmarkEnd w:id="143"/>
    <w:bookmarkEnd w:id="144"/>
    <w:bookmarkEnd w:id="145"/>
    <w:p>
      <w:pPr>
        <w:pStyle w:val="26"/>
        <w:kinsoku/>
        <w:topLinePunct w:val="0"/>
        <w:bidi w:val="0"/>
        <w:spacing w:line="380" w:lineRule="exact"/>
        <w:ind w:left="0" w:leftChars="0" w:firstLine="0" w:firstLineChars="0"/>
        <w:rPr>
          <w:rFonts w:hint="eastAsia" w:ascii="宋体" w:hAnsi="宋体" w:eastAsia="宋体" w:cs="宋体"/>
          <w:color w:val="auto"/>
          <w:lang w:val="en-US" w:eastAsia="zh-CN"/>
        </w:rPr>
      </w:pPr>
    </w:p>
    <w:p>
      <w:pPr>
        <w:pStyle w:val="4"/>
        <w:numPr>
          <w:ilvl w:val="0"/>
          <w:numId w:val="0"/>
        </w:numPr>
        <w:kinsoku/>
        <w:topLinePunct w:val="0"/>
        <w:bidi w:val="0"/>
        <w:spacing w:line="380" w:lineRule="exact"/>
        <w:jc w:val="center"/>
        <w:rPr>
          <w:rFonts w:hint="eastAsia" w:ascii="宋体" w:hAnsi="宋体" w:eastAsia="宋体" w:cs="宋体"/>
          <w:b/>
          <w:bCs/>
          <w:color w:val="auto"/>
        </w:rPr>
      </w:pPr>
      <w:bookmarkStart w:id="146" w:name="_Toc23068"/>
      <w:bookmarkStart w:id="147" w:name="_Toc19284"/>
      <w:bookmarkStart w:id="148" w:name="_Toc515647825"/>
      <w:bookmarkStart w:id="149" w:name="_Toc8010"/>
      <w:bookmarkStart w:id="150" w:name="OLE_LINK13"/>
      <w:bookmarkStart w:id="151" w:name="OLE_LINK14"/>
      <w:r>
        <w:rPr>
          <w:rFonts w:hint="eastAsia" w:ascii="宋体" w:hAnsi="宋体" w:eastAsia="宋体" w:cs="宋体"/>
          <w:b/>
          <w:bCs/>
          <w:color w:val="auto"/>
        </w:rPr>
        <w:t xml:space="preserve">  </w:t>
      </w:r>
      <w:r>
        <w:rPr>
          <w:rFonts w:hint="eastAsia" w:ascii="宋体" w:hAnsi="宋体" w:eastAsia="宋体" w:cs="宋体"/>
          <w:b/>
          <w:bCs/>
          <w:color w:val="auto"/>
          <w:lang w:val="en-US" w:eastAsia="zh-CN"/>
        </w:rPr>
        <w:t>9、</w:t>
      </w:r>
      <w:r>
        <w:rPr>
          <w:rFonts w:hint="eastAsia" w:ascii="宋体" w:hAnsi="宋体" w:eastAsia="宋体" w:cs="宋体"/>
          <w:b/>
          <w:bCs/>
          <w:color w:val="auto"/>
        </w:rPr>
        <w:t>残疾人福利性单位声明函</w:t>
      </w:r>
      <w:bookmarkEnd w:id="146"/>
      <w:bookmarkEnd w:id="147"/>
      <w:bookmarkEnd w:id="148"/>
      <w:bookmarkEnd w:id="149"/>
    </w:p>
    <w:bookmarkEnd w:id="150"/>
    <w:bookmarkEnd w:id="151"/>
    <w:p>
      <w:pPr>
        <w:kinsoku/>
        <w:topLinePunct w:val="0"/>
        <w:bidi w:val="0"/>
        <w:spacing w:line="380" w:lineRule="exact"/>
        <w:ind w:left="1087" w:leftChars="257" w:hanging="540"/>
        <w:jc w:val="center"/>
        <w:rPr>
          <w:rFonts w:hint="eastAsia" w:ascii="宋体" w:hAnsi="宋体" w:eastAsia="宋体" w:cs="宋体"/>
          <w:color w:val="auto"/>
          <w:kern w:val="0"/>
          <w:sz w:val="24"/>
          <w:szCs w:val="20"/>
        </w:rPr>
      </w:pP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本单位对上述声明的真实性负责。如有虚假，将依法承担相应责任。</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2"/>
          <w:sz w:val="21"/>
          <w:szCs w:val="21"/>
          <w:u w:val="none" w:color="000000"/>
          <w:lang w:val="en-US" w:eastAsia="zh-CN" w:bidi="ar-SA"/>
        </w:rPr>
      </w:pPr>
      <w:r>
        <w:rPr>
          <w:rFonts w:hint="eastAsia" w:ascii="宋体" w:hAnsi="宋体" w:eastAsia="宋体" w:cs="宋体"/>
          <w:color w:val="auto"/>
          <w:kern w:val="2"/>
          <w:sz w:val="21"/>
          <w:szCs w:val="21"/>
          <w:u w:val="none" w:color="000000"/>
          <w:lang w:val="en-US" w:eastAsia="zh-CN" w:bidi="ar-SA"/>
        </w:rPr>
        <w:t xml:space="preserve">        残疾人福利性单位名称（盖单位章）：______________</w:t>
      </w:r>
    </w:p>
    <w:p>
      <w:pPr>
        <w:widowControl/>
        <w:kinsoku/>
        <w:topLinePunct w:val="0"/>
        <w:bidi w:val="0"/>
        <w:spacing w:before="100" w:beforeAutospacing="1" w:after="100" w:afterAutospacing="1" w:line="380" w:lineRule="exact"/>
        <w:ind w:firstLine="420"/>
        <w:jc w:val="left"/>
        <w:rPr>
          <w:rFonts w:hint="eastAsia" w:ascii="宋体" w:hAnsi="宋体" w:eastAsia="宋体" w:cs="宋体"/>
          <w:color w:val="auto"/>
          <w:kern w:val="0"/>
          <w:sz w:val="24"/>
          <w:szCs w:val="20"/>
        </w:rPr>
      </w:pPr>
      <w:r>
        <w:rPr>
          <w:rFonts w:hint="eastAsia" w:ascii="宋体" w:hAnsi="宋体" w:eastAsia="宋体" w:cs="宋体"/>
          <w:color w:val="auto"/>
          <w:kern w:val="2"/>
          <w:sz w:val="21"/>
          <w:szCs w:val="21"/>
          <w:u w:val="none" w:color="000000"/>
          <w:lang w:val="en-US" w:eastAsia="zh-CN" w:bidi="ar-SA"/>
        </w:rPr>
        <w:t xml:space="preserve">         日  期：____________________</w:t>
      </w:r>
      <w:r>
        <w:rPr>
          <w:rFonts w:hint="eastAsia" w:ascii="宋体" w:hAnsi="宋体" w:eastAsia="宋体" w:cs="宋体"/>
          <w:color w:val="auto"/>
          <w:kern w:val="0"/>
          <w:sz w:val="24"/>
          <w:szCs w:val="20"/>
        </w:rPr>
        <w:t>_________________________</w:t>
      </w:r>
    </w:p>
    <w:p>
      <w:pPr>
        <w:kinsoku/>
        <w:topLinePunct w:val="0"/>
        <w:bidi w:val="0"/>
        <w:spacing w:line="380" w:lineRule="exact"/>
        <w:ind w:left="1087" w:leftChars="257" w:hanging="540"/>
        <w:jc w:val="center"/>
        <w:rPr>
          <w:rFonts w:hint="eastAsia" w:ascii="宋体" w:hAnsi="宋体" w:eastAsia="宋体" w:cs="宋体"/>
          <w:b/>
          <w:color w:val="auto"/>
          <w:kern w:val="0"/>
          <w:sz w:val="24"/>
          <w:szCs w:val="20"/>
        </w:rPr>
      </w:pPr>
    </w:p>
    <w:p>
      <w:pPr>
        <w:kinsoku/>
        <w:topLinePunct w:val="0"/>
        <w:bidi w:val="0"/>
        <w:spacing w:line="380" w:lineRule="exact"/>
        <w:ind w:left="1087" w:leftChars="257" w:hanging="540"/>
        <w:jc w:val="center"/>
        <w:rPr>
          <w:rFonts w:hint="eastAsia" w:ascii="宋体" w:hAnsi="宋体" w:eastAsia="宋体" w:cs="宋体"/>
          <w:b/>
          <w:color w:val="auto"/>
          <w:kern w:val="0"/>
          <w:sz w:val="24"/>
          <w:szCs w:val="20"/>
        </w:rPr>
      </w:pPr>
    </w:p>
    <w:p>
      <w:pPr>
        <w:pStyle w:val="4"/>
        <w:numPr>
          <w:ilvl w:val="0"/>
          <w:numId w:val="0"/>
        </w:numPr>
        <w:kinsoku/>
        <w:topLinePunct w:val="0"/>
        <w:bidi w:val="0"/>
        <w:spacing w:line="380" w:lineRule="exact"/>
        <w:ind w:left="547" w:leftChars="257"/>
        <w:rPr>
          <w:rFonts w:hint="eastAsia" w:ascii="宋体" w:hAnsi="宋体" w:eastAsia="宋体" w:cs="宋体"/>
          <w:color w:val="auto"/>
        </w:rPr>
      </w:pPr>
    </w:p>
    <w:p>
      <w:pPr>
        <w:pStyle w:val="4"/>
        <w:numPr>
          <w:ilvl w:val="0"/>
          <w:numId w:val="0"/>
        </w:numPr>
        <w:kinsoku/>
        <w:topLinePunct w:val="0"/>
        <w:bidi w:val="0"/>
        <w:spacing w:line="380" w:lineRule="exact"/>
        <w:ind w:left="547" w:leftChars="257"/>
        <w:jc w:val="center"/>
        <w:rPr>
          <w:rFonts w:hint="eastAsia" w:ascii="宋体" w:hAnsi="宋体" w:eastAsia="宋体" w:cs="宋体"/>
          <w:color w:val="auto"/>
        </w:rPr>
      </w:pPr>
    </w:p>
    <w:p>
      <w:pPr>
        <w:pStyle w:val="4"/>
        <w:numPr>
          <w:ilvl w:val="0"/>
          <w:numId w:val="0"/>
        </w:numPr>
        <w:kinsoku/>
        <w:topLinePunct w:val="0"/>
        <w:bidi w:val="0"/>
        <w:spacing w:line="380" w:lineRule="exact"/>
        <w:ind w:left="547" w:leftChars="257"/>
        <w:jc w:val="center"/>
        <w:rPr>
          <w:rFonts w:hint="eastAsia" w:ascii="宋体" w:hAnsi="宋体" w:eastAsia="宋体" w:cs="宋体"/>
          <w:color w:val="auto"/>
        </w:rPr>
      </w:pPr>
    </w:p>
    <w:p>
      <w:pPr>
        <w:pStyle w:val="49"/>
        <w:kinsoku/>
        <w:topLinePunct w:val="0"/>
        <w:bidi w:val="0"/>
        <w:spacing w:line="380" w:lineRule="exact"/>
        <w:ind w:left="0" w:leftChars="0" w:firstLine="0" w:firstLineChars="0"/>
        <w:rPr>
          <w:rFonts w:hint="eastAsia" w:ascii="宋体" w:hAnsi="宋体" w:eastAsia="宋体" w:cs="宋体"/>
          <w:color w:val="auto"/>
        </w:rPr>
      </w:pPr>
    </w:p>
    <w:p>
      <w:pPr>
        <w:pStyle w:val="49"/>
        <w:shd w:val="clear" w:color="auto" w:fill="auto"/>
        <w:rPr>
          <w:rFonts w:hint="eastAsia" w:ascii="宋体" w:hAnsi="宋体" w:eastAsia="宋体" w:cs="宋体"/>
          <w:color w:val="auto"/>
          <w:sz w:val="24"/>
          <w:highlight w:val="none"/>
        </w:rPr>
      </w:pPr>
      <w:bookmarkStart w:id="152" w:name="_Toc6386"/>
    </w:p>
    <w:p>
      <w:pPr>
        <w:pStyle w:val="49"/>
        <w:shd w:val="clear" w:color="auto" w:fill="auto"/>
        <w:rPr>
          <w:rFonts w:hint="eastAsia" w:ascii="宋体" w:hAnsi="宋体" w:eastAsia="宋体" w:cs="宋体"/>
          <w:color w:val="auto"/>
          <w:sz w:val="24"/>
          <w:highlight w:val="none"/>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10</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投标人关联单位的说明</w:t>
      </w:r>
      <w:bookmarkEnd w:id="139"/>
      <w:bookmarkEnd w:id="140"/>
      <w:bookmarkEnd w:id="141"/>
      <w:bookmarkEnd w:id="152"/>
    </w:p>
    <w:p>
      <w:pPr>
        <w:pStyle w:val="7"/>
        <w:shd w:val="clear" w:color="auto" w:fill="auto"/>
        <w:jc w:val="center"/>
        <w:rPr>
          <w:rFonts w:hint="eastAsia" w:ascii="宋体" w:hAnsi="宋体" w:eastAsia="宋体" w:cs="宋体"/>
          <w:color w:val="auto"/>
          <w:highlight w:val="none"/>
        </w:rPr>
      </w:pPr>
    </w:p>
    <w:p>
      <w:pPr>
        <w:pStyle w:val="7"/>
        <w:shd w:val="clear" w:color="auto" w:fill="auto"/>
        <w:ind w:firstLine="426"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说明：投标人应当如实披露与本单位存在下列关联关系的单位名称：</w:t>
      </w:r>
    </w:p>
    <w:p>
      <w:pPr>
        <w:pStyle w:val="7"/>
        <w:shd w:val="clear" w:color="auto" w:fill="auto"/>
        <w:ind w:firstLine="426" w:firstLineChars="200"/>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（1）与投标人单位负责人为同一人的其他单位；</w:t>
      </w:r>
    </w:p>
    <w:p>
      <w:pPr>
        <w:pStyle w:val="7"/>
        <w:shd w:val="clear" w:color="auto" w:fill="auto"/>
        <w:ind w:firstLine="426"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（2）与投标人存在直接控股、管理关系的其他单位。</w:t>
      </w:r>
    </w:p>
    <w:p>
      <w:pPr>
        <w:pStyle w:val="7"/>
        <w:shd w:val="clear" w:color="auto" w:fill="auto"/>
        <w:ind w:firstLine="0"/>
        <w:rPr>
          <w:rFonts w:hint="eastAsia" w:ascii="宋体" w:hAnsi="宋体" w:eastAsia="宋体" w:cs="宋体"/>
          <w:color w:val="auto"/>
          <w:highlight w:val="none"/>
        </w:rPr>
      </w:pPr>
      <w:bookmarkStart w:id="153" w:name="_Toc515647828"/>
      <w:bookmarkStart w:id="154" w:name="_Toc17333"/>
      <w:bookmarkStart w:id="155" w:name="_Toc7414"/>
    </w:p>
    <w:p>
      <w:pPr>
        <w:pStyle w:val="49"/>
        <w:shd w:val="clear" w:color="auto" w:fill="auto"/>
        <w:ind w:left="0" w:leftChars="0" w:firstLine="0" w:firstLineChars="0"/>
        <w:rPr>
          <w:rFonts w:hint="eastAsia" w:ascii="宋体" w:hAnsi="宋体" w:eastAsia="宋体" w:cs="宋体"/>
          <w:color w:val="auto"/>
          <w:highlight w:val="none"/>
        </w:rPr>
      </w:pPr>
    </w:p>
    <w:p>
      <w:pPr>
        <w:pStyle w:val="49"/>
        <w:shd w:val="clear" w:color="auto" w:fill="auto"/>
        <w:ind w:left="0" w:leftChars="0" w:firstLine="0" w:firstLineChars="0"/>
        <w:rPr>
          <w:rFonts w:hint="eastAsia" w:ascii="宋体" w:hAnsi="宋体" w:eastAsia="宋体" w:cs="宋体"/>
          <w:color w:val="auto"/>
          <w:highlight w:val="none"/>
        </w:rPr>
      </w:pPr>
    </w:p>
    <w:p>
      <w:pPr>
        <w:pStyle w:val="49"/>
        <w:shd w:val="clear" w:color="auto" w:fill="auto"/>
        <w:rPr>
          <w:rFonts w:hint="eastAsia" w:ascii="宋体" w:hAnsi="宋体" w:eastAsia="宋体" w:cs="宋体"/>
          <w:color w:val="auto"/>
          <w:highlight w:val="none"/>
        </w:rPr>
      </w:pPr>
    </w:p>
    <w:bookmarkEnd w:id="153"/>
    <w:bookmarkEnd w:id="154"/>
    <w:bookmarkEnd w:id="155"/>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val="en-US" w:eastAsia="zh-CN"/>
        </w:rPr>
      </w:pPr>
    </w:p>
    <w:p>
      <w:pPr>
        <w:rPr>
          <w:rFonts w:hint="eastAsia"/>
          <w:color w:val="auto"/>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11、</w:t>
      </w:r>
      <w:r>
        <w:rPr>
          <w:rFonts w:hint="eastAsia" w:ascii="宋体" w:hAnsi="宋体" w:eastAsia="宋体" w:cs="宋体"/>
          <w:b/>
          <w:bCs/>
          <w:color w:val="auto"/>
          <w:sz w:val="24"/>
          <w:highlight w:val="none"/>
          <w:lang w:eastAsia="zh-CN"/>
        </w:rPr>
        <w:t>评分标准和细则中技术部分证明材料（格式自拟）</w:t>
      </w: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说明：1.应提供</w:t>
      </w:r>
      <w:r>
        <w:rPr>
          <w:rFonts w:hint="eastAsia" w:ascii="宋体" w:hAnsi="宋体" w:eastAsia="宋体" w:cs="宋体"/>
          <w:color w:val="auto"/>
          <w:sz w:val="21"/>
          <w:szCs w:val="16"/>
          <w:highlight w:val="none"/>
          <w:u w:val="single" w:color="auto"/>
          <w:lang w:eastAsia="zh-CN"/>
        </w:rPr>
        <w:t>评分标准和细则中技术部分</w:t>
      </w:r>
      <w:r>
        <w:rPr>
          <w:rFonts w:hint="eastAsia" w:ascii="宋体" w:hAnsi="宋体" w:eastAsia="宋体" w:cs="宋体"/>
          <w:color w:val="auto"/>
          <w:sz w:val="21"/>
          <w:szCs w:val="16"/>
          <w:highlight w:val="none"/>
        </w:rPr>
        <w:t>要求的其他资格证明文件</w:t>
      </w:r>
      <w:r>
        <w:rPr>
          <w:rFonts w:hint="eastAsia" w:hAnsi="宋体" w:eastAsia="宋体" w:cs="宋体"/>
          <w:color w:val="auto"/>
          <w:sz w:val="21"/>
          <w:szCs w:val="16"/>
          <w:highlight w:val="none"/>
          <w:lang w:eastAsia="zh-CN"/>
        </w:rPr>
        <w:t>。</w:t>
      </w:r>
    </w:p>
    <w:p>
      <w:pPr>
        <w:pStyle w:val="14"/>
        <w:shd w:val="clear" w:color="auto" w:fill="auto"/>
        <w:tabs>
          <w:tab w:val="left" w:pos="5580"/>
        </w:tabs>
        <w:spacing w:line="360" w:lineRule="auto"/>
        <w:ind w:firstLine="1065" w:firstLineChars="5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2.复印件上应加盖本单位章（自然人投标的无需盖章，需要签字）。</w:t>
      </w:r>
    </w:p>
    <w:p>
      <w:pPr>
        <w:pStyle w:val="14"/>
        <w:shd w:val="clear" w:color="auto" w:fill="auto"/>
        <w:tabs>
          <w:tab w:val="left" w:pos="5580"/>
        </w:tabs>
        <w:spacing w:line="240" w:lineRule="atLeast"/>
        <w:ind w:left="1270" w:leftChars="344" w:hanging="538"/>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hd w:val="clear" w:color="auto" w:fill="auto"/>
        <w:rPr>
          <w:rFonts w:hint="eastAsia" w:ascii="宋体" w:hAnsi="宋体" w:eastAsia="宋体" w:cs="宋体"/>
          <w:color w:val="auto"/>
          <w:sz w:val="24"/>
          <w:highlight w:val="none"/>
          <w:lang w:val="en-US" w:eastAsia="zh-CN"/>
        </w:rPr>
      </w:pPr>
    </w:p>
    <w:p>
      <w:pPr>
        <w:pStyle w:val="49"/>
        <w:shd w:val="clear" w:color="auto" w:fill="auto"/>
        <w:rPr>
          <w:rFonts w:hint="eastAsia"/>
          <w:color w:val="auto"/>
          <w:highlight w:val="none"/>
          <w:lang w:val="en-US" w:eastAsia="zh-CN"/>
        </w:rPr>
      </w:pPr>
    </w:p>
    <w:p>
      <w:pPr>
        <w:pStyle w:val="49"/>
        <w:shd w:val="clear" w:color="auto" w:fill="auto"/>
        <w:rPr>
          <w:rFonts w:hint="eastAsia"/>
          <w:color w:val="auto"/>
          <w:highlight w:val="none"/>
          <w:lang w:val="en-US" w:eastAsia="zh-CN"/>
        </w:rPr>
      </w:pP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12、</w:t>
      </w:r>
      <w:r>
        <w:rPr>
          <w:rFonts w:hint="eastAsia" w:ascii="宋体" w:hAnsi="宋体" w:eastAsia="宋体" w:cs="宋体"/>
          <w:b/>
          <w:bCs/>
          <w:color w:val="auto"/>
          <w:sz w:val="24"/>
          <w:highlight w:val="none"/>
          <w:lang w:eastAsia="zh-CN"/>
        </w:rPr>
        <w:t>评分标准和细则中商务部分证明材料（格式自拟）</w:t>
      </w:r>
    </w:p>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p>
    <w:p>
      <w:pPr>
        <w:pStyle w:val="14"/>
        <w:shd w:val="clear" w:color="auto" w:fill="auto"/>
        <w:tabs>
          <w:tab w:val="left" w:pos="5580"/>
        </w:tabs>
        <w:spacing w:line="240" w:lineRule="atLeast"/>
        <w:ind w:left="1087" w:leftChars="257" w:hanging="540"/>
        <w:rPr>
          <w:rFonts w:hint="eastAsia" w:ascii="宋体" w:hAnsi="宋体" w:eastAsia="宋体" w:cs="宋体"/>
          <w:color w:val="auto"/>
          <w:sz w:val="24"/>
          <w:highlight w:val="none"/>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说明</w:t>
      </w:r>
      <w:r>
        <w:rPr>
          <w:rFonts w:hint="eastAsia" w:ascii="宋体" w:hAnsi="宋体" w:eastAsia="宋体" w:cs="宋体"/>
          <w:color w:val="auto"/>
          <w:sz w:val="21"/>
          <w:szCs w:val="16"/>
          <w:highlight w:val="none"/>
          <w:lang w:val="en-US" w:eastAsia="zh-CN"/>
        </w:rPr>
        <w:t>.</w:t>
      </w:r>
      <w:r>
        <w:rPr>
          <w:rFonts w:hint="eastAsia" w:ascii="宋体" w:hAnsi="宋体" w:eastAsia="宋体" w:cs="宋体"/>
          <w:color w:val="auto"/>
          <w:sz w:val="21"/>
          <w:szCs w:val="16"/>
          <w:highlight w:val="none"/>
        </w:rPr>
        <w:t>1.应提供</w:t>
      </w:r>
      <w:r>
        <w:rPr>
          <w:rFonts w:hint="eastAsia" w:ascii="宋体" w:hAnsi="宋体" w:eastAsia="宋体" w:cs="宋体"/>
          <w:color w:val="auto"/>
          <w:sz w:val="21"/>
          <w:szCs w:val="16"/>
          <w:highlight w:val="none"/>
          <w:lang w:eastAsia="zh-CN"/>
        </w:rPr>
        <w:t>评分标准和细则中商务部分</w:t>
      </w:r>
      <w:r>
        <w:rPr>
          <w:rFonts w:hint="eastAsia" w:ascii="宋体" w:hAnsi="宋体" w:eastAsia="宋体" w:cs="宋体"/>
          <w:color w:val="auto"/>
          <w:sz w:val="21"/>
          <w:szCs w:val="16"/>
          <w:highlight w:val="none"/>
        </w:rPr>
        <w:t>要求的其他资格证明文件。</w:t>
      </w:r>
    </w:p>
    <w:p>
      <w:pPr>
        <w:pStyle w:val="14"/>
        <w:shd w:val="clear" w:color="auto" w:fill="auto"/>
        <w:tabs>
          <w:tab w:val="left" w:pos="5580"/>
        </w:tabs>
        <w:spacing w:line="360" w:lineRule="auto"/>
        <w:ind w:left="1153" w:leftChars="485" w:hanging="120" w:hangingChars="57"/>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2.复印件上应加盖本单位章（自然人投标的无需盖章，需要签字）。</w:t>
      </w: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 </w:t>
      </w:r>
      <w:r>
        <w:rPr>
          <w:rFonts w:hint="eastAsia" w:ascii="宋体" w:hAnsi="宋体" w:eastAsia="宋体" w:cs="宋体"/>
          <w:color w:val="auto"/>
          <w:sz w:val="21"/>
          <w:szCs w:val="16"/>
          <w:highlight w:val="none"/>
          <w:lang w:val="en-US" w:eastAsia="zh-CN"/>
        </w:rPr>
        <w:t xml:space="preserve">  </w:t>
      </w:r>
      <w:r>
        <w:rPr>
          <w:rFonts w:hint="eastAsia" w:hAnsi="宋体" w:cs="宋体"/>
          <w:color w:val="auto"/>
          <w:sz w:val="21"/>
          <w:szCs w:val="16"/>
          <w:highlight w:val="none"/>
          <w:lang w:val="en-US" w:eastAsia="zh-CN"/>
        </w:rPr>
        <w:t xml:space="preserve"> </w:t>
      </w:r>
      <w:r>
        <w:rPr>
          <w:rFonts w:hint="eastAsia" w:ascii="宋体" w:hAnsi="宋体" w:eastAsia="宋体" w:cs="宋体"/>
          <w:color w:val="auto"/>
          <w:sz w:val="21"/>
          <w:szCs w:val="16"/>
          <w:highlight w:val="none"/>
          <w:lang w:val="en-US" w:eastAsia="zh-CN"/>
        </w:rPr>
        <w:t xml:space="preserve"> </w:t>
      </w:r>
      <w:r>
        <w:rPr>
          <w:rFonts w:hint="eastAsia" w:ascii="宋体" w:hAnsi="宋体" w:eastAsia="宋体" w:cs="宋体"/>
          <w:color w:val="auto"/>
          <w:sz w:val="21"/>
          <w:szCs w:val="16"/>
          <w:highlight w:val="none"/>
        </w:rPr>
        <w:t>3.（本项目不接受联合体）如果是联合体投标，联合体各方需提供的满足</w:t>
      </w:r>
      <w:r>
        <w:rPr>
          <w:rFonts w:hint="eastAsia" w:hAnsi="宋体" w:cs="宋体"/>
          <w:color w:val="auto"/>
          <w:sz w:val="21"/>
          <w:szCs w:val="16"/>
          <w:highlight w:val="none"/>
          <w:lang w:val="en-US" w:eastAsia="zh-CN"/>
        </w:rPr>
        <w:t>招标</w:t>
      </w:r>
      <w:r>
        <w:rPr>
          <w:rFonts w:hint="eastAsia" w:ascii="宋体" w:hAnsi="宋体" w:eastAsia="宋体" w:cs="宋体"/>
          <w:color w:val="auto"/>
          <w:sz w:val="21"/>
          <w:szCs w:val="16"/>
          <w:highlight w:val="none"/>
          <w:lang w:eastAsia="zh-CN"/>
        </w:rPr>
        <w:t>文件</w:t>
      </w:r>
      <w:r>
        <w:rPr>
          <w:rFonts w:hint="eastAsia" w:ascii="宋体" w:hAnsi="宋体" w:eastAsia="宋体" w:cs="宋体"/>
          <w:color w:val="auto"/>
          <w:sz w:val="21"/>
          <w:szCs w:val="16"/>
          <w:highlight w:val="none"/>
        </w:rPr>
        <w:t>要求的其他资格证明文件。</w:t>
      </w: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9"/>
        <w:shd w:val="clear" w:color="auto" w:fill="auto"/>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ind w:leftChars="257"/>
        <w:jc w:val="center"/>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jc w:val="left"/>
        <w:rPr>
          <w:rFonts w:hint="eastAsia" w:ascii="宋体" w:hAnsi="宋体" w:eastAsia="宋体" w:cs="宋体"/>
          <w:color w:val="auto"/>
          <w:sz w:val="24"/>
          <w:highlight w:val="none"/>
          <w:lang w:val="en-US" w:eastAsia="zh-CN"/>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13、</w:t>
      </w:r>
      <w:r>
        <w:rPr>
          <w:rFonts w:hint="eastAsia" w:ascii="宋体" w:hAnsi="宋体" w:eastAsia="宋体" w:cs="宋体"/>
          <w:b/>
          <w:bCs/>
          <w:color w:val="auto"/>
          <w:sz w:val="24"/>
          <w:highlight w:val="none"/>
          <w:lang w:eastAsia="zh-CN"/>
        </w:rPr>
        <w:t>投标人认为有必要提供的其他证明材料（格式自拟）</w:t>
      </w:r>
    </w:p>
    <w:p>
      <w:pPr>
        <w:shd w:val="clear" w:color="auto" w:fill="auto"/>
        <w:rPr>
          <w:rFonts w:hint="eastAsia" w:ascii="宋体" w:hAnsi="宋体" w:eastAsia="宋体" w:cs="宋体"/>
          <w:color w:val="auto"/>
          <w:highlight w:val="none"/>
        </w:rPr>
      </w:pPr>
    </w:p>
    <w:p>
      <w:pPr>
        <w:pStyle w:val="14"/>
        <w:shd w:val="clear" w:color="auto" w:fill="auto"/>
        <w:tabs>
          <w:tab w:val="left" w:pos="5580"/>
        </w:tabs>
        <w:spacing w:line="360" w:lineRule="auto"/>
        <w:ind w:left="1087" w:leftChars="257" w:hanging="54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说明：1.复印件上应加盖本单位章（自然人投标的无需盖章，需要签字）。</w:t>
      </w:r>
    </w:p>
    <w:p>
      <w:pPr>
        <w:pStyle w:val="14"/>
        <w:shd w:val="clear" w:color="auto" w:fill="auto"/>
        <w:tabs>
          <w:tab w:val="left" w:pos="5580"/>
        </w:tabs>
        <w:spacing w:line="360" w:lineRule="auto"/>
        <w:ind w:left="1182" w:leftChars="555" w:firstLine="91" w:firstLineChars="43"/>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lang w:val="en-US" w:eastAsia="zh-CN"/>
        </w:rPr>
        <w:t>2.（本项目不接受联合体）如果是联合体投标，联合体各方需提供的满足招标文件要求的其他资格证明文件。</w:t>
      </w:r>
    </w:p>
    <w:p>
      <w:pPr>
        <w:pStyle w:val="14"/>
        <w:shd w:val="clear" w:color="auto" w:fill="auto"/>
        <w:tabs>
          <w:tab w:val="left" w:pos="5580"/>
        </w:tabs>
        <w:spacing w:line="240" w:lineRule="atLeast"/>
        <w:ind w:left="1942" w:leftChars="912" w:firstLine="0" w:firstLineChars="0"/>
        <w:rPr>
          <w:rFonts w:hint="eastAsia"/>
          <w:color w:val="auto"/>
          <w:highlight w:val="none"/>
        </w:rPr>
      </w:pPr>
    </w:p>
    <w:sectPr>
      <w:headerReference r:id="rId6" w:type="default"/>
      <w:footerReference r:id="rId7" w:type="default"/>
      <w:pgSz w:w="11905" w:h="16838"/>
      <w:pgMar w:top="1440" w:right="1797" w:bottom="1440" w:left="1797" w:header="850" w:footer="992" w:gutter="0"/>
      <w:pgNumType w:fmt="decimal"/>
      <w:cols w:space="720" w:num="1"/>
      <w:rtlGutter w:val="0"/>
      <w:docGrid w:type="linesAndChars" w:linePitch="325" w:charSpace="6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_x000B__x000C_">
    <w:altName w:val="Courier New"/>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0" w:usb3="00000000" w:csb0="00040001" w:csb1="00000000"/>
  </w:font>
  <w:font w:name="ヒラギノ角ゴ Pro W3">
    <w:altName w:val="Yu Gothic"/>
    <w:panose1 w:val="00000000000000000000"/>
    <w:charset w:val="80"/>
    <w:family w:val="auto"/>
    <w:pitch w:val="default"/>
    <w:sig w:usb0="00000000" w:usb1="00000000" w:usb2="00000012" w:usb3="00000000" w:csb0="0002000D" w:csb1="00000000"/>
  </w:font>
  <w:font w:name="长城仿宋">
    <w:altName w:val="宋体"/>
    <w:panose1 w:val="02010609000101010101"/>
    <w:charset w:val="86"/>
    <w:family w:val="modern"/>
    <w:pitch w:val="default"/>
    <w:sig w:usb0="00000000" w:usb1="00000000" w:usb2="00000010" w:usb3="00000000" w:csb0="00040000" w:csb1="00000000"/>
  </w:font>
  <w:font w:name="华文仿宋">
    <w:altName w:val="仿宋"/>
    <w:panose1 w:val="02010600040101010101"/>
    <w:charset w:val="86"/>
    <w:family w:val="swiss"/>
    <w:pitch w:val="default"/>
    <w:sig w:usb0="00000000" w:usb1="0000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宋体-18030">
    <w:altName w:val="宋体"/>
    <w:panose1 w:val="00000000000000000000"/>
    <w:charset w:val="86"/>
    <w:family w:val="modern"/>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firstLine="360"/>
    </w:pPr>
    <w:r>
      <w:rPr>
        <w:sz w:val="18"/>
      </w:rPr>
      <mc:AlternateContent>
        <mc:Choice Requires="wps">
          <w:drawing>
            <wp:anchor distT="0" distB="0" distL="114300" distR="114300" simplePos="0" relativeHeight="251669504" behindDoc="0" locked="0" layoutInCell="1" allowOverlap="1">
              <wp:simplePos x="0" y="0"/>
              <wp:positionH relativeFrom="margin">
                <wp:posOffset>2543175</wp:posOffset>
              </wp:positionH>
              <wp:positionV relativeFrom="paragraph">
                <wp:posOffset>-182245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Style w:val="31"/>
                              <w:rFonts w:ascii="宋体"/>
                              <w:sz w:val="22"/>
                              <w:szCs w:val="22"/>
                            </w:rPr>
                          </w:pPr>
                          <w:r>
                            <w:rPr>
                              <w:rStyle w:val="31"/>
                              <w:rFonts w:ascii="宋体"/>
                              <w:sz w:val="22"/>
                              <w:szCs w:val="22"/>
                            </w:rPr>
                            <w:t xml:space="preserve">第 </w:t>
                          </w:r>
                          <w:r>
                            <w:rPr>
                              <w:rStyle w:val="31"/>
                              <w:rFonts w:ascii="宋体"/>
                              <w:sz w:val="22"/>
                              <w:szCs w:val="22"/>
                            </w:rPr>
                            <w:fldChar w:fldCharType="begin"/>
                          </w:r>
                          <w:r>
                            <w:rPr>
                              <w:rStyle w:val="31"/>
                              <w:rFonts w:ascii="宋体"/>
                              <w:sz w:val="22"/>
                              <w:szCs w:val="22"/>
                            </w:rPr>
                            <w:instrText xml:space="preserve"> PAGE  \* MERGEFORMAT </w:instrText>
                          </w:r>
                          <w:r>
                            <w:rPr>
                              <w:rStyle w:val="31"/>
                              <w:rFonts w:ascii="宋体"/>
                              <w:sz w:val="22"/>
                              <w:szCs w:val="22"/>
                            </w:rPr>
                            <w:fldChar w:fldCharType="separate"/>
                          </w:r>
                          <w:r>
                            <w:rPr>
                              <w:rStyle w:val="31"/>
                              <w:rFonts w:ascii="宋体"/>
                              <w:sz w:val="22"/>
                              <w:szCs w:val="22"/>
                            </w:rPr>
                            <w:t>1</w:t>
                          </w:r>
                          <w:r>
                            <w:rPr>
                              <w:rStyle w:val="31"/>
                              <w:rFonts w:ascii="宋体"/>
                              <w:sz w:val="22"/>
                              <w:szCs w:val="22"/>
                            </w:rPr>
                            <w:fldChar w:fldCharType="end"/>
                          </w:r>
                          <w:r>
                            <w:rPr>
                              <w:rStyle w:val="31"/>
                              <w:rFonts w:ascii="宋体"/>
                              <w:sz w:val="22"/>
                              <w:szCs w:val="22"/>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0.25pt;margin-top:-14.35pt;height:144pt;width:144pt;mso-position-horizontal-relative:margin;mso-wrap-style:none;z-index:251669504;mso-width-relative:page;mso-height-relative:page;" filled="f" stroked="f" coordsize="21600,21600" o:gfxdata="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yQGDp9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pPr>
                      <w:pStyle w:val="17"/>
                      <w:rPr>
                        <w:rStyle w:val="31"/>
                        <w:rFonts w:ascii="宋体"/>
                        <w:sz w:val="22"/>
                        <w:szCs w:val="22"/>
                      </w:rPr>
                    </w:pPr>
                    <w:r>
                      <w:rPr>
                        <w:rStyle w:val="31"/>
                        <w:rFonts w:ascii="宋体"/>
                        <w:sz w:val="22"/>
                        <w:szCs w:val="22"/>
                      </w:rPr>
                      <w:t xml:space="preserve">第 </w:t>
                    </w:r>
                    <w:r>
                      <w:rPr>
                        <w:rStyle w:val="31"/>
                        <w:rFonts w:ascii="宋体"/>
                        <w:sz w:val="22"/>
                        <w:szCs w:val="22"/>
                      </w:rPr>
                      <w:fldChar w:fldCharType="begin"/>
                    </w:r>
                    <w:r>
                      <w:rPr>
                        <w:rStyle w:val="31"/>
                        <w:rFonts w:ascii="宋体"/>
                        <w:sz w:val="22"/>
                        <w:szCs w:val="22"/>
                      </w:rPr>
                      <w:instrText xml:space="preserve"> PAGE  \* MERGEFORMAT </w:instrText>
                    </w:r>
                    <w:r>
                      <w:rPr>
                        <w:rStyle w:val="31"/>
                        <w:rFonts w:ascii="宋体"/>
                        <w:sz w:val="22"/>
                        <w:szCs w:val="22"/>
                      </w:rPr>
                      <w:fldChar w:fldCharType="separate"/>
                    </w:r>
                    <w:r>
                      <w:rPr>
                        <w:rStyle w:val="31"/>
                        <w:rFonts w:ascii="宋体"/>
                        <w:sz w:val="22"/>
                        <w:szCs w:val="22"/>
                      </w:rPr>
                      <w:t>1</w:t>
                    </w:r>
                    <w:r>
                      <w:rPr>
                        <w:rStyle w:val="31"/>
                        <w:rFonts w:ascii="宋体"/>
                        <w:sz w:val="22"/>
                        <w:szCs w:val="22"/>
                      </w:rPr>
                      <w:fldChar w:fldCharType="end"/>
                    </w:r>
                    <w:r>
                      <w:rPr>
                        <w:rStyle w:val="31"/>
                        <w:rFonts w:ascii="宋体"/>
                        <w:sz w:val="22"/>
                        <w:szCs w:val="22"/>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jc w:val="both"/>
      <w:rPr>
        <w:rFonts w:hint="eastAsia"/>
      </w:rPr>
    </w:pPr>
    <w:r>
      <w:rPr>
        <w:sz w:val="13"/>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ZoqY8k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mipjyQEAAJsDAAAOAAAAAAAAAAEAIAAAAB4BAABkcnMvZTJvRG9j&#10;LnhtbFBLBQYAAAAABgAGAFkBAABZBQAAAAA=&#10;">
              <v:fill on="f" focussize="0,0"/>
              <v:stroke on="f"/>
              <v:imagedata o:title=""/>
              <o:lock v:ext="edit" aspectratio="f"/>
              <v:textbox inset="0mm,0mm,0mm,0mm" style="mso-fit-shape-to-text:t;">
                <w:txbxContent>
                  <w:p>
                    <w:pPr>
                      <w:pStyle w:val="17"/>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sz w:val="13"/>
        <w:szCs w:val="13"/>
      </w:rPr>
      <w:t xml:space="preserve"> </w:t>
    </w:r>
    <w:r>
      <w:rPr>
        <w:rFonts w:hint="eastAsia"/>
      </w:rPr>
      <w:t xml:space="preserve">  </w:t>
    </w:r>
    <w:r>
      <w:rPr>
        <w:rFonts w:hint="eastAsia"/>
        <w:sz w:val="21"/>
        <w:szCs w:val="21"/>
      </w:rPr>
      <w:t xml:space="preserve"> </w:t>
    </w:r>
    <w:r>
      <w:rPr>
        <w:rFonts w:hint="eastAsia"/>
        <w:color w:val="800000"/>
        <w:sz w:val="16"/>
        <w:szCs w:val="20"/>
        <w:lang w:val="en-US" w:eastAsia="zh-CN"/>
      </w:rPr>
      <w:t xml:space="preserve">      </w:t>
    </w:r>
  </w:p>
  <w:p>
    <w:pPr>
      <w:pStyle w:val="17"/>
      <w:tabs>
        <w:tab w:val="center" w:pos="4320"/>
        <w:tab w:val="right" w:pos="8640"/>
        <w:tab w:val="clear" w:pos="4153"/>
        <w:tab w:val="clear" w:pos="8306"/>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top w:val="single" w:color="auto" w:sz="4" w:space="1"/>
      </w:pBdr>
      <w:tabs>
        <w:tab w:val="clear" w:pos="4153"/>
        <w:tab w:val="clear" w:pos="8306"/>
      </w:tabs>
      <w:rPr>
        <w:rFonts w:hint="default" w:eastAsia="宋体"/>
        <w:color w:val="FF0000"/>
        <w:szCs w:val="21"/>
        <w:lang w:val="en-US" w:eastAsia="zh-CN"/>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69</w:t>
                          </w:r>
                          <w:r>
                            <w:rPr>
                              <w:rFonts w:hint="eastAsia"/>
                              <w:lang w:eastAsia="zh-CN"/>
                            </w:rPr>
                            <w:fldChar w:fldCharType="end"/>
                          </w:r>
                          <w:r>
                            <w:rPr>
                              <w:rFonts w:hint="eastAsia"/>
                              <w:lang w:eastAsia="zh-CN"/>
                            </w:rPr>
                            <w:t xml:space="preserve"> 页</w:t>
                          </w:r>
                        </w:p>
                      </w:txbxContent>
                    </wps:txbx>
                    <wps:bodyPr vert="horz" wrap="none" lIns="0" tIns="0" rIns="0" bIns="0" anchor="t" anchorCtr="0" upright="0">
                      <a:spAutoFit/>
                    </wps:bodyPr>
                  </wps:wsp>
                </a:graphicData>
              </a:graphic>
            </wp:anchor>
          </w:drawing>
        </mc:Choice>
        <mc:Fallback>
          <w:pict>
            <v:shape id="文本框 5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H0v+ft8BAADAAwAADgAAAAAA&#10;AAABACAAAAAeAQAAZHJzL2Uyb0RvYy54bWxQSwUGAAAAAAYABgBZAQAAbwUAAAAA&#10;">
              <v:fill on="f" focussize="0,0"/>
              <v:stroke on="f"/>
              <v:imagedata o:title=""/>
              <o:lock v:ext="edit" aspectratio="f"/>
              <v:textbox inset="0mm,0mm,0mm,0mm" style="mso-fit-shape-to-text:t;">
                <w:txbxContent>
                  <w:p>
                    <w:pPr>
                      <w:pStyle w:val="1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69</w:t>
                    </w:r>
                    <w:r>
                      <w:rPr>
                        <w:rFonts w:hint="eastAsia"/>
                        <w:lang w:eastAsia="zh-CN"/>
                      </w:rPr>
                      <w:fldChar w:fldCharType="end"/>
                    </w:r>
                    <w:r>
                      <w:rPr>
                        <w:rFonts w:hint="eastAsia"/>
                        <w:lang w:eastAsia="zh-CN"/>
                      </w:rPr>
                      <w:t xml:space="preserve"> 页</w:t>
                    </w:r>
                  </w:p>
                </w:txbxContent>
              </v:textbox>
            </v:shape>
          </w:pict>
        </mc:Fallback>
      </mc:AlternateContent>
    </w:r>
    <w:r>
      <w:rPr>
        <w:color w:val="800000"/>
        <w:sz w:val="21"/>
      </w:rPr>
      <mc:AlternateContent>
        <mc:Choice Requires="wps">
          <w:drawing>
            <wp:anchor distT="0" distB="0" distL="114300" distR="114300" simplePos="0" relativeHeight="251659264"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8" name="文本框 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pPr>
                            <w:snapToGrid w:val="0"/>
                            <w:rPr>
                              <w:rFonts w:hint="eastAsia"/>
                              <w:sz w:val="18"/>
                            </w:rPr>
                          </w:pPr>
                        </w:p>
                      </w:txbxContent>
                    </wps:txbx>
                    <wps:bodyPr wrap="square" lIns="0" tIns="0" rIns="0" bIns="0" upright="1"/>
                  </wps:wsp>
                </a:graphicData>
              </a:graphic>
            </wp:anchor>
          </w:drawing>
        </mc:Choice>
        <mc:Fallback>
          <w:pict>
            <v:shape id="文本框 1" o:spid="_x0000_s1026" o:spt="202" type="#_x0000_t202" style="position:absolute;left:0pt;flip:x;margin-left:452.6pt;margin-top:0.1pt;height:10.35pt;width:34.7pt;mso-position-horizontal-relative:margin;z-index:251659264;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J32k1QAAAAcBAAAPAAAAAAAAAAEAIAAAACIAAABkcnMv&#10;ZG93bnJldi54bWxQSwECFAAUAAAACACHTuJAmvBKA80BAACXAwAADgAAAAAAAAABACAAAAAkAQAA&#10;ZHJzL2Uyb0RvYy54bWxQSwUGAAAAAAYABgBZAQAAYwUAAAAA&#10;">
              <v:fill on="f" focussize="0,0"/>
              <v:stroke on="f"/>
              <v:imagedata o:title=""/>
              <o:lock v:ext="edit" aspectratio="f"/>
              <v:textbox inset="0mm,0mm,0mm,0mm">
                <w:txbxContent>
                  <w:p>
                    <w:pPr>
                      <w:snapToGrid w:val="0"/>
                      <w:rPr>
                        <w:rFonts w:hint="eastAsia"/>
                        <w:sz w:val="18"/>
                      </w:rPr>
                    </w:pPr>
                  </w:p>
                </w:txbxContent>
              </v:textbox>
            </v:shape>
          </w:pict>
        </mc:Fallback>
      </mc:AlternateContent>
    </w:r>
    <w:r>
      <w:rPr>
        <w:rFonts w:hint="eastAsia"/>
        <w:color w:val="800000"/>
        <w:szCs w:val="21"/>
      </w:rPr>
      <w:t xml:space="preserve"> </w:t>
    </w:r>
    <w:r>
      <w:rPr>
        <w:sz w:val="8"/>
        <w:szCs w:val="13"/>
      </w:rPr>
      <mc:AlternateContent>
        <mc:Choice Requires="wps">
          <w:drawing>
            <wp:anchor distT="0" distB="0" distL="114300" distR="114300" simplePos="0" relativeHeight="251661312" behindDoc="0" locked="0" layoutInCell="1" allowOverlap="1">
              <wp:simplePos x="0" y="0"/>
              <wp:positionH relativeFrom="margin">
                <wp:posOffset>5162550</wp:posOffset>
              </wp:positionH>
              <wp:positionV relativeFrom="paragraph">
                <wp:posOffset>0</wp:posOffset>
              </wp:positionV>
              <wp:extent cx="1828800" cy="1828800"/>
              <wp:effectExtent l="0" t="0" r="0" b="0"/>
              <wp:wrapNone/>
              <wp:docPr id="14"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p>
                      </w:txbxContent>
                    </wps:txbx>
                    <wps:bodyPr wrap="none" lIns="0" tIns="0" rIns="0" bIns="0" upright="0">
                      <a:spAutoFit/>
                    </wps:bodyPr>
                  </wps:wsp>
                </a:graphicData>
              </a:graphic>
            </wp:anchor>
          </w:drawing>
        </mc:Choice>
        <mc:Fallback>
          <w:pict>
            <v:shape id="文本框 61" o:spid="_x0000_s1026" o:spt="202" type="#_x0000_t202" style="position:absolute;left:0pt;margin-left:406.5pt;margin-top:0pt;height:144pt;width:144pt;mso-position-horizontal-relative:margin;mso-wrap-style:none;z-index:251661312;mso-width-relative:page;mso-height-relative:page;" filled="f" stroked="f" coordsize="21600,21600" o:gfxdata="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8ikTRtQAAAAJAQAADwAAAAAAAAABACAAAAAiAAAAZHJzL2Rvd25y&#10;ZXYueG1sUEsBAhQAFAAAAAgAh07iQOCF1VrJAQAAmwMAAA4AAAAAAAAAAQAgAAAAIwEAAGRycy9l&#10;Mm9Eb2MueG1sUEsFBgAAAAAGAAYAWQEAAF4FAAAAAA==&#10;">
              <v:fill on="f" focussize="0,0"/>
              <v:stroke on="f"/>
              <v:imagedata o:title=""/>
              <o:lock v:ext="edit" aspectratio="f"/>
              <v:textbox inset="0mm,0mm,0mm,0mm" style="mso-fit-shape-to-text:t;">
                <w:txbxContent>
                  <w:p>
                    <w:pPr>
                      <w:pStyle w:val="17"/>
                    </w:pPr>
                  </w:p>
                </w:txbxContent>
              </v:textbox>
            </v:shape>
          </w:pict>
        </mc:Fallback>
      </mc:AlternateContent>
    </w:r>
    <w:r>
      <w:rPr>
        <w:rFonts w:hint="eastAsia" w:ascii="仿宋" w:hAnsi="仿宋" w:eastAsia="仿宋" w:cs="仿宋"/>
        <w:color w:val="333333"/>
        <w:sz w:val="20"/>
        <w:szCs w:val="20"/>
        <w:lang w:val="en-US" w:eastAsia="zh-CN"/>
      </w:rPr>
      <w:t>阿图什市友谊北路123-1号二楼</w:t>
    </w:r>
    <w:r>
      <w:rPr>
        <w:rFonts w:hint="eastAsia"/>
        <w:color w:val="800000"/>
        <w:sz w:val="16"/>
        <w:szCs w:val="20"/>
        <w:lang w:val="en-US" w:eastAsia="zh-CN"/>
      </w:rPr>
      <w:t xml:space="preserve"> </w:t>
    </w:r>
  </w:p>
  <w:p>
    <w:pPr>
      <w:pStyle w:val="17"/>
      <w:ind w:right="360"/>
      <w:jc w:val="both"/>
      <w:rPr>
        <w:rFonts w:hint="eastAsia"/>
      </w:rPr>
    </w:pPr>
    <w:r>
      <w:rPr>
        <w:rFonts w:hint="eastAsia"/>
        <w:color w:val="800000"/>
        <w:sz w:val="16"/>
        <w:szCs w:val="20"/>
        <w:lang w:val="en-US" w:eastAsia="zh-CN"/>
      </w:rPr>
      <w:t xml:space="preserve">        </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7"/>
      <w:ind w:right="360"/>
      <w:jc w:val="right"/>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hint="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0"/>
      </w:pBdr>
      <w:jc w:val="both"/>
      <w:rPr>
        <w:rFonts w:hint="eastAsia" w:ascii="Times New Roman" w:hAnsi="Times New Roman" w:eastAsia="宋体" w:cs="Times New Roman"/>
        <w:sz w:val="22"/>
        <w:szCs w:val="28"/>
        <w:lang w:val="en-US" w:eastAsia="zh-CN"/>
      </w:rPr>
    </w:pPr>
    <w:r>
      <w:rPr>
        <w:rFonts w:hint="eastAsia"/>
        <w:color w:val="D99594"/>
        <w:sz w:val="22"/>
        <w:szCs w:val="22"/>
        <w:lang w:val="en-US" w:eastAsia="zh-CN"/>
      </w:rPr>
      <w:t>新疆惠文建设工程项目管理咨询有限公司</w:t>
    </w:r>
    <w:r>
      <w:rPr>
        <w:rFonts w:hint="eastAsia" w:ascii="Times New Roman" w:hAnsi="Times New Roman" w:eastAsia="宋体" w:cs="Times New Roman"/>
        <w:sz w:val="22"/>
        <w:szCs w:val="28"/>
        <w:lang w:val="en-US" w:eastAsia="zh-CN"/>
      </w:rPr>
      <w:t xml:space="preserve">                                             </w:t>
    </w:r>
  </w:p>
  <w:p>
    <w:pPr>
      <w:pStyle w:val="18"/>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6C482C"/>
    <w:multiLevelType w:val="singleLevel"/>
    <w:tmpl w:val="B36C482C"/>
    <w:lvl w:ilvl="0" w:tentative="0">
      <w:start w:val="2"/>
      <w:numFmt w:val="chineseCounting"/>
      <w:suff w:val="space"/>
      <w:lvlText w:val="第%1章"/>
      <w:lvlJc w:val="left"/>
      <w:pPr>
        <w:ind w:left="-1816"/>
      </w:pPr>
      <w:rPr>
        <w:rFonts w:hint="eastAsia"/>
      </w:rPr>
    </w:lvl>
  </w:abstractNum>
  <w:abstractNum w:abstractNumId="1">
    <w:nsid w:val="B8A8889F"/>
    <w:multiLevelType w:val="singleLevel"/>
    <w:tmpl w:val="B8A8889F"/>
    <w:lvl w:ilvl="0" w:tentative="0">
      <w:start w:val="2"/>
      <w:numFmt w:val="chineseCounting"/>
      <w:suff w:val="space"/>
      <w:lvlText w:val="（%1）"/>
      <w:lvlJc w:val="left"/>
      <w:rPr>
        <w:rFonts w:hint="eastAsia"/>
      </w:rPr>
    </w:lvl>
  </w:abstractNum>
  <w:abstractNum w:abstractNumId="2">
    <w:nsid w:val="C2AB001C"/>
    <w:multiLevelType w:val="singleLevel"/>
    <w:tmpl w:val="C2AB001C"/>
    <w:lvl w:ilvl="0" w:tentative="0">
      <w:start w:val="3"/>
      <w:numFmt w:val="chineseCounting"/>
      <w:suff w:val="nothing"/>
      <w:lvlText w:val="（%1）"/>
      <w:lvlJc w:val="left"/>
      <w:rPr>
        <w:rFonts w:hint="eastAsia"/>
      </w:rPr>
    </w:lvl>
  </w:abstractNum>
  <w:abstractNum w:abstractNumId="3">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4">
    <w:nsid w:val="11A64EEE"/>
    <w:multiLevelType w:val="singleLevel"/>
    <w:tmpl w:val="11A64EEE"/>
    <w:lvl w:ilvl="0" w:tentative="0">
      <w:start w:val="1"/>
      <w:numFmt w:val="chineseCounting"/>
      <w:suff w:val="nothing"/>
      <w:lvlText w:val="%1、"/>
      <w:lvlJc w:val="left"/>
      <w:pPr>
        <w:ind w:left="0"/>
      </w:pPr>
      <w:rPr>
        <w:rFonts w:hint="eastAsia"/>
      </w:rPr>
    </w:lvl>
  </w:abstractNum>
  <w:abstractNum w:abstractNumId="5">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4"/>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6">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7">
    <w:nsid w:val="55CD4C99"/>
    <w:multiLevelType w:val="singleLevel"/>
    <w:tmpl w:val="55CD4C99"/>
    <w:lvl w:ilvl="0" w:tentative="0">
      <w:start w:val="1"/>
      <w:numFmt w:val="chineseCounting"/>
      <w:suff w:val="nothing"/>
      <w:lvlText w:val="%1、"/>
      <w:lvlJc w:val="left"/>
    </w:lvl>
  </w:abstractNum>
  <w:abstractNum w:abstractNumId="8">
    <w:nsid w:val="6EC8727B"/>
    <w:multiLevelType w:val="singleLevel"/>
    <w:tmpl w:val="6EC8727B"/>
    <w:lvl w:ilvl="0" w:tentative="0">
      <w:start w:val="1"/>
      <w:numFmt w:val="decimal"/>
      <w:suff w:val="nothing"/>
      <w:lvlText w:val="%1、"/>
      <w:lvlJc w:val="left"/>
    </w:lvl>
  </w:abstractNum>
  <w:abstractNum w:abstractNumId="9">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5"/>
  </w:num>
  <w:num w:numId="2">
    <w:abstractNumId w:val="6"/>
  </w:num>
  <w:num w:numId="3">
    <w:abstractNumId w:val="0"/>
  </w:num>
  <w:num w:numId="4">
    <w:abstractNumId w:val="4"/>
  </w:num>
  <w:num w:numId="5">
    <w:abstractNumId w:val="8"/>
  </w:num>
  <w:num w:numId="6">
    <w:abstractNumId w:val="7"/>
  </w:num>
  <w:num w:numId="7">
    <w:abstractNumId w:val="3"/>
  </w:num>
  <w:num w:numId="8">
    <w:abstractNumId w:val="9"/>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6"/>
  <w:drawingGridVerticalSpacing w:val="157"/>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4YjM4OTNmZGZhMmQwYjMzYWZmNjBkYTIxZjc1YTUifQ=="/>
  </w:docVars>
  <w:rsids>
    <w:rsidRoot w:val="00AE79E0"/>
    <w:rsid w:val="000008FD"/>
    <w:rsid w:val="00003231"/>
    <w:rsid w:val="00003B78"/>
    <w:rsid w:val="00003F23"/>
    <w:rsid w:val="00005025"/>
    <w:rsid w:val="0000620B"/>
    <w:rsid w:val="0000681E"/>
    <w:rsid w:val="0000682D"/>
    <w:rsid w:val="00011FD2"/>
    <w:rsid w:val="000126C8"/>
    <w:rsid w:val="00012CFA"/>
    <w:rsid w:val="00013187"/>
    <w:rsid w:val="000137F2"/>
    <w:rsid w:val="00014B17"/>
    <w:rsid w:val="000165AB"/>
    <w:rsid w:val="000201C1"/>
    <w:rsid w:val="00021187"/>
    <w:rsid w:val="00021198"/>
    <w:rsid w:val="00021864"/>
    <w:rsid w:val="00023055"/>
    <w:rsid w:val="00023185"/>
    <w:rsid w:val="000242CE"/>
    <w:rsid w:val="00024AD6"/>
    <w:rsid w:val="00026A08"/>
    <w:rsid w:val="000279EA"/>
    <w:rsid w:val="000305D5"/>
    <w:rsid w:val="000319B0"/>
    <w:rsid w:val="00034387"/>
    <w:rsid w:val="00034B72"/>
    <w:rsid w:val="00034BA3"/>
    <w:rsid w:val="00034CDA"/>
    <w:rsid w:val="00034F63"/>
    <w:rsid w:val="0003627F"/>
    <w:rsid w:val="0003679A"/>
    <w:rsid w:val="00040E67"/>
    <w:rsid w:val="00041F06"/>
    <w:rsid w:val="000423B1"/>
    <w:rsid w:val="0004299A"/>
    <w:rsid w:val="000429F1"/>
    <w:rsid w:val="000437CC"/>
    <w:rsid w:val="00043E1C"/>
    <w:rsid w:val="00046FC5"/>
    <w:rsid w:val="00047373"/>
    <w:rsid w:val="000476D9"/>
    <w:rsid w:val="0005173F"/>
    <w:rsid w:val="00051864"/>
    <w:rsid w:val="00051ECE"/>
    <w:rsid w:val="000520FE"/>
    <w:rsid w:val="00053450"/>
    <w:rsid w:val="000538D1"/>
    <w:rsid w:val="00054A43"/>
    <w:rsid w:val="00055123"/>
    <w:rsid w:val="00055AB6"/>
    <w:rsid w:val="00055F34"/>
    <w:rsid w:val="00056350"/>
    <w:rsid w:val="00056A13"/>
    <w:rsid w:val="000576A3"/>
    <w:rsid w:val="00063B93"/>
    <w:rsid w:val="00064417"/>
    <w:rsid w:val="000649EF"/>
    <w:rsid w:val="00065388"/>
    <w:rsid w:val="00065665"/>
    <w:rsid w:val="00067D7A"/>
    <w:rsid w:val="00070288"/>
    <w:rsid w:val="00070340"/>
    <w:rsid w:val="000708C5"/>
    <w:rsid w:val="000712BD"/>
    <w:rsid w:val="000719DB"/>
    <w:rsid w:val="00072AC0"/>
    <w:rsid w:val="000738C2"/>
    <w:rsid w:val="000742BD"/>
    <w:rsid w:val="0007479D"/>
    <w:rsid w:val="00075123"/>
    <w:rsid w:val="00075390"/>
    <w:rsid w:val="0007565B"/>
    <w:rsid w:val="00075BB9"/>
    <w:rsid w:val="00076436"/>
    <w:rsid w:val="00076558"/>
    <w:rsid w:val="00077C43"/>
    <w:rsid w:val="00077D8B"/>
    <w:rsid w:val="0008094E"/>
    <w:rsid w:val="00080A6F"/>
    <w:rsid w:val="000816F2"/>
    <w:rsid w:val="00082869"/>
    <w:rsid w:val="00083463"/>
    <w:rsid w:val="00083CDC"/>
    <w:rsid w:val="00084CC1"/>
    <w:rsid w:val="000852D7"/>
    <w:rsid w:val="00085489"/>
    <w:rsid w:val="000863D1"/>
    <w:rsid w:val="00086A7A"/>
    <w:rsid w:val="00086B28"/>
    <w:rsid w:val="000874E4"/>
    <w:rsid w:val="0008796E"/>
    <w:rsid w:val="00087E9D"/>
    <w:rsid w:val="000901E9"/>
    <w:rsid w:val="00090BD9"/>
    <w:rsid w:val="00090F00"/>
    <w:rsid w:val="00091C9B"/>
    <w:rsid w:val="00091DC7"/>
    <w:rsid w:val="000926F6"/>
    <w:rsid w:val="000942A8"/>
    <w:rsid w:val="00094641"/>
    <w:rsid w:val="00094AC9"/>
    <w:rsid w:val="00095245"/>
    <w:rsid w:val="000955A6"/>
    <w:rsid w:val="00095B6E"/>
    <w:rsid w:val="0009686F"/>
    <w:rsid w:val="000A1761"/>
    <w:rsid w:val="000A184E"/>
    <w:rsid w:val="000A1B3C"/>
    <w:rsid w:val="000A2970"/>
    <w:rsid w:val="000A35E1"/>
    <w:rsid w:val="000A3813"/>
    <w:rsid w:val="000A4619"/>
    <w:rsid w:val="000A48D7"/>
    <w:rsid w:val="000A5705"/>
    <w:rsid w:val="000A6219"/>
    <w:rsid w:val="000A6DD1"/>
    <w:rsid w:val="000A7BFA"/>
    <w:rsid w:val="000A7E34"/>
    <w:rsid w:val="000B0CDF"/>
    <w:rsid w:val="000B19BA"/>
    <w:rsid w:val="000B21F3"/>
    <w:rsid w:val="000B5B49"/>
    <w:rsid w:val="000B5CD6"/>
    <w:rsid w:val="000B5D8E"/>
    <w:rsid w:val="000B71A8"/>
    <w:rsid w:val="000B7353"/>
    <w:rsid w:val="000B7627"/>
    <w:rsid w:val="000B7FDE"/>
    <w:rsid w:val="000C062A"/>
    <w:rsid w:val="000C0D0A"/>
    <w:rsid w:val="000C0D63"/>
    <w:rsid w:val="000C1047"/>
    <w:rsid w:val="000C2C5E"/>
    <w:rsid w:val="000C4AF2"/>
    <w:rsid w:val="000C58C5"/>
    <w:rsid w:val="000C627A"/>
    <w:rsid w:val="000C6774"/>
    <w:rsid w:val="000C68DD"/>
    <w:rsid w:val="000C742F"/>
    <w:rsid w:val="000C7D1B"/>
    <w:rsid w:val="000D07C7"/>
    <w:rsid w:val="000D16D6"/>
    <w:rsid w:val="000D1955"/>
    <w:rsid w:val="000D1963"/>
    <w:rsid w:val="000D260B"/>
    <w:rsid w:val="000D296C"/>
    <w:rsid w:val="000D2BE7"/>
    <w:rsid w:val="000D3BE4"/>
    <w:rsid w:val="000D3FDF"/>
    <w:rsid w:val="000D3FE5"/>
    <w:rsid w:val="000D5BFA"/>
    <w:rsid w:val="000D77C3"/>
    <w:rsid w:val="000E0018"/>
    <w:rsid w:val="000E169F"/>
    <w:rsid w:val="000E18AA"/>
    <w:rsid w:val="000E1F61"/>
    <w:rsid w:val="000E30EA"/>
    <w:rsid w:val="000E3822"/>
    <w:rsid w:val="000E416E"/>
    <w:rsid w:val="000E4C55"/>
    <w:rsid w:val="000E57CE"/>
    <w:rsid w:val="000E5BD2"/>
    <w:rsid w:val="000E6242"/>
    <w:rsid w:val="000E689E"/>
    <w:rsid w:val="000E6A46"/>
    <w:rsid w:val="000E6ED7"/>
    <w:rsid w:val="000F0113"/>
    <w:rsid w:val="000F1DED"/>
    <w:rsid w:val="000F2698"/>
    <w:rsid w:val="000F3E84"/>
    <w:rsid w:val="000F3FFF"/>
    <w:rsid w:val="000F4B95"/>
    <w:rsid w:val="000F6140"/>
    <w:rsid w:val="000F6A98"/>
    <w:rsid w:val="000F6AB9"/>
    <w:rsid w:val="000F6B00"/>
    <w:rsid w:val="000F6D6B"/>
    <w:rsid w:val="000F6DA7"/>
    <w:rsid w:val="000F7DEB"/>
    <w:rsid w:val="001008C8"/>
    <w:rsid w:val="00103AEE"/>
    <w:rsid w:val="00104E2B"/>
    <w:rsid w:val="00104E64"/>
    <w:rsid w:val="0010538C"/>
    <w:rsid w:val="001057AF"/>
    <w:rsid w:val="00110A45"/>
    <w:rsid w:val="00111249"/>
    <w:rsid w:val="001123E7"/>
    <w:rsid w:val="001135FE"/>
    <w:rsid w:val="00113871"/>
    <w:rsid w:val="0011439C"/>
    <w:rsid w:val="00114702"/>
    <w:rsid w:val="00116424"/>
    <w:rsid w:val="001167DB"/>
    <w:rsid w:val="00116D76"/>
    <w:rsid w:val="00117062"/>
    <w:rsid w:val="001170CE"/>
    <w:rsid w:val="001178E2"/>
    <w:rsid w:val="00117DEA"/>
    <w:rsid w:val="00117FAC"/>
    <w:rsid w:val="0012043E"/>
    <w:rsid w:val="001209D4"/>
    <w:rsid w:val="001209D7"/>
    <w:rsid w:val="00120A18"/>
    <w:rsid w:val="00120C83"/>
    <w:rsid w:val="00121289"/>
    <w:rsid w:val="001233FB"/>
    <w:rsid w:val="0012425E"/>
    <w:rsid w:val="0012511F"/>
    <w:rsid w:val="00125392"/>
    <w:rsid w:val="001255D4"/>
    <w:rsid w:val="001263BA"/>
    <w:rsid w:val="00126A4E"/>
    <w:rsid w:val="00126AD8"/>
    <w:rsid w:val="00126DF1"/>
    <w:rsid w:val="001276ED"/>
    <w:rsid w:val="00127742"/>
    <w:rsid w:val="00130067"/>
    <w:rsid w:val="00130C17"/>
    <w:rsid w:val="0013112F"/>
    <w:rsid w:val="0013118B"/>
    <w:rsid w:val="001311ED"/>
    <w:rsid w:val="0013431D"/>
    <w:rsid w:val="00134648"/>
    <w:rsid w:val="001348DF"/>
    <w:rsid w:val="00134FD5"/>
    <w:rsid w:val="0013509E"/>
    <w:rsid w:val="00135535"/>
    <w:rsid w:val="00135AED"/>
    <w:rsid w:val="00135BC4"/>
    <w:rsid w:val="00135F38"/>
    <w:rsid w:val="001369C3"/>
    <w:rsid w:val="00137B6B"/>
    <w:rsid w:val="00137D64"/>
    <w:rsid w:val="00137E4C"/>
    <w:rsid w:val="00141038"/>
    <w:rsid w:val="0014151F"/>
    <w:rsid w:val="00141941"/>
    <w:rsid w:val="00142184"/>
    <w:rsid w:val="0014311D"/>
    <w:rsid w:val="00144467"/>
    <w:rsid w:val="001449E6"/>
    <w:rsid w:val="0014579A"/>
    <w:rsid w:val="00145A0C"/>
    <w:rsid w:val="00145E17"/>
    <w:rsid w:val="00147477"/>
    <w:rsid w:val="0015038C"/>
    <w:rsid w:val="001508B1"/>
    <w:rsid w:val="00152331"/>
    <w:rsid w:val="00152403"/>
    <w:rsid w:val="00152CE0"/>
    <w:rsid w:val="00155001"/>
    <w:rsid w:val="001553F5"/>
    <w:rsid w:val="001554EC"/>
    <w:rsid w:val="00155CDB"/>
    <w:rsid w:val="00156646"/>
    <w:rsid w:val="001568CF"/>
    <w:rsid w:val="00157E12"/>
    <w:rsid w:val="00160800"/>
    <w:rsid w:val="00160863"/>
    <w:rsid w:val="0016087F"/>
    <w:rsid w:val="00160A88"/>
    <w:rsid w:val="001613E7"/>
    <w:rsid w:val="0016174A"/>
    <w:rsid w:val="001620F9"/>
    <w:rsid w:val="00165DAF"/>
    <w:rsid w:val="00167DD2"/>
    <w:rsid w:val="0017046D"/>
    <w:rsid w:val="0017080E"/>
    <w:rsid w:val="00171430"/>
    <w:rsid w:val="001714A4"/>
    <w:rsid w:val="00171FC2"/>
    <w:rsid w:val="001729B3"/>
    <w:rsid w:val="00172D11"/>
    <w:rsid w:val="00172FE9"/>
    <w:rsid w:val="001736ED"/>
    <w:rsid w:val="00173D1D"/>
    <w:rsid w:val="00174925"/>
    <w:rsid w:val="00174E84"/>
    <w:rsid w:val="00175BB3"/>
    <w:rsid w:val="00176570"/>
    <w:rsid w:val="00176A44"/>
    <w:rsid w:val="00176CDE"/>
    <w:rsid w:val="00177851"/>
    <w:rsid w:val="00180275"/>
    <w:rsid w:val="0018175A"/>
    <w:rsid w:val="00182153"/>
    <w:rsid w:val="00183525"/>
    <w:rsid w:val="00183724"/>
    <w:rsid w:val="00184539"/>
    <w:rsid w:val="00184EF2"/>
    <w:rsid w:val="0018523C"/>
    <w:rsid w:val="00186A8D"/>
    <w:rsid w:val="0019046D"/>
    <w:rsid w:val="00191194"/>
    <w:rsid w:val="00192441"/>
    <w:rsid w:val="001924AF"/>
    <w:rsid w:val="00192969"/>
    <w:rsid w:val="00192AB0"/>
    <w:rsid w:val="00193398"/>
    <w:rsid w:val="001935E2"/>
    <w:rsid w:val="00193A65"/>
    <w:rsid w:val="00194057"/>
    <w:rsid w:val="0019444D"/>
    <w:rsid w:val="001966AA"/>
    <w:rsid w:val="00196974"/>
    <w:rsid w:val="00196D5E"/>
    <w:rsid w:val="00196F4B"/>
    <w:rsid w:val="001972EB"/>
    <w:rsid w:val="001A0B29"/>
    <w:rsid w:val="001A12FE"/>
    <w:rsid w:val="001A406A"/>
    <w:rsid w:val="001A62A1"/>
    <w:rsid w:val="001A74C3"/>
    <w:rsid w:val="001B0B9D"/>
    <w:rsid w:val="001B1C75"/>
    <w:rsid w:val="001B2BBF"/>
    <w:rsid w:val="001B522A"/>
    <w:rsid w:val="001B560A"/>
    <w:rsid w:val="001B5738"/>
    <w:rsid w:val="001B6E93"/>
    <w:rsid w:val="001B70B5"/>
    <w:rsid w:val="001B7B84"/>
    <w:rsid w:val="001B7F39"/>
    <w:rsid w:val="001C05AB"/>
    <w:rsid w:val="001C1F35"/>
    <w:rsid w:val="001C2A8A"/>
    <w:rsid w:val="001C3B70"/>
    <w:rsid w:val="001C5539"/>
    <w:rsid w:val="001C59BE"/>
    <w:rsid w:val="001C5DC4"/>
    <w:rsid w:val="001C5E26"/>
    <w:rsid w:val="001C6220"/>
    <w:rsid w:val="001C6B18"/>
    <w:rsid w:val="001D0A93"/>
    <w:rsid w:val="001D2F5F"/>
    <w:rsid w:val="001D446C"/>
    <w:rsid w:val="001D5688"/>
    <w:rsid w:val="001D58FF"/>
    <w:rsid w:val="001D629D"/>
    <w:rsid w:val="001D63FD"/>
    <w:rsid w:val="001D6F3F"/>
    <w:rsid w:val="001D6F45"/>
    <w:rsid w:val="001D7E45"/>
    <w:rsid w:val="001E04F1"/>
    <w:rsid w:val="001E20D3"/>
    <w:rsid w:val="001E2E22"/>
    <w:rsid w:val="001E2FC4"/>
    <w:rsid w:val="001E36B7"/>
    <w:rsid w:val="001E47CD"/>
    <w:rsid w:val="001E5159"/>
    <w:rsid w:val="001E5832"/>
    <w:rsid w:val="001E591A"/>
    <w:rsid w:val="001E68D0"/>
    <w:rsid w:val="001F07C5"/>
    <w:rsid w:val="001F1324"/>
    <w:rsid w:val="001F134E"/>
    <w:rsid w:val="001F14AE"/>
    <w:rsid w:val="001F1946"/>
    <w:rsid w:val="001F26BA"/>
    <w:rsid w:val="001F3378"/>
    <w:rsid w:val="001F4661"/>
    <w:rsid w:val="001F4719"/>
    <w:rsid w:val="001F66D5"/>
    <w:rsid w:val="001F6A1F"/>
    <w:rsid w:val="001F7137"/>
    <w:rsid w:val="001F770C"/>
    <w:rsid w:val="00200094"/>
    <w:rsid w:val="00200808"/>
    <w:rsid w:val="00200C69"/>
    <w:rsid w:val="00201148"/>
    <w:rsid w:val="00202825"/>
    <w:rsid w:val="00202D5B"/>
    <w:rsid w:val="00202F2A"/>
    <w:rsid w:val="002036F3"/>
    <w:rsid w:val="00203F5C"/>
    <w:rsid w:val="00204191"/>
    <w:rsid w:val="0020421A"/>
    <w:rsid w:val="002047D3"/>
    <w:rsid w:val="0020497C"/>
    <w:rsid w:val="00205798"/>
    <w:rsid w:val="00205A83"/>
    <w:rsid w:val="00205DEE"/>
    <w:rsid w:val="00207016"/>
    <w:rsid w:val="0021092F"/>
    <w:rsid w:val="00210BCE"/>
    <w:rsid w:val="002111F8"/>
    <w:rsid w:val="002112B7"/>
    <w:rsid w:val="0021169E"/>
    <w:rsid w:val="00211789"/>
    <w:rsid w:val="00211B64"/>
    <w:rsid w:val="00211C86"/>
    <w:rsid w:val="00211FEE"/>
    <w:rsid w:val="002122F0"/>
    <w:rsid w:val="00212CA5"/>
    <w:rsid w:val="00212EB3"/>
    <w:rsid w:val="00213256"/>
    <w:rsid w:val="0021421B"/>
    <w:rsid w:val="0021435E"/>
    <w:rsid w:val="00217577"/>
    <w:rsid w:val="00217846"/>
    <w:rsid w:val="002203C0"/>
    <w:rsid w:val="002209E8"/>
    <w:rsid w:val="002215D0"/>
    <w:rsid w:val="0022309F"/>
    <w:rsid w:val="00224266"/>
    <w:rsid w:val="002248D5"/>
    <w:rsid w:val="00224BDB"/>
    <w:rsid w:val="00225A4D"/>
    <w:rsid w:val="00225E3E"/>
    <w:rsid w:val="00225E4A"/>
    <w:rsid w:val="00227FEE"/>
    <w:rsid w:val="00230CC1"/>
    <w:rsid w:val="00230D14"/>
    <w:rsid w:val="002314E9"/>
    <w:rsid w:val="00231CB1"/>
    <w:rsid w:val="00232C8A"/>
    <w:rsid w:val="0023334B"/>
    <w:rsid w:val="00234A89"/>
    <w:rsid w:val="00234E10"/>
    <w:rsid w:val="00235478"/>
    <w:rsid w:val="002358C7"/>
    <w:rsid w:val="002362AF"/>
    <w:rsid w:val="002362CC"/>
    <w:rsid w:val="00237506"/>
    <w:rsid w:val="002378D0"/>
    <w:rsid w:val="00237B57"/>
    <w:rsid w:val="00243A1C"/>
    <w:rsid w:val="00243B5E"/>
    <w:rsid w:val="00243C20"/>
    <w:rsid w:val="00243D7D"/>
    <w:rsid w:val="00243ECE"/>
    <w:rsid w:val="00245ACA"/>
    <w:rsid w:val="00246F54"/>
    <w:rsid w:val="0025249A"/>
    <w:rsid w:val="0025326E"/>
    <w:rsid w:val="002541D3"/>
    <w:rsid w:val="00254D18"/>
    <w:rsid w:val="00255705"/>
    <w:rsid w:val="00255C2F"/>
    <w:rsid w:val="00255D4D"/>
    <w:rsid w:val="00257088"/>
    <w:rsid w:val="002574B1"/>
    <w:rsid w:val="0025775C"/>
    <w:rsid w:val="0025785F"/>
    <w:rsid w:val="0026096A"/>
    <w:rsid w:val="00260B60"/>
    <w:rsid w:val="0026120E"/>
    <w:rsid w:val="00261315"/>
    <w:rsid w:val="0026223A"/>
    <w:rsid w:val="002632DC"/>
    <w:rsid w:val="00263F02"/>
    <w:rsid w:val="002648FB"/>
    <w:rsid w:val="00266892"/>
    <w:rsid w:val="00266CC0"/>
    <w:rsid w:val="002672ED"/>
    <w:rsid w:val="0027024E"/>
    <w:rsid w:val="00272390"/>
    <w:rsid w:val="0027543F"/>
    <w:rsid w:val="00275F7E"/>
    <w:rsid w:val="002760E4"/>
    <w:rsid w:val="002768B5"/>
    <w:rsid w:val="00277378"/>
    <w:rsid w:val="0028110D"/>
    <w:rsid w:val="00281371"/>
    <w:rsid w:val="002813D2"/>
    <w:rsid w:val="002819B4"/>
    <w:rsid w:val="0028291E"/>
    <w:rsid w:val="00282FBB"/>
    <w:rsid w:val="00283B88"/>
    <w:rsid w:val="00285CC4"/>
    <w:rsid w:val="00286851"/>
    <w:rsid w:val="00290235"/>
    <w:rsid w:val="00290EB7"/>
    <w:rsid w:val="00291B90"/>
    <w:rsid w:val="00291EBD"/>
    <w:rsid w:val="00293933"/>
    <w:rsid w:val="00295F38"/>
    <w:rsid w:val="00296FAA"/>
    <w:rsid w:val="002970FB"/>
    <w:rsid w:val="00297E16"/>
    <w:rsid w:val="002A07DB"/>
    <w:rsid w:val="002A1959"/>
    <w:rsid w:val="002A3638"/>
    <w:rsid w:val="002A484A"/>
    <w:rsid w:val="002A49E9"/>
    <w:rsid w:val="002A4C87"/>
    <w:rsid w:val="002A4E7F"/>
    <w:rsid w:val="002A51FE"/>
    <w:rsid w:val="002A79FB"/>
    <w:rsid w:val="002A7C46"/>
    <w:rsid w:val="002A7D6F"/>
    <w:rsid w:val="002B08C1"/>
    <w:rsid w:val="002B0A6F"/>
    <w:rsid w:val="002B12D0"/>
    <w:rsid w:val="002B17E9"/>
    <w:rsid w:val="002B1A43"/>
    <w:rsid w:val="002B1ABC"/>
    <w:rsid w:val="002B220A"/>
    <w:rsid w:val="002B28DF"/>
    <w:rsid w:val="002B3EF5"/>
    <w:rsid w:val="002B4721"/>
    <w:rsid w:val="002B635D"/>
    <w:rsid w:val="002B6423"/>
    <w:rsid w:val="002B6D27"/>
    <w:rsid w:val="002B6EAE"/>
    <w:rsid w:val="002B7C85"/>
    <w:rsid w:val="002C1472"/>
    <w:rsid w:val="002C1DFD"/>
    <w:rsid w:val="002C316D"/>
    <w:rsid w:val="002C324F"/>
    <w:rsid w:val="002C32A4"/>
    <w:rsid w:val="002C34A7"/>
    <w:rsid w:val="002C404C"/>
    <w:rsid w:val="002C44F8"/>
    <w:rsid w:val="002C48D8"/>
    <w:rsid w:val="002C50D1"/>
    <w:rsid w:val="002C53E5"/>
    <w:rsid w:val="002C5959"/>
    <w:rsid w:val="002C66EA"/>
    <w:rsid w:val="002C6EE6"/>
    <w:rsid w:val="002C76A3"/>
    <w:rsid w:val="002D16A5"/>
    <w:rsid w:val="002D1856"/>
    <w:rsid w:val="002D4063"/>
    <w:rsid w:val="002D6C02"/>
    <w:rsid w:val="002D6F6A"/>
    <w:rsid w:val="002D702A"/>
    <w:rsid w:val="002D73D4"/>
    <w:rsid w:val="002D73FE"/>
    <w:rsid w:val="002E00B8"/>
    <w:rsid w:val="002E023A"/>
    <w:rsid w:val="002E05E3"/>
    <w:rsid w:val="002E0CF1"/>
    <w:rsid w:val="002E131F"/>
    <w:rsid w:val="002E3A5F"/>
    <w:rsid w:val="002E3A69"/>
    <w:rsid w:val="002E3A88"/>
    <w:rsid w:val="002E3B8A"/>
    <w:rsid w:val="002E5DDC"/>
    <w:rsid w:val="002E6CBA"/>
    <w:rsid w:val="002E70C0"/>
    <w:rsid w:val="002E779E"/>
    <w:rsid w:val="002F0126"/>
    <w:rsid w:val="002F1C05"/>
    <w:rsid w:val="002F3E1E"/>
    <w:rsid w:val="002F5154"/>
    <w:rsid w:val="002F5668"/>
    <w:rsid w:val="002F6350"/>
    <w:rsid w:val="002F726F"/>
    <w:rsid w:val="002F7307"/>
    <w:rsid w:val="002F775E"/>
    <w:rsid w:val="003002FC"/>
    <w:rsid w:val="00301764"/>
    <w:rsid w:val="0030256A"/>
    <w:rsid w:val="003049E1"/>
    <w:rsid w:val="00304EE7"/>
    <w:rsid w:val="003064DC"/>
    <w:rsid w:val="0030763F"/>
    <w:rsid w:val="0030791A"/>
    <w:rsid w:val="00311D1C"/>
    <w:rsid w:val="00311FE2"/>
    <w:rsid w:val="00312912"/>
    <w:rsid w:val="00312B46"/>
    <w:rsid w:val="003135CA"/>
    <w:rsid w:val="00314E48"/>
    <w:rsid w:val="00315218"/>
    <w:rsid w:val="003169FF"/>
    <w:rsid w:val="0031704D"/>
    <w:rsid w:val="00317374"/>
    <w:rsid w:val="0031782B"/>
    <w:rsid w:val="00317903"/>
    <w:rsid w:val="00317929"/>
    <w:rsid w:val="00320797"/>
    <w:rsid w:val="00321351"/>
    <w:rsid w:val="003215D0"/>
    <w:rsid w:val="003219FF"/>
    <w:rsid w:val="00321B0F"/>
    <w:rsid w:val="00323327"/>
    <w:rsid w:val="003233D3"/>
    <w:rsid w:val="0032368B"/>
    <w:rsid w:val="00323B3C"/>
    <w:rsid w:val="00323B9B"/>
    <w:rsid w:val="00323EE0"/>
    <w:rsid w:val="003250B5"/>
    <w:rsid w:val="00325C3D"/>
    <w:rsid w:val="00327B00"/>
    <w:rsid w:val="00330EEC"/>
    <w:rsid w:val="00331614"/>
    <w:rsid w:val="003316A2"/>
    <w:rsid w:val="003316AA"/>
    <w:rsid w:val="00331951"/>
    <w:rsid w:val="00333612"/>
    <w:rsid w:val="00333F5A"/>
    <w:rsid w:val="00334464"/>
    <w:rsid w:val="00335143"/>
    <w:rsid w:val="0033520E"/>
    <w:rsid w:val="003355DB"/>
    <w:rsid w:val="003360C0"/>
    <w:rsid w:val="00337E3A"/>
    <w:rsid w:val="00341701"/>
    <w:rsid w:val="00341E1B"/>
    <w:rsid w:val="00342063"/>
    <w:rsid w:val="00343AFA"/>
    <w:rsid w:val="00345340"/>
    <w:rsid w:val="00345DC6"/>
    <w:rsid w:val="00347D7F"/>
    <w:rsid w:val="0035000C"/>
    <w:rsid w:val="0035054D"/>
    <w:rsid w:val="00350672"/>
    <w:rsid w:val="003520CF"/>
    <w:rsid w:val="00352130"/>
    <w:rsid w:val="00352629"/>
    <w:rsid w:val="00352961"/>
    <w:rsid w:val="00352F5E"/>
    <w:rsid w:val="003535C3"/>
    <w:rsid w:val="00355078"/>
    <w:rsid w:val="003554BE"/>
    <w:rsid w:val="00355BD8"/>
    <w:rsid w:val="0035755D"/>
    <w:rsid w:val="00357634"/>
    <w:rsid w:val="003607F7"/>
    <w:rsid w:val="0036156D"/>
    <w:rsid w:val="00361C08"/>
    <w:rsid w:val="00362C15"/>
    <w:rsid w:val="003635A5"/>
    <w:rsid w:val="003639F7"/>
    <w:rsid w:val="00363A88"/>
    <w:rsid w:val="00364D6D"/>
    <w:rsid w:val="003660EB"/>
    <w:rsid w:val="0036682B"/>
    <w:rsid w:val="00366A3F"/>
    <w:rsid w:val="00366D2F"/>
    <w:rsid w:val="00367050"/>
    <w:rsid w:val="0036779C"/>
    <w:rsid w:val="00370079"/>
    <w:rsid w:val="00370746"/>
    <w:rsid w:val="003714B5"/>
    <w:rsid w:val="003727AA"/>
    <w:rsid w:val="003730CA"/>
    <w:rsid w:val="003733A8"/>
    <w:rsid w:val="00373B52"/>
    <w:rsid w:val="00374236"/>
    <w:rsid w:val="00374A30"/>
    <w:rsid w:val="0037500F"/>
    <w:rsid w:val="00375EBC"/>
    <w:rsid w:val="00376B56"/>
    <w:rsid w:val="00377293"/>
    <w:rsid w:val="003773A5"/>
    <w:rsid w:val="003773CE"/>
    <w:rsid w:val="003773E1"/>
    <w:rsid w:val="0037755A"/>
    <w:rsid w:val="0037765D"/>
    <w:rsid w:val="0037791B"/>
    <w:rsid w:val="00380988"/>
    <w:rsid w:val="003810A2"/>
    <w:rsid w:val="00381168"/>
    <w:rsid w:val="003827D4"/>
    <w:rsid w:val="00382C45"/>
    <w:rsid w:val="00383BED"/>
    <w:rsid w:val="00385827"/>
    <w:rsid w:val="00385E4B"/>
    <w:rsid w:val="0038654B"/>
    <w:rsid w:val="00386A77"/>
    <w:rsid w:val="00386B6F"/>
    <w:rsid w:val="00387676"/>
    <w:rsid w:val="00387770"/>
    <w:rsid w:val="00390418"/>
    <w:rsid w:val="003906A3"/>
    <w:rsid w:val="00390901"/>
    <w:rsid w:val="00390A55"/>
    <w:rsid w:val="00390D6E"/>
    <w:rsid w:val="00391153"/>
    <w:rsid w:val="0039119C"/>
    <w:rsid w:val="00392149"/>
    <w:rsid w:val="00392690"/>
    <w:rsid w:val="00392DE4"/>
    <w:rsid w:val="0039363C"/>
    <w:rsid w:val="00393D4C"/>
    <w:rsid w:val="00394FFF"/>
    <w:rsid w:val="00396C19"/>
    <w:rsid w:val="003A1A8E"/>
    <w:rsid w:val="003A1C83"/>
    <w:rsid w:val="003A1CE5"/>
    <w:rsid w:val="003A1FAF"/>
    <w:rsid w:val="003A24EE"/>
    <w:rsid w:val="003A4F37"/>
    <w:rsid w:val="003A6060"/>
    <w:rsid w:val="003A797D"/>
    <w:rsid w:val="003A7E53"/>
    <w:rsid w:val="003B03F9"/>
    <w:rsid w:val="003B0499"/>
    <w:rsid w:val="003B14CC"/>
    <w:rsid w:val="003B16BA"/>
    <w:rsid w:val="003B25CE"/>
    <w:rsid w:val="003B436D"/>
    <w:rsid w:val="003B4CAB"/>
    <w:rsid w:val="003B6267"/>
    <w:rsid w:val="003B76FC"/>
    <w:rsid w:val="003C01E5"/>
    <w:rsid w:val="003C1D2A"/>
    <w:rsid w:val="003C1E0B"/>
    <w:rsid w:val="003C2AF5"/>
    <w:rsid w:val="003C36AD"/>
    <w:rsid w:val="003C4FF3"/>
    <w:rsid w:val="003C5BF9"/>
    <w:rsid w:val="003C6429"/>
    <w:rsid w:val="003C6DB2"/>
    <w:rsid w:val="003C7068"/>
    <w:rsid w:val="003C7A1D"/>
    <w:rsid w:val="003D1587"/>
    <w:rsid w:val="003D1C4D"/>
    <w:rsid w:val="003D302B"/>
    <w:rsid w:val="003D32A3"/>
    <w:rsid w:val="003D38BA"/>
    <w:rsid w:val="003D44D8"/>
    <w:rsid w:val="003D4675"/>
    <w:rsid w:val="003D6965"/>
    <w:rsid w:val="003E04A9"/>
    <w:rsid w:val="003E0849"/>
    <w:rsid w:val="003E1E30"/>
    <w:rsid w:val="003E2182"/>
    <w:rsid w:val="003E333B"/>
    <w:rsid w:val="003E37E5"/>
    <w:rsid w:val="003E3BF0"/>
    <w:rsid w:val="003E4056"/>
    <w:rsid w:val="003E44EB"/>
    <w:rsid w:val="003E4507"/>
    <w:rsid w:val="003E54FB"/>
    <w:rsid w:val="003E5587"/>
    <w:rsid w:val="003E571E"/>
    <w:rsid w:val="003E5FB3"/>
    <w:rsid w:val="003E6E74"/>
    <w:rsid w:val="003E6F20"/>
    <w:rsid w:val="003E7AEF"/>
    <w:rsid w:val="003F101A"/>
    <w:rsid w:val="003F15CD"/>
    <w:rsid w:val="003F2112"/>
    <w:rsid w:val="003F3F4E"/>
    <w:rsid w:val="003F4963"/>
    <w:rsid w:val="003F51D0"/>
    <w:rsid w:val="003F5810"/>
    <w:rsid w:val="003F5F57"/>
    <w:rsid w:val="003F6082"/>
    <w:rsid w:val="003F60E2"/>
    <w:rsid w:val="003F6180"/>
    <w:rsid w:val="003F6452"/>
    <w:rsid w:val="003F659B"/>
    <w:rsid w:val="003F7825"/>
    <w:rsid w:val="003F7D6D"/>
    <w:rsid w:val="0040044F"/>
    <w:rsid w:val="00400942"/>
    <w:rsid w:val="00400AAA"/>
    <w:rsid w:val="0040108E"/>
    <w:rsid w:val="004019B0"/>
    <w:rsid w:val="00402C0A"/>
    <w:rsid w:val="004039CF"/>
    <w:rsid w:val="00403F19"/>
    <w:rsid w:val="00404DF2"/>
    <w:rsid w:val="00404F09"/>
    <w:rsid w:val="0040537E"/>
    <w:rsid w:val="00405A3C"/>
    <w:rsid w:val="00407458"/>
    <w:rsid w:val="00407A64"/>
    <w:rsid w:val="004100F4"/>
    <w:rsid w:val="00410282"/>
    <w:rsid w:val="0041072B"/>
    <w:rsid w:val="00411E24"/>
    <w:rsid w:val="004126E0"/>
    <w:rsid w:val="00415A8A"/>
    <w:rsid w:val="00415CBE"/>
    <w:rsid w:val="00415D23"/>
    <w:rsid w:val="004161D1"/>
    <w:rsid w:val="00416645"/>
    <w:rsid w:val="00416864"/>
    <w:rsid w:val="00416D19"/>
    <w:rsid w:val="0041780A"/>
    <w:rsid w:val="00417A6E"/>
    <w:rsid w:val="00417BC7"/>
    <w:rsid w:val="00417E88"/>
    <w:rsid w:val="00420C05"/>
    <w:rsid w:val="00420E6D"/>
    <w:rsid w:val="004211C4"/>
    <w:rsid w:val="00421C2B"/>
    <w:rsid w:val="004223C5"/>
    <w:rsid w:val="0042307D"/>
    <w:rsid w:val="004237BE"/>
    <w:rsid w:val="00423B8C"/>
    <w:rsid w:val="00423FF8"/>
    <w:rsid w:val="00426294"/>
    <w:rsid w:val="00426B59"/>
    <w:rsid w:val="0042715C"/>
    <w:rsid w:val="00427EEC"/>
    <w:rsid w:val="004310A8"/>
    <w:rsid w:val="00431381"/>
    <w:rsid w:val="004313CD"/>
    <w:rsid w:val="00431502"/>
    <w:rsid w:val="0043170A"/>
    <w:rsid w:val="004321AD"/>
    <w:rsid w:val="00432D5F"/>
    <w:rsid w:val="00432EA8"/>
    <w:rsid w:val="004338B0"/>
    <w:rsid w:val="00434745"/>
    <w:rsid w:val="0043632B"/>
    <w:rsid w:val="00441BE1"/>
    <w:rsid w:val="00441FA2"/>
    <w:rsid w:val="004424AF"/>
    <w:rsid w:val="004425B4"/>
    <w:rsid w:val="00442945"/>
    <w:rsid w:val="00442AA4"/>
    <w:rsid w:val="00443251"/>
    <w:rsid w:val="0044358F"/>
    <w:rsid w:val="0044399C"/>
    <w:rsid w:val="00444061"/>
    <w:rsid w:val="004441B5"/>
    <w:rsid w:val="0044427D"/>
    <w:rsid w:val="004451E6"/>
    <w:rsid w:val="004460F3"/>
    <w:rsid w:val="0044663D"/>
    <w:rsid w:val="0044683C"/>
    <w:rsid w:val="0045012A"/>
    <w:rsid w:val="004511E3"/>
    <w:rsid w:val="00453782"/>
    <w:rsid w:val="00453849"/>
    <w:rsid w:val="004542CB"/>
    <w:rsid w:val="0045480C"/>
    <w:rsid w:val="00454D19"/>
    <w:rsid w:val="00455612"/>
    <w:rsid w:val="00460038"/>
    <w:rsid w:val="0046010D"/>
    <w:rsid w:val="0046069B"/>
    <w:rsid w:val="004607F9"/>
    <w:rsid w:val="00460B47"/>
    <w:rsid w:val="00460F46"/>
    <w:rsid w:val="00461338"/>
    <w:rsid w:val="00461382"/>
    <w:rsid w:val="00462552"/>
    <w:rsid w:val="004630FD"/>
    <w:rsid w:val="0046401C"/>
    <w:rsid w:val="00464999"/>
    <w:rsid w:val="004658CB"/>
    <w:rsid w:val="00465A0C"/>
    <w:rsid w:val="004667AD"/>
    <w:rsid w:val="004668B1"/>
    <w:rsid w:val="004670CE"/>
    <w:rsid w:val="00471C43"/>
    <w:rsid w:val="00472037"/>
    <w:rsid w:val="00473549"/>
    <w:rsid w:val="0047382F"/>
    <w:rsid w:val="00473AFE"/>
    <w:rsid w:val="00474D40"/>
    <w:rsid w:val="00474DB3"/>
    <w:rsid w:val="0047507D"/>
    <w:rsid w:val="00476EE9"/>
    <w:rsid w:val="004776DB"/>
    <w:rsid w:val="00477F37"/>
    <w:rsid w:val="00481B35"/>
    <w:rsid w:val="0048235F"/>
    <w:rsid w:val="00482CF4"/>
    <w:rsid w:val="00483728"/>
    <w:rsid w:val="004845DF"/>
    <w:rsid w:val="004849C7"/>
    <w:rsid w:val="004851F9"/>
    <w:rsid w:val="0049006E"/>
    <w:rsid w:val="0049015B"/>
    <w:rsid w:val="004918CC"/>
    <w:rsid w:val="00492569"/>
    <w:rsid w:val="00492EA5"/>
    <w:rsid w:val="004946A1"/>
    <w:rsid w:val="00494B71"/>
    <w:rsid w:val="004962AD"/>
    <w:rsid w:val="004974CC"/>
    <w:rsid w:val="004A381A"/>
    <w:rsid w:val="004A44AE"/>
    <w:rsid w:val="004A4C5E"/>
    <w:rsid w:val="004A5D0F"/>
    <w:rsid w:val="004A6E1F"/>
    <w:rsid w:val="004A7AB9"/>
    <w:rsid w:val="004A7B48"/>
    <w:rsid w:val="004B1083"/>
    <w:rsid w:val="004B2FCE"/>
    <w:rsid w:val="004B3258"/>
    <w:rsid w:val="004B339D"/>
    <w:rsid w:val="004B411D"/>
    <w:rsid w:val="004B4880"/>
    <w:rsid w:val="004B522D"/>
    <w:rsid w:val="004B580C"/>
    <w:rsid w:val="004B6147"/>
    <w:rsid w:val="004B6214"/>
    <w:rsid w:val="004B6278"/>
    <w:rsid w:val="004B7182"/>
    <w:rsid w:val="004B74DD"/>
    <w:rsid w:val="004B7850"/>
    <w:rsid w:val="004C0519"/>
    <w:rsid w:val="004C084D"/>
    <w:rsid w:val="004C0F35"/>
    <w:rsid w:val="004C193F"/>
    <w:rsid w:val="004C1E29"/>
    <w:rsid w:val="004C2023"/>
    <w:rsid w:val="004C2C02"/>
    <w:rsid w:val="004C36C7"/>
    <w:rsid w:val="004C4656"/>
    <w:rsid w:val="004C49F4"/>
    <w:rsid w:val="004C5351"/>
    <w:rsid w:val="004C5697"/>
    <w:rsid w:val="004C5836"/>
    <w:rsid w:val="004C6035"/>
    <w:rsid w:val="004C6194"/>
    <w:rsid w:val="004C6E98"/>
    <w:rsid w:val="004D067C"/>
    <w:rsid w:val="004D072B"/>
    <w:rsid w:val="004D0C9D"/>
    <w:rsid w:val="004D1634"/>
    <w:rsid w:val="004D1A3A"/>
    <w:rsid w:val="004D3FCF"/>
    <w:rsid w:val="004D5837"/>
    <w:rsid w:val="004D5C9E"/>
    <w:rsid w:val="004D7796"/>
    <w:rsid w:val="004E1166"/>
    <w:rsid w:val="004E33E6"/>
    <w:rsid w:val="004E355E"/>
    <w:rsid w:val="004E3A33"/>
    <w:rsid w:val="004E3FCB"/>
    <w:rsid w:val="004E4947"/>
    <w:rsid w:val="004E5558"/>
    <w:rsid w:val="004E628E"/>
    <w:rsid w:val="004F0179"/>
    <w:rsid w:val="004F07B4"/>
    <w:rsid w:val="004F0E55"/>
    <w:rsid w:val="004F1A17"/>
    <w:rsid w:val="004F2179"/>
    <w:rsid w:val="004F2F65"/>
    <w:rsid w:val="004F4107"/>
    <w:rsid w:val="004F4817"/>
    <w:rsid w:val="004F4CE8"/>
    <w:rsid w:val="004F5E5D"/>
    <w:rsid w:val="005005CA"/>
    <w:rsid w:val="00503F0C"/>
    <w:rsid w:val="005049C2"/>
    <w:rsid w:val="00505000"/>
    <w:rsid w:val="00505F35"/>
    <w:rsid w:val="00506243"/>
    <w:rsid w:val="0051007B"/>
    <w:rsid w:val="005109B4"/>
    <w:rsid w:val="00510FF3"/>
    <w:rsid w:val="0051101A"/>
    <w:rsid w:val="005110F6"/>
    <w:rsid w:val="005123B0"/>
    <w:rsid w:val="00512C46"/>
    <w:rsid w:val="005133F8"/>
    <w:rsid w:val="00516E05"/>
    <w:rsid w:val="0051736C"/>
    <w:rsid w:val="0051783C"/>
    <w:rsid w:val="00520213"/>
    <w:rsid w:val="00521398"/>
    <w:rsid w:val="005216F4"/>
    <w:rsid w:val="00521CF7"/>
    <w:rsid w:val="005230ED"/>
    <w:rsid w:val="005238A4"/>
    <w:rsid w:val="00523F17"/>
    <w:rsid w:val="005241CD"/>
    <w:rsid w:val="00524DC0"/>
    <w:rsid w:val="00525CF8"/>
    <w:rsid w:val="00527504"/>
    <w:rsid w:val="0052792F"/>
    <w:rsid w:val="00527D7D"/>
    <w:rsid w:val="00530019"/>
    <w:rsid w:val="00530C83"/>
    <w:rsid w:val="0053165F"/>
    <w:rsid w:val="005324E4"/>
    <w:rsid w:val="0053342C"/>
    <w:rsid w:val="00533A96"/>
    <w:rsid w:val="005355C1"/>
    <w:rsid w:val="005360E0"/>
    <w:rsid w:val="0053718C"/>
    <w:rsid w:val="00537E7F"/>
    <w:rsid w:val="0054056B"/>
    <w:rsid w:val="00541337"/>
    <w:rsid w:val="00541E82"/>
    <w:rsid w:val="00542409"/>
    <w:rsid w:val="0054258E"/>
    <w:rsid w:val="00543761"/>
    <w:rsid w:val="0054384F"/>
    <w:rsid w:val="005438A9"/>
    <w:rsid w:val="00543A5B"/>
    <w:rsid w:val="00544669"/>
    <w:rsid w:val="0054546A"/>
    <w:rsid w:val="00546F61"/>
    <w:rsid w:val="00547251"/>
    <w:rsid w:val="00550481"/>
    <w:rsid w:val="00550683"/>
    <w:rsid w:val="00551490"/>
    <w:rsid w:val="00551BCD"/>
    <w:rsid w:val="00551CEA"/>
    <w:rsid w:val="00552194"/>
    <w:rsid w:val="00552507"/>
    <w:rsid w:val="0055255E"/>
    <w:rsid w:val="00555A2D"/>
    <w:rsid w:val="0055608D"/>
    <w:rsid w:val="00556248"/>
    <w:rsid w:val="005567A5"/>
    <w:rsid w:val="005600B6"/>
    <w:rsid w:val="0056070C"/>
    <w:rsid w:val="0056129C"/>
    <w:rsid w:val="00561DE3"/>
    <w:rsid w:val="00562825"/>
    <w:rsid w:val="00562CB9"/>
    <w:rsid w:val="00563609"/>
    <w:rsid w:val="00563C9B"/>
    <w:rsid w:val="005651DF"/>
    <w:rsid w:val="0056536A"/>
    <w:rsid w:val="005669E9"/>
    <w:rsid w:val="00567C7B"/>
    <w:rsid w:val="005713D9"/>
    <w:rsid w:val="00573793"/>
    <w:rsid w:val="00573BFA"/>
    <w:rsid w:val="0057417D"/>
    <w:rsid w:val="00576042"/>
    <w:rsid w:val="00576110"/>
    <w:rsid w:val="00576136"/>
    <w:rsid w:val="00577870"/>
    <w:rsid w:val="0058030A"/>
    <w:rsid w:val="0058170B"/>
    <w:rsid w:val="00581D96"/>
    <w:rsid w:val="00584303"/>
    <w:rsid w:val="00584D60"/>
    <w:rsid w:val="0058516E"/>
    <w:rsid w:val="005851F3"/>
    <w:rsid w:val="00586659"/>
    <w:rsid w:val="00586D56"/>
    <w:rsid w:val="00587298"/>
    <w:rsid w:val="005904F0"/>
    <w:rsid w:val="00590CD1"/>
    <w:rsid w:val="00592D2A"/>
    <w:rsid w:val="0059415A"/>
    <w:rsid w:val="00594EC0"/>
    <w:rsid w:val="00595493"/>
    <w:rsid w:val="005A1204"/>
    <w:rsid w:val="005A2ABF"/>
    <w:rsid w:val="005A5F79"/>
    <w:rsid w:val="005A5F8B"/>
    <w:rsid w:val="005A72E5"/>
    <w:rsid w:val="005A7A1D"/>
    <w:rsid w:val="005A7AEA"/>
    <w:rsid w:val="005B06D3"/>
    <w:rsid w:val="005B0BE5"/>
    <w:rsid w:val="005B1CAE"/>
    <w:rsid w:val="005B214C"/>
    <w:rsid w:val="005B2527"/>
    <w:rsid w:val="005B2632"/>
    <w:rsid w:val="005B33BF"/>
    <w:rsid w:val="005B3815"/>
    <w:rsid w:val="005B4E15"/>
    <w:rsid w:val="005B5A7C"/>
    <w:rsid w:val="005B7348"/>
    <w:rsid w:val="005B79A8"/>
    <w:rsid w:val="005C0C02"/>
    <w:rsid w:val="005C0E14"/>
    <w:rsid w:val="005C14DC"/>
    <w:rsid w:val="005C21FF"/>
    <w:rsid w:val="005C3BA3"/>
    <w:rsid w:val="005C4719"/>
    <w:rsid w:val="005C486A"/>
    <w:rsid w:val="005C528A"/>
    <w:rsid w:val="005C53AD"/>
    <w:rsid w:val="005C5B8B"/>
    <w:rsid w:val="005C5C66"/>
    <w:rsid w:val="005C62AB"/>
    <w:rsid w:val="005C7C3E"/>
    <w:rsid w:val="005C7C54"/>
    <w:rsid w:val="005D0271"/>
    <w:rsid w:val="005D03FC"/>
    <w:rsid w:val="005D1EE1"/>
    <w:rsid w:val="005D2E94"/>
    <w:rsid w:val="005D32B9"/>
    <w:rsid w:val="005D3FF4"/>
    <w:rsid w:val="005D4094"/>
    <w:rsid w:val="005D4866"/>
    <w:rsid w:val="005D50B8"/>
    <w:rsid w:val="005E0B12"/>
    <w:rsid w:val="005E2911"/>
    <w:rsid w:val="005E3267"/>
    <w:rsid w:val="005E37AB"/>
    <w:rsid w:val="005E3CB5"/>
    <w:rsid w:val="005E645C"/>
    <w:rsid w:val="005E7A4E"/>
    <w:rsid w:val="005F0D9A"/>
    <w:rsid w:val="005F265C"/>
    <w:rsid w:val="005F328D"/>
    <w:rsid w:val="005F34DC"/>
    <w:rsid w:val="005F3DE4"/>
    <w:rsid w:val="005F3E1C"/>
    <w:rsid w:val="005F3F5F"/>
    <w:rsid w:val="005F472D"/>
    <w:rsid w:val="005F4F61"/>
    <w:rsid w:val="005F78D5"/>
    <w:rsid w:val="0060096E"/>
    <w:rsid w:val="00600A38"/>
    <w:rsid w:val="00600F75"/>
    <w:rsid w:val="006020B2"/>
    <w:rsid w:val="006026B5"/>
    <w:rsid w:val="00602AF5"/>
    <w:rsid w:val="00603A0D"/>
    <w:rsid w:val="00604420"/>
    <w:rsid w:val="00604D8B"/>
    <w:rsid w:val="0060572C"/>
    <w:rsid w:val="00605E01"/>
    <w:rsid w:val="00605FB4"/>
    <w:rsid w:val="00610392"/>
    <w:rsid w:val="006107B7"/>
    <w:rsid w:val="006130F4"/>
    <w:rsid w:val="00614329"/>
    <w:rsid w:val="006147E7"/>
    <w:rsid w:val="006148C0"/>
    <w:rsid w:val="0061506A"/>
    <w:rsid w:val="006156B1"/>
    <w:rsid w:val="00615D13"/>
    <w:rsid w:val="00615F86"/>
    <w:rsid w:val="00616603"/>
    <w:rsid w:val="00620A41"/>
    <w:rsid w:val="00621166"/>
    <w:rsid w:val="0062163B"/>
    <w:rsid w:val="00621C81"/>
    <w:rsid w:val="0062339E"/>
    <w:rsid w:val="00623D09"/>
    <w:rsid w:val="00623DFC"/>
    <w:rsid w:val="0062440C"/>
    <w:rsid w:val="00624524"/>
    <w:rsid w:val="0062472F"/>
    <w:rsid w:val="00625550"/>
    <w:rsid w:val="00626629"/>
    <w:rsid w:val="00627474"/>
    <w:rsid w:val="00627610"/>
    <w:rsid w:val="00630DA0"/>
    <w:rsid w:val="00632B09"/>
    <w:rsid w:val="00633555"/>
    <w:rsid w:val="00633D90"/>
    <w:rsid w:val="00633EC2"/>
    <w:rsid w:val="006347A2"/>
    <w:rsid w:val="00634E5B"/>
    <w:rsid w:val="00635711"/>
    <w:rsid w:val="00635DBA"/>
    <w:rsid w:val="00635EA4"/>
    <w:rsid w:val="00637445"/>
    <w:rsid w:val="00641F14"/>
    <w:rsid w:val="00642501"/>
    <w:rsid w:val="0064308A"/>
    <w:rsid w:val="00643FD1"/>
    <w:rsid w:val="00644099"/>
    <w:rsid w:val="00644E89"/>
    <w:rsid w:val="00645F55"/>
    <w:rsid w:val="00646A25"/>
    <w:rsid w:val="006476B7"/>
    <w:rsid w:val="006510E8"/>
    <w:rsid w:val="006516DC"/>
    <w:rsid w:val="00651C53"/>
    <w:rsid w:val="0065308D"/>
    <w:rsid w:val="00654004"/>
    <w:rsid w:val="0065443A"/>
    <w:rsid w:val="006600B9"/>
    <w:rsid w:val="0066164D"/>
    <w:rsid w:val="00661C1D"/>
    <w:rsid w:val="00661D5F"/>
    <w:rsid w:val="00662E06"/>
    <w:rsid w:val="00662FB6"/>
    <w:rsid w:val="00663CF3"/>
    <w:rsid w:val="00664193"/>
    <w:rsid w:val="006647FA"/>
    <w:rsid w:val="00664E12"/>
    <w:rsid w:val="0066518D"/>
    <w:rsid w:val="006653DB"/>
    <w:rsid w:val="00666349"/>
    <w:rsid w:val="006665F2"/>
    <w:rsid w:val="00666FE8"/>
    <w:rsid w:val="006671DE"/>
    <w:rsid w:val="006704EB"/>
    <w:rsid w:val="0067089D"/>
    <w:rsid w:val="00671C63"/>
    <w:rsid w:val="006723D5"/>
    <w:rsid w:val="006726D4"/>
    <w:rsid w:val="0067287C"/>
    <w:rsid w:val="00672D10"/>
    <w:rsid w:val="006733E5"/>
    <w:rsid w:val="006736C1"/>
    <w:rsid w:val="00674496"/>
    <w:rsid w:val="00674497"/>
    <w:rsid w:val="006744CD"/>
    <w:rsid w:val="0067499E"/>
    <w:rsid w:val="006756EF"/>
    <w:rsid w:val="00676BD2"/>
    <w:rsid w:val="00677784"/>
    <w:rsid w:val="0068018B"/>
    <w:rsid w:val="00680B45"/>
    <w:rsid w:val="006810F1"/>
    <w:rsid w:val="00681A38"/>
    <w:rsid w:val="00681D83"/>
    <w:rsid w:val="00682F92"/>
    <w:rsid w:val="006847D7"/>
    <w:rsid w:val="006856B6"/>
    <w:rsid w:val="0068609C"/>
    <w:rsid w:val="00686B0B"/>
    <w:rsid w:val="0068706D"/>
    <w:rsid w:val="006874D8"/>
    <w:rsid w:val="00687F19"/>
    <w:rsid w:val="00690638"/>
    <w:rsid w:val="00691076"/>
    <w:rsid w:val="00691098"/>
    <w:rsid w:val="00691980"/>
    <w:rsid w:val="00693E86"/>
    <w:rsid w:val="00694648"/>
    <w:rsid w:val="0069481D"/>
    <w:rsid w:val="00694B5F"/>
    <w:rsid w:val="00694C91"/>
    <w:rsid w:val="00695104"/>
    <w:rsid w:val="00696109"/>
    <w:rsid w:val="00696144"/>
    <w:rsid w:val="00696684"/>
    <w:rsid w:val="00696B27"/>
    <w:rsid w:val="006A10C7"/>
    <w:rsid w:val="006A10D8"/>
    <w:rsid w:val="006A10EF"/>
    <w:rsid w:val="006A1B03"/>
    <w:rsid w:val="006A2518"/>
    <w:rsid w:val="006A39AF"/>
    <w:rsid w:val="006A40CB"/>
    <w:rsid w:val="006A46F3"/>
    <w:rsid w:val="006A5308"/>
    <w:rsid w:val="006A577F"/>
    <w:rsid w:val="006A6B2B"/>
    <w:rsid w:val="006A753C"/>
    <w:rsid w:val="006B0351"/>
    <w:rsid w:val="006B0578"/>
    <w:rsid w:val="006B2A74"/>
    <w:rsid w:val="006B2C55"/>
    <w:rsid w:val="006B32A5"/>
    <w:rsid w:val="006B5339"/>
    <w:rsid w:val="006B5367"/>
    <w:rsid w:val="006B54DA"/>
    <w:rsid w:val="006B5D9B"/>
    <w:rsid w:val="006B5EF9"/>
    <w:rsid w:val="006B66C8"/>
    <w:rsid w:val="006B705F"/>
    <w:rsid w:val="006B7579"/>
    <w:rsid w:val="006B7FDD"/>
    <w:rsid w:val="006C012F"/>
    <w:rsid w:val="006C05A8"/>
    <w:rsid w:val="006C0731"/>
    <w:rsid w:val="006C1DF0"/>
    <w:rsid w:val="006C5277"/>
    <w:rsid w:val="006C61AA"/>
    <w:rsid w:val="006C6996"/>
    <w:rsid w:val="006D2000"/>
    <w:rsid w:val="006D3D6F"/>
    <w:rsid w:val="006D5E67"/>
    <w:rsid w:val="006D6704"/>
    <w:rsid w:val="006D693D"/>
    <w:rsid w:val="006E06DF"/>
    <w:rsid w:val="006E08DB"/>
    <w:rsid w:val="006E13F6"/>
    <w:rsid w:val="006E17C0"/>
    <w:rsid w:val="006E188C"/>
    <w:rsid w:val="006E190E"/>
    <w:rsid w:val="006E19E5"/>
    <w:rsid w:val="006E1FBF"/>
    <w:rsid w:val="006E37EA"/>
    <w:rsid w:val="006E3D4E"/>
    <w:rsid w:val="006E49ED"/>
    <w:rsid w:val="006E5612"/>
    <w:rsid w:val="006E56B3"/>
    <w:rsid w:val="006E6620"/>
    <w:rsid w:val="006E7385"/>
    <w:rsid w:val="006E7B1E"/>
    <w:rsid w:val="006F0A3E"/>
    <w:rsid w:val="006F1BBF"/>
    <w:rsid w:val="006F20E6"/>
    <w:rsid w:val="006F258F"/>
    <w:rsid w:val="006F2DED"/>
    <w:rsid w:val="006F3ACD"/>
    <w:rsid w:val="006F3E63"/>
    <w:rsid w:val="006F46C4"/>
    <w:rsid w:val="006F62AF"/>
    <w:rsid w:val="006F7536"/>
    <w:rsid w:val="0070173D"/>
    <w:rsid w:val="0070339D"/>
    <w:rsid w:val="007033FB"/>
    <w:rsid w:val="007040AD"/>
    <w:rsid w:val="00705C81"/>
    <w:rsid w:val="00705D76"/>
    <w:rsid w:val="0070660A"/>
    <w:rsid w:val="007068A4"/>
    <w:rsid w:val="00707CF0"/>
    <w:rsid w:val="00707F3F"/>
    <w:rsid w:val="00711531"/>
    <w:rsid w:val="00712C7E"/>
    <w:rsid w:val="00712D53"/>
    <w:rsid w:val="007132EF"/>
    <w:rsid w:val="007136B0"/>
    <w:rsid w:val="00714D93"/>
    <w:rsid w:val="00716395"/>
    <w:rsid w:val="00716C51"/>
    <w:rsid w:val="00716CC4"/>
    <w:rsid w:val="00716E17"/>
    <w:rsid w:val="007176FE"/>
    <w:rsid w:val="0071790B"/>
    <w:rsid w:val="00717D6B"/>
    <w:rsid w:val="00721CC5"/>
    <w:rsid w:val="00721D24"/>
    <w:rsid w:val="00722543"/>
    <w:rsid w:val="007230A0"/>
    <w:rsid w:val="00723224"/>
    <w:rsid w:val="0072329B"/>
    <w:rsid w:val="00723C85"/>
    <w:rsid w:val="00725FB7"/>
    <w:rsid w:val="00726199"/>
    <w:rsid w:val="007272AF"/>
    <w:rsid w:val="007272F7"/>
    <w:rsid w:val="00730B1B"/>
    <w:rsid w:val="007312DA"/>
    <w:rsid w:val="0073162E"/>
    <w:rsid w:val="00731D13"/>
    <w:rsid w:val="00732771"/>
    <w:rsid w:val="007349FD"/>
    <w:rsid w:val="00734A42"/>
    <w:rsid w:val="00737C5E"/>
    <w:rsid w:val="00737D64"/>
    <w:rsid w:val="007402CA"/>
    <w:rsid w:val="00740DCB"/>
    <w:rsid w:val="007424E4"/>
    <w:rsid w:val="00742777"/>
    <w:rsid w:val="00742D47"/>
    <w:rsid w:val="00743AB1"/>
    <w:rsid w:val="00743E21"/>
    <w:rsid w:val="0074550E"/>
    <w:rsid w:val="00745A35"/>
    <w:rsid w:val="00745A48"/>
    <w:rsid w:val="00745B06"/>
    <w:rsid w:val="00745C40"/>
    <w:rsid w:val="007471FA"/>
    <w:rsid w:val="00747369"/>
    <w:rsid w:val="007473D8"/>
    <w:rsid w:val="00747C72"/>
    <w:rsid w:val="007500CF"/>
    <w:rsid w:val="00750850"/>
    <w:rsid w:val="00750D66"/>
    <w:rsid w:val="00751160"/>
    <w:rsid w:val="00752854"/>
    <w:rsid w:val="007535AE"/>
    <w:rsid w:val="00754C61"/>
    <w:rsid w:val="00754F7F"/>
    <w:rsid w:val="00755347"/>
    <w:rsid w:val="00755C51"/>
    <w:rsid w:val="00755C99"/>
    <w:rsid w:val="00756853"/>
    <w:rsid w:val="007568B6"/>
    <w:rsid w:val="007571A1"/>
    <w:rsid w:val="00757DCD"/>
    <w:rsid w:val="00760288"/>
    <w:rsid w:val="00760490"/>
    <w:rsid w:val="00760A2B"/>
    <w:rsid w:val="007618D8"/>
    <w:rsid w:val="0076208F"/>
    <w:rsid w:val="007625DB"/>
    <w:rsid w:val="00762EF7"/>
    <w:rsid w:val="00763199"/>
    <w:rsid w:val="0076430C"/>
    <w:rsid w:val="00764A1D"/>
    <w:rsid w:val="00764DD4"/>
    <w:rsid w:val="00764F2B"/>
    <w:rsid w:val="00765C55"/>
    <w:rsid w:val="007666F9"/>
    <w:rsid w:val="007709DA"/>
    <w:rsid w:val="00770ABF"/>
    <w:rsid w:val="00770BAD"/>
    <w:rsid w:val="007719B5"/>
    <w:rsid w:val="00771D46"/>
    <w:rsid w:val="00772869"/>
    <w:rsid w:val="00772C02"/>
    <w:rsid w:val="00772F8D"/>
    <w:rsid w:val="00773132"/>
    <w:rsid w:val="00773831"/>
    <w:rsid w:val="00773B01"/>
    <w:rsid w:val="00774875"/>
    <w:rsid w:val="00774E2D"/>
    <w:rsid w:val="00774F6E"/>
    <w:rsid w:val="007802A7"/>
    <w:rsid w:val="00780F12"/>
    <w:rsid w:val="007813CF"/>
    <w:rsid w:val="0078213C"/>
    <w:rsid w:val="0078237E"/>
    <w:rsid w:val="00782936"/>
    <w:rsid w:val="0078381E"/>
    <w:rsid w:val="007844C8"/>
    <w:rsid w:val="0078470F"/>
    <w:rsid w:val="007855F1"/>
    <w:rsid w:val="00785690"/>
    <w:rsid w:val="007903F8"/>
    <w:rsid w:val="00790432"/>
    <w:rsid w:val="007904B9"/>
    <w:rsid w:val="007907E1"/>
    <w:rsid w:val="00790808"/>
    <w:rsid w:val="00790FA5"/>
    <w:rsid w:val="00791822"/>
    <w:rsid w:val="007930D5"/>
    <w:rsid w:val="007936DC"/>
    <w:rsid w:val="007936EA"/>
    <w:rsid w:val="007971A4"/>
    <w:rsid w:val="007974FA"/>
    <w:rsid w:val="00797555"/>
    <w:rsid w:val="00797F1D"/>
    <w:rsid w:val="007A0AC9"/>
    <w:rsid w:val="007A1FAF"/>
    <w:rsid w:val="007A2F88"/>
    <w:rsid w:val="007A3752"/>
    <w:rsid w:val="007A38B9"/>
    <w:rsid w:val="007A427A"/>
    <w:rsid w:val="007A45AA"/>
    <w:rsid w:val="007A4B5E"/>
    <w:rsid w:val="007A59E3"/>
    <w:rsid w:val="007A5F57"/>
    <w:rsid w:val="007A6174"/>
    <w:rsid w:val="007A6A9E"/>
    <w:rsid w:val="007A7059"/>
    <w:rsid w:val="007B13EC"/>
    <w:rsid w:val="007B233C"/>
    <w:rsid w:val="007B2825"/>
    <w:rsid w:val="007B31B9"/>
    <w:rsid w:val="007B462B"/>
    <w:rsid w:val="007B57F4"/>
    <w:rsid w:val="007B78B0"/>
    <w:rsid w:val="007B7E15"/>
    <w:rsid w:val="007C0309"/>
    <w:rsid w:val="007C03E0"/>
    <w:rsid w:val="007C0935"/>
    <w:rsid w:val="007C1BF5"/>
    <w:rsid w:val="007C1F01"/>
    <w:rsid w:val="007C27E1"/>
    <w:rsid w:val="007C31F9"/>
    <w:rsid w:val="007C3DE6"/>
    <w:rsid w:val="007C4012"/>
    <w:rsid w:val="007C460F"/>
    <w:rsid w:val="007C49DF"/>
    <w:rsid w:val="007C4CB0"/>
    <w:rsid w:val="007C57AA"/>
    <w:rsid w:val="007D2649"/>
    <w:rsid w:val="007D269D"/>
    <w:rsid w:val="007D3189"/>
    <w:rsid w:val="007D4838"/>
    <w:rsid w:val="007D51D1"/>
    <w:rsid w:val="007D548E"/>
    <w:rsid w:val="007D6896"/>
    <w:rsid w:val="007D7E77"/>
    <w:rsid w:val="007E022F"/>
    <w:rsid w:val="007E0419"/>
    <w:rsid w:val="007E0A1D"/>
    <w:rsid w:val="007E19D9"/>
    <w:rsid w:val="007E3F20"/>
    <w:rsid w:val="007E4803"/>
    <w:rsid w:val="007E4E45"/>
    <w:rsid w:val="007E61C8"/>
    <w:rsid w:val="007E62E8"/>
    <w:rsid w:val="007E6894"/>
    <w:rsid w:val="007E7E6F"/>
    <w:rsid w:val="007F0E76"/>
    <w:rsid w:val="007F1A84"/>
    <w:rsid w:val="007F411B"/>
    <w:rsid w:val="007F4373"/>
    <w:rsid w:val="007F5CC6"/>
    <w:rsid w:val="007F5DA7"/>
    <w:rsid w:val="007F6DD8"/>
    <w:rsid w:val="007F7A3F"/>
    <w:rsid w:val="00800E1B"/>
    <w:rsid w:val="008011CA"/>
    <w:rsid w:val="00802115"/>
    <w:rsid w:val="0080297F"/>
    <w:rsid w:val="00802AEB"/>
    <w:rsid w:val="00804AA7"/>
    <w:rsid w:val="008050D4"/>
    <w:rsid w:val="00805C97"/>
    <w:rsid w:val="00807409"/>
    <w:rsid w:val="00810D7D"/>
    <w:rsid w:val="0081224C"/>
    <w:rsid w:val="008122F0"/>
    <w:rsid w:val="0081255C"/>
    <w:rsid w:val="008130BC"/>
    <w:rsid w:val="008139AE"/>
    <w:rsid w:val="00814482"/>
    <w:rsid w:val="00814613"/>
    <w:rsid w:val="00815814"/>
    <w:rsid w:val="0081713C"/>
    <w:rsid w:val="00817A3E"/>
    <w:rsid w:val="00817E38"/>
    <w:rsid w:val="008203A0"/>
    <w:rsid w:val="0082098C"/>
    <w:rsid w:val="00821049"/>
    <w:rsid w:val="008221ED"/>
    <w:rsid w:val="0082324A"/>
    <w:rsid w:val="00823410"/>
    <w:rsid w:val="00823934"/>
    <w:rsid w:val="00823C0E"/>
    <w:rsid w:val="00825C04"/>
    <w:rsid w:val="00825FD1"/>
    <w:rsid w:val="0082732D"/>
    <w:rsid w:val="00827D38"/>
    <w:rsid w:val="00830D77"/>
    <w:rsid w:val="00833F56"/>
    <w:rsid w:val="00834226"/>
    <w:rsid w:val="00835041"/>
    <w:rsid w:val="00835338"/>
    <w:rsid w:val="00837C25"/>
    <w:rsid w:val="00837CF8"/>
    <w:rsid w:val="0084055A"/>
    <w:rsid w:val="008409F6"/>
    <w:rsid w:val="00841666"/>
    <w:rsid w:val="0084180C"/>
    <w:rsid w:val="00842054"/>
    <w:rsid w:val="00842DBE"/>
    <w:rsid w:val="00843E13"/>
    <w:rsid w:val="00844277"/>
    <w:rsid w:val="00844DE2"/>
    <w:rsid w:val="00844E9F"/>
    <w:rsid w:val="008477BC"/>
    <w:rsid w:val="008477D1"/>
    <w:rsid w:val="008500B8"/>
    <w:rsid w:val="00853B3C"/>
    <w:rsid w:val="00853BF2"/>
    <w:rsid w:val="008579B9"/>
    <w:rsid w:val="00857D81"/>
    <w:rsid w:val="00860125"/>
    <w:rsid w:val="00860281"/>
    <w:rsid w:val="00864DFD"/>
    <w:rsid w:val="00864EE5"/>
    <w:rsid w:val="0086594A"/>
    <w:rsid w:val="008659FF"/>
    <w:rsid w:val="00870BED"/>
    <w:rsid w:val="00871639"/>
    <w:rsid w:val="008722A9"/>
    <w:rsid w:val="00872B76"/>
    <w:rsid w:val="00874032"/>
    <w:rsid w:val="008742D4"/>
    <w:rsid w:val="00875160"/>
    <w:rsid w:val="00877D18"/>
    <w:rsid w:val="0088034E"/>
    <w:rsid w:val="0088059E"/>
    <w:rsid w:val="00880A20"/>
    <w:rsid w:val="00881014"/>
    <w:rsid w:val="00881613"/>
    <w:rsid w:val="008819D7"/>
    <w:rsid w:val="00882328"/>
    <w:rsid w:val="00882CE4"/>
    <w:rsid w:val="008842B3"/>
    <w:rsid w:val="00884581"/>
    <w:rsid w:val="008848A4"/>
    <w:rsid w:val="00885487"/>
    <w:rsid w:val="0088623C"/>
    <w:rsid w:val="00887001"/>
    <w:rsid w:val="008875EC"/>
    <w:rsid w:val="008876A1"/>
    <w:rsid w:val="00887A30"/>
    <w:rsid w:val="0089204A"/>
    <w:rsid w:val="008925C1"/>
    <w:rsid w:val="00892823"/>
    <w:rsid w:val="00892E73"/>
    <w:rsid w:val="00893590"/>
    <w:rsid w:val="00893596"/>
    <w:rsid w:val="00893C65"/>
    <w:rsid w:val="008946D9"/>
    <w:rsid w:val="00894794"/>
    <w:rsid w:val="0089578A"/>
    <w:rsid w:val="00895FEA"/>
    <w:rsid w:val="00896309"/>
    <w:rsid w:val="00896CB1"/>
    <w:rsid w:val="00896D30"/>
    <w:rsid w:val="008973DD"/>
    <w:rsid w:val="008977E0"/>
    <w:rsid w:val="00897C4E"/>
    <w:rsid w:val="008A084B"/>
    <w:rsid w:val="008A0BEC"/>
    <w:rsid w:val="008A1976"/>
    <w:rsid w:val="008A3A8C"/>
    <w:rsid w:val="008A44AB"/>
    <w:rsid w:val="008A5646"/>
    <w:rsid w:val="008A60BD"/>
    <w:rsid w:val="008A646C"/>
    <w:rsid w:val="008A6591"/>
    <w:rsid w:val="008A68A6"/>
    <w:rsid w:val="008A6CCF"/>
    <w:rsid w:val="008A7BCB"/>
    <w:rsid w:val="008B0347"/>
    <w:rsid w:val="008B20D8"/>
    <w:rsid w:val="008B2C6E"/>
    <w:rsid w:val="008B37D1"/>
    <w:rsid w:val="008B4609"/>
    <w:rsid w:val="008B4713"/>
    <w:rsid w:val="008B4CFE"/>
    <w:rsid w:val="008B6593"/>
    <w:rsid w:val="008B7D9A"/>
    <w:rsid w:val="008C0275"/>
    <w:rsid w:val="008C06ED"/>
    <w:rsid w:val="008C1255"/>
    <w:rsid w:val="008C2893"/>
    <w:rsid w:val="008C2B3A"/>
    <w:rsid w:val="008C2DDF"/>
    <w:rsid w:val="008C382F"/>
    <w:rsid w:val="008C4945"/>
    <w:rsid w:val="008C594C"/>
    <w:rsid w:val="008C59D3"/>
    <w:rsid w:val="008C6AC6"/>
    <w:rsid w:val="008C6DBE"/>
    <w:rsid w:val="008D049E"/>
    <w:rsid w:val="008D08B1"/>
    <w:rsid w:val="008D1ADD"/>
    <w:rsid w:val="008D33DB"/>
    <w:rsid w:val="008D3CBB"/>
    <w:rsid w:val="008D489B"/>
    <w:rsid w:val="008D5020"/>
    <w:rsid w:val="008D6086"/>
    <w:rsid w:val="008D6221"/>
    <w:rsid w:val="008D6FA8"/>
    <w:rsid w:val="008E0008"/>
    <w:rsid w:val="008E0A7B"/>
    <w:rsid w:val="008E111A"/>
    <w:rsid w:val="008E1189"/>
    <w:rsid w:val="008E1259"/>
    <w:rsid w:val="008E265B"/>
    <w:rsid w:val="008E31C0"/>
    <w:rsid w:val="008E3C48"/>
    <w:rsid w:val="008E3C68"/>
    <w:rsid w:val="008E4E76"/>
    <w:rsid w:val="008E5C69"/>
    <w:rsid w:val="008E65EC"/>
    <w:rsid w:val="008E6792"/>
    <w:rsid w:val="008E7021"/>
    <w:rsid w:val="008E7ED9"/>
    <w:rsid w:val="008F0C15"/>
    <w:rsid w:val="008F1365"/>
    <w:rsid w:val="008F1512"/>
    <w:rsid w:val="008F1903"/>
    <w:rsid w:val="008F28AA"/>
    <w:rsid w:val="008F385E"/>
    <w:rsid w:val="008F5A54"/>
    <w:rsid w:val="008F5C39"/>
    <w:rsid w:val="008F5D8C"/>
    <w:rsid w:val="008F63D2"/>
    <w:rsid w:val="008F6C65"/>
    <w:rsid w:val="00900279"/>
    <w:rsid w:val="009009D3"/>
    <w:rsid w:val="0090149D"/>
    <w:rsid w:val="00901BC8"/>
    <w:rsid w:val="009027B1"/>
    <w:rsid w:val="00902A61"/>
    <w:rsid w:val="00902D57"/>
    <w:rsid w:val="00903801"/>
    <w:rsid w:val="009041D4"/>
    <w:rsid w:val="00905320"/>
    <w:rsid w:val="00905904"/>
    <w:rsid w:val="00906B8F"/>
    <w:rsid w:val="00907CB6"/>
    <w:rsid w:val="009100A1"/>
    <w:rsid w:val="009102B6"/>
    <w:rsid w:val="009102F3"/>
    <w:rsid w:val="009106B7"/>
    <w:rsid w:val="00910D50"/>
    <w:rsid w:val="0091102A"/>
    <w:rsid w:val="009113B6"/>
    <w:rsid w:val="009119E7"/>
    <w:rsid w:val="009131EA"/>
    <w:rsid w:val="00913747"/>
    <w:rsid w:val="00913E62"/>
    <w:rsid w:val="00914157"/>
    <w:rsid w:val="00914B70"/>
    <w:rsid w:val="00914D00"/>
    <w:rsid w:val="00916340"/>
    <w:rsid w:val="00917B17"/>
    <w:rsid w:val="00920CBB"/>
    <w:rsid w:val="009215B3"/>
    <w:rsid w:val="0092176E"/>
    <w:rsid w:val="00921771"/>
    <w:rsid w:val="00921855"/>
    <w:rsid w:val="00923804"/>
    <w:rsid w:val="009239A8"/>
    <w:rsid w:val="00924006"/>
    <w:rsid w:val="009250CC"/>
    <w:rsid w:val="009250E4"/>
    <w:rsid w:val="00925B70"/>
    <w:rsid w:val="00925D5A"/>
    <w:rsid w:val="009263DA"/>
    <w:rsid w:val="009269D9"/>
    <w:rsid w:val="00927530"/>
    <w:rsid w:val="0093028F"/>
    <w:rsid w:val="009311BF"/>
    <w:rsid w:val="00931895"/>
    <w:rsid w:val="009339B3"/>
    <w:rsid w:val="00934DF3"/>
    <w:rsid w:val="00934ED4"/>
    <w:rsid w:val="009359C1"/>
    <w:rsid w:val="00936246"/>
    <w:rsid w:val="00936BB8"/>
    <w:rsid w:val="00937A5C"/>
    <w:rsid w:val="009407CC"/>
    <w:rsid w:val="0094119C"/>
    <w:rsid w:val="00941460"/>
    <w:rsid w:val="009416A8"/>
    <w:rsid w:val="009422E8"/>
    <w:rsid w:val="00943EB7"/>
    <w:rsid w:val="00944BB1"/>
    <w:rsid w:val="00947807"/>
    <w:rsid w:val="00947CF9"/>
    <w:rsid w:val="00951727"/>
    <w:rsid w:val="00951F8F"/>
    <w:rsid w:val="00954165"/>
    <w:rsid w:val="00955535"/>
    <w:rsid w:val="00955EEC"/>
    <w:rsid w:val="00956106"/>
    <w:rsid w:val="009568E6"/>
    <w:rsid w:val="0095690D"/>
    <w:rsid w:val="00960C65"/>
    <w:rsid w:val="00960CD9"/>
    <w:rsid w:val="00960E15"/>
    <w:rsid w:val="009615D9"/>
    <w:rsid w:val="00961831"/>
    <w:rsid w:val="0096221C"/>
    <w:rsid w:val="00962495"/>
    <w:rsid w:val="009647EF"/>
    <w:rsid w:val="009670ED"/>
    <w:rsid w:val="00967352"/>
    <w:rsid w:val="00967700"/>
    <w:rsid w:val="0096771D"/>
    <w:rsid w:val="00967DB9"/>
    <w:rsid w:val="00970120"/>
    <w:rsid w:val="00970E0E"/>
    <w:rsid w:val="00971384"/>
    <w:rsid w:val="00971916"/>
    <w:rsid w:val="00971EAA"/>
    <w:rsid w:val="00972013"/>
    <w:rsid w:val="00973749"/>
    <w:rsid w:val="00974546"/>
    <w:rsid w:val="0097537A"/>
    <w:rsid w:val="00975419"/>
    <w:rsid w:val="00975464"/>
    <w:rsid w:val="00975672"/>
    <w:rsid w:val="0097685F"/>
    <w:rsid w:val="0098056A"/>
    <w:rsid w:val="009806FE"/>
    <w:rsid w:val="009816D9"/>
    <w:rsid w:val="009818C1"/>
    <w:rsid w:val="00981A95"/>
    <w:rsid w:val="00981D12"/>
    <w:rsid w:val="00983221"/>
    <w:rsid w:val="0098329F"/>
    <w:rsid w:val="00984000"/>
    <w:rsid w:val="009843FC"/>
    <w:rsid w:val="00985ECF"/>
    <w:rsid w:val="00986A3E"/>
    <w:rsid w:val="009870C7"/>
    <w:rsid w:val="009902FB"/>
    <w:rsid w:val="0099063B"/>
    <w:rsid w:val="0099116A"/>
    <w:rsid w:val="00991417"/>
    <w:rsid w:val="00991503"/>
    <w:rsid w:val="00992311"/>
    <w:rsid w:val="0099271E"/>
    <w:rsid w:val="00992C09"/>
    <w:rsid w:val="00993279"/>
    <w:rsid w:val="00993604"/>
    <w:rsid w:val="00994FDE"/>
    <w:rsid w:val="00995928"/>
    <w:rsid w:val="00995F70"/>
    <w:rsid w:val="009964C4"/>
    <w:rsid w:val="009968A9"/>
    <w:rsid w:val="00997029"/>
    <w:rsid w:val="009973BB"/>
    <w:rsid w:val="009979EA"/>
    <w:rsid w:val="009A01DD"/>
    <w:rsid w:val="009A0E02"/>
    <w:rsid w:val="009A28C4"/>
    <w:rsid w:val="009A36FE"/>
    <w:rsid w:val="009A4126"/>
    <w:rsid w:val="009A48AF"/>
    <w:rsid w:val="009A6664"/>
    <w:rsid w:val="009A786A"/>
    <w:rsid w:val="009B15F0"/>
    <w:rsid w:val="009B1E7B"/>
    <w:rsid w:val="009B20FF"/>
    <w:rsid w:val="009B2A02"/>
    <w:rsid w:val="009B2A70"/>
    <w:rsid w:val="009B572B"/>
    <w:rsid w:val="009B5D14"/>
    <w:rsid w:val="009B6080"/>
    <w:rsid w:val="009B695D"/>
    <w:rsid w:val="009B71DA"/>
    <w:rsid w:val="009B756F"/>
    <w:rsid w:val="009C0D73"/>
    <w:rsid w:val="009C11A8"/>
    <w:rsid w:val="009C3E8F"/>
    <w:rsid w:val="009C44D2"/>
    <w:rsid w:val="009C4DA6"/>
    <w:rsid w:val="009C514B"/>
    <w:rsid w:val="009C52C5"/>
    <w:rsid w:val="009C7253"/>
    <w:rsid w:val="009C796C"/>
    <w:rsid w:val="009C7D7A"/>
    <w:rsid w:val="009C7D96"/>
    <w:rsid w:val="009D176A"/>
    <w:rsid w:val="009D256C"/>
    <w:rsid w:val="009D39E9"/>
    <w:rsid w:val="009D3A7E"/>
    <w:rsid w:val="009D406F"/>
    <w:rsid w:val="009D46A1"/>
    <w:rsid w:val="009D4A03"/>
    <w:rsid w:val="009D506D"/>
    <w:rsid w:val="009D5FBF"/>
    <w:rsid w:val="009E1C4C"/>
    <w:rsid w:val="009E2240"/>
    <w:rsid w:val="009E29A8"/>
    <w:rsid w:val="009E3E09"/>
    <w:rsid w:val="009E4001"/>
    <w:rsid w:val="009E48CC"/>
    <w:rsid w:val="009E5B01"/>
    <w:rsid w:val="009F0055"/>
    <w:rsid w:val="009F113B"/>
    <w:rsid w:val="009F2064"/>
    <w:rsid w:val="009F2164"/>
    <w:rsid w:val="009F2CF8"/>
    <w:rsid w:val="009F33CE"/>
    <w:rsid w:val="009F3D24"/>
    <w:rsid w:val="009F3E85"/>
    <w:rsid w:val="009F4552"/>
    <w:rsid w:val="009F5866"/>
    <w:rsid w:val="009F587C"/>
    <w:rsid w:val="009F628B"/>
    <w:rsid w:val="009F6D38"/>
    <w:rsid w:val="009F70D5"/>
    <w:rsid w:val="00A01176"/>
    <w:rsid w:val="00A02C34"/>
    <w:rsid w:val="00A03F0D"/>
    <w:rsid w:val="00A0458E"/>
    <w:rsid w:val="00A04F33"/>
    <w:rsid w:val="00A0612A"/>
    <w:rsid w:val="00A070EA"/>
    <w:rsid w:val="00A0748F"/>
    <w:rsid w:val="00A0753F"/>
    <w:rsid w:val="00A07754"/>
    <w:rsid w:val="00A10C44"/>
    <w:rsid w:val="00A10F8C"/>
    <w:rsid w:val="00A117A1"/>
    <w:rsid w:val="00A11FFF"/>
    <w:rsid w:val="00A12A65"/>
    <w:rsid w:val="00A12B90"/>
    <w:rsid w:val="00A12DA2"/>
    <w:rsid w:val="00A13A72"/>
    <w:rsid w:val="00A15A35"/>
    <w:rsid w:val="00A16338"/>
    <w:rsid w:val="00A168AC"/>
    <w:rsid w:val="00A20282"/>
    <w:rsid w:val="00A202C8"/>
    <w:rsid w:val="00A202D9"/>
    <w:rsid w:val="00A208DF"/>
    <w:rsid w:val="00A2121E"/>
    <w:rsid w:val="00A21AA1"/>
    <w:rsid w:val="00A21C4D"/>
    <w:rsid w:val="00A21C7D"/>
    <w:rsid w:val="00A223FD"/>
    <w:rsid w:val="00A22490"/>
    <w:rsid w:val="00A22EC8"/>
    <w:rsid w:val="00A2338A"/>
    <w:rsid w:val="00A24C2E"/>
    <w:rsid w:val="00A25559"/>
    <w:rsid w:val="00A25C50"/>
    <w:rsid w:val="00A2784A"/>
    <w:rsid w:val="00A27CB5"/>
    <w:rsid w:val="00A3003E"/>
    <w:rsid w:val="00A3093E"/>
    <w:rsid w:val="00A3095C"/>
    <w:rsid w:val="00A30CD0"/>
    <w:rsid w:val="00A312FE"/>
    <w:rsid w:val="00A3196C"/>
    <w:rsid w:val="00A31CD2"/>
    <w:rsid w:val="00A31CD8"/>
    <w:rsid w:val="00A328EB"/>
    <w:rsid w:val="00A32B6C"/>
    <w:rsid w:val="00A33D86"/>
    <w:rsid w:val="00A34848"/>
    <w:rsid w:val="00A34E38"/>
    <w:rsid w:val="00A35020"/>
    <w:rsid w:val="00A35F68"/>
    <w:rsid w:val="00A3734F"/>
    <w:rsid w:val="00A374B9"/>
    <w:rsid w:val="00A37FDE"/>
    <w:rsid w:val="00A40184"/>
    <w:rsid w:val="00A4065C"/>
    <w:rsid w:val="00A4174E"/>
    <w:rsid w:val="00A41B9C"/>
    <w:rsid w:val="00A42695"/>
    <w:rsid w:val="00A42D81"/>
    <w:rsid w:val="00A443A9"/>
    <w:rsid w:val="00A444D0"/>
    <w:rsid w:val="00A44AC4"/>
    <w:rsid w:val="00A450FD"/>
    <w:rsid w:val="00A45114"/>
    <w:rsid w:val="00A45AC9"/>
    <w:rsid w:val="00A4620E"/>
    <w:rsid w:val="00A467FD"/>
    <w:rsid w:val="00A46894"/>
    <w:rsid w:val="00A501B7"/>
    <w:rsid w:val="00A50BD4"/>
    <w:rsid w:val="00A516DD"/>
    <w:rsid w:val="00A51E34"/>
    <w:rsid w:val="00A52588"/>
    <w:rsid w:val="00A567D2"/>
    <w:rsid w:val="00A572A2"/>
    <w:rsid w:val="00A6010A"/>
    <w:rsid w:val="00A605F8"/>
    <w:rsid w:val="00A60EE0"/>
    <w:rsid w:val="00A61456"/>
    <w:rsid w:val="00A6193F"/>
    <w:rsid w:val="00A629C1"/>
    <w:rsid w:val="00A62A44"/>
    <w:rsid w:val="00A62B99"/>
    <w:rsid w:val="00A632EB"/>
    <w:rsid w:val="00A632FE"/>
    <w:rsid w:val="00A63AD6"/>
    <w:rsid w:val="00A64448"/>
    <w:rsid w:val="00A64BD8"/>
    <w:rsid w:val="00A64FBA"/>
    <w:rsid w:val="00A64FCD"/>
    <w:rsid w:val="00A659F2"/>
    <w:rsid w:val="00A65BEE"/>
    <w:rsid w:val="00A67496"/>
    <w:rsid w:val="00A67AF8"/>
    <w:rsid w:val="00A705DC"/>
    <w:rsid w:val="00A70F7E"/>
    <w:rsid w:val="00A71179"/>
    <w:rsid w:val="00A715E1"/>
    <w:rsid w:val="00A71CD7"/>
    <w:rsid w:val="00A72559"/>
    <w:rsid w:val="00A72866"/>
    <w:rsid w:val="00A75B6D"/>
    <w:rsid w:val="00A75FDF"/>
    <w:rsid w:val="00A76242"/>
    <w:rsid w:val="00A76347"/>
    <w:rsid w:val="00A7657F"/>
    <w:rsid w:val="00A76874"/>
    <w:rsid w:val="00A77171"/>
    <w:rsid w:val="00A7793E"/>
    <w:rsid w:val="00A77B5C"/>
    <w:rsid w:val="00A807C2"/>
    <w:rsid w:val="00A81149"/>
    <w:rsid w:val="00A81926"/>
    <w:rsid w:val="00A81E2D"/>
    <w:rsid w:val="00A82819"/>
    <w:rsid w:val="00A8392C"/>
    <w:rsid w:val="00A84379"/>
    <w:rsid w:val="00A845F6"/>
    <w:rsid w:val="00A84C32"/>
    <w:rsid w:val="00A858B6"/>
    <w:rsid w:val="00A858E9"/>
    <w:rsid w:val="00A86180"/>
    <w:rsid w:val="00A86990"/>
    <w:rsid w:val="00A86C04"/>
    <w:rsid w:val="00A9048C"/>
    <w:rsid w:val="00A91899"/>
    <w:rsid w:val="00A91B2B"/>
    <w:rsid w:val="00A931B2"/>
    <w:rsid w:val="00A93736"/>
    <w:rsid w:val="00A93CA9"/>
    <w:rsid w:val="00A94933"/>
    <w:rsid w:val="00A94E4F"/>
    <w:rsid w:val="00A952A6"/>
    <w:rsid w:val="00A957A7"/>
    <w:rsid w:val="00A95C8D"/>
    <w:rsid w:val="00A96147"/>
    <w:rsid w:val="00A96E07"/>
    <w:rsid w:val="00A96E12"/>
    <w:rsid w:val="00A972C5"/>
    <w:rsid w:val="00AA0587"/>
    <w:rsid w:val="00AA0801"/>
    <w:rsid w:val="00AA0DE8"/>
    <w:rsid w:val="00AA273D"/>
    <w:rsid w:val="00AA2CC1"/>
    <w:rsid w:val="00AA2EFA"/>
    <w:rsid w:val="00AA3951"/>
    <w:rsid w:val="00AA3ADB"/>
    <w:rsid w:val="00AA441B"/>
    <w:rsid w:val="00AB1091"/>
    <w:rsid w:val="00AB1E5B"/>
    <w:rsid w:val="00AB227C"/>
    <w:rsid w:val="00AB2B6F"/>
    <w:rsid w:val="00AB3477"/>
    <w:rsid w:val="00AB357C"/>
    <w:rsid w:val="00AB44E6"/>
    <w:rsid w:val="00AB4A2B"/>
    <w:rsid w:val="00AB572F"/>
    <w:rsid w:val="00AB60CD"/>
    <w:rsid w:val="00AB6F2C"/>
    <w:rsid w:val="00AB7B80"/>
    <w:rsid w:val="00AC048B"/>
    <w:rsid w:val="00AC1C9C"/>
    <w:rsid w:val="00AC267E"/>
    <w:rsid w:val="00AC3246"/>
    <w:rsid w:val="00AC36A0"/>
    <w:rsid w:val="00AC399B"/>
    <w:rsid w:val="00AC47E1"/>
    <w:rsid w:val="00AC4AC9"/>
    <w:rsid w:val="00AC4EE1"/>
    <w:rsid w:val="00AC50A4"/>
    <w:rsid w:val="00AC6335"/>
    <w:rsid w:val="00AC6A0C"/>
    <w:rsid w:val="00AC7020"/>
    <w:rsid w:val="00AD0CC2"/>
    <w:rsid w:val="00AD12F6"/>
    <w:rsid w:val="00AD15B0"/>
    <w:rsid w:val="00AD1CBD"/>
    <w:rsid w:val="00AD1D1A"/>
    <w:rsid w:val="00AD1E38"/>
    <w:rsid w:val="00AD221E"/>
    <w:rsid w:val="00AD2DB6"/>
    <w:rsid w:val="00AD307C"/>
    <w:rsid w:val="00AD30C8"/>
    <w:rsid w:val="00AD34D4"/>
    <w:rsid w:val="00AD3D94"/>
    <w:rsid w:val="00AD41CC"/>
    <w:rsid w:val="00AD4205"/>
    <w:rsid w:val="00AD46EE"/>
    <w:rsid w:val="00AD50CD"/>
    <w:rsid w:val="00AD5273"/>
    <w:rsid w:val="00AD6858"/>
    <w:rsid w:val="00AD74D5"/>
    <w:rsid w:val="00AD763C"/>
    <w:rsid w:val="00AE0D5E"/>
    <w:rsid w:val="00AE22CE"/>
    <w:rsid w:val="00AE2C01"/>
    <w:rsid w:val="00AE3135"/>
    <w:rsid w:val="00AE3804"/>
    <w:rsid w:val="00AE3CBE"/>
    <w:rsid w:val="00AE5C9B"/>
    <w:rsid w:val="00AE6772"/>
    <w:rsid w:val="00AE79E0"/>
    <w:rsid w:val="00AE7D55"/>
    <w:rsid w:val="00AF0194"/>
    <w:rsid w:val="00AF0580"/>
    <w:rsid w:val="00AF06CF"/>
    <w:rsid w:val="00AF1827"/>
    <w:rsid w:val="00AF2006"/>
    <w:rsid w:val="00AF208F"/>
    <w:rsid w:val="00AF26A1"/>
    <w:rsid w:val="00AF3DAD"/>
    <w:rsid w:val="00AF5BD3"/>
    <w:rsid w:val="00AF5E95"/>
    <w:rsid w:val="00AF7329"/>
    <w:rsid w:val="00B0068A"/>
    <w:rsid w:val="00B00F74"/>
    <w:rsid w:val="00B02336"/>
    <w:rsid w:val="00B02486"/>
    <w:rsid w:val="00B04C8D"/>
    <w:rsid w:val="00B04D5F"/>
    <w:rsid w:val="00B05154"/>
    <w:rsid w:val="00B0534F"/>
    <w:rsid w:val="00B05DCC"/>
    <w:rsid w:val="00B12215"/>
    <w:rsid w:val="00B12BE1"/>
    <w:rsid w:val="00B13674"/>
    <w:rsid w:val="00B13953"/>
    <w:rsid w:val="00B16A4F"/>
    <w:rsid w:val="00B16DEE"/>
    <w:rsid w:val="00B17192"/>
    <w:rsid w:val="00B208E7"/>
    <w:rsid w:val="00B2316F"/>
    <w:rsid w:val="00B232AF"/>
    <w:rsid w:val="00B23F83"/>
    <w:rsid w:val="00B2454B"/>
    <w:rsid w:val="00B24814"/>
    <w:rsid w:val="00B2524B"/>
    <w:rsid w:val="00B2573C"/>
    <w:rsid w:val="00B25DE3"/>
    <w:rsid w:val="00B2626F"/>
    <w:rsid w:val="00B26F34"/>
    <w:rsid w:val="00B27682"/>
    <w:rsid w:val="00B319D1"/>
    <w:rsid w:val="00B330C3"/>
    <w:rsid w:val="00B336C1"/>
    <w:rsid w:val="00B34A54"/>
    <w:rsid w:val="00B34D79"/>
    <w:rsid w:val="00B36C44"/>
    <w:rsid w:val="00B379A1"/>
    <w:rsid w:val="00B37C87"/>
    <w:rsid w:val="00B4003E"/>
    <w:rsid w:val="00B400EF"/>
    <w:rsid w:val="00B41572"/>
    <w:rsid w:val="00B42D59"/>
    <w:rsid w:val="00B4334D"/>
    <w:rsid w:val="00B45C0B"/>
    <w:rsid w:val="00B45C89"/>
    <w:rsid w:val="00B47177"/>
    <w:rsid w:val="00B47A2D"/>
    <w:rsid w:val="00B5021E"/>
    <w:rsid w:val="00B502E8"/>
    <w:rsid w:val="00B5056D"/>
    <w:rsid w:val="00B506FF"/>
    <w:rsid w:val="00B50FF6"/>
    <w:rsid w:val="00B52414"/>
    <w:rsid w:val="00B5343C"/>
    <w:rsid w:val="00B535F4"/>
    <w:rsid w:val="00B53A6F"/>
    <w:rsid w:val="00B53CAD"/>
    <w:rsid w:val="00B54769"/>
    <w:rsid w:val="00B5599A"/>
    <w:rsid w:val="00B55ECC"/>
    <w:rsid w:val="00B56D38"/>
    <w:rsid w:val="00B57380"/>
    <w:rsid w:val="00B60944"/>
    <w:rsid w:val="00B61A33"/>
    <w:rsid w:val="00B61DBE"/>
    <w:rsid w:val="00B61E45"/>
    <w:rsid w:val="00B620C9"/>
    <w:rsid w:val="00B62560"/>
    <w:rsid w:val="00B634CE"/>
    <w:rsid w:val="00B635D6"/>
    <w:rsid w:val="00B639F0"/>
    <w:rsid w:val="00B6438D"/>
    <w:rsid w:val="00B6469B"/>
    <w:rsid w:val="00B6518D"/>
    <w:rsid w:val="00B652EA"/>
    <w:rsid w:val="00B65545"/>
    <w:rsid w:val="00B65886"/>
    <w:rsid w:val="00B6594F"/>
    <w:rsid w:val="00B67247"/>
    <w:rsid w:val="00B67F68"/>
    <w:rsid w:val="00B70670"/>
    <w:rsid w:val="00B71259"/>
    <w:rsid w:val="00B719E8"/>
    <w:rsid w:val="00B71C06"/>
    <w:rsid w:val="00B71FE4"/>
    <w:rsid w:val="00B723D1"/>
    <w:rsid w:val="00B72466"/>
    <w:rsid w:val="00B72A0C"/>
    <w:rsid w:val="00B74320"/>
    <w:rsid w:val="00B743FE"/>
    <w:rsid w:val="00B753CD"/>
    <w:rsid w:val="00B75D60"/>
    <w:rsid w:val="00B7710E"/>
    <w:rsid w:val="00B801AA"/>
    <w:rsid w:val="00B803B2"/>
    <w:rsid w:val="00B80855"/>
    <w:rsid w:val="00B827BF"/>
    <w:rsid w:val="00B82D67"/>
    <w:rsid w:val="00B82EB1"/>
    <w:rsid w:val="00B83506"/>
    <w:rsid w:val="00B83C43"/>
    <w:rsid w:val="00B85F5D"/>
    <w:rsid w:val="00B86290"/>
    <w:rsid w:val="00B86722"/>
    <w:rsid w:val="00B86BF9"/>
    <w:rsid w:val="00B87949"/>
    <w:rsid w:val="00B87968"/>
    <w:rsid w:val="00B87D47"/>
    <w:rsid w:val="00B907DE"/>
    <w:rsid w:val="00B90B20"/>
    <w:rsid w:val="00B91A97"/>
    <w:rsid w:val="00B92058"/>
    <w:rsid w:val="00B93275"/>
    <w:rsid w:val="00B93847"/>
    <w:rsid w:val="00B940D6"/>
    <w:rsid w:val="00B94110"/>
    <w:rsid w:val="00B95DB5"/>
    <w:rsid w:val="00B95EA9"/>
    <w:rsid w:val="00B96128"/>
    <w:rsid w:val="00BA086D"/>
    <w:rsid w:val="00BA27B9"/>
    <w:rsid w:val="00BA29A3"/>
    <w:rsid w:val="00BA2B5A"/>
    <w:rsid w:val="00BA396A"/>
    <w:rsid w:val="00BA3B4D"/>
    <w:rsid w:val="00BA440E"/>
    <w:rsid w:val="00BA46D5"/>
    <w:rsid w:val="00BA4761"/>
    <w:rsid w:val="00BA5988"/>
    <w:rsid w:val="00BA5EA9"/>
    <w:rsid w:val="00BA6677"/>
    <w:rsid w:val="00BA6CF0"/>
    <w:rsid w:val="00BA7B5F"/>
    <w:rsid w:val="00BA7D53"/>
    <w:rsid w:val="00BB07CA"/>
    <w:rsid w:val="00BB13B0"/>
    <w:rsid w:val="00BB2243"/>
    <w:rsid w:val="00BB2472"/>
    <w:rsid w:val="00BB26BD"/>
    <w:rsid w:val="00BB3071"/>
    <w:rsid w:val="00BB4DA8"/>
    <w:rsid w:val="00BB5C9B"/>
    <w:rsid w:val="00BB654C"/>
    <w:rsid w:val="00BB7259"/>
    <w:rsid w:val="00BB78E4"/>
    <w:rsid w:val="00BB7D10"/>
    <w:rsid w:val="00BC08F9"/>
    <w:rsid w:val="00BC2FB5"/>
    <w:rsid w:val="00BC7E1A"/>
    <w:rsid w:val="00BD0CCA"/>
    <w:rsid w:val="00BD0E1B"/>
    <w:rsid w:val="00BD14DA"/>
    <w:rsid w:val="00BD1520"/>
    <w:rsid w:val="00BD16A2"/>
    <w:rsid w:val="00BD17B8"/>
    <w:rsid w:val="00BD4A82"/>
    <w:rsid w:val="00BD4AF5"/>
    <w:rsid w:val="00BD581A"/>
    <w:rsid w:val="00BD6B29"/>
    <w:rsid w:val="00BE021F"/>
    <w:rsid w:val="00BE0B77"/>
    <w:rsid w:val="00BE1113"/>
    <w:rsid w:val="00BE2894"/>
    <w:rsid w:val="00BE28BA"/>
    <w:rsid w:val="00BE418D"/>
    <w:rsid w:val="00BE43EF"/>
    <w:rsid w:val="00BE4D39"/>
    <w:rsid w:val="00BE6C75"/>
    <w:rsid w:val="00BE6CE2"/>
    <w:rsid w:val="00BE6E37"/>
    <w:rsid w:val="00BE6F01"/>
    <w:rsid w:val="00BF0CD5"/>
    <w:rsid w:val="00BF2BAC"/>
    <w:rsid w:val="00BF35F2"/>
    <w:rsid w:val="00BF3885"/>
    <w:rsid w:val="00BF4700"/>
    <w:rsid w:val="00BF5832"/>
    <w:rsid w:val="00BF60FB"/>
    <w:rsid w:val="00BF61DA"/>
    <w:rsid w:val="00BF7616"/>
    <w:rsid w:val="00C012D5"/>
    <w:rsid w:val="00C03ECB"/>
    <w:rsid w:val="00C0410F"/>
    <w:rsid w:val="00C04D71"/>
    <w:rsid w:val="00C055D0"/>
    <w:rsid w:val="00C05A43"/>
    <w:rsid w:val="00C05BD9"/>
    <w:rsid w:val="00C06C13"/>
    <w:rsid w:val="00C074CA"/>
    <w:rsid w:val="00C11480"/>
    <w:rsid w:val="00C1189D"/>
    <w:rsid w:val="00C120BB"/>
    <w:rsid w:val="00C12496"/>
    <w:rsid w:val="00C124FE"/>
    <w:rsid w:val="00C12A5C"/>
    <w:rsid w:val="00C1366B"/>
    <w:rsid w:val="00C136D9"/>
    <w:rsid w:val="00C149D9"/>
    <w:rsid w:val="00C16774"/>
    <w:rsid w:val="00C20685"/>
    <w:rsid w:val="00C2267C"/>
    <w:rsid w:val="00C2287D"/>
    <w:rsid w:val="00C22FE8"/>
    <w:rsid w:val="00C23066"/>
    <w:rsid w:val="00C235C9"/>
    <w:rsid w:val="00C23A65"/>
    <w:rsid w:val="00C23C09"/>
    <w:rsid w:val="00C24E48"/>
    <w:rsid w:val="00C255CB"/>
    <w:rsid w:val="00C261D6"/>
    <w:rsid w:val="00C27ACA"/>
    <w:rsid w:val="00C308AD"/>
    <w:rsid w:val="00C30E75"/>
    <w:rsid w:val="00C31167"/>
    <w:rsid w:val="00C31EAC"/>
    <w:rsid w:val="00C348FC"/>
    <w:rsid w:val="00C34A09"/>
    <w:rsid w:val="00C35560"/>
    <w:rsid w:val="00C36D02"/>
    <w:rsid w:val="00C40878"/>
    <w:rsid w:val="00C408BB"/>
    <w:rsid w:val="00C40B12"/>
    <w:rsid w:val="00C40BF0"/>
    <w:rsid w:val="00C41E74"/>
    <w:rsid w:val="00C41EEE"/>
    <w:rsid w:val="00C42716"/>
    <w:rsid w:val="00C428C5"/>
    <w:rsid w:val="00C4294E"/>
    <w:rsid w:val="00C448B7"/>
    <w:rsid w:val="00C45DB4"/>
    <w:rsid w:val="00C45F58"/>
    <w:rsid w:val="00C469A0"/>
    <w:rsid w:val="00C46E5A"/>
    <w:rsid w:val="00C47624"/>
    <w:rsid w:val="00C47AC3"/>
    <w:rsid w:val="00C5028A"/>
    <w:rsid w:val="00C504A0"/>
    <w:rsid w:val="00C5082A"/>
    <w:rsid w:val="00C50869"/>
    <w:rsid w:val="00C51262"/>
    <w:rsid w:val="00C52038"/>
    <w:rsid w:val="00C525D6"/>
    <w:rsid w:val="00C53851"/>
    <w:rsid w:val="00C55002"/>
    <w:rsid w:val="00C55728"/>
    <w:rsid w:val="00C55B56"/>
    <w:rsid w:val="00C56EFF"/>
    <w:rsid w:val="00C6012A"/>
    <w:rsid w:val="00C612F0"/>
    <w:rsid w:val="00C61852"/>
    <w:rsid w:val="00C61AEE"/>
    <w:rsid w:val="00C625B0"/>
    <w:rsid w:val="00C631A9"/>
    <w:rsid w:val="00C633B9"/>
    <w:rsid w:val="00C63952"/>
    <w:rsid w:val="00C63D99"/>
    <w:rsid w:val="00C6488D"/>
    <w:rsid w:val="00C65AE3"/>
    <w:rsid w:val="00C66EE0"/>
    <w:rsid w:val="00C672F4"/>
    <w:rsid w:val="00C700B2"/>
    <w:rsid w:val="00C704CE"/>
    <w:rsid w:val="00C70CCA"/>
    <w:rsid w:val="00C72F5C"/>
    <w:rsid w:val="00C7318D"/>
    <w:rsid w:val="00C731B6"/>
    <w:rsid w:val="00C74632"/>
    <w:rsid w:val="00C74FB7"/>
    <w:rsid w:val="00C7504C"/>
    <w:rsid w:val="00C75318"/>
    <w:rsid w:val="00C7575F"/>
    <w:rsid w:val="00C75938"/>
    <w:rsid w:val="00C759C1"/>
    <w:rsid w:val="00C76BB7"/>
    <w:rsid w:val="00C76D91"/>
    <w:rsid w:val="00C80471"/>
    <w:rsid w:val="00C809B8"/>
    <w:rsid w:val="00C810F3"/>
    <w:rsid w:val="00C82E85"/>
    <w:rsid w:val="00C83C54"/>
    <w:rsid w:val="00C83E16"/>
    <w:rsid w:val="00C84924"/>
    <w:rsid w:val="00C84E8A"/>
    <w:rsid w:val="00C8793D"/>
    <w:rsid w:val="00C87B1E"/>
    <w:rsid w:val="00C90018"/>
    <w:rsid w:val="00C90BFA"/>
    <w:rsid w:val="00C92600"/>
    <w:rsid w:val="00C93782"/>
    <w:rsid w:val="00C93E4A"/>
    <w:rsid w:val="00C94BBA"/>
    <w:rsid w:val="00C94EA9"/>
    <w:rsid w:val="00C95513"/>
    <w:rsid w:val="00C95C89"/>
    <w:rsid w:val="00C96C17"/>
    <w:rsid w:val="00CA0FEE"/>
    <w:rsid w:val="00CA1540"/>
    <w:rsid w:val="00CA1659"/>
    <w:rsid w:val="00CA2763"/>
    <w:rsid w:val="00CA3355"/>
    <w:rsid w:val="00CA3699"/>
    <w:rsid w:val="00CA3BB0"/>
    <w:rsid w:val="00CA3D6A"/>
    <w:rsid w:val="00CA4DA6"/>
    <w:rsid w:val="00CA6301"/>
    <w:rsid w:val="00CA7A4C"/>
    <w:rsid w:val="00CB1B6F"/>
    <w:rsid w:val="00CB1E84"/>
    <w:rsid w:val="00CB289A"/>
    <w:rsid w:val="00CB328A"/>
    <w:rsid w:val="00CB37BA"/>
    <w:rsid w:val="00CB4157"/>
    <w:rsid w:val="00CB4437"/>
    <w:rsid w:val="00CB4A4F"/>
    <w:rsid w:val="00CB5402"/>
    <w:rsid w:val="00CB5AB1"/>
    <w:rsid w:val="00CB5C99"/>
    <w:rsid w:val="00CB637D"/>
    <w:rsid w:val="00CB7BB1"/>
    <w:rsid w:val="00CB7F68"/>
    <w:rsid w:val="00CC3265"/>
    <w:rsid w:val="00CC3EB7"/>
    <w:rsid w:val="00CC4C2A"/>
    <w:rsid w:val="00CC55FF"/>
    <w:rsid w:val="00CC69A1"/>
    <w:rsid w:val="00CC6EFE"/>
    <w:rsid w:val="00CC7BAB"/>
    <w:rsid w:val="00CD0675"/>
    <w:rsid w:val="00CD0684"/>
    <w:rsid w:val="00CD148C"/>
    <w:rsid w:val="00CD185E"/>
    <w:rsid w:val="00CD1D2C"/>
    <w:rsid w:val="00CD21B9"/>
    <w:rsid w:val="00CD2FC8"/>
    <w:rsid w:val="00CD3933"/>
    <w:rsid w:val="00CD3D29"/>
    <w:rsid w:val="00CD3D4F"/>
    <w:rsid w:val="00CD3E25"/>
    <w:rsid w:val="00CD3FB0"/>
    <w:rsid w:val="00CD4F6D"/>
    <w:rsid w:val="00CD5121"/>
    <w:rsid w:val="00CD5A03"/>
    <w:rsid w:val="00CD67D6"/>
    <w:rsid w:val="00CD6B69"/>
    <w:rsid w:val="00CD7CAF"/>
    <w:rsid w:val="00CE11E9"/>
    <w:rsid w:val="00CE11FE"/>
    <w:rsid w:val="00CE17F2"/>
    <w:rsid w:val="00CE24B4"/>
    <w:rsid w:val="00CE258D"/>
    <w:rsid w:val="00CE279C"/>
    <w:rsid w:val="00CE30D5"/>
    <w:rsid w:val="00CE470E"/>
    <w:rsid w:val="00CE58BA"/>
    <w:rsid w:val="00CE7CA4"/>
    <w:rsid w:val="00CE7E87"/>
    <w:rsid w:val="00CF0E20"/>
    <w:rsid w:val="00CF1B95"/>
    <w:rsid w:val="00CF210B"/>
    <w:rsid w:val="00CF2CDE"/>
    <w:rsid w:val="00CF2F34"/>
    <w:rsid w:val="00CF302C"/>
    <w:rsid w:val="00CF3462"/>
    <w:rsid w:val="00CF4433"/>
    <w:rsid w:val="00CF55CB"/>
    <w:rsid w:val="00CF572B"/>
    <w:rsid w:val="00CF5C36"/>
    <w:rsid w:val="00CF6C37"/>
    <w:rsid w:val="00CF6F8E"/>
    <w:rsid w:val="00CF711F"/>
    <w:rsid w:val="00CF7C7A"/>
    <w:rsid w:val="00CF7E51"/>
    <w:rsid w:val="00CF7F16"/>
    <w:rsid w:val="00D001EF"/>
    <w:rsid w:val="00D01418"/>
    <w:rsid w:val="00D01613"/>
    <w:rsid w:val="00D0287F"/>
    <w:rsid w:val="00D02E1A"/>
    <w:rsid w:val="00D02E6B"/>
    <w:rsid w:val="00D0475A"/>
    <w:rsid w:val="00D05A65"/>
    <w:rsid w:val="00D05CE8"/>
    <w:rsid w:val="00D079E0"/>
    <w:rsid w:val="00D1002A"/>
    <w:rsid w:val="00D10107"/>
    <w:rsid w:val="00D10AE1"/>
    <w:rsid w:val="00D1291A"/>
    <w:rsid w:val="00D133F8"/>
    <w:rsid w:val="00D136C0"/>
    <w:rsid w:val="00D13798"/>
    <w:rsid w:val="00D14704"/>
    <w:rsid w:val="00D149CA"/>
    <w:rsid w:val="00D14B54"/>
    <w:rsid w:val="00D15181"/>
    <w:rsid w:val="00D153B0"/>
    <w:rsid w:val="00D16DF7"/>
    <w:rsid w:val="00D16F70"/>
    <w:rsid w:val="00D1768D"/>
    <w:rsid w:val="00D17B8B"/>
    <w:rsid w:val="00D17DCF"/>
    <w:rsid w:val="00D20F6E"/>
    <w:rsid w:val="00D21313"/>
    <w:rsid w:val="00D213C7"/>
    <w:rsid w:val="00D222CF"/>
    <w:rsid w:val="00D242C6"/>
    <w:rsid w:val="00D255C8"/>
    <w:rsid w:val="00D2600A"/>
    <w:rsid w:val="00D26BF4"/>
    <w:rsid w:val="00D3001E"/>
    <w:rsid w:val="00D31C9B"/>
    <w:rsid w:val="00D32354"/>
    <w:rsid w:val="00D328D6"/>
    <w:rsid w:val="00D32C4F"/>
    <w:rsid w:val="00D34183"/>
    <w:rsid w:val="00D3432B"/>
    <w:rsid w:val="00D353D9"/>
    <w:rsid w:val="00D3573E"/>
    <w:rsid w:val="00D36292"/>
    <w:rsid w:val="00D36BE7"/>
    <w:rsid w:val="00D400FF"/>
    <w:rsid w:val="00D402A3"/>
    <w:rsid w:val="00D405CB"/>
    <w:rsid w:val="00D414D6"/>
    <w:rsid w:val="00D429C3"/>
    <w:rsid w:val="00D438DE"/>
    <w:rsid w:val="00D441B4"/>
    <w:rsid w:val="00D4616E"/>
    <w:rsid w:val="00D463AA"/>
    <w:rsid w:val="00D50142"/>
    <w:rsid w:val="00D50CF9"/>
    <w:rsid w:val="00D51288"/>
    <w:rsid w:val="00D51578"/>
    <w:rsid w:val="00D52C26"/>
    <w:rsid w:val="00D52CB4"/>
    <w:rsid w:val="00D53932"/>
    <w:rsid w:val="00D53F62"/>
    <w:rsid w:val="00D555F9"/>
    <w:rsid w:val="00D556F1"/>
    <w:rsid w:val="00D5619D"/>
    <w:rsid w:val="00D56ADB"/>
    <w:rsid w:val="00D56C5D"/>
    <w:rsid w:val="00D56F77"/>
    <w:rsid w:val="00D6008F"/>
    <w:rsid w:val="00D60DB7"/>
    <w:rsid w:val="00D613AE"/>
    <w:rsid w:val="00D61943"/>
    <w:rsid w:val="00D62BD7"/>
    <w:rsid w:val="00D63369"/>
    <w:rsid w:val="00D63413"/>
    <w:rsid w:val="00D64361"/>
    <w:rsid w:val="00D64870"/>
    <w:rsid w:val="00D64AAF"/>
    <w:rsid w:val="00D64C8B"/>
    <w:rsid w:val="00D659E4"/>
    <w:rsid w:val="00D661E3"/>
    <w:rsid w:val="00D66282"/>
    <w:rsid w:val="00D6681A"/>
    <w:rsid w:val="00D66BEA"/>
    <w:rsid w:val="00D6722E"/>
    <w:rsid w:val="00D6731B"/>
    <w:rsid w:val="00D70410"/>
    <w:rsid w:val="00D71682"/>
    <w:rsid w:val="00D72721"/>
    <w:rsid w:val="00D74EA2"/>
    <w:rsid w:val="00D75089"/>
    <w:rsid w:val="00D75A42"/>
    <w:rsid w:val="00D81951"/>
    <w:rsid w:val="00D819E4"/>
    <w:rsid w:val="00D829CD"/>
    <w:rsid w:val="00D8305D"/>
    <w:rsid w:val="00D83759"/>
    <w:rsid w:val="00D84259"/>
    <w:rsid w:val="00D842AF"/>
    <w:rsid w:val="00D844AF"/>
    <w:rsid w:val="00D849CC"/>
    <w:rsid w:val="00D85D34"/>
    <w:rsid w:val="00D86AB3"/>
    <w:rsid w:val="00D86D1E"/>
    <w:rsid w:val="00D87115"/>
    <w:rsid w:val="00D87B1F"/>
    <w:rsid w:val="00D9013D"/>
    <w:rsid w:val="00D90539"/>
    <w:rsid w:val="00D90B62"/>
    <w:rsid w:val="00D912FA"/>
    <w:rsid w:val="00D91D17"/>
    <w:rsid w:val="00D91D38"/>
    <w:rsid w:val="00D927DD"/>
    <w:rsid w:val="00D92C17"/>
    <w:rsid w:val="00D934D8"/>
    <w:rsid w:val="00D9467E"/>
    <w:rsid w:val="00D95823"/>
    <w:rsid w:val="00D958FA"/>
    <w:rsid w:val="00D974CF"/>
    <w:rsid w:val="00D97904"/>
    <w:rsid w:val="00D97E0B"/>
    <w:rsid w:val="00DA02A1"/>
    <w:rsid w:val="00DA0F36"/>
    <w:rsid w:val="00DA21E6"/>
    <w:rsid w:val="00DA2DBF"/>
    <w:rsid w:val="00DA2F8B"/>
    <w:rsid w:val="00DA2FDB"/>
    <w:rsid w:val="00DA3FC0"/>
    <w:rsid w:val="00DA475F"/>
    <w:rsid w:val="00DA50C3"/>
    <w:rsid w:val="00DA5358"/>
    <w:rsid w:val="00DA5E0D"/>
    <w:rsid w:val="00DA618B"/>
    <w:rsid w:val="00DA6A3B"/>
    <w:rsid w:val="00DA6C8E"/>
    <w:rsid w:val="00DA6E25"/>
    <w:rsid w:val="00DA7549"/>
    <w:rsid w:val="00DA7628"/>
    <w:rsid w:val="00DA78ED"/>
    <w:rsid w:val="00DA79B2"/>
    <w:rsid w:val="00DA7AEB"/>
    <w:rsid w:val="00DA7BB8"/>
    <w:rsid w:val="00DB0546"/>
    <w:rsid w:val="00DB0570"/>
    <w:rsid w:val="00DB0B57"/>
    <w:rsid w:val="00DB1A0B"/>
    <w:rsid w:val="00DB1A8A"/>
    <w:rsid w:val="00DB22EC"/>
    <w:rsid w:val="00DB2842"/>
    <w:rsid w:val="00DB5120"/>
    <w:rsid w:val="00DB5AE9"/>
    <w:rsid w:val="00DB63E0"/>
    <w:rsid w:val="00DB67B2"/>
    <w:rsid w:val="00DB6970"/>
    <w:rsid w:val="00DB6E92"/>
    <w:rsid w:val="00DB7515"/>
    <w:rsid w:val="00DC0B7E"/>
    <w:rsid w:val="00DC1C58"/>
    <w:rsid w:val="00DC2451"/>
    <w:rsid w:val="00DC2610"/>
    <w:rsid w:val="00DC2A70"/>
    <w:rsid w:val="00DC2BB3"/>
    <w:rsid w:val="00DC4673"/>
    <w:rsid w:val="00DC4CE9"/>
    <w:rsid w:val="00DC5812"/>
    <w:rsid w:val="00DC5C08"/>
    <w:rsid w:val="00DC634F"/>
    <w:rsid w:val="00DC749B"/>
    <w:rsid w:val="00DC7FE1"/>
    <w:rsid w:val="00DD0974"/>
    <w:rsid w:val="00DD1BE8"/>
    <w:rsid w:val="00DD2808"/>
    <w:rsid w:val="00DD472F"/>
    <w:rsid w:val="00DD4954"/>
    <w:rsid w:val="00DD4C91"/>
    <w:rsid w:val="00DD5F88"/>
    <w:rsid w:val="00DD6AF7"/>
    <w:rsid w:val="00DD7F04"/>
    <w:rsid w:val="00DE03AC"/>
    <w:rsid w:val="00DE0744"/>
    <w:rsid w:val="00DE0912"/>
    <w:rsid w:val="00DE0CE7"/>
    <w:rsid w:val="00DE11AA"/>
    <w:rsid w:val="00DE250C"/>
    <w:rsid w:val="00DE2D9B"/>
    <w:rsid w:val="00DE35DC"/>
    <w:rsid w:val="00DE4C68"/>
    <w:rsid w:val="00DE5439"/>
    <w:rsid w:val="00DE547D"/>
    <w:rsid w:val="00DE69D6"/>
    <w:rsid w:val="00DE6D58"/>
    <w:rsid w:val="00DE7091"/>
    <w:rsid w:val="00DE7C48"/>
    <w:rsid w:val="00DE7F94"/>
    <w:rsid w:val="00DF05BF"/>
    <w:rsid w:val="00DF0BFC"/>
    <w:rsid w:val="00DF1933"/>
    <w:rsid w:val="00DF2054"/>
    <w:rsid w:val="00DF2B2F"/>
    <w:rsid w:val="00DF383A"/>
    <w:rsid w:val="00DF3C46"/>
    <w:rsid w:val="00DF7B68"/>
    <w:rsid w:val="00E006FE"/>
    <w:rsid w:val="00E00923"/>
    <w:rsid w:val="00E00A9F"/>
    <w:rsid w:val="00E02DFF"/>
    <w:rsid w:val="00E03F70"/>
    <w:rsid w:val="00E042CE"/>
    <w:rsid w:val="00E055A6"/>
    <w:rsid w:val="00E10940"/>
    <w:rsid w:val="00E112B0"/>
    <w:rsid w:val="00E11603"/>
    <w:rsid w:val="00E12696"/>
    <w:rsid w:val="00E12FC8"/>
    <w:rsid w:val="00E13276"/>
    <w:rsid w:val="00E133DB"/>
    <w:rsid w:val="00E140D6"/>
    <w:rsid w:val="00E14B8C"/>
    <w:rsid w:val="00E163FB"/>
    <w:rsid w:val="00E1664D"/>
    <w:rsid w:val="00E16941"/>
    <w:rsid w:val="00E16BC3"/>
    <w:rsid w:val="00E20B42"/>
    <w:rsid w:val="00E22006"/>
    <w:rsid w:val="00E2221B"/>
    <w:rsid w:val="00E22A59"/>
    <w:rsid w:val="00E236A0"/>
    <w:rsid w:val="00E26279"/>
    <w:rsid w:val="00E27B8C"/>
    <w:rsid w:val="00E3247D"/>
    <w:rsid w:val="00E329E8"/>
    <w:rsid w:val="00E32C2F"/>
    <w:rsid w:val="00E32E78"/>
    <w:rsid w:val="00E33305"/>
    <w:rsid w:val="00E3376D"/>
    <w:rsid w:val="00E33A5A"/>
    <w:rsid w:val="00E342A5"/>
    <w:rsid w:val="00E346CB"/>
    <w:rsid w:val="00E35217"/>
    <w:rsid w:val="00E373F6"/>
    <w:rsid w:val="00E37DFC"/>
    <w:rsid w:val="00E37E76"/>
    <w:rsid w:val="00E410E7"/>
    <w:rsid w:val="00E417AC"/>
    <w:rsid w:val="00E41B52"/>
    <w:rsid w:val="00E433B4"/>
    <w:rsid w:val="00E44618"/>
    <w:rsid w:val="00E4489E"/>
    <w:rsid w:val="00E453E2"/>
    <w:rsid w:val="00E46769"/>
    <w:rsid w:val="00E4694A"/>
    <w:rsid w:val="00E5115E"/>
    <w:rsid w:val="00E512E4"/>
    <w:rsid w:val="00E51AA6"/>
    <w:rsid w:val="00E53016"/>
    <w:rsid w:val="00E530BF"/>
    <w:rsid w:val="00E53911"/>
    <w:rsid w:val="00E53AD9"/>
    <w:rsid w:val="00E53EDA"/>
    <w:rsid w:val="00E546B0"/>
    <w:rsid w:val="00E54C1A"/>
    <w:rsid w:val="00E54E1B"/>
    <w:rsid w:val="00E56A0C"/>
    <w:rsid w:val="00E57FD7"/>
    <w:rsid w:val="00E605CA"/>
    <w:rsid w:val="00E60D97"/>
    <w:rsid w:val="00E62D0A"/>
    <w:rsid w:val="00E63ADC"/>
    <w:rsid w:val="00E64A01"/>
    <w:rsid w:val="00E64D67"/>
    <w:rsid w:val="00E6520C"/>
    <w:rsid w:val="00E65C38"/>
    <w:rsid w:val="00E66CE3"/>
    <w:rsid w:val="00E67725"/>
    <w:rsid w:val="00E67BE5"/>
    <w:rsid w:val="00E70134"/>
    <w:rsid w:val="00E701D5"/>
    <w:rsid w:val="00E71065"/>
    <w:rsid w:val="00E7150A"/>
    <w:rsid w:val="00E716B6"/>
    <w:rsid w:val="00E7190B"/>
    <w:rsid w:val="00E7341C"/>
    <w:rsid w:val="00E7398E"/>
    <w:rsid w:val="00E73B80"/>
    <w:rsid w:val="00E73D2F"/>
    <w:rsid w:val="00E74078"/>
    <w:rsid w:val="00E74536"/>
    <w:rsid w:val="00E74992"/>
    <w:rsid w:val="00E74C71"/>
    <w:rsid w:val="00E74E3A"/>
    <w:rsid w:val="00E7605E"/>
    <w:rsid w:val="00E76DE1"/>
    <w:rsid w:val="00E77574"/>
    <w:rsid w:val="00E77AC8"/>
    <w:rsid w:val="00E8081E"/>
    <w:rsid w:val="00E80E44"/>
    <w:rsid w:val="00E81909"/>
    <w:rsid w:val="00E84074"/>
    <w:rsid w:val="00E84877"/>
    <w:rsid w:val="00E84A88"/>
    <w:rsid w:val="00E85453"/>
    <w:rsid w:val="00E863F8"/>
    <w:rsid w:val="00E86CC2"/>
    <w:rsid w:val="00E86E07"/>
    <w:rsid w:val="00E86E5E"/>
    <w:rsid w:val="00E876B6"/>
    <w:rsid w:val="00E9005B"/>
    <w:rsid w:val="00E90F76"/>
    <w:rsid w:val="00E91F98"/>
    <w:rsid w:val="00E924F6"/>
    <w:rsid w:val="00E92561"/>
    <w:rsid w:val="00E9292D"/>
    <w:rsid w:val="00E9395D"/>
    <w:rsid w:val="00E943F3"/>
    <w:rsid w:val="00E961FD"/>
    <w:rsid w:val="00E96E96"/>
    <w:rsid w:val="00E97FDF"/>
    <w:rsid w:val="00EA0702"/>
    <w:rsid w:val="00EA1CC0"/>
    <w:rsid w:val="00EA42C7"/>
    <w:rsid w:val="00EA4449"/>
    <w:rsid w:val="00EA4579"/>
    <w:rsid w:val="00EA5675"/>
    <w:rsid w:val="00EA66D1"/>
    <w:rsid w:val="00EA7677"/>
    <w:rsid w:val="00EB2D3E"/>
    <w:rsid w:val="00EB2F2E"/>
    <w:rsid w:val="00EB3E30"/>
    <w:rsid w:val="00EB4A95"/>
    <w:rsid w:val="00EB533C"/>
    <w:rsid w:val="00EB641D"/>
    <w:rsid w:val="00EB6EC1"/>
    <w:rsid w:val="00EB6FB3"/>
    <w:rsid w:val="00EB7189"/>
    <w:rsid w:val="00EB789B"/>
    <w:rsid w:val="00EC02CD"/>
    <w:rsid w:val="00EC0ABA"/>
    <w:rsid w:val="00EC1FC3"/>
    <w:rsid w:val="00EC2D5A"/>
    <w:rsid w:val="00EC30CB"/>
    <w:rsid w:val="00EC375B"/>
    <w:rsid w:val="00EC40C3"/>
    <w:rsid w:val="00EC4F2E"/>
    <w:rsid w:val="00EC6E5C"/>
    <w:rsid w:val="00EC6F9C"/>
    <w:rsid w:val="00EC7131"/>
    <w:rsid w:val="00EC720E"/>
    <w:rsid w:val="00EC7C65"/>
    <w:rsid w:val="00EC7F98"/>
    <w:rsid w:val="00ED2248"/>
    <w:rsid w:val="00ED2A3A"/>
    <w:rsid w:val="00ED3A1F"/>
    <w:rsid w:val="00ED3EFC"/>
    <w:rsid w:val="00ED4054"/>
    <w:rsid w:val="00ED4956"/>
    <w:rsid w:val="00ED5AB8"/>
    <w:rsid w:val="00ED7B42"/>
    <w:rsid w:val="00EE124D"/>
    <w:rsid w:val="00EE332D"/>
    <w:rsid w:val="00EE3592"/>
    <w:rsid w:val="00EE36F9"/>
    <w:rsid w:val="00EE4177"/>
    <w:rsid w:val="00EE648B"/>
    <w:rsid w:val="00EE68FD"/>
    <w:rsid w:val="00EE7C38"/>
    <w:rsid w:val="00EF0BB8"/>
    <w:rsid w:val="00EF0E62"/>
    <w:rsid w:val="00EF0EBF"/>
    <w:rsid w:val="00EF1922"/>
    <w:rsid w:val="00EF1FC9"/>
    <w:rsid w:val="00EF262F"/>
    <w:rsid w:val="00EF2817"/>
    <w:rsid w:val="00EF2A7B"/>
    <w:rsid w:val="00EF3BA9"/>
    <w:rsid w:val="00EF4457"/>
    <w:rsid w:val="00EF4D8E"/>
    <w:rsid w:val="00EF52FD"/>
    <w:rsid w:val="00EF5B50"/>
    <w:rsid w:val="00EF63E9"/>
    <w:rsid w:val="00EF6CBB"/>
    <w:rsid w:val="00EF7015"/>
    <w:rsid w:val="00EF7271"/>
    <w:rsid w:val="00EF7A2C"/>
    <w:rsid w:val="00F001FE"/>
    <w:rsid w:val="00F00500"/>
    <w:rsid w:val="00F00A68"/>
    <w:rsid w:val="00F00A84"/>
    <w:rsid w:val="00F01554"/>
    <w:rsid w:val="00F02A29"/>
    <w:rsid w:val="00F033D9"/>
    <w:rsid w:val="00F03723"/>
    <w:rsid w:val="00F037C6"/>
    <w:rsid w:val="00F03E68"/>
    <w:rsid w:val="00F04239"/>
    <w:rsid w:val="00F04FEA"/>
    <w:rsid w:val="00F05A1D"/>
    <w:rsid w:val="00F0698C"/>
    <w:rsid w:val="00F06CDD"/>
    <w:rsid w:val="00F070AC"/>
    <w:rsid w:val="00F07BFF"/>
    <w:rsid w:val="00F105E7"/>
    <w:rsid w:val="00F11B1D"/>
    <w:rsid w:val="00F1226A"/>
    <w:rsid w:val="00F1258C"/>
    <w:rsid w:val="00F131AB"/>
    <w:rsid w:val="00F151AC"/>
    <w:rsid w:val="00F15514"/>
    <w:rsid w:val="00F1568B"/>
    <w:rsid w:val="00F16B36"/>
    <w:rsid w:val="00F17B6E"/>
    <w:rsid w:val="00F2036F"/>
    <w:rsid w:val="00F21178"/>
    <w:rsid w:val="00F22270"/>
    <w:rsid w:val="00F22CA5"/>
    <w:rsid w:val="00F2307A"/>
    <w:rsid w:val="00F23E3B"/>
    <w:rsid w:val="00F240B0"/>
    <w:rsid w:val="00F261CC"/>
    <w:rsid w:val="00F30086"/>
    <w:rsid w:val="00F30959"/>
    <w:rsid w:val="00F312A0"/>
    <w:rsid w:val="00F3159C"/>
    <w:rsid w:val="00F31E22"/>
    <w:rsid w:val="00F31E26"/>
    <w:rsid w:val="00F31FC6"/>
    <w:rsid w:val="00F31FF4"/>
    <w:rsid w:val="00F32175"/>
    <w:rsid w:val="00F3233D"/>
    <w:rsid w:val="00F325B2"/>
    <w:rsid w:val="00F33C79"/>
    <w:rsid w:val="00F354F4"/>
    <w:rsid w:val="00F35940"/>
    <w:rsid w:val="00F36936"/>
    <w:rsid w:val="00F36A38"/>
    <w:rsid w:val="00F3735B"/>
    <w:rsid w:val="00F37467"/>
    <w:rsid w:val="00F37779"/>
    <w:rsid w:val="00F37B12"/>
    <w:rsid w:val="00F37B74"/>
    <w:rsid w:val="00F40DF4"/>
    <w:rsid w:val="00F4130C"/>
    <w:rsid w:val="00F41788"/>
    <w:rsid w:val="00F41D7B"/>
    <w:rsid w:val="00F42085"/>
    <w:rsid w:val="00F43602"/>
    <w:rsid w:val="00F43736"/>
    <w:rsid w:val="00F45082"/>
    <w:rsid w:val="00F45675"/>
    <w:rsid w:val="00F45B5A"/>
    <w:rsid w:val="00F46670"/>
    <w:rsid w:val="00F4686A"/>
    <w:rsid w:val="00F46DD5"/>
    <w:rsid w:val="00F5006D"/>
    <w:rsid w:val="00F508E4"/>
    <w:rsid w:val="00F51128"/>
    <w:rsid w:val="00F5277E"/>
    <w:rsid w:val="00F55257"/>
    <w:rsid w:val="00F553A9"/>
    <w:rsid w:val="00F558D1"/>
    <w:rsid w:val="00F55ADC"/>
    <w:rsid w:val="00F56628"/>
    <w:rsid w:val="00F5666C"/>
    <w:rsid w:val="00F566BA"/>
    <w:rsid w:val="00F56CC8"/>
    <w:rsid w:val="00F57B80"/>
    <w:rsid w:val="00F60472"/>
    <w:rsid w:val="00F604D1"/>
    <w:rsid w:val="00F61447"/>
    <w:rsid w:val="00F61698"/>
    <w:rsid w:val="00F61AF2"/>
    <w:rsid w:val="00F6209B"/>
    <w:rsid w:val="00F6252F"/>
    <w:rsid w:val="00F6253A"/>
    <w:rsid w:val="00F628FE"/>
    <w:rsid w:val="00F63A74"/>
    <w:rsid w:val="00F64798"/>
    <w:rsid w:val="00F64A4B"/>
    <w:rsid w:val="00F64B74"/>
    <w:rsid w:val="00F653F9"/>
    <w:rsid w:val="00F66F40"/>
    <w:rsid w:val="00F66FFC"/>
    <w:rsid w:val="00F6732E"/>
    <w:rsid w:val="00F67835"/>
    <w:rsid w:val="00F70005"/>
    <w:rsid w:val="00F704A5"/>
    <w:rsid w:val="00F72D0E"/>
    <w:rsid w:val="00F73507"/>
    <w:rsid w:val="00F75724"/>
    <w:rsid w:val="00F75DAA"/>
    <w:rsid w:val="00F76380"/>
    <w:rsid w:val="00F76509"/>
    <w:rsid w:val="00F7681B"/>
    <w:rsid w:val="00F76EDB"/>
    <w:rsid w:val="00F7717A"/>
    <w:rsid w:val="00F77419"/>
    <w:rsid w:val="00F80AB8"/>
    <w:rsid w:val="00F812D5"/>
    <w:rsid w:val="00F836BB"/>
    <w:rsid w:val="00F851C1"/>
    <w:rsid w:val="00F85C26"/>
    <w:rsid w:val="00F86142"/>
    <w:rsid w:val="00F8753B"/>
    <w:rsid w:val="00F92A28"/>
    <w:rsid w:val="00F92C0D"/>
    <w:rsid w:val="00F92C86"/>
    <w:rsid w:val="00F92F34"/>
    <w:rsid w:val="00F9336D"/>
    <w:rsid w:val="00F9400D"/>
    <w:rsid w:val="00F948A4"/>
    <w:rsid w:val="00F963DD"/>
    <w:rsid w:val="00F972CD"/>
    <w:rsid w:val="00F97950"/>
    <w:rsid w:val="00F97EA2"/>
    <w:rsid w:val="00FA155D"/>
    <w:rsid w:val="00FA2094"/>
    <w:rsid w:val="00FA2EB8"/>
    <w:rsid w:val="00FA365D"/>
    <w:rsid w:val="00FA36E8"/>
    <w:rsid w:val="00FA37CC"/>
    <w:rsid w:val="00FA7A2E"/>
    <w:rsid w:val="00FB1492"/>
    <w:rsid w:val="00FB1BF3"/>
    <w:rsid w:val="00FB1C90"/>
    <w:rsid w:val="00FB1EA1"/>
    <w:rsid w:val="00FB2E6A"/>
    <w:rsid w:val="00FB3ADF"/>
    <w:rsid w:val="00FB4720"/>
    <w:rsid w:val="00FB49F4"/>
    <w:rsid w:val="00FB4B82"/>
    <w:rsid w:val="00FB4F70"/>
    <w:rsid w:val="00FB67B4"/>
    <w:rsid w:val="00FB71F1"/>
    <w:rsid w:val="00FB731B"/>
    <w:rsid w:val="00FB7FB0"/>
    <w:rsid w:val="00FC052F"/>
    <w:rsid w:val="00FC2C14"/>
    <w:rsid w:val="00FC30FA"/>
    <w:rsid w:val="00FC38F4"/>
    <w:rsid w:val="00FC3C14"/>
    <w:rsid w:val="00FC45B8"/>
    <w:rsid w:val="00FC5154"/>
    <w:rsid w:val="00FC6FC5"/>
    <w:rsid w:val="00FC747E"/>
    <w:rsid w:val="00FC74B8"/>
    <w:rsid w:val="00FD134E"/>
    <w:rsid w:val="00FD173C"/>
    <w:rsid w:val="00FD1750"/>
    <w:rsid w:val="00FD1DD8"/>
    <w:rsid w:val="00FD34D9"/>
    <w:rsid w:val="00FD3564"/>
    <w:rsid w:val="00FD480F"/>
    <w:rsid w:val="00FD487A"/>
    <w:rsid w:val="00FD751A"/>
    <w:rsid w:val="00FE0B38"/>
    <w:rsid w:val="00FE1206"/>
    <w:rsid w:val="00FE1797"/>
    <w:rsid w:val="00FE190E"/>
    <w:rsid w:val="00FE1D88"/>
    <w:rsid w:val="00FE2703"/>
    <w:rsid w:val="00FE60E1"/>
    <w:rsid w:val="00FE67CB"/>
    <w:rsid w:val="00FE7E4B"/>
    <w:rsid w:val="00FF0585"/>
    <w:rsid w:val="00FF151A"/>
    <w:rsid w:val="00FF191B"/>
    <w:rsid w:val="00FF2228"/>
    <w:rsid w:val="00FF2493"/>
    <w:rsid w:val="00FF25EF"/>
    <w:rsid w:val="00FF2A4E"/>
    <w:rsid w:val="00FF3172"/>
    <w:rsid w:val="00FF366A"/>
    <w:rsid w:val="00FF41B1"/>
    <w:rsid w:val="00FF452F"/>
    <w:rsid w:val="00FF4CA8"/>
    <w:rsid w:val="00FF4E67"/>
    <w:rsid w:val="00FF4F99"/>
    <w:rsid w:val="00FF695D"/>
    <w:rsid w:val="00FF70A0"/>
    <w:rsid w:val="00FF7322"/>
    <w:rsid w:val="00FF77A2"/>
    <w:rsid w:val="00FF792F"/>
    <w:rsid w:val="00FF7B66"/>
    <w:rsid w:val="00FF7F07"/>
    <w:rsid w:val="010827C0"/>
    <w:rsid w:val="014F04E5"/>
    <w:rsid w:val="016F283F"/>
    <w:rsid w:val="01920401"/>
    <w:rsid w:val="0195644C"/>
    <w:rsid w:val="019E4202"/>
    <w:rsid w:val="01B87B26"/>
    <w:rsid w:val="01C072D1"/>
    <w:rsid w:val="01C62F65"/>
    <w:rsid w:val="01F23341"/>
    <w:rsid w:val="0255198A"/>
    <w:rsid w:val="027423B3"/>
    <w:rsid w:val="028E7BDF"/>
    <w:rsid w:val="02B472A9"/>
    <w:rsid w:val="02C95469"/>
    <w:rsid w:val="02D34744"/>
    <w:rsid w:val="02D61B95"/>
    <w:rsid w:val="03101E00"/>
    <w:rsid w:val="03E11484"/>
    <w:rsid w:val="04552530"/>
    <w:rsid w:val="0465519A"/>
    <w:rsid w:val="04B05277"/>
    <w:rsid w:val="04B14A54"/>
    <w:rsid w:val="05087233"/>
    <w:rsid w:val="050D4295"/>
    <w:rsid w:val="05371AF0"/>
    <w:rsid w:val="0548574A"/>
    <w:rsid w:val="05544350"/>
    <w:rsid w:val="05967044"/>
    <w:rsid w:val="05BD7A34"/>
    <w:rsid w:val="05D02834"/>
    <w:rsid w:val="05E64C20"/>
    <w:rsid w:val="05ED6429"/>
    <w:rsid w:val="064A0705"/>
    <w:rsid w:val="06897EFF"/>
    <w:rsid w:val="06A04F45"/>
    <w:rsid w:val="06AF7AFE"/>
    <w:rsid w:val="06B04F83"/>
    <w:rsid w:val="06D500D3"/>
    <w:rsid w:val="074143D2"/>
    <w:rsid w:val="07443158"/>
    <w:rsid w:val="07490977"/>
    <w:rsid w:val="074E6108"/>
    <w:rsid w:val="07D41F0B"/>
    <w:rsid w:val="07EF451C"/>
    <w:rsid w:val="080A62FE"/>
    <w:rsid w:val="082779D0"/>
    <w:rsid w:val="08305869"/>
    <w:rsid w:val="088F1F3E"/>
    <w:rsid w:val="089E6217"/>
    <w:rsid w:val="08A8389B"/>
    <w:rsid w:val="08BE09DC"/>
    <w:rsid w:val="08C96CD9"/>
    <w:rsid w:val="08D82CBE"/>
    <w:rsid w:val="08DD6C35"/>
    <w:rsid w:val="08DF2475"/>
    <w:rsid w:val="08E421C5"/>
    <w:rsid w:val="08F63846"/>
    <w:rsid w:val="08F830FA"/>
    <w:rsid w:val="091F4B4B"/>
    <w:rsid w:val="092A4459"/>
    <w:rsid w:val="09F101AC"/>
    <w:rsid w:val="09F547F1"/>
    <w:rsid w:val="0A1641A0"/>
    <w:rsid w:val="0A374116"/>
    <w:rsid w:val="0A425D09"/>
    <w:rsid w:val="0A615213"/>
    <w:rsid w:val="0AD361DF"/>
    <w:rsid w:val="0AF139A7"/>
    <w:rsid w:val="0B590448"/>
    <w:rsid w:val="0BAF7383"/>
    <w:rsid w:val="0BB97AC8"/>
    <w:rsid w:val="0BCA09F3"/>
    <w:rsid w:val="0BCE4606"/>
    <w:rsid w:val="0BCF5D24"/>
    <w:rsid w:val="0C174BC2"/>
    <w:rsid w:val="0C1A784C"/>
    <w:rsid w:val="0C7D722D"/>
    <w:rsid w:val="0CB97FA9"/>
    <w:rsid w:val="0CCB1770"/>
    <w:rsid w:val="0CCE5B94"/>
    <w:rsid w:val="0CEF39AD"/>
    <w:rsid w:val="0CFF1A4A"/>
    <w:rsid w:val="0D3F1B32"/>
    <w:rsid w:val="0D5F286E"/>
    <w:rsid w:val="0DEB14A0"/>
    <w:rsid w:val="0DEB54DD"/>
    <w:rsid w:val="0E096438"/>
    <w:rsid w:val="0E33119A"/>
    <w:rsid w:val="0E484B44"/>
    <w:rsid w:val="0EB775D4"/>
    <w:rsid w:val="0EEF05BA"/>
    <w:rsid w:val="0F0F11BE"/>
    <w:rsid w:val="0F2203CF"/>
    <w:rsid w:val="0F272863"/>
    <w:rsid w:val="0F2C78B5"/>
    <w:rsid w:val="0F49256A"/>
    <w:rsid w:val="0F6256F4"/>
    <w:rsid w:val="0FAC2639"/>
    <w:rsid w:val="0FB2671F"/>
    <w:rsid w:val="0FBF4B97"/>
    <w:rsid w:val="10130368"/>
    <w:rsid w:val="102E514F"/>
    <w:rsid w:val="104C77C0"/>
    <w:rsid w:val="1061783B"/>
    <w:rsid w:val="10BF71E9"/>
    <w:rsid w:val="10D241D0"/>
    <w:rsid w:val="11105DEF"/>
    <w:rsid w:val="111123A7"/>
    <w:rsid w:val="1132247A"/>
    <w:rsid w:val="11511AAD"/>
    <w:rsid w:val="11714438"/>
    <w:rsid w:val="117C475F"/>
    <w:rsid w:val="11D10160"/>
    <w:rsid w:val="1204469C"/>
    <w:rsid w:val="12135469"/>
    <w:rsid w:val="121E04E8"/>
    <w:rsid w:val="12200177"/>
    <w:rsid w:val="126E04C4"/>
    <w:rsid w:val="12791770"/>
    <w:rsid w:val="12900868"/>
    <w:rsid w:val="12C10A21"/>
    <w:rsid w:val="13441AE5"/>
    <w:rsid w:val="134C6DD6"/>
    <w:rsid w:val="136D666B"/>
    <w:rsid w:val="139F799A"/>
    <w:rsid w:val="13B17C71"/>
    <w:rsid w:val="13CE17D5"/>
    <w:rsid w:val="1405689D"/>
    <w:rsid w:val="1425441D"/>
    <w:rsid w:val="14301B0C"/>
    <w:rsid w:val="14711FFC"/>
    <w:rsid w:val="147C18B9"/>
    <w:rsid w:val="147E2158"/>
    <w:rsid w:val="14970D4A"/>
    <w:rsid w:val="14AD4DB8"/>
    <w:rsid w:val="14C4258A"/>
    <w:rsid w:val="15C13494"/>
    <w:rsid w:val="15EC220C"/>
    <w:rsid w:val="15F555B1"/>
    <w:rsid w:val="16005D04"/>
    <w:rsid w:val="161E3404"/>
    <w:rsid w:val="169C77DB"/>
    <w:rsid w:val="16CD208A"/>
    <w:rsid w:val="170A6E3A"/>
    <w:rsid w:val="1720040C"/>
    <w:rsid w:val="1739766D"/>
    <w:rsid w:val="174E3C66"/>
    <w:rsid w:val="175005C5"/>
    <w:rsid w:val="17851D35"/>
    <w:rsid w:val="17BA0860"/>
    <w:rsid w:val="17FF1CA5"/>
    <w:rsid w:val="186576DB"/>
    <w:rsid w:val="1870581D"/>
    <w:rsid w:val="18852DC4"/>
    <w:rsid w:val="18B43EE8"/>
    <w:rsid w:val="194465AB"/>
    <w:rsid w:val="19940024"/>
    <w:rsid w:val="19B73F44"/>
    <w:rsid w:val="1A1C0075"/>
    <w:rsid w:val="1A2235E4"/>
    <w:rsid w:val="1A304E0A"/>
    <w:rsid w:val="1A943AF7"/>
    <w:rsid w:val="1ADC3C25"/>
    <w:rsid w:val="1B2C68C9"/>
    <w:rsid w:val="1B8A22F8"/>
    <w:rsid w:val="1BA809D0"/>
    <w:rsid w:val="1BAD4A8B"/>
    <w:rsid w:val="1BC8769B"/>
    <w:rsid w:val="1C041A94"/>
    <w:rsid w:val="1C456AEB"/>
    <w:rsid w:val="1C817B9F"/>
    <w:rsid w:val="1C8C41A9"/>
    <w:rsid w:val="1C913B90"/>
    <w:rsid w:val="1C982E58"/>
    <w:rsid w:val="1CAA2094"/>
    <w:rsid w:val="1CB338B2"/>
    <w:rsid w:val="1CDB6B83"/>
    <w:rsid w:val="1CF52D14"/>
    <w:rsid w:val="1D076741"/>
    <w:rsid w:val="1D0F3860"/>
    <w:rsid w:val="1D2A5E93"/>
    <w:rsid w:val="1D5C49B8"/>
    <w:rsid w:val="1D6227F8"/>
    <w:rsid w:val="1D644556"/>
    <w:rsid w:val="1DAB7C59"/>
    <w:rsid w:val="1DC96A0D"/>
    <w:rsid w:val="1DE1661E"/>
    <w:rsid w:val="1DFE291F"/>
    <w:rsid w:val="1E141822"/>
    <w:rsid w:val="1E385966"/>
    <w:rsid w:val="1E7D1FC4"/>
    <w:rsid w:val="1E990AA4"/>
    <w:rsid w:val="1EBA2EF4"/>
    <w:rsid w:val="1EC41FC5"/>
    <w:rsid w:val="1EE42889"/>
    <w:rsid w:val="1F4C5B16"/>
    <w:rsid w:val="1F852551"/>
    <w:rsid w:val="1FA73631"/>
    <w:rsid w:val="1FBB64FE"/>
    <w:rsid w:val="1FC009DE"/>
    <w:rsid w:val="1FC35DD8"/>
    <w:rsid w:val="1FF90AD1"/>
    <w:rsid w:val="201448F3"/>
    <w:rsid w:val="2056004D"/>
    <w:rsid w:val="205F5715"/>
    <w:rsid w:val="206B2007"/>
    <w:rsid w:val="207B4905"/>
    <w:rsid w:val="20A04297"/>
    <w:rsid w:val="20C20C31"/>
    <w:rsid w:val="20C84D12"/>
    <w:rsid w:val="210F6386"/>
    <w:rsid w:val="21543824"/>
    <w:rsid w:val="2197751D"/>
    <w:rsid w:val="21A6126D"/>
    <w:rsid w:val="21BA77C5"/>
    <w:rsid w:val="21CD2F3E"/>
    <w:rsid w:val="21E40288"/>
    <w:rsid w:val="220F1E76"/>
    <w:rsid w:val="223E3706"/>
    <w:rsid w:val="225D0766"/>
    <w:rsid w:val="227F3C44"/>
    <w:rsid w:val="22813E3B"/>
    <w:rsid w:val="22D14F53"/>
    <w:rsid w:val="22F4274D"/>
    <w:rsid w:val="23447230"/>
    <w:rsid w:val="23DB0465"/>
    <w:rsid w:val="23DE59BA"/>
    <w:rsid w:val="240E27FB"/>
    <w:rsid w:val="2460453E"/>
    <w:rsid w:val="24613453"/>
    <w:rsid w:val="24A43F77"/>
    <w:rsid w:val="24C82820"/>
    <w:rsid w:val="24D16C22"/>
    <w:rsid w:val="24D740D4"/>
    <w:rsid w:val="25011339"/>
    <w:rsid w:val="25157F8A"/>
    <w:rsid w:val="256E3D48"/>
    <w:rsid w:val="25E20F82"/>
    <w:rsid w:val="25F50CB6"/>
    <w:rsid w:val="26163EB5"/>
    <w:rsid w:val="26251D06"/>
    <w:rsid w:val="26321F0A"/>
    <w:rsid w:val="26C568DA"/>
    <w:rsid w:val="26D905D7"/>
    <w:rsid w:val="26EA6665"/>
    <w:rsid w:val="271241DD"/>
    <w:rsid w:val="271B3332"/>
    <w:rsid w:val="2746688A"/>
    <w:rsid w:val="276B6060"/>
    <w:rsid w:val="277327DA"/>
    <w:rsid w:val="27822A1D"/>
    <w:rsid w:val="278F23C0"/>
    <w:rsid w:val="27B2145C"/>
    <w:rsid w:val="27FA7131"/>
    <w:rsid w:val="281A0EA7"/>
    <w:rsid w:val="28435545"/>
    <w:rsid w:val="287C121A"/>
    <w:rsid w:val="28962D82"/>
    <w:rsid w:val="28C22024"/>
    <w:rsid w:val="28DA4193"/>
    <w:rsid w:val="28E76FDC"/>
    <w:rsid w:val="28FB2A87"/>
    <w:rsid w:val="290129D3"/>
    <w:rsid w:val="298D5275"/>
    <w:rsid w:val="29F56D48"/>
    <w:rsid w:val="2A0D0CC4"/>
    <w:rsid w:val="2A1B2201"/>
    <w:rsid w:val="2A613DAE"/>
    <w:rsid w:val="2AC8240E"/>
    <w:rsid w:val="2AE474F4"/>
    <w:rsid w:val="2AE91610"/>
    <w:rsid w:val="2AF23A16"/>
    <w:rsid w:val="2B0420E0"/>
    <w:rsid w:val="2B2D0EF2"/>
    <w:rsid w:val="2B69661F"/>
    <w:rsid w:val="2BA271EA"/>
    <w:rsid w:val="2BAE7D76"/>
    <w:rsid w:val="2BCD7395"/>
    <w:rsid w:val="2BCE4856"/>
    <w:rsid w:val="2BEC2B5B"/>
    <w:rsid w:val="2C0B1EB7"/>
    <w:rsid w:val="2C3708A1"/>
    <w:rsid w:val="2C462B2E"/>
    <w:rsid w:val="2C740C6A"/>
    <w:rsid w:val="2C8F5842"/>
    <w:rsid w:val="2CBA5B43"/>
    <w:rsid w:val="2CFE750E"/>
    <w:rsid w:val="2D05394C"/>
    <w:rsid w:val="2D0F7889"/>
    <w:rsid w:val="2D39592C"/>
    <w:rsid w:val="2D874C30"/>
    <w:rsid w:val="2DF42E5B"/>
    <w:rsid w:val="2E0D4939"/>
    <w:rsid w:val="2E734E6D"/>
    <w:rsid w:val="2EA27501"/>
    <w:rsid w:val="2EE46E89"/>
    <w:rsid w:val="2F3C2100"/>
    <w:rsid w:val="2F3E7857"/>
    <w:rsid w:val="2F5E167A"/>
    <w:rsid w:val="2F624773"/>
    <w:rsid w:val="2F9060E8"/>
    <w:rsid w:val="2FE00F3D"/>
    <w:rsid w:val="2FEC4067"/>
    <w:rsid w:val="2FF02C24"/>
    <w:rsid w:val="2FF40230"/>
    <w:rsid w:val="30246A80"/>
    <w:rsid w:val="305C0CAD"/>
    <w:rsid w:val="307325D9"/>
    <w:rsid w:val="30996CC6"/>
    <w:rsid w:val="30B11ABF"/>
    <w:rsid w:val="30C51EF2"/>
    <w:rsid w:val="318750EF"/>
    <w:rsid w:val="318C73AC"/>
    <w:rsid w:val="31E71DFA"/>
    <w:rsid w:val="31F2015C"/>
    <w:rsid w:val="31F67EDC"/>
    <w:rsid w:val="325D5CAE"/>
    <w:rsid w:val="32E53E60"/>
    <w:rsid w:val="333E257D"/>
    <w:rsid w:val="337C0898"/>
    <w:rsid w:val="341774EA"/>
    <w:rsid w:val="343C6007"/>
    <w:rsid w:val="3474525E"/>
    <w:rsid w:val="348231C8"/>
    <w:rsid w:val="349756CD"/>
    <w:rsid w:val="34BB1D0D"/>
    <w:rsid w:val="34DB703E"/>
    <w:rsid w:val="352B6080"/>
    <w:rsid w:val="352E7A4E"/>
    <w:rsid w:val="355D1BDD"/>
    <w:rsid w:val="35F273D0"/>
    <w:rsid w:val="35FF1075"/>
    <w:rsid w:val="36312BA6"/>
    <w:rsid w:val="363E3E80"/>
    <w:rsid w:val="364147F8"/>
    <w:rsid w:val="36AB0D07"/>
    <w:rsid w:val="36CA51EA"/>
    <w:rsid w:val="36F44901"/>
    <w:rsid w:val="371216F3"/>
    <w:rsid w:val="371562DB"/>
    <w:rsid w:val="37256F21"/>
    <w:rsid w:val="37321D6A"/>
    <w:rsid w:val="37555A58"/>
    <w:rsid w:val="37B26BC7"/>
    <w:rsid w:val="37BA272F"/>
    <w:rsid w:val="37DF7667"/>
    <w:rsid w:val="3810197F"/>
    <w:rsid w:val="382F7F59"/>
    <w:rsid w:val="3898459D"/>
    <w:rsid w:val="38B4677D"/>
    <w:rsid w:val="38D65532"/>
    <w:rsid w:val="39585248"/>
    <w:rsid w:val="39682C9F"/>
    <w:rsid w:val="39C0030D"/>
    <w:rsid w:val="39E15BEA"/>
    <w:rsid w:val="3AF96F3C"/>
    <w:rsid w:val="3AFF6407"/>
    <w:rsid w:val="3B4E1274"/>
    <w:rsid w:val="3B6A75F8"/>
    <w:rsid w:val="3B8A2759"/>
    <w:rsid w:val="3BA20BFD"/>
    <w:rsid w:val="3BA42B0A"/>
    <w:rsid w:val="3BC40B50"/>
    <w:rsid w:val="3BD01B51"/>
    <w:rsid w:val="3BF32330"/>
    <w:rsid w:val="3C003D8D"/>
    <w:rsid w:val="3C3917A1"/>
    <w:rsid w:val="3C5C2847"/>
    <w:rsid w:val="3C6E0B6A"/>
    <w:rsid w:val="3C925059"/>
    <w:rsid w:val="3CB5559F"/>
    <w:rsid w:val="3CBC2B52"/>
    <w:rsid w:val="3CE753A4"/>
    <w:rsid w:val="3D1F312E"/>
    <w:rsid w:val="3D6A7724"/>
    <w:rsid w:val="3DAA0180"/>
    <w:rsid w:val="3DDC1163"/>
    <w:rsid w:val="3E3711E2"/>
    <w:rsid w:val="3E421533"/>
    <w:rsid w:val="3E4E44C1"/>
    <w:rsid w:val="3E8D5E6B"/>
    <w:rsid w:val="3ED01430"/>
    <w:rsid w:val="3EDC25BB"/>
    <w:rsid w:val="3F66594E"/>
    <w:rsid w:val="3F796D91"/>
    <w:rsid w:val="3F9733C2"/>
    <w:rsid w:val="3FA30497"/>
    <w:rsid w:val="3FD247CD"/>
    <w:rsid w:val="3FD414E4"/>
    <w:rsid w:val="40D45C40"/>
    <w:rsid w:val="40DB5220"/>
    <w:rsid w:val="40E81C84"/>
    <w:rsid w:val="40F94293"/>
    <w:rsid w:val="4157061F"/>
    <w:rsid w:val="41662610"/>
    <w:rsid w:val="41921B27"/>
    <w:rsid w:val="41D75722"/>
    <w:rsid w:val="424566C9"/>
    <w:rsid w:val="429E34F1"/>
    <w:rsid w:val="42AA6865"/>
    <w:rsid w:val="42C57F36"/>
    <w:rsid w:val="42D27F5D"/>
    <w:rsid w:val="42EA6221"/>
    <w:rsid w:val="434A46EC"/>
    <w:rsid w:val="435C7A89"/>
    <w:rsid w:val="43941B2C"/>
    <w:rsid w:val="43CB2F74"/>
    <w:rsid w:val="444A568D"/>
    <w:rsid w:val="444C4C47"/>
    <w:rsid w:val="44590819"/>
    <w:rsid w:val="445B488C"/>
    <w:rsid w:val="44692B43"/>
    <w:rsid w:val="446E48E9"/>
    <w:rsid w:val="44784B34"/>
    <w:rsid w:val="447B1C4D"/>
    <w:rsid w:val="450F3328"/>
    <w:rsid w:val="453252CE"/>
    <w:rsid w:val="453A4CCF"/>
    <w:rsid w:val="45597105"/>
    <w:rsid w:val="455E0086"/>
    <w:rsid w:val="45640302"/>
    <w:rsid w:val="456C63D5"/>
    <w:rsid w:val="45763405"/>
    <w:rsid w:val="46293689"/>
    <w:rsid w:val="465A35BD"/>
    <w:rsid w:val="465D0485"/>
    <w:rsid w:val="465F0134"/>
    <w:rsid w:val="46D93AEF"/>
    <w:rsid w:val="47113641"/>
    <w:rsid w:val="4742292E"/>
    <w:rsid w:val="475E2568"/>
    <w:rsid w:val="47842674"/>
    <w:rsid w:val="4795427E"/>
    <w:rsid w:val="479F32A6"/>
    <w:rsid w:val="47B9126E"/>
    <w:rsid w:val="48322A33"/>
    <w:rsid w:val="4866371A"/>
    <w:rsid w:val="487804E2"/>
    <w:rsid w:val="48A95C04"/>
    <w:rsid w:val="48CE652C"/>
    <w:rsid w:val="48D91605"/>
    <w:rsid w:val="48F97216"/>
    <w:rsid w:val="492275A4"/>
    <w:rsid w:val="49446E29"/>
    <w:rsid w:val="49C9699B"/>
    <w:rsid w:val="49DD50AA"/>
    <w:rsid w:val="4A496086"/>
    <w:rsid w:val="4A6C513B"/>
    <w:rsid w:val="4A74295D"/>
    <w:rsid w:val="4AC11C68"/>
    <w:rsid w:val="4ACE1952"/>
    <w:rsid w:val="4AEF15D8"/>
    <w:rsid w:val="4B005883"/>
    <w:rsid w:val="4B036369"/>
    <w:rsid w:val="4B61791F"/>
    <w:rsid w:val="4B7A0F54"/>
    <w:rsid w:val="4BE40D01"/>
    <w:rsid w:val="4C3457E4"/>
    <w:rsid w:val="4C4C09CF"/>
    <w:rsid w:val="4C4D6CFC"/>
    <w:rsid w:val="4CA02851"/>
    <w:rsid w:val="4D141FE0"/>
    <w:rsid w:val="4D646B23"/>
    <w:rsid w:val="4DAC05E6"/>
    <w:rsid w:val="4DC236BE"/>
    <w:rsid w:val="4E0524B6"/>
    <w:rsid w:val="4E0E5897"/>
    <w:rsid w:val="4E4242CC"/>
    <w:rsid w:val="4E5F5F0E"/>
    <w:rsid w:val="4E677615"/>
    <w:rsid w:val="4E923AC0"/>
    <w:rsid w:val="4ED079B5"/>
    <w:rsid w:val="4ED127FF"/>
    <w:rsid w:val="4ED96A7E"/>
    <w:rsid w:val="4F540514"/>
    <w:rsid w:val="4F6666E3"/>
    <w:rsid w:val="4F9C22EA"/>
    <w:rsid w:val="4F9F38BD"/>
    <w:rsid w:val="4FA72771"/>
    <w:rsid w:val="4FB22195"/>
    <w:rsid w:val="4FFE3062"/>
    <w:rsid w:val="500372D1"/>
    <w:rsid w:val="507A69A2"/>
    <w:rsid w:val="50C01628"/>
    <w:rsid w:val="50C65FDD"/>
    <w:rsid w:val="50C77758"/>
    <w:rsid w:val="50E028B4"/>
    <w:rsid w:val="5119769F"/>
    <w:rsid w:val="51271000"/>
    <w:rsid w:val="51656440"/>
    <w:rsid w:val="517D674F"/>
    <w:rsid w:val="51B11960"/>
    <w:rsid w:val="5200468D"/>
    <w:rsid w:val="520B596A"/>
    <w:rsid w:val="5226253D"/>
    <w:rsid w:val="522D7877"/>
    <w:rsid w:val="526D37FE"/>
    <w:rsid w:val="52C728C5"/>
    <w:rsid w:val="52E00474"/>
    <w:rsid w:val="52E57E15"/>
    <w:rsid w:val="52EB0BC7"/>
    <w:rsid w:val="52FD43C9"/>
    <w:rsid w:val="531B187C"/>
    <w:rsid w:val="533C110A"/>
    <w:rsid w:val="536A3A27"/>
    <w:rsid w:val="53737AE7"/>
    <w:rsid w:val="53DE35D5"/>
    <w:rsid w:val="5403105C"/>
    <w:rsid w:val="543E122D"/>
    <w:rsid w:val="544544DB"/>
    <w:rsid w:val="54454A38"/>
    <w:rsid w:val="54603722"/>
    <w:rsid w:val="5460414F"/>
    <w:rsid w:val="546E385E"/>
    <w:rsid w:val="546E6143"/>
    <w:rsid w:val="54994D7E"/>
    <w:rsid w:val="54B76D9A"/>
    <w:rsid w:val="54C44B46"/>
    <w:rsid w:val="54D34337"/>
    <w:rsid w:val="54DA5D8D"/>
    <w:rsid w:val="54ED35AA"/>
    <w:rsid w:val="551D40DC"/>
    <w:rsid w:val="55B921AE"/>
    <w:rsid w:val="55C217A6"/>
    <w:rsid w:val="55F964C0"/>
    <w:rsid w:val="5625629C"/>
    <w:rsid w:val="565A665B"/>
    <w:rsid w:val="566B44F9"/>
    <w:rsid w:val="568000FE"/>
    <w:rsid w:val="56CE1E48"/>
    <w:rsid w:val="57441971"/>
    <w:rsid w:val="5753390A"/>
    <w:rsid w:val="577949F3"/>
    <w:rsid w:val="5781344E"/>
    <w:rsid w:val="578923D3"/>
    <w:rsid w:val="57C00874"/>
    <w:rsid w:val="57C837F3"/>
    <w:rsid w:val="57D27E9C"/>
    <w:rsid w:val="58002426"/>
    <w:rsid w:val="584E6149"/>
    <w:rsid w:val="585A65D3"/>
    <w:rsid w:val="587873A1"/>
    <w:rsid w:val="587C29ED"/>
    <w:rsid w:val="587D598D"/>
    <w:rsid w:val="589F3852"/>
    <w:rsid w:val="58BB798B"/>
    <w:rsid w:val="58E77E9A"/>
    <w:rsid w:val="59154646"/>
    <w:rsid w:val="5935428B"/>
    <w:rsid w:val="59537423"/>
    <w:rsid w:val="59611BE3"/>
    <w:rsid w:val="59695434"/>
    <w:rsid w:val="59CA7788"/>
    <w:rsid w:val="59D06384"/>
    <w:rsid w:val="59EB363D"/>
    <w:rsid w:val="59F359C5"/>
    <w:rsid w:val="5A6E2A15"/>
    <w:rsid w:val="5AF54CD9"/>
    <w:rsid w:val="5B105132"/>
    <w:rsid w:val="5B314FB8"/>
    <w:rsid w:val="5B395408"/>
    <w:rsid w:val="5B5136E8"/>
    <w:rsid w:val="5B8542BD"/>
    <w:rsid w:val="5BB22788"/>
    <w:rsid w:val="5BEF0AD5"/>
    <w:rsid w:val="5C0E64BD"/>
    <w:rsid w:val="5C0F3B78"/>
    <w:rsid w:val="5C36729C"/>
    <w:rsid w:val="5C4E644E"/>
    <w:rsid w:val="5C520E7C"/>
    <w:rsid w:val="5C5611D3"/>
    <w:rsid w:val="5C6E5A67"/>
    <w:rsid w:val="5CC055C4"/>
    <w:rsid w:val="5CC07DD9"/>
    <w:rsid w:val="5D0D35F8"/>
    <w:rsid w:val="5D123E93"/>
    <w:rsid w:val="5D1C654D"/>
    <w:rsid w:val="5D2017FC"/>
    <w:rsid w:val="5D460767"/>
    <w:rsid w:val="5DB449D7"/>
    <w:rsid w:val="5DBF512A"/>
    <w:rsid w:val="5DC23869"/>
    <w:rsid w:val="5E002E87"/>
    <w:rsid w:val="5E6D4E5F"/>
    <w:rsid w:val="5E8343A9"/>
    <w:rsid w:val="5ECF7C24"/>
    <w:rsid w:val="5EFA2F5D"/>
    <w:rsid w:val="5F0E6877"/>
    <w:rsid w:val="5F1405A9"/>
    <w:rsid w:val="5F4E2C09"/>
    <w:rsid w:val="5F776C17"/>
    <w:rsid w:val="5F7C47FC"/>
    <w:rsid w:val="5FB4164A"/>
    <w:rsid w:val="5FF41E65"/>
    <w:rsid w:val="60675D31"/>
    <w:rsid w:val="606E61E9"/>
    <w:rsid w:val="60D17C50"/>
    <w:rsid w:val="61152866"/>
    <w:rsid w:val="61CE7FA1"/>
    <w:rsid w:val="61EA3E1A"/>
    <w:rsid w:val="622017F1"/>
    <w:rsid w:val="62690B96"/>
    <w:rsid w:val="62DD1EB5"/>
    <w:rsid w:val="63154001"/>
    <w:rsid w:val="633D39F4"/>
    <w:rsid w:val="634467FD"/>
    <w:rsid w:val="63937429"/>
    <w:rsid w:val="63D0339F"/>
    <w:rsid w:val="64012005"/>
    <w:rsid w:val="6413263F"/>
    <w:rsid w:val="64944B56"/>
    <w:rsid w:val="64B27796"/>
    <w:rsid w:val="64CA1A25"/>
    <w:rsid w:val="64E83DE8"/>
    <w:rsid w:val="64EC3D37"/>
    <w:rsid w:val="64EE1A97"/>
    <w:rsid w:val="653612BC"/>
    <w:rsid w:val="65810E59"/>
    <w:rsid w:val="65817895"/>
    <w:rsid w:val="658E039D"/>
    <w:rsid w:val="65924CA9"/>
    <w:rsid w:val="65B46B2F"/>
    <w:rsid w:val="65C26A8E"/>
    <w:rsid w:val="65D200F0"/>
    <w:rsid w:val="65E51C8D"/>
    <w:rsid w:val="65FF6E40"/>
    <w:rsid w:val="66053EEB"/>
    <w:rsid w:val="660D2ED6"/>
    <w:rsid w:val="660E0C4E"/>
    <w:rsid w:val="6612135A"/>
    <w:rsid w:val="6659207B"/>
    <w:rsid w:val="66AE7DC2"/>
    <w:rsid w:val="66C20165"/>
    <w:rsid w:val="66D6776C"/>
    <w:rsid w:val="672A3F5C"/>
    <w:rsid w:val="672C66EE"/>
    <w:rsid w:val="674D4335"/>
    <w:rsid w:val="67726657"/>
    <w:rsid w:val="678A4ED6"/>
    <w:rsid w:val="67BB05DB"/>
    <w:rsid w:val="67BD26DA"/>
    <w:rsid w:val="68120612"/>
    <w:rsid w:val="68364066"/>
    <w:rsid w:val="68744C4B"/>
    <w:rsid w:val="688A35DC"/>
    <w:rsid w:val="6896352A"/>
    <w:rsid w:val="68D51FF8"/>
    <w:rsid w:val="68F41093"/>
    <w:rsid w:val="69232A11"/>
    <w:rsid w:val="692D1F34"/>
    <w:rsid w:val="694F6758"/>
    <w:rsid w:val="695E2B47"/>
    <w:rsid w:val="69721525"/>
    <w:rsid w:val="69874162"/>
    <w:rsid w:val="69886D18"/>
    <w:rsid w:val="699C0B46"/>
    <w:rsid w:val="699E6EDB"/>
    <w:rsid w:val="6A0C5CC5"/>
    <w:rsid w:val="6A0D4726"/>
    <w:rsid w:val="6A1011E7"/>
    <w:rsid w:val="6A5C61DA"/>
    <w:rsid w:val="6A7D7D3F"/>
    <w:rsid w:val="6A9C5931"/>
    <w:rsid w:val="6AD14FD7"/>
    <w:rsid w:val="6B327947"/>
    <w:rsid w:val="6BC82200"/>
    <w:rsid w:val="6BC92D5B"/>
    <w:rsid w:val="6BD20370"/>
    <w:rsid w:val="6BDC2A11"/>
    <w:rsid w:val="6BE85984"/>
    <w:rsid w:val="6C4179F9"/>
    <w:rsid w:val="6CFE7A1D"/>
    <w:rsid w:val="6D2356D5"/>
    <w:rsid w:val="6D374CDD"/>
    <w:rsid w:val="6D4603CA"/>
    <w:rsid w:val="6D7A376E"/>
    <w:rsid w:val="6D924ED4"/>
    <w:rsid w:val="6E1F559C"/>
    <w:rsid w:val="6E5364D5"/>
    <w:rsid w:val="6E74415F"/>
    <w:rsid w:val="6E9A3775"/>
    <w:rsid w:val="6EC425A0"/>
    <w:rsid w:val="6F155591"/>
    <w:rsid w:val="6F564781"/>
    <w:rsid w:val="6F944336"/>
    <w:rsid w:val="6FA110A6"/>
    <w:rsid w:val="6FAD4F96"/>
    <w:rsid w:val="6FC64B3E"/>
    <w:rsid w:val="6FD5610C"/>
    <w:rsid w:val="700A0487"/>
    <w:rsid w:val="70393F60"/>
    <w:rsid w:val="706E6C67"/>
    <w:rsid w:val="70A408DB"/>
    <w:rsid w:val="70A52F39"/>
    <w:rsid w:val="70D25448"/>
    <w:rsid w:val="70D34E08"/>
    <w:rsid w:val="70EF5AB4"/>
    <w:rsid w:val="71411CC9"/>
    <w:rsid w:val="71502811"/>
    <w:rsid w:val="71AF5789"/>
    <w:rsid w:val="71C10F2E"/>
    <w:rsid w:val="71C87C41"/>
    <w:rsid w:val="71C93E5C"/>
    <w:rsid w:val="722453CB"/>
    <w:rsid w:val="72365B57"/>
    <w:rsid w:val="72611287"/>
    <w:rsid w:val="72BB5F8B"/>
    <w:rsid w:val="72BB6655"/>
    <w:rsid w:val="72C712E1"/>
    <w:rsid w:val="72FA1A10"/>
    <w:rsid w:val="73322ECF"/>
    <w:rsid w:val="73662167"/>
    <w:rsid w:val="73952CB3"/>
    <w:rsid w:val="73C55FFA"/>
    <w:rsid w:val="744A0A36"/>
    <w:rsid w:val="7501589A"/>
    <w:rsid w:val="75092F11"/>
    <w:rsid w:val="751C6001"/>
    <w:rsid w:val="752C54C6"/>
    <w:rsid w:val="75686957"/>
    <w:rsid w:val="761A4816"/>
    <w:rsid w:val="76772852"/>
    <w:rsid w:val="767C4B99"/>
    <w:rsid w:val="769D3F76"/>
    <w:rsid w:val="76D36956"/>
    <w:rsid w:val="771D3195"/>
    <w:rsid w:val="7758241F"/>
    <w:rsid w:val="77CE2B0A"/>
    <w:rsid w:val="77F838AE"/>
    <w:rsid w:val="780E7E28"/>
    <w:rsid w:val="78197E01"/>
    <w:rsid w:val="781B0555"/>
    <w:rsid w:val="784E07A8"/>
    <w:rsid w:val="78533409"/>
    <w:rsid w:val="78705799"/>
    <w:rsid w:val="78774B27"/>
    <w:rsid w:val="787765F1"/>
    <w:rsid w:val="78D26A7E"/>
    <w:rsid w:val="78F9553C"/>
    <w:rsid w:val="79940026"/>
    <w:rsid w:val="7A162C99"/>
    <w:rsid w:val="7A173ECC"/>
    <w:rsid w:val="7A1C5986"/>
    <w:rsid w:val="7A72753A"/>
    <w:rsid w:val="7A8377B3"/>
    <w:rsid w:val="7ABB5223"/>
    <w:rsid w:val="7AF47429"/>
    <w:rsid w:val="7B0862D8"/>
    <w:rsid w:val="7B130B37"/>
    <w:rsid w:val="7B3C2309"/>
    <w:rsid w:val="7B406A51"/>
    <w:rsid w:val="7B6B4CD9"/>
    <w:rsid w:val="7B9B00FB"/>
    <w:rsid w:val="7BF7374C"/>
    <w:rsid w:val="7C01654E"/>
    <w:rsid w:val="7C09018C"/>
    <w:rsid w:val="7C3A2988"/>
    <w:rsid w:val="7C420122"/>
    <w:rsid w:val="7C541224"/>
    <w:rsid w:val="7C675C0A"/>
    <w:rsid w:val="7C727ADF"/>
    <w:rsid w:val="7CF02627"/>
    <w:rsid w:val="7D114D01"/>
    <w:rsid w:val="7D741635"/>
    <w:rsid w:val="7DDC6E34"/>
    <w:rsid w:val="7DF8016E"/>
    <w:rsid w:val="7E205AED"/>
    <w:rsid w:val="7E23216E"/>
    <w:rsid w:val="7E751182"/>
    <w:rsid w:val="7E8E57B1"/>
    <w:rsid w:val="7EA41695"/>
    <w:rsid w:val="7EAC1347"/>
    <w:rsid w:val="7ED96E19"/>
    <w:rsid w:val="7EEE7B9D"/>
    <w:rsid w:val="7F1F491B"/>
    <w:rsid w:val="7F245858"/>
    <w:rsid w:val="7F9A1827"/>
    <w:rsid w:val="7FA22F78"/>
    <w:rsid w:val="7FA27CF2"/>
    <w:rsid w:val="7FAF4BA7"/>
    <w:rsid w:val="7FB201B2"/>
    <w:rsid w:val="7FB3011B"/>
    <w:rsid w:val="7FBA3291"/>
    <w:rsid w:val="7FF00A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numPr>
        <w:ilvl w:val="1"/>
        <w:numId w:val="1"/>
      </w:numPr>
      <w:adjustRightInd w:val="0"/>
      <w:spacing w:line="360" w:lineRule="atLeast"/>
      <w:textAlignment w:val="baseline"/>
      <w:outlineLvl w:val="1"/>
    </w:pPr>
    <w:rPr>
      <w:kern w:val="0"/>
      <w:sz w:val="24"/>
      <w:szCs w:val="20"/>
    </w:rPr>
  </w:style>
  <w:style w:type="paragraph" w:styleId="5">
    <w:name w:val="heading 3"/>
    <w:basedOn w:val="1"/>
    <w:next w:val="1"/>
    <w:qFormat/>
    <w:uiPriority w:val="0"/>
    <w:pPr>
      <w:keepNext/>
      <w:keepLines/>
      <w:spacing w:before="260" w:after="260" w:line="416" w:lineRule="atLeast"/>
      <w:jc w:val="both"/>
      <w:textAlignment w:val="baseline"/>
      <w:outlineLvl w:val="2"/>
    </w:pPr>
    <w:rPr>
      <w:b/>
      <w:bCs/>
      <w:color w:val="000000"/>
      <w:sz w:val="32"/>
      <w:szCs w:val="32"/>
      <w:u w:val="none" w:color="000000"/>
      <w:lang w:val="en-US" w:eastAsia="zh-CN" w:bidi="ar-SA"/>
    </w:rPr>
  </w:style>
  <w:style w:type="paragraph" w:styleId="6">
    <w:name w:val="heading 4"/>
    <w:basedOn w:val="1"/>
    <w:next w:val="1"/>
    <w:qFormat/>
    <w:uiPriority w:val="1"/>
    <w:pPr>
      <w:ind w:left="652"/>
      <w:outlineLvl w:val="3"/>
    </w:pPr>
    <w:rPr>
      <w:b/>
      <w:bCs/>
      <w:sz w:val="30"/>
      <w:szCs w:val="30"/>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2">
    <w:name w:val="Body Text"/>
    <w:basedOn w:val="1"/>
    <w:next w:val="1"/>
    <w:link w:val="43"/>
    <w:qFormat/>
    <w:uiPriority w:val="0"/>
    <w:pPr>
      <w:spacing w:after="120"/>
    </w:pPr>
  </w:style>
  <w:style w:type="paragraph" w:styleId="7">
    <w:name w:val="Normal Indent"/>
    <w:basedOn w:val="1"/>
    <w:next w:val="1"/>
    <w:qFormat/>
    <w:uiPriority w:val="0"/>
    <w:pPr>
      <w:adjustRightInd w:val="0"/>
      <w:spacing w:line="360" w:lineRule="atLeast"/>
      <w:ind w:firstLine="482"/>
      <w:textAlignment w:val="baseline"/>
    </w:pPr>
    <w:rPr>
      <w:kern w:val="0"/>
      <w:sz w:val="24"/>
      <w:szCs w:val="20"/>
    </w:rPr>
  </w:style>
  <w:style w:type="paragraph" w:styleId="8">
    <w:name w:val="toa heading"/>
    <w:basedOn w:val="1"/>
    <w:next w:val="1"/>
    <w:unhideWhenUsed/>
    <w:qFormat/>
    <w:uiPriority w:val="99"/>
    <w:pPr>
      <w:spacing w:before="120"/>
    </w:pPr>
    <w:rPr>
      <w:rFonts w:ascii="Cambria" w:hAnsi="Cambria"/>
      <w:sz w:val="24"/>
    </w:rPr>
  </w:style>
  <w:style w:type="paragraph" w:styleId="9">
    <w:name w:val="annotation text"/>
    <w:basedOn w:val="1"/>
    <w:qFormat/>
    <w:uiPriority w:val="0"/>
    <w:pPr>
      <w:jc w:val="left"/>
    </w:pPr>
  </w:style>
  <w:style w:type="paragraph" w:styleId="10">
    <w:name w:val="index 6"/>
    <w:next w:val="1"/>
    <w:qFormat/>
    <w:uiPriority w:val="0"/>
    <w:pPr>
      <w:widowControl w:val="0"/>
      <w:ind w:firstLine="840"/>
      <w:jc w:val="both"/>
    </w:pPr>
    <w:rPr>
      <w:rFonts w:ascii="Calibri" w:hAnsi="Calibri" w:eastAsia="宋体" w:cs="Arial"/>
      <w:kern w:val="2"/>
      <w:sz w:val="21"/>
      <w:szCs w:val="24"/>
      <w:lang w:val="en-US" w:eastAsia="zh-CN" w:bidi="ar-SA"/>
    </w:rPr>
  </w:style>
  <w:style w:type="paragraph" w:styleId="11">
    <w:name w:val="Body Text Indent"/>
    <w:basedOn w:val="1"/>
    <w:next w:val="12"/>
    <w:qFormat/>
    <w:uiPriority w:val="0"/>
    <w:pPr>
      <w:spacing w:after="120"/>
      <w:ind w:left="200" w:leftChars="200"/>
    </w:pPr>
  </w:style>
  <w:style w:type="paragraph" w:styleId="12">
    <w:name w:val="Body Text First Indent 2"/>
    <w:basedOn w:val="11"/>
    <w:unhideWhenUsed/>
    <w:qFormat/>
    <w:uiPriority w:val="99"/>
    <w:pPr>
      <w:spacing w:after="120" w:line="240" w:lineRule="auto"/>
      <w:ind w:left="420" w:leftChars="200" w:firstLine="420"/>
    </w:pPr>
    <w:rPr>
      <w:rFonts w:cs="宋体"/>
      <w:sz w:val="21"/>
      <w:szCs w:val="21"/>
    </w:rPr>
  </w:style>
  <w:style w:type="paragraph" w:styleId="13">
    <w:name w:val="toc 3"/>
    <w:basedOn w:val="1"/>
    <w:next w:val="1"/>
    <w:qFormat/>
    <w:uiPriority w:val="39"/>
    <w:pPr>
      <w:tabs>
        <w:tab w:val="right" w:leader="dot" w:pos="9288"/>
      </w:tabs>
      <w:ind w:left="400" w:leftChars="400"/>
    </w:pPr>
    <w:rPr>
      <w:rFonts w:ascii="宋体"/>
    </w:rPr>
  </w:style>
  <w:style w:type="paragraph" w:styleId="14">
    <w:name w:val="Plain Text"/>
    <w:basedOn w:val="1"/>
    <w:next w:val="15"/>
    <w:link w:val="44"/>
    <w:qFormat/>
    <w:uiPriority w:val="0"/>
    <w:rPr>
      <w:rFonts w:ascii="宋体"/>
      <w:color w:val="000000"/>
      <w:szCs w:val="20"/>
      <w:u w:val="none" w:color="000000"/>
    </w:rPr>
  </w:style>
  <w:style w:type="paragraph" w:styleId="15">
    <w:name w:val="index 7"/>
    <w:basedOn w:val="1"/>
    <w:next w:val="1"/>
    <w:qFormat/>
    <w:uiPriority w:val="0"/>
    <w:pPr>
      <w:autoSpaceDE/>
      <w:autoSpaceDN/>
      <w:adjustRightInd/>
      <w:ind w:left="1200" w:leftChars="1200"/>
    </w:pPr>
    <w:rPr>
      <w:color w:val="auto"/>
      <w:kern w:val="2"/>
      <w:szCs w:val="24"/>
    </w:rPr>
  </w:style>
  <w:style w:type="paragraph" w:styleId="16">
    <w:name w:val="Date"/>
    <w:basedOn w:val="1"/>
    <w:next w:val="1"/>
    <w:link w:val="45"/>
    <w:qFormat/>
    <w:uiPriority w:val="0"/>
    <w:rPr>
      <w:rFonts w:ascii="Arial" w:hAnsi="Arial" w:eastAsia="仿宋_GB2312"/>
      <w:color w:val="000000"/>
      <w:sz w:val="32"/>
      <w:szCs w:val="20"/>
      <w:u w:val="none" w:color="000000"/>
    </w:rPr>
  </w:style>
  <w:style w:type="paragraph" w:styleId="17">
    <w:name w:val="footer"/>
    <w:basedOn w:val="1"/>
    <w:link w:val="46"/>
    <w:qFormat/>
    <w:uiPriority w:val="0"/>
    <w:pPr>
      <w:tabs>
        <w:tab w:val="center" w:pos="4153"/>
        <w:tab w:val="right" w:pos="8306"/>
      </w:tabs>
      <w:snapToGrid w:val="0"/>
      <w:jc w:val="left"/>
    </w:pPr>
    <w:rPr>
      <w:sz w:val="18"/>
      <w:szCs w:val="18"/>
    </w:rPr>
  </w:style>
  <w:style w:type="paragraph" w:styleId="18">
    <w:name w:val="header"/>
    <w:basedOn w:val="1"/>
    <w:link w:val="47"/>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List"/>
    <w:basedOn w:val="1"/>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21">
    <w:name w:val="footnote text"/>
    <w:basedOn w:val="1"/>
    <w:next w:val="2"/>
    <w:qFormat/>
    <w:uiPriority w:val="0"/>
    <w:pPr>
      <w:snapToGrid w:val="0"/>
      <w:jc w:val="left"/>
    </w:pPr>
    <w:rPr>
      <w:rFonts w:ascii="Times New Roman" w:hAnsi="Times New Roman" w:eastAsia="宋体" w:cs="Times New Roman"/>
      <w:sz w:val="18"/>
    </w:rPr>
  </w:style>
  <w:style w:type="paragraph" w:styleId="22">
    <w:name w:val="toc 2"/>
    <w:basedOn w:val="1"/>
    <w:next w:val="1"/>
    <w:qFormat/>
    <w:uiPriority w:val="39"/>
    <w:pPr>
      <w:ind w:left="200" w:leftChars="200"/>
    </w:pPr>
  </w:style>
  <w:style w:type="paragraph" w:styleId="23">
    <w:name w:val="Body Text 2"/>
    <w:basedOn w:val="1"/>
    <w:qFormat/>
    <w:uiPriority w:val="0"/>
    <w:pPr>
      <w:tabs>
        <w:tab w:val="left" w:pos="0"/>
      </w:tabs>
      <w:spacing w:line="400" w:lineRule="atLeast"/>
    </w:pPr>
    <w:rPr>
      <w:rFonts w:ascii="Arial" w:hAnsi="Arial"/>
      <w:color w:val="000000"/>
    </w:rPr>
  </w:style>
  <w:style w:type="paragraph" w:styleId="2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5">
    <w:name w:val="Title"/>
    <w:basedOn w:val="1"/>
    <w:link w:val="77"/>
    <w:qFormat/>
    <w:uiPriority w:val="0"/>
    <w:pPr>
      <w:spacing w:before="240" w:after="60"/>
      <w:ind w:left="425" w:hanging="425"/>
      <w:jc w:val="center"/>
      <w:outlineLvl w:val="0"/>
    </w:pPr>
    <w:rPr>
      <w:rFonts w:ascii="Arial" w:hAnsi="Arial" w:cs="Arial"/>
      <w:b/>
      <w:bCs/>
      <w:sz w:val="32"/>
      <w:szCs w:val="32"/>
    </w:rPr>
  </w:style>
  <w:style w:type="paragraph" w:styleId="26">
    <w:name w:val="Body Text First Indent"/>
    <w:basedOn w:val="2"/>
    <w:next w:val="1"/>
    <w:unhideWhenUsed/>
    <w:qFormat/>
    <w:uiPriority w:val="0"/>
    <w:pPr>
      <w:adjustRightInd/>
      <w:spacing w:after="120" w:line="240" w:lineRule="auto"/>
      <w:ind w:firstLine="420" w:firstLineChars="100"/>
      <w:jc w:val="both"/>
    </w:pPr>
    <w:rPr>
      <w:rFonts w:ascii="Times New Roman"/>
      <w:kern w:val="2"/>
      <w:sz w:val="21"/>
      <w:szCs w:val="24"/>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page number"/>
    <w:basedOn w:val="29"/>
    <w:qFormat/>
    <w:uiPriority w:val="0"/>
  </w:style>
  <w:style w:type="character" w:styleId="32">
    <w:name w:val="FollowedHyperlink"/>
    <w:qFormat/>
    <w:uiPriority w:val="0"/>
    <w:rPr>
      <w:color w:val="333333"/>
      <w:u w:val="none"/>
    </w:rPr>
  </w:style>
  <w:style w:type="character" w:styleId="33">
    <w:name w:val="HTML Definition"/>
    <w:basedOn w:val="29"/>
    <w:qFormat/>
    <w:uiPriority w:val="0"/>
  </w:style>
  <w:style w:type="character" w:styleId="34">
    <w:name w:val="HTML Typewriter"/>
    <w:basedOn w:val="29"/>
    <w:qFormat/>
    <w:uiPriority w:val="0"/>
    <w:rPr>
      <w:rFonts w:ascii="monospace" w:hAnsi="monospace" w:eastAsia="monospace" w:cs="monospace"/>
      <w:sz w:val="20"/>
    </w:rPr>
  </w:style>
  <w:style w:type="character" w:styleId="35">
    <w:name w:val="HTML Acronym"/>
    <w:basedOn w:val="29"/>
    <w:qFormat/>
    <w:uiPriority w:val="0"/>
  </w:style>
  <w:style w:type="character" w:styleId="36">
    <w:name w:val="HTML Variable"/>
    <w:basedOn w:val="29"/>
    <w:qFormat/>
    <w:uiPriority w:val="0"/>
  </w:style>
  <w:style w:type="character" w:styleId="37">
    <w:name w:val="Hyperlink"/>
    <w:qFormat/>
    <w:uiPriority w:val="99"/>
    <w:rPr>
      <w:color w:val="0000FF"/>
      <w:u w:val="single"/>
    </w:rPr>
  </w:style>
  <w:style w:type="character" w:styleId="38">
    <w:name w:val="HTML Code"/>
    <w:basedOn w:val="29"/>
    <w:qFormat/>
    <w:uiPriority w:val="0"/>
    <w:rPr>
      <w:rFonts w:hint="default" w:ascii="monospace" w:hAnsi="monospace" w:eastAsia="monospace" w:cs="monospace"/>
      <w:sz w:val="20"/>
    </w:rPr>
  </w:style>
  <w:style w:type="character" w:styleId="39">
    <w:name w:val="HTML Cite"/>
    <w:basedOn w:val="29"/>
    <w:qFormat/>
    <w:uiPriority w:val="0"/>
  </w:style>
  <w:style w:type="character" w:styleId="40">
    <w:name w:val="HTML Keyboard"/>
    <w:basedOn w:val="29"/>
    <w:qFormat/>
    <w:uiPriority w:val="0"/>
    <w:rPr>
      <w:rFonts w:hint="default" w:ascii="monospace" w:hAnsi="monospace" w:eastAsia="monospace" w:cs="monospace"/>
      <w:sz w:val="20"/>
    </w:rPr>
  </w:style>
  <w:style w:type="character" w:styleId="41">
    <w:name w:val="HTML Sample"/>
    <w:basedOn w:val="29"/>
    <w:qFormat/>
    <w:uiPriority w:val="0"/>
    <w:rPr>
      <w:rFonts w:hint="default" w:ascii="monospace" w:hAnsi="monospace" w:eastAsia="monospace" w:cs="monospace"/>
    </w:rPr>
  </w:style>
  <w:style w:type="paragraph" w:customStyle="1" w:styleId="42">
    <w:name w:val="_Style 2"/>
    <w:basedOn w:val="1"/>
    <w:next w:val="1"/>
    <w:qFormat/>
    <w:uiPriority w:val="0"/>
    <w:pPr>
      <w:ind w:firstLine="200" w:firstLineChars="200"/>
    </w:pPr>
    <w:rPr>
      <w:rFonts w:ascii="Calibri" w:hAnsi="Calibri"/>
      <w:sz w:val="28"/>
      <w:szCs w:val="22"/>
    </w:rPr>
  </w:style>
  <w:style w:type="character" w:customStyle="1" w:styleId="43">
    <w:name w:val="正文文本 Char"/>
    <w:link w:val="2"/>
    <w:semiHidden/>
    <w:qFormat/>
    <w:locked/>
    <w:uiPriority w:val="0"/>
    <w:rPr>
      <w:rFonts w:eastAsia="宋体"/>
      <w:kern w:val="2"/>
      <w:sz w:val="21"/>
      <w:szCs w:val="24"/>
      <w:lang w:val="en-US" w:eastAsia="zh-CN" w:bidi="ar-SA"/>
    </w:rPr>
  </w:style>
  <w:style w:type="character" w:customStyle="1" w:styleId="44">
    <w:name w:val="纯文本 Char"/>
    <w:link w:val="14"/>
    <w:qFormat/>
    <w:uiPriority w:val="0"/>
    <w:rPr>
      <w:rFonts w:ascii="宋体"/>
      <w:color w:val="000000"/>
      <w:kern w:val="2"/>
      <w:sz w:val="21"/>
      <w:u w:val="none" w:color="000000"/>
    </w:rPr>
  </w:style>
  <w:style w:type="character" w:customStyle="1" w:styleId="45">
    <w:name w:val="日期 Char"/>
    <w:link w:val="16"/>
    <w:qFormat/>
    <w:uiPriority w:val="0"/>
    <w:rPr>
      <w:rFonts w:ascii="Arial" w:hAnsi="Arial" w:eastAsia="仿宋_GB2312"/>
      <w:color w:val="000000"/>
      <w:kern w:val="2"/>
      <w:sz w:val="32"/>
      <w:u w:val="none" w:color="000000"/>
      <w:lang w:val="en-US" w:eastAsia="zh-CN" w:bidi="ar-SA"/>
    </w:rPr>
  </w:style>
  <w:style w:type="character" w:customStyle="1" w:styleId="46">
    <w:name w:val="页脚 Char"/>
    <w:link w:val="17"/>
    <w:qFormat/>
    <w:locked/>
    <w:uiPriority w:val="0"/>
    <w:rPr>
      <w:rFonts w:eastAsia="宋体"/>
      <w:kern w:val="2"/>
      <w:sz w:val="18"/>
      <w:szCs w:val="18"/>
      <w:lang w:val="en-US" w:eastAsia="zh-CN" w:bidi="ar-SA"/>
    </w:rPr>
  </w:style>
  <w:style w:type="character" w:customStyle="1" w:styleId="47">
    <w:name w:val="页眉 Char"/>
    <w:link w:val="18"/>
    <w:qFormat/>
    <w:locked/>
    <w:uiPriority w:val="0"/>
    <w:rPr>
      <w:rFonts w:eastAsia="宋体"/>
      <w:kern w:val="2"/>
      <w:sz w:val="18"/>
      <w:szCs w:val="18"/>
      <w:lang w:val="en-US" w:eastAsia="zh-CN" w:bidi="ar-SA"/>
    </w:rPr>
  </w:style>
  <w:style w:type="paragraph" w:customStyle="1" w:styleId="48">
    <w:name w:val="正文缩进1"/>
    <w:basedOn w:val="1"/>
    <w:qFormat/>
    <w:uiPriority w:val="0"/>
    <w:pPr>
      <w:ind w:firstLine="420" w:firstLineChars="200"/>
    </w:pPr>
  </w:style>
  <w:style w:type="paragraph" w:customStyle="1" w:styleId="49">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character" w:customStyle="1" w:styleId="50">
    <w:name w:val="font01"/>
    <w:basedOn w:val="29"/>
    <w:qFormat/>
    <w:uiPriority w:val="0"/>
    <w:rPr>
      <w:rFonts w:hint="eastAsia" w:ascii="宋体" w:hAnsi="宋体" w:eastAsia="宋体" w:cs="宋体"/>
      <w:color w:val="000000"/>
      <w:sz w:val="22"/>
      <w:szCs w:val="22"/>
      <w:u w:val="none"/>
    </w:rPr>
  </w:style>
  <w:style w:type="character" w:customStyle="1" w:styleId="51">
    <w:name w:val="font111"/>
    <w:basedOn w:val="29"/>
    <w:qFormat/>
    <w:uiPriority w:val="0"/>
    <w:rPr>
      <w:rFonts w:ascii="Arial" w:hAnsi="Arial" w:cs="Arial"/>
      <w:color w:val="000000"/>
      <w:sz w:val="18"/>
      <w:szCs w:val="18"/>
      <w:u w:val="none"/>
    </w:rPr>
  </w:style>
  <w:style w:type="character" w:customStyle="1" w:styleId="52">
    <w:name w:val="Body Text Char"/>
    <w:qFormat/>
    <w:locked/>
    <w:uiPriority w:val="0"/>
    <w:rPr>
      <w:rFonts w:ascii="宋体" w:hAnsi="Arial"/>
      <w:sz w:val="28"/>
    </w:rPr>
  </w:style>
  <w:style w:type="paragraph" w:customStyle="1" w:styleId="53">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54">
    <w:name w:val="Table Paragraph"/>
    <w:basedOn w:val="1"/>
    <w:qFormat/>
    <w:uiPriority w:val="1"/>
  </w:style>
  <w:style w:type="paragraph" w:customStyle="1" w:styleId="55">
    <w:name w:val="Body 1"/>
    <w:qFormat/>
    <w:uiPriority w:val="0"/>
    <w:pPr>
      <w:outlineLvl w:val="0"/>
    </w:pPr>
    <w:rPr>
      <w:rFonts w:ascii="Helvetica" w:hAnsi="Helvetica" w:eastAsia="ヒラギノ角ゴ Pro W3" w:cs="Times New Roman"/>
      <w:color w:val="000000"/>
      <w:sz w:val="22"/>
      <w:lang w:val="en-US" w:eastAsia="zh-CN" w:bidi="ar-SA"/>
    </w:rPr>
  </w:style>
  <w:style w:type="paragraph" w:customStyle="1" w:styleId="56">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57">
    <w:name w:val="Char"/>
    <w:basedOn w:val="1"/>
    <w:next w:val="1"/>
    <w:qFormat/>
    <w:uiPriority w:val="0"/>
    <w:pPr>
      <w:widowControl/>
      <w:spacing w:line="360" w:lineRule="auto"/>
      <w:jc w:val="left"/>
    </w:pPr>
    <w:rPr>
      <w:kern w:val="0"/>
      <w:szCs w:val="20"/>
      <w:lang w:eastAsia="en-US"/>
    </w:rPr>
  </w:style>
  <w:style w:type="paragraph" w:customStyle="1" w:styleId="58">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59">
    <w:name w:val="p0"/>
    <w:basedOn w:val="1"/>
    <w:qFormat/>
    <w:uiPriority w:val="0"/>
    <w:pPr>
      <w:widowControl/>
      <w:jc w:val="left"/>
    </w:pPr>
    <w:rPr>
      <w:rFonts w:ascii="宋体" w:hAnsi="宋体" w:cs="宋体"/>
      <w:kern w:val="0"/>
      <w:sz w:val="18"/>
      <w:szCs w:val="18"/>
    </w:rPr>
  </w:style>
  <w:style w:type="paragraph" w:customStyle="1" w:styleId="60">
    <w:name w:val="WPS Plain"/>
    <w:qFormat/>
    <w:uiPriority w:val="0"/>
    <w:rPr>
      <w:rFonts w:ascii="Times New Roman" w:hAnsi="Times New Roman" w:eastAsia="宋体" w:cs="Times New Roman"/>
      <w:lang w:val="en-US" w:eastAsia="zh-CN" w:bidi="ar-SA"/>
    </w:rPr>
  </w:style>
  <w:style w:type="paragraph" w:customStyle="1" w:styleId="61">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styleId="62">
    <w:name w:val="List Paragraph"/>
    <w:basedOn w:val="1"/>
    <w:qFormat/>
    <w:uiPriority w:val="0"/>
    <w:pPr>
      <w:spacing w:line="360" w:lineRule="auto"/>
      <w:ind w:firstLine="420" w:firstLineChars="200"/>
    </w:pPr>
    <w:rPr>
      <w:rFonts w:ascii="宋体" w:hAnsi="宋体" w:cs="宋体"/>
      <w:sz w:val="24"/>
    </w:rPr>
  </w:style>
  <w:style w:type="paragraph" w:customStyle="1" w:styleId="63">
    <w:name w:val="样式 左侧:  0 厘米 悬挂缩进: 2.5 字符"/>
    <w:basedOn w:val="1"/>
    <w:qFormat/>
    <w:uiPriority w:val="0"/>
    <w:pPr>
      <w:ind w:left="525" w:hanging="525" w:hangingChars="250"/>
    </w:pPr>
    <w:rPr>
      <w:szCs w:val="20"/>
    </w:rPr>
  </w:style>
  <w:style w:type="paragraph" w:customStyle="1" w:styleId="64">
    <w:name w:val="标题 5（有编号）（绿盟科技）"/>
    <w:basedOn w:val="1"/>
    <w:next w:val="56"/>
    <w:qFormat/>
    <w:uiPriority w:val="0"/>
    <w:pPr>
      <w:keepNext/>
      <w:keepLines/>
      <w:numPr>
        <w:ilvl w:val="4"/>
        <w:numId w:val="2"/>
      </w:numPr>
      <w:spacing w:before="280" w:after="156" w:line="377" w:lineRule="auto"/>
      <w:jc w:val="left"/>
      <w:outlineLvl w:val="4"/>
    </w:pPr>
    <w:rPr>
      <w:rFonts w:ascii="Arial" w:hAnsi="Arial" w:eastAsia="黑体"/>
      <w:b/>
      <w:sz w:val="24"/>
      <w:szCs w:val="28"/>
    </w:rPr>
  </w:style>
  <w:style w:type="paragraph" w:customStyle="1" w:styleId="6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6">
    <w:name w:val="图例"/>
    <w:basedOn w:val="1"/>
    <w:qFormat/>
    <w:uiPriority w:val="0"/>
    <w:pPr>
      <w:spacing w:before="120" w:beforeLines="0" w:after="120" w:afterLines="0" w:line="360" w:lineRule="auto"/>
      <w:jc w:val="center"/>
    </w:pPr>
    <w:rPr>
      <w:rFonts w:eastAsia="仿宋_GB2312"/>
      <w:b/>
      <w:sz w:val="24"/>
    </w:rPr>
  </w:style>
  <w:style w:type="character" w:customStyle="1" w:styleId="67">
    <w:name w:val="font71"/>
    <w:basedOn w:val="29"/>
    <w:qFormat/>
    <w:uiPriority w:val="0"/>
    <w:rPr>
      <w:rFonts w:hint="default" w:ascii="Calibri" w:hAnsi="Calibri" w:cs="Calibri"/>
      <w:b/>
      <w:bCs/>
      <w:color w:val="000000"/>
      <w:sz w:val="21"/>
      <w:szCs w:val="21"/>
      <w:u w:val="none"/>
    </w:rPr>
  </w:style>
  <w:style w:type="character" w:customStyle="1" w:styleId="68">
    <w:name w:val="font61"/>
    <w:basedOn w:val="29"/>
    <w:qFormat/>
    <w:uiPriority w:val="0"/>
    <w:rPr>
      <w:rFonts w:hint="eastAsia" w:ascii="华文仿宋" w:hAnsi="华文仿宋" w:eastAsia="华文仿宋" w:cs="华文仿宋"/>
      <w:color w:val="000000"/>
      <w:sz w:val="21"/>
      <w:szCs w:val="21"/>
      <w:u w:val="none"/>
    </w:rPr>
  </w:style>
  <w:style w:type="character" w:customStyle="1" w:styleId="69">
    <w:name w:val="font91"/>
    <w:basedOn w:val="29"/>
    <w:qFormat/>
    <w:uiPriority w:val="0"/>
    <w:rPr>
      <w:rFonts w:hint="default" w:ascii="Calibri" w:hAnsi="Calibri" w:cs="Calibri"/>
      <w:b/>
      <w:bCs/>
      <w:color w:val="FF0000"/>
      <w:sz w:val="21"/>
      <w:szCs w:val="21"/>
      <w:u w:val="none"/>
    </w:rPr>
  </w:style>
  <w:style w:type="character" w:customStyle="1" w:styleId="70">
    <w:name w:val="font101"/>
    <w:basedOn w:val="29"/>
    <w:qFormat/>
    <w:uiPriority w:val="0"/>
    <w:rPr>
      <w:rFonts w:hint="eastAsia" w:ascii="宋体" w:hAnsi="宋体" w:eastAsia="宋体" w:cs="宋体"/>
      <w:color w:val="000000"/>
      <w:sz w:val="21"/>
      <w:szCs w:val="21"/>
      <w:u w:val="none"/>
    </w:rPr>
  </w:style>
  <w:style w:type="character" w:customStyle="1" w:styleId="71">
    <w:name w:val="font81"/>
    <w:basedOn w:val="29"/>
    <w:qFormat/>
    <w:uiPriority w:val="0"/>
    <w:rPr>
      <w:rFonts w:hint="default" w:ascii="Calibri" w:hAnsi="Calibri" w:cs="Calibri"/>
      <w:color w:val="000000"/>
      <w:sz w:val="21"/>
      <w:szCs w:val="21"/>
      <w:u w:val="none"/>
    </w:rPr>
  </w:style>
  <w:style w:type="character" w:customStyle="1" w:styleId="72">
    <w:name w:val="first-child"/>
    <w:basedOn w:val="29"/>
    <w:qFormat/>
    <w:uiPriority w:val="0"/>
  </w:style>
  <w:style w:type="character" w:customStyle="1" w:styleId="73">
    <w:name w:val="layui-layer-tabnow"/>
    <w:basedOn w:val="29"/>
    <w:qFormat/>
    <w:uiPriority w:val="0"/>
    <w:rPr>
      <w:bdr w:val="single" w:color="CCCCCC" w:sz="6" w:space="0"/>
      <w:shd w:val="clear" w:fill="FFFFFF"/>
    </w:rPr>
  </w:style>
  <w:style w:type="paragraph" w:customStyle="1" w:styleId="74">
    <w:name w:val="标书正文"/>
    <w:basedOn w:val="1"/>
    <w:qFormat/>
    <w:uiPriority w:val="0"/>
    <w:pPr>
      <w:spacing w:line="560" w:lineRule="exact"/>
      <w:ind w:firstLine="723" w:firstLineChars="200"/>
      <w:jc w:val="center"/>
    </w:pPr>
    <w:rPr>
      <w:rFonts w:ascii="仿宋_GB2312" w:eastAsia="仿宋_GB2312"/>
      <w:b/>
      <w:sz w:val="36"/>
    </w:rPr>
  </w:style>
  <w:style w:type="paragraph" w:customStyle="1" w:styleId="75">
    <w:name w:val="答复表头"/>
    <w:basedOn w:val="76"/>
    <w:next w:val="1"/>
    <w:qFormat/>
    <w:uiPriority w:val="0"/>
    <w:pPr>
      <w:tabs>
        <w:tab w:val="left" w:pos="480"/>
      </w:tabs>
    </w:pPr>
    <w:rPr>
      <w:b/>
    </w:rPr>
  </w:style>
  <w:style w:type="paragraph" w:customStyle="1" w:styleId="76">
    <w:name w:val="正表头"/>
    <w:basedOn w:val="1"/>
    <w:qFormat/>
    <w:uiPriority w:val="0"/>
    <w:pPr>
      <w:tabs>
        <w:tab w:val="left" w:pos="480"/>
      </w:tabs>
      <w:autoSpaceDE w:val="0"/>
      <w:autoSpaceDN w:val="0"/>
      <w:adjustRightInd w:val="0"/>
      <w:jc w:val="center"/>
      <w:textAlignment w:val="baseline"/>
    </w:pPr>
    <w:rPr>
      <w:rFonts w:ascii="宋体" w:hAnsi="Tms Rmn"/>
      <w:color w:val="000000"/>
      <w:kern w:val="0"/>
    </w:rPr>
  </w:style>
  <w:style w:type="character" w:customStyle="1" w:styleId="77">
    <w:name w:val="标题 字符"/>
    <w:link w:val="25"/>
    <w:qFormat/>
    <w:uiPriority w:val="0"/>
    <w:rPr>
      <w:rFonts w:ascii="Arial" w:hAnsi="Arial" w:cs="Arial"/>
      <w:b/>
      <w:bCs/>
      <w:sz w:val="32"/>
      <w:szCs w:val="32"/>
    </w:rPr>
  </w:style>
  <w:style w:type="character" w:customStyle="1" w:styleId="78">
    <w:name w:val="NormalCharacter"/>
    <w:semiHidden/>
    <w:qFormat/>
    <w:uiPriority w:val="0"/>
  </w:style>
  <w:style w:type="paragraph" w:customStyle="1" w:styleId="79">
    <w:name w:val="Body text|2"/>
    <w:basedOn w:val="1"/>
    <w:qFormat/>
    <w:uiPriority w:val="0"/>
    <w:pPr>
      <w:widowControl w:val="0"/>
      <w:shd w:val="clear" w:color="auto" w:fill="auto"/>
      <w:spacing w:after="260"/>
      <w:ind w:firstLine="140"/>
    </w:pPr>
    <w:rPr>
      <w:rFonts w:ascii="宋体" w:hAnsi="宋体" w:eastAsia="宋体" w:cs="宋体"/>
      <w:sz w:val="30"/>
      <w:szCs w:val="30"/>
      <w:u w:val="none"/>
      <w:shd w:val="clear" w:color="auto" w:fill="auto"/>
      <w:lang w:val="zh-TW" w:eastAsia="zh-TW" w:bidi="zh-TW"/>
    </w:rPr>
  </w:style>
  <w:style w:type="paragraph" w:customStyle="1" w:styleId="80">
    <w:name w:val="Body text|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81">
    <w:name w:val="Other|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character" w:customStyle="1" w:styleId="82">
    <w:name w:val="font21"/>
    <w:basedOn w:val="29"/>
    <w:qFormat/>
    <w:uiPriority w:val="0"/>
    <w:rPr>
      <w:rFonts w:hint="eastAsia" w:ascii="宋体" w:hAnsi="宋体" w:eastAsia="宋体"/>
      <w:kern w:val="2"/>
      <w:sz w:val="28"/>
      <w:szCs w:val="28"/>
      <w:lang w:val="en-US" w:eastAsia="zh-CN" w:bidi="ar-SA"/>
    </w:rPr>
  </w:style>
  <w:style w:type="paragraph" w:customStyle="1" w:styleId="83">
    <w:name w:val="Char Char Char Char Char Char Char Char Char Char Char Char Char"/>
    <w:basedOn w:val="1"/>
    <w:qFormat/>
    <w:uiPriority w:val="0"/>
    <w:rPr>
      <w:rFonts w:ascii="仿宋_GB2312" w:eastAsia="仿宋_GB2312"/>
      <w:b/>
      <w:sz w:val="32"/>
      <w:szCs w:val="32"/>
    </w:rPr>
  </w:style>
  <w:style w:type="paragraph" w:customStyle="1" w:styleId="84">
    <w:name w:val="List Paragraph1"/>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MSCD龙帝国技术社区 Htpp://Bbs.Mscode.Cc</Company>
  <Pages>82</Pages>
  <Words>46072</Words>
  <Characters>49341</Characters>
  <Lines>310</Lines>
  <Paragraphs>87</Paragraphs>
  <TotalTime>3</TotalTime>
  <ScaleCrop>false</ScaleCrop>
  <LinksUpToDate>false</LinksUpToDate>
  <CharactersWithSpaces>52864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2014-07-12T00:56:00Z</dcterms:created>
  <dc:creator>陈倩倩</dc:creator>
  <cp:lastModifiedBy>i</cp:lastModifiedBy>
  <cp:lastPrinted>2023-03-17T14:16:00Z</cp:lastPrinted>
  <dcterms:modified xsi:type="dcterms:W3CDTF">2023-03-20T15:00:57Z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75018D14C0324F9186C9A9124D52B62A</vt:lpwstr>
  </property>
</Properties>
</file>