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tabs>
          <w:tab w:val="left" w:pos="315"/>
          <w:tab w:val="left" w:pos="8820"/>
        </w:tabs>
        <w:spacing w:before="312" w:beforeLines="100" w:after="156" w:afterLines="50" w:line="500" w:lineRule="exact"/>
        <w:ind w:right="305" w:rightChars="127"/>
        <w:rPr>
          <w:b/>
          <w:bCs/>
          <w:sz w:val="52"/>
          <w:szCs w:val="52"/>
        </w:rPr>
      </w:pPr>
    </w:p>
    <w:p>
      <w:pPr>
        <w:tabs>
          <w:tab w:val="left" w:pos="315"/>
          <w:tab w:val="left" w:pos="8820"/>
        </w:tabs>
        <w:spacing w:before="312" w:beforeLines="100" w:after="156" w:afterLines="50" w:line="500" w:lineRule="exact"/>
        <w:ind w:right="305" w:rightChars="127"/>
        <w:jc w:val="center"/>
        <w:rPr>
          <w:b/>
          <w:bCs/>
          <w:sz w:val="52"/>
          <w:szCs w:val="52"/>
        </w:rPr>
      </w:pPr>
    </w:p>
    <w:p>
      <w:pPr>
        <w:tabs>
          <w:tab w:val="left" w:pos="315"/>
          <w:tab w:val="left" w:pos="8820"/>
        </w:tabs>
        <w:spacing w:before="312" w:beforeLines="100" w:after="156" w:afterLines="50" w:line="480" w:lineRule="auto"/>
        <w:ind w:right="305" w:rightChars="127"/>
        <w:jc w:val="center"/>
        <w:rPr>
          <w:b/>
          <w:bCs/>
          <w:sz w:val="52"/>
          <w:szCs w:val="52"/>
        </w:rPr>
      </w:pPr>
      <w:bookmarkStart w:id="0" w:name="_Hlk9544796"/>
    </w:p>
    <w:p>
      <w:pPr>
        <w:tabs>
          <w:tab w:val="left" w:pos="315"/>
          <w:tab w:val="left" w:pos="8820"/>
        </w:tabs>
        <w:spacing w:before="312" w:beforeLines="100" w:after="156" w:afterLines="50" w:line="480" w:lineRule="auto"/>
        <w:ind w:right="305" w:rightChars="127"/>
        <w:jc w:val="center"/>
        <w:rPr>
          <w:b/>
          <w:bCs/>
          <w:sz w:val="52"/>
          <w:szCs w:val="52"/>
        </w:rPr>
      </w:pPr>
      <w:r>
        <w:rPr>
          <w:rFonts w:hint="eastAsia"/>
          <w:b/>
          <w:bCs/>
          <w:sz w:val="52"/>
          <w:szCs w:val="52"/>
        </w:rPr>
        <w:t>政府采购公开招标文件</w:t>
      </w:r>
    </w:p>
    <w:p>
      <w:pPr>
        <w:pStyle w:val="39"/>
        <w:ind w:firstLine="0" w:firstLineChars="0"/>
        <w:jc w:val="center"/>
        <w:rPr>
          <w:sz w:val="20"/>
          <w:szCs w:val="18"/>
        </w:rPr>
      </w:pPr>
      <w:r>
        <w:rPr>
          <w:rFonts w:hint="eastAsia"/>
          <w:sz w:val="48"/>
          <w:szCs w:val="48"/>
        </w:rPr>
        <w:t>（货物类）</w:t>
      </w:r>
    </w:p>
    <w:bookmarkEnd w:id="0"/>
    <w:p>
      <w:pPr>
        <w:tabs>
          <w:tab w:val="left" w:pos="315"/>
          <w:tab w:val="left" w:pos="8820"/>
        </w:tabs>
        <w:spacing w:before="312" w:beforeLines="100" w:after="156" w:afterLines="50" w:line="500" w:lineRule="exact"/>
        <w:ind w:right="305" w:rightChars="127"/>
        <w:rPr>
          <w:b/>
          <w:bCs/>
          <w:sz w:val="44"/>
          <w:szCs w:val="44"/>
        </w:rPr>
      </w:pPr>
    </w:p>
    <w:p>
      <w:pPr>
        <w:tabs>
          <w:tab w:val="left" w:pos="315"/>
          <w:tab w:val="left" w:pos="8820"/>
        </w:tabs>
        <w:spacing w:before="312" w:beforeLines="100" w:after="156" w:afterLines="50" w:line="500" w:lineRule="exact"/>
        <w:ind w:right="305" w:rightChars="127"/>
        <w:jc w:val="center"/>
        <w:rPr>
          <w:b/>
          <w:bCs/>
          <w:sz w:val="36"/>
          <w:szCs w:val="36"/>
        </w:rPr>
      </w:pPr>
    </w:p>
    <w:p>
      <w:pPr>
        <w:tabs>
          <w:tab w:val="left" w:pos="2410"/>
        </w:tabs>
        <w:autoSpaceDE w:val="0"/>
        <w:autoSpaceDN w:val="0"/>
        <w:adjustRightInd w:val="0"/>
        <w:snapToGrid w:val="0"/>
        <w:spacing w:line="360" w:lineRule="auto"/>
        <w:ind w:firstLine="803" w:firstLineChars="200"/>
        <w:jc w:val="center"/>
        <w:rPr>
          <w:b/>
          <w:spacing w:val="20"/>
          <w:sz w:val="36"/>
          <w:szCs w:val="36"/>
          <w:u w:val="single"/>
        </w:rPr>
      </w:pPr>
      <w:r>
        <w:rPr>
          <w:rFonts w:hint="eastAsia"/>
          <w:b/>
          <w:spacing w:val="20"/>
          <w:sz w:val="36"/>
          <w:szCs w:val="36"/>
        </w:rPr>
        <w:t>项目名称：</w:t>
      </w:r>
      <w:r>
        <w:rPr>
          <w:rFonts w:hint="eastAsia"/>
          <w:b/>
          <w:spacing w:val="20"/>
          <w:sz w:val="36"/>
          <w:szCs w:val="36"/>
          <w:u w:val="single"/>
        </w:rPr>
        <w:t>新疆维吾尔自治区某单位2022年度生活物资采购项目(包</w:t>
      </w:r>
      <w:r>
        <w:rPr>
          <w:rFonts w:hint="eastAsia"/>
          <w:b/>
          <w:spacing w:val="20"/>
          <w:sz w:val="36"/>
          <w:szCs w:val="36"/>
          <w:u w:val="single"/>
          <w:lang w:val="en-US" w:eastAsia="zh-CN"/>
        </w:rPr>
        <w:t>六</w:t>
      </w:r>
      <w:r>
        <w:rPr>
          <w:rFonts w:hint="eastAsia"/>
          <w:b/>
          <w:spacing w:val="20"/>
          <w:sz w:val="36"/>
          <w:szCs w:val="36"/>
          <w:u w:val="single"/>
        </w:rPr>
        <w:t>至包</w:t>
      </w:r>
      <w:r>
        <w:rPr>
          <w:rFonts w:hint="eastAsia"/>
          <w:b/>
          <w:spacing w:val="20"/>
          <w:sz w:val="36"/>
          <w:szCs w:val="36"/>
          <w:u w:val="single"/>
          <w:lang w:val="en-US" w:eastAsia="zh-CN"/>
        </w:rPr>
        <w:t>九</w:t>
      </w:r>
      <w:r>
        <w:rPr>
          <w:rFonts w:hint="eastAsia"/>
          <w:b/>
          <w:spacing w:val="20"/>
          <w:sz w:val="36"/>
          <w:szCs w:val="36"/>
          <w:u w:val="single"/>
        </w:rPr>
        <w:t>)</w:t>
      </w:r>
    </w:p>
    <w:p>
      <w:pPr>
        <w:tabs>
          <w:tab w:val="left" w:pos="2410"/>
        </w:tabs>
        <w:autoSpaceDE w:val="0"/>
        <w:autoSpaceDN w:val="0"/>
        <w:adjustRightInd w:val="0"/>
        <w:snapToGrid w:val="0"/>
        <w:spacing w:line="360" w:lineRule="auto"/>
        <w:ind w:firstLine="803" w:firstLineChars="200"/>
        <w:rPr>
          <w:rFonts w:hint="eastAsia"/>
          <w:b/>
          <w:spacing w:val="20"/>
          <w:sz w:val="36"/>
          <w:szCs w:val="36"/>
          <w:u w:val="single"/>
        </w:rPr>
      </w:pPr>
      <w:r>
        <w:rPr>
          <w:rFonts w:hint="eastAsia"/>
          <w:b/>
          <w:spacing w:val="20"/>
          <w:sz w:val="36"/>
          <w:szCs w:val="36"/>
        </w:rPr>
        <w:t>项目编号：</w:t>
      </w:r>
      <w:r>
        <w:rPr>
          <w:rFonts w:hint="eastAsia"/>
          <w:b/>
          <w:spacing w:val="20"/>
          <w:sz w:val="36"/>
          <w:szCs w:val="36"/>
          <w:u w:val="single"/>
        </w:rPr>
        <w:t>SSQYZB-CG2022003/6/7/8/9</w:t>
      </w:r>
    </w:p>
    <w:p>
      <w:pPr>
        <w:tabs>
          <w:tab w:val="left" w:pos="2410"/>
        </w:tabs>
        <w:autoSpaceDE w:val="0"/>
        <w:autoSpaceDN w:val="0"/>
        <w:adjustRightInd w:val="0"/>
        <w:snapToGrid w:val="0"/>
        <w:spacing w:line="360" w:lineRule="auto"/>
        <w:rPr>
          <w:b/>
          <w:sz w:val="32"/>
          <w:szCs w:val="18"/>
        </w:rPr>
      </w:pPr>
    </w:p>
    <w:p>
      <w:pPr>
        <w:tabs>
          <w:tab w:val="left" w:pos="2410"/>
        </w:tabs>
        <w:autoSpaceDE w:val="0"/>
        <w:autoSpaceDN w:val="0"/>
        <w:adjustRightInd w:val="0"/>
        <w:snapToGrid w:val="0"/>
        <w:spacing w:line="480" w:lineRule="auto"/>
        <w:jc w:val="both"/>
        <w:rPr>
          <w:b/>
          <w:spacing w:val="20"/>
          <w:sz w:val="36"/>
          <w:szCs w:val="36"/>
        </w:rPr>
      </w:pPr>
      <w:r>
        <w:rPr>
          <w:rFonts w:hint="eastAsia"/>
          <w:b/>
          <w:sz w:val="32"/>
          <w:szCs w:val="18"/>
        </w:rPr>
        <w:t>采</w:t>
      </w:r>
      <w:r>
        <w:rPr>
          <w:rFonts w:hint="eastAsia"/>
          <w:b/>
          <w:sz w:val="32"/>
          <w:szCs w:val="18"/>
          <w:lang w:val="en-US" w:eastAsia="zh-CN"/>
        </w:rPr>
        <w:t xml:space="preserve">   </w:t>
      </w:r>
      <w:r>
        <w:rPr>
          <w:rFonts w:hint="eastAsia"/>
          <w:b/>
          <w:sz w:val="32"/>
          <w:szCs w:val="18"/>
        </w:rPr>
        <w:t>购</w:t>
      </w:r>
      <w:r>
        <w:rPr>
          <w:rFonts w:hint="eastAsia"/>
          <w:b/>
          <w:sz w:val="32"/>
          <w:szCs w:val="18"/>
          <w:lang w:val="en-US" w:eastAsia="zh-CN"/>
        </w:rPr>
        <w:t xml:space="preserve">   </w:t>
      </w:r>
      <w:r>
        <w:rPr>
          <w:rFonts w:hint="eastAsia"/>
          <w:b/>
          <w:sz w:val="32"/>
          <w:szCs w:val="18"/>
        </w:rPr>
        <w:t>人：新疆维吾尔自治区某单位</w:t>
      </w:r>
    </w:p>
    <w:p>
      <w:pPr>
        <w:tabs>
          <w:tab w:val="left" w:pos="2410"/>
        </w:tabs>
        <w:autoSpaceDE w:val="0"/>
        <w:autoSpaceDN w:val="0"/>
        <w:adjustRightInd w:val="0"/>
        <w:snapToGrid w:val="0"/>
        <w:spacing w:line="480" w:lineRule="auto"/>
        <w:jc w:val="both"/>
        <w:rPr>
          <w:rFonts w:hint="eastAsia"/>
          <w:b/>
          <w:sz w:val="32"/>
          <w:szCs w:val="18"/>
          <w:lang w:eastAsia="zh-CN"/>
        </w:rPr>
      </w:pPr>
      <w:r>
        <w:rPr>
          <w:rFonts w:hint="eastAsia"/>
          <w:b/>
          <w:sz w:val="32"/>
          <w:szCs w:val="18"/>
        </w:rPr>
        <w:t>采购代理机构：</w:t>
      </w:r>
      <w:r>
        <w:rPr>
          <w:rFonts w:hint="eastAsia"/>
          <w:b/>
          <w:sz w:val="32"/>
          <w:szCs w:val="18"/>
          <w:lang w:eastAsia="zh-CN"/>
        </w:rPr>
        <w:t>新疆盛世乾元工程项目管理咨询有限公司</w:t>
      </w:r>
    </w:p>
    <w:p>
      <w:pPr>
        <w:tabs>
          <w:tab w:val="left" w:pos="2410"/>
        </w:tabs>
        <w:autoSpaceDE w:val="0"/>
        <w:autoSpaceDN w:val="0"/>
        <w:adjustRightInd w:val="0"/>
        <w:snapToGrid w:val="0"/>
        <w:spacing w:line="480" w:lineRule="auto"/>
        <w:jc w:val="both"/>
        <w:rPr>
          <w:rFonts w:hint="default"/>
          <w:lang w:val="en-US" w:eastAsia="zh-CN"/>
        </w:rPr>
      </w:pPr>
      <w:r>
        <w:rPr>
          <w:rFonts w:hint="eastAsia"/>
          <w:b/>
          <w:sz w:val="32"/>
          <w:szCs w:val="18"/>
          <w:lang w:val="en-US" w:eastAsia="zh-CN"/>
        </w:rPr>
        <w:t>联   系   人：刘菀榕、0991-4659594、15299966036</w:t>
      </w:r>
    </w:p>
    <w:p>
      <w:pPr>
        <w:tabs>
          <w:tab w:val="left" w:pos="2410"/>
        </w:tabs>
        <w:autoSpaceDE w:val="0"/>
        <w:autoSpaceDN w:val="0"/>
        <w:adjustRightInd w:val="0"/>
        <w:snapToGrid w:val="0"/>
        <w:spacing w:line="480" w:lineRule="auto"/>
        <w:jc w:val="both"/>
        <w:rPr>
          <w:b/>
          <w:spacing w:val="20"/>
          <w:sz w:val="36"/>
          <w:szCs w:val="36"/>
        </w:rPr>
      </w:pPr>
      <w:r>
        <w:rPr>
          <w:rFonts w:hint="eastAsia"/>
          <w:b/>
          <w:sz w:val="32"/>
          <w:szCs w:val="18"/>
        </w:rPr>
        <w:t>日</w:t>
      </w:r>
      <w:r>
        <w:rPr>
          <w:rFonts w:hint="eastAsia"/>
          <w:b/>
          <w:sz w:val="32"/>
          <w:szCs w:val="18"/>
          <w:lang w:val="en-US" w:eastAsia="zh-CN"/>
        </w:rPr>
        <w:t xml:space="preserve">        </w:t>
      </w:r>
      <w:r>
        <w:rPr>
          <w:rFonts w:hint="eastAsia"/>
          <w:b/>
          <w:sz w:val="32"/>
          <w:szCs w:val="18"/>
        </w:rPr>
        <w:t>期：二○二二年</w:t>
      </w:r>
      <w:r>
        <w:rPr>
          <w:rFonts w:hint="eastAsia"/>
          <w:b/>
          <w:sz w:val="32"/>
          <w:szCs w:val="18"/>
          <w:lang w:val="en-US" w:eastAsia="zh-CN"/>
        </w:rPr>
        <w:t>三</w:t>
      </w:r>
      <w:r>
        <w:rPr>
          <w:rFonts w:hint="eastAsia"/>
          <w:b/>
          <w:sz w:val="32"/>
          <w:szCs w:val="18"/>
        </w:rPr>
        <w:t>月</w:t>
      </w:r>
      <w:r>
        <w:rPr>
          <w:rFonts w:hint="eastAsia"/>
          <w:b/>
          <w:sz w:val="36"/>
        </w:rPr>
        <w:br w:type="page"/>
      </w:r>
    </w:p>
    <w:p>
      <w:pPr>
        <w:rPr>
          <w:rFonts w:hint="eastAsia"/>
          <w:b/>
          <w:sz w:val="28"/>
        </w:rPr>
      </w:pPr>
    </w:p>
    <w:p>
      <w:pPr>
        <w:tabs>
          <w:tab w:val="left" w:pos="2410"/>
        </w:tabs>
        <w:autoSpaceDE w:val="0"/>
        <w:autoSpaceDN w:val="0"/>
        <w:adjustRightInd w:val="0"/>
        <w:snapToGrid w:val="0"/>
        <w:spacing w:line="360" w:lineRule="auto"/>
        <w:jc w:val="center"/>
        <w:rPr>
          <w:b/>
          <w:sz w:val="28"/>
        </w:rPr>
      </w:pPr>
      <w:r>
        <w:rPr>
          <w:rFonts w:hint="eastAsia"/>
          <w:b/>
          <w:sz w:val="28"/>
        </w:rPr>
        <w:t>目  录</w:t>
      </w:r>
    </w:p>
    <w:p>
      <w:pPr>
        <w:pStyle w:val="20"/>
        <w:tabs>
          <w:tab w:val="right" w:leader="dot" w:pos="8296"/>
        </w:tabs>
        <w:rPr>
          <w:rFonts w:eastAsiaTheme="minorEastAsia" w:cstheme="minorBidi"/>
          <w:b w:val="0"/>
          <w:bCs w:val="0"/>
          <w:i/>
          <w:iCs/>
          <w:kern w:val="2"/>
          <w:sz w:val="21"/>
        </w:rPr>
      </w:pPr>
      <w:r>
        <w:rPr>
          <w:rFonts w:hint="eastAsia" w:ascii="宋体" w:hAnsi="宋体" w:cs="宋体"/>
          <w:sz w:val="24"/>
          <w:szCs w:val="24"/>
        </w:rPr>
        <w:fldChar w:fldCharType="begin"/>
      </w:r>
      <w:r>
        <w:rPr>
          <w:rFonts w:hint="eastAsia" w:ascii="宋体" w:hAnsi="宋体" w:cs="宋体"/>
          <w:sz w:val="24"/>
          <w:szCs w:val="24"/>
        </w:rPr>
        <w:instrText xml:space="preserve"> TOC \o "1-2" \h \z \u </w:instrText>
      </w:r>
      <w:r>
        <w:rPr>
          <w:rFonts w:hint="eastAsia" w:ascii="宋体" w:hAnsi="宋体" w:cs="宋体"/>
          <w:sz w:val="24"/>
          <w:szCs w:val="24"/>
        </w:rPr>
        <w:fldChar w:fldCharType="separate"/>
      </w:r>
      <w:r>
        <w:fldChar w:fldCharType="begin"/>
      </w:r>
      <w:r>
        <w:instrText xml:space="preserve"> HYPERLINK \l "_Toc92733667" </w:instrText>
      </w:r>
      <w:r>
        <w:fldChar w:fldCharType="separate"/>
      </w:r>
      <w:r>
        <w:rPr>
          <w:rStyle w:val="37"/>
        </w:rPr>
        <w:t>第一章  招标公告</w:t>
      </w:r>
      <w:r>
        <w:tab/>
      </w:r>
      <w:r>
        <w:rPr>
          <w:rFonts w:hint="eastAsia"/>
          <w:lang w:val="en-US" w:eastAsia="zh-CN"/>
        </w:rPr>
        <w:t>1</w:t>
      </w:r>
      <w:r>
        <w:fldChar w:fldCharType="end"/>
      </w:r>
    </w:p>
    <w:p>
      <w:pPr>
        <w:pStyle w:val="20"/>
        <w:tabs>
          <w:tab w:val="right" w:leader="dot" w:pos="8296"/>
        </w:tabs>
        <w:rPr>
          <w:rFonts w:eastAsiaTheme="minorEastAsia" w:cstheme="minorBidi"/>
          <w:b w:val="0"/>
          <w:bCs w:val="0"/>
          <w:i/>
          <w:iCs/>
          <w:kern w:val="2"/>
          <w:sz w:val="21"/>
        </w:rPr>
      </w:pPr>
      <w:r>
        <w:fldChar w:fldCharType="begin"/>
      </w:r>
      <w:r>
        <w:instrText xml:space="preserve"> HYPERLINK \l "_Toc92733674" </w:instrText>
      </w:r>
      <w:r>
        <w:fldChar w:fldCharType="separate"/>
      </w:r>
      <w:r>
        <w:rPr>
          <w:rStyle w:val="37"/>
        </w:rPr>
        <w:t xml:space="preserve">第二章  </w:t>
      </w:r>
      <w:r>
        <w:rPr>
          <w:rStyle w:val="37"/>
          <w:rFonts w:hint="eastAsia"/>
          <w:lang w:eastAsia="zh-CN"/>
        </w:rPr>
        <w:t>供应商</w:t>
      </w:r>
      <w:r>
        <w:rPr>
          <w:rStyle w:val="37"/>
        </w:rPr>
        <w:t>须知</w:t>
      </w:r>
      <w:r>
        <w:tab/>
      </w:r>
      <w:r>
        <w:rPr>
          <w:rFonts w:hint="eastAsia"/>
          <w:lang w:val="en-US" w:eastAsia="zh-CN"/>
        </w:rPr>
        <w:t>4</w:t>
      </w:r>
      <w:r>
        <w:fldChar w:fldCharType="end"/>
      </w:r>
    </w:p>
    <w:p>
      <w:pPr>
        <w:pStyle w:val="20"/>
        <w:tabs>
          <w:tab w:val="right" w:leader="dot" w:pos="8296"/>
        </w:tabs>
        <w:rPr>
          <w:rFonts w:eastAsiaTheme="minorEastAsia" w:cstheme="minorBidi"/>
          <w:b w:val="0"/>
          <w:bCs w:val="0"/>
          <w:i/>
          <w:iCs/>
          <w:kern w:val="2"/>
          <w:sz w:val="21"/>
        </w:rPr>
      </w:pPr>
      <w:r>
        <w:fldChar w:fldCharType="begin"/>
      </w:r>
      <w:r>
        <w:instrText xml:space="preserve"> HYPERLINK \l "_Toc92733675" </w:instrText>
      </w:r>
      <w:r>
        <w:fldChar w:fldCharType="separate"/>
      </w:r>
      <w:r>
        <w:rPr>
          <w:rStyle w:val="37"/>
        </w:rPr>
        <w:t>第三章  评标方法和标准（综合评分法）</w:t>
      </w:r>
      <w:r>
        <w:tab/>
      </w:r>
      <w:r>
        <w:fldChar w:fldCharType="begin"/>
      </w:r>
      <w:r>
        <w:instrText xml:space="preserve"> PAGEREF _Toc92733675 \h </w:instrText>
      </w:r>
      <w:r>
        <w:fldChar w:fldCharType="separate"/>
      </w:r>
      <w:r>
        <w:t>32</w:t>
      </w:r>
      <w:r>
        <w:fldChar w:fldCharType="end"/>
      </w:r>
      <w:r>
        <w:fldChar w:fldCharType="end"/>
      </w:r>
    </w:p>
    <w:p>
      <w:pPr>
        <w:pStyle w:val="20"/>
        <w:tabs>
          <w:tab w:val="right" w:leader="dot" w:pos="8296"/>
        </w:tabs>
        <w:rPr>
          <w:rFonts w:eastAsiaTheme="minorEastAsia" w:cstheme="minorBidi"/>
          <w:b w:val="0"/>
          <w:bCs w:val="0"/>
          <w:i/>
          <w:iCs/>
          <w:kern w:val="2"/>
          <w:sz w:val="21"/>
        </w:rPr>
      </w:pPr>
      <w:r>
        <w:fldChar w:fldCharType="begin"/>
      </w:r>
      <w:r>
        <w:instrText xml:space="preserve"> HYPERLINK \l "_Toc92733676" </w:instrText>
      </w:r>
      <w:r>
        <w:fldChar w:fldCharType="separate"/>
      </w:r>
      <w:r>
        <w:rPr>
          <w:rStyle w:val="37"/>
        </w:rPr>
        <w:t>第四章  采购需求书</w:t>
      </w:r>
      <w:r>
        <w:tab/>
      </w:r>
      <w:r>
        <w:fldChar w:fldCharType="begin"/>
      </w:r>
      <w:r>
        <w:instrText xml:space="preserve"> PAGEREF _Toc92733676 \h </w:instrText>
      </w:r>
      <w:r>
        <w:fldChar w:fldCharType="separate"/>
      </w:r>
      <w:r>
        <w:t>44</w:t>
      </w:r>
      <w:r>
        <w:fldChar w:fldCharType="end"/>
      </w:r>
      <w:r>
        <w:fldChar w:fldCharType="end"/>
      </w:r>
    </w:p>
    <w:p>
      <w:pPr>
        <w:pStyle w:val="24"/>
        <w:tabs>
          <w:tab w:val="right" w:leader="dot" w:pos="8296"/>
        </w:tabs>
        <w:rPr>
          <w:rFonts w:eastAsiaTheme="minorEastAsia" w:cstheme="minorBidi"/>
          <w:i w:val="0"/>
          <w:iCs w:val="0"/>
          <w:kern w:val="2"/>
          <w:sz w:val="21"/>
          <w:szCs w:val="24"/>
        </w:rPr>
      </w:pPr>
      <w:r>
        <w:fldChar w:fldCharType="begin"/>
      </w:r>
      <w:r>
        <w:instrText xml:space="preserve"> HYPERLINK \l "_Toc92733677" </w:instrText>
      </w:r>
      <w:r>
        <w:fldChar w:fldCharType="separate"/>
      </w:r>
      <w:r>
        <w:rPr>
          <w:rStyle w:val="37"/>
          <w:b/>
          <w:bCs/>
        </w:rPr>
        <w:t>一、货物需求清单</w:t>
      </w:r>
      <w:r>
        <w:tab/>
      </w:r>
      <w:r>
        <w:fldChar w:fldCharType="begin"/>
      </w:r>
      <w:r>
        <w:instrText xml:space="preserve"> PAGEREF _Toc92733677 \h </w:instrText>
      </w:r>
      <w:r>
        <w:fldChar w:fldCharType="separate"/>
      </w:r>
      <w:r>
        <w:t>44</w:t>
      </w:r>
      <w:r>
        <w:fldChar w:fldCharType="end"/>
      </w:r>
      <w:r>
        <w:fldChar w:fldCharType="end"/>
      </w:r>
    </w:p>
    <w:p>
      <w:pPr>
        <w:pStyle w:val="24"/>
        <w:tabs>
          <w:tab w:val="right" w:leader="dot" w:pos="8296"/>
        </w:tabs>
        <w:rPr>
          <w:rFonts w:eastAsiaTheme="minorEastAsia" w:cstheme="minorBidi"/>
          <w:i w:val="0"/>
          <w:iCs w:val="0"/>
          <w:kern w:val="2"/>
          <w:sz w:val="21"/>
          <w:szCs w:val="24"/>
        </w:rPr>
      </w:pPr>
      <w:r>
        <w:fldChar w:fldCharType="begin"/>
      </w:r>
      <w:r>
        <w:instrText xml:space="preserve"> HYPERLINK \l "_Toc92733683" </w:instrText>
      </w:r>
      <w:r>
        <w:fldChar w:fldCharType="separate"/>
      </w:r>
      <w:r>
        <w:rPr>
          <w:rStyle w:val="37"/>
          <w:b/>
          <w:bCs/>
        </w:rPr>
        <w:t>二、技术要求</w:t>
      </w:r>
      <w:r>
        <w:tab/>
      </w:r>
      <w:r>
        <w:fldChar w:fldCharType="begin"/>
      </w:r>
      <w:r>
        <w:instrText xml:space="preserve"> PAGEREF _Toc92733683 \h </w:instrText>
      </w:r>
      <w:r>
        <w:fldChar w:fldCharType="separate"/>
      </w:r>
      <w:r>
        <w:t>52</w:t>
      </w:r>
      <w:r>
        <w:fldChar w:fldCharType="end"/>
      </w:r>
      <w:r>
        <w:fldChar w:fldCharType="end"/>
      </w:r>
    </w:p>
    <w:p>
      <w:pPr>
        <w:pStyle w:val="20"/>
        <w:tabs>
          <w:tab w:val="right" w:leader="dot" w:pos="8296"/>
        </w:tabs>
        <w:rPr>
          <w:rFonts w:eastAsiaTheme="minorEastAsia" w:cstheme="minorBidi"/>
          <w:b w:val="0"/>
          <w:bCs w:val="0"/>
          <w:i/>
          <w:iCs/>
          <w:kern w:val="2"/>
          <w:sz w:val="21"/>
        </w:rPr>
      </w:pPr>
      <w:r>
        <w:fldChar w:fldCharType="begin"/>
      </w:r>
      <w:r>
        <w:instrText xml:space="preserve"> HYPERLINK \l "_Toc92733685" </w:instrText>
      </w:r>
      <w:r>
        <w:fldChar w:fldCharType="separate"/>
      </w:r>
      <w:r>
        <w:rPr>
          <w:rStyle w:val="37"/>
        </w:rPr>
        <w:t>第五章  政府采购合同</w:t>
      </w:r>
      <w:r>
        <w:tab/>
      </w:r>
      <w:r>
        <w:fldChar w:fldCharType="begin"/>
      </w:r>
      <w:r>
        <w:instrText xml:space="preserve"> PAGEREF _Toc92733685 \h </w:instrText>
      </w:r>
      <w:r>
        <w:fldChar w:fldCharType="separate"/>
      </w:r>
      <w:r>
        <w:t>55</w:t>
      </w:r>
      <w:r>
        <w:fldChar w:fldCharType="end"/>
      </w:r>
      <w:r>
        <w:fldChar w:fldCharType="end"/>
      </w:r>
    </w:p>
    <w:p>
      <w:pPr>
        <w:pStyle w:val="20"/>
        <w:tabs>
          <w:tab w:val="right" w:leader="dot" w:pos="8296"/>
        </w:tabs>
        <w:rPr>
          <w:rFonts w:eastAsiaTheme="minorEastAsia" w:cstheme="minorBidi"/>
          <w:b w:val="0"/>
          <w:bCs w:val="0"/>
          <w:i/>
          <w:iCs/>
          <w:kern w:val="2"/>
          <w:sz w:val="21"/>
        </w:rPr>
      </w:pPr>
      <w:r>
        <w:fldChar w:fldCharType="begin"/>
      </w:r>
      <w:r>
        <w:instrText xml:space="preserve"> HYPERLINK \l "_Toc92733686" </w:instrText>
      </w:r>
      <w:r>
        <w:fldChar w:fldCharType="separate"/>
      </w:r>
      <w:r>
        <w:rPr>
          <w:rStyle w:val="37"/>
        </w:rPr>
        <w:t xml:space="preserve">第六章 </w:t>
      </w:r>
      <w:r>
        <w:rPr>
          <w:rStyle w:val="37"/>
          <w:rFonts w:hint="eastAsia"/>
          <w:lang w:eastAsia="zh-CN"/>
        </w:rPr>
        <w:t>响应文件</w:t>
      </w:r>
      <w:r>
        <w:rPr>
          <w:rStyle w:val="37"/>
        </w:rPr>
        <w:t>格式</w:t>
      </w:r>
      <w:r>
        <w:tab/>
      </w:r>
      <w:r>
        <w:fldChar w:fldCharType="begin"/>
      </w:r>
      <w:r>
        <w:instrText xml:space="preserve"> PAGEREF _Toc92733686 \h </w:instrText>
      </w:r>
      <w:r>
        <w:fldChar w:fldCharType="separate"/>
      </w:r>
      <w:r>
        <w:t>62</w:t>
      </w:r>
      <w:r>
        <w:fldChar w:fldCharType="end"/>
      </w:r>
      <w:r>
        <w:fldChar w:fldCharType="end"/>
      </w:r>
    </w:p>
    <w:p>
      <w:pPr>
        <w:spacing w:line="360" w:lineRule="auto"/>
        <w:rPr>
          <w:b/>
          <w:sz w:val="32"/>
        </w:rPr>
      </w:pPr>
      <w:r>
        <w:rPr>
          <w:rFonts w:hint="eastAsia"/>
        </w:rPr>
        <w:fldChar w:fldCharType="end"/>
      </w:r>
    </w:p>
    <w:p>
      <w:pPr>
        <w:spacing w:line="360" w:lineRule="auto"/>
        <w:jc w:val="center"/>
        <w:rPr>
          <w:b/>
          <w:sz w:val="28"/>
        </w:rPr>
        <w:sectPr>
          <w:headerReference r:id="rId3" w:type="default"/>
          <w:footerReference r:id="rId4" w:type="default"/>
          <w:pgSz w:w="11906" w:h="16838"/>
          <w:pgMar w:top="1440" w:right="1800" w:bottom="1440" w:left="1800" w:header="851" w:footer="992" w:gutter="0"/>
          <w:cols w:space="425" w:num="1"/>
          <w:docGrid w:type="lines" w:linePitch="312" w:charSpace="0"/>
        </w:sectPr>
      </w:pPr>
    </w:p>
    <w:p>
      <w:pPr>
        <w:rPr>
          <w:rFonts w:hint="eastAsia"/>
          <w:sz w:val="24"/>
          <w:szCs w:val="24"/>
          <w:lang w:val="en-US" w:eastAsia="zh-CN"/>
        </w:rPr>
      </w:pPr>
      <w:bookmarkStart w:id="1" w:name="_Toc3771"/>
      <w:bookmarkStart w:id="2" w:name="_Toc92733674"/>
    </w:p>
    <w:p>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sz w:val="24"/>
          <w:szCs w:val="24"/>
          <w:lang w:val="en-US" w:eastAsia="zh-CN"/>
        </w:rPr>
      </w:pPr>
      <w:r>
        <w:rPr>
          <w:rFonts w:hint="eastAsia"/>
          <w:sz w:val="24"/>
          <w:szCs w:val="24"/>
          <w:lang w:val="en-US" w:eastAsia="zh-CN"/>
        </w:rPr>
        <w:t>第一章  招标公告</w:t>
      </w:r>
      <w:bookmarkEnd w:id="1"/>
    </w:p>
    <w:tbl>
      <w:tblPr>
        <w:tblStyle w:val="32"/>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5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528" w:type="dxa"/>
            <w:noWrap w:val="0"/>
            <w:vAlign w:val="top"/>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项目概况</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新疆维吾尔新疆维吾尔自治区某单位2022年度生活物资采购项目(包六至包九)的潜在供应商应在新疆盛世乾元工程项目管理咨询有限公司获取招标文件，并于</w:t>
            </w:r>
            <w:r>
              <w:rPr>
                <w:rFonts w:hint="eastAsia"/>
                <w:sz w:val="24"/>
                <w:szCs w:val="24"/>
                <w:highlight w:val="yellow"/>
                <w:lang w:val="en-US" w:eastAsia="zh-CN"/>
              </w:rPr>
              <w:t>2022年**月**日11点00分</w:t>
            </w:r>
            <w:r>
              <w:rPr>
                <w:rFonts w:hint="eastAsia"/>
                <w:sz w:val="24"/>
                <w:szCs w:val="24"/>
                <w:lang w:val="en-US" w:eastAsia="zh-CN"/>
              </w:rPr>
              <w:t>（北京时间）前递交响应文件。</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bookmarkStart w:id="3" w:name="_Toc15790"/>
      <w:r>
        <w:rPr>
          <w:rFonts w:hint="eastAsia"/>
          <w:b/>
          <w:bCs/>
          <w:sz w:val="24"/>
          <w:szCs w:val="24"/>
          <w:lang w:val="en-US" w:eastAsia="zh-CN"/>
        </w:rPr>
        <w:t>一、项目基本情况</w:t>
      </w:r>
      <w:bookmarkEnd w:id="3"/>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项目编号：SSQYZB-CG2022003-6/7/8/9</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项目名称：新疆维吾尔新疆维吾尔自治区某单位2022年度生活物资采购项目(包六至包九)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预算金额：0.0000000万元（人民币）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最高限价（如有）：0.0000000万元（人民币）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采购需求：本项目一共分为九个标包，同一个供应商可同时投多个标包，但最多可中三个标包，按照标包1至标包9的顺序进行评标推荐，如在前三个标包中标后，后续标包可参与评标，但不再推荐为前三名成交候选人。</w:t>
      </w:r>
    </w:p>
    <w:tbl>
      <w:tblPr>
        <w:tblStyle w:val="32"/>
        <w:tblW w:w="934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63"/>
        <w:gridCol w:w="2340"/>
        <w:gridCol w:w="1365"/>
        <w:gridCol w:w="1146"/>
        <w:gridCol w:w="1344"/>
        <w:gridCol w:w="228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序号</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内容</w:t>
            </w:r>
          </w:p>
        </w:tc>
        <w:tc>
          <w:tcPr>
            <w:tcW w:w="1365"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规格</w:t>
            </w:r>
          </w:p>
        </w:tc>
        <w:tc>
          <w:tcPr>
            <w:tcW w:w="1146"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交货期</w:t>
            </w:r>
          </w:p>
        </w:tc>
        <w:tc>
          <w:tcPr>
            <w:tcW w:w="1344"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交货地点</w:t>
            </w:r>
          </w:p>
        </w:tc>
        <w:tc>
          <w:tcPr>
            <w:tcW w:w="2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4"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标包1</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大米、清油</w:t>
            </w:r>
          </w:p>
        </w:tc>
        <w:tc>
          <w:tcPr>
            <w:tcW w:w="1365"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详见招标文件</w:t>
            </w:r>
          </w:p>
        </w:tc>
        <w:tc>
          <w:tcPr>
            <w:tcW w:w="1146"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按订单要求分批供货</w:t>
            </w:r>
          </w:p>
        </w:tc>
        <w:tc>
          <w:tcPr>
            <w:tcW w:w="1344" w:type="dxa"/>
            <w:vMerge w:val="restart"/>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乌鲁木齐市</w:t>
            </w:r>
          </w:p>
        </w:tc>
        <w:tc>
          <w:tcPr>
            <w:tcW w:w="2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拟采购3家供应商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标包2</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牛奶、酸奶</w:t>
            </w:r>
          </w:p>
        </w:tc>
        <w:tc>
          <w:tcPr>
            <w:tcW w:w="13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1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2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拟采购3家供应商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标包3</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水果、鸡蛋、冻饺子、丸子</w:t>
            </w:r>
          </w:p>
        </w:tc>
        <w:tc>
          <w:tcPr>
            <w:tcW w:w="13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1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2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拟采购3家供应商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标包4</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蔬菜</w:t>
            </w:r>
          </w:p>
        </w:tc>
        <w:tc>
          <w:tcPr>
            <w:tcW w:w="13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1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2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拟采购3家供应商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标包5</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民警职工食堂</w:t>
            </w:r>
          </w:p>
        </w:tc>
        <w:tc>
          <w:tcPr>
            <w:tcW w:w="13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1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2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拟采购3家供应商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标包6</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肉类</w:t>
            </w:r>
          </w:p>
        </w:tc>
        <w:tc>
          <w:tcPr>
            <w:tcW w:w="13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1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2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拟采购3家供应商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标包7</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面粉</w:t>
            </w:r>
          </w:p>
        </w:tc>
        <w:tc>
          <w:tcPr>
            <w:tcW w:w="13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1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2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拟采购3家供应商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标包8</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副食品</w:t>
            </w:r>
          </w:p>
        </w:tc>
        <w:tc>
          <w:tcPr>
            <w:tcW w:w="13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1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2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拟采购3家供应商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1" w:hRule="atLeast"/>
          <w:jc w:val="center"/>
        </w:trPr>
        <w:tc>
          <w:tcPr>
            <w:tcW w:w="863"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标包9</w:t>
            </w:r>
          </w:p>
        </w:tc>
        <w:tc>
          <w:tcPr>
            <w:tcW w:w="2340"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日用品</w:t>
            </w:r>
          </w:p>
        </w:tc>
        <w:tc>
          <w:tcPr>
            <w:tcW w:w="1365"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146"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1344" w:type="dxa"/>
            <w:vMerge w:val="continue"/>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p>
        </w:tc>
        <w:tc>
          <w:tcPr>
            <w:tcW w:w="2288" w:type="dxa"/>
            <w:noWrap w:val="0"/>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拟采购3家供应商</w:t>
            </w:r>
          </w:p>
        </w:tc>
      </w:tr>
    </w:tbl>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注：包六至包九采购代理机构为新疆盛世乾元工程项目管理咨询有限公司。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合同履行期限：合同签订之日起一年。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本项目(不接受)联合体投标。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bookmarkStart w:id="4" w:name="_Toc864"/>
      <w:r>
        <w:rPr>
          <w:rFonts w:hint="eastAsia"/>
          <w:b/>
          <w:bCs/>
          <w:sz w:val="24"/>
          <w:szCs w:val="24"/>
          <w:lang w:val="en-US" w:eastAsia="zh-CN"/>
        </w:rPr>
        <w:t>二、申请人的资格要求</w:t>
      </w:r>
      <w:bookmarkEnd w:id="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财政部发展改革委生态环境部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w:t>
      </w:r>
      <w:bookmarkStart w:id="5" w:name="_Hlk38785149"/>
      <w:r>
        <w:rPr>
          <w:rFonts w:hint="eastAsia"/>
          <w:sz w:val="24"/>
          <w:szCs w:val="24"/>
          <w:lang w:val="en-US" w:eastAsia="zh-CN"/>
        </w:rPr>
        <w:t>供应商须具备有效的《食品卫生许可证》或《食品经营许可证》，须提供相关资质证明材料。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w:t>
      </w:r>
      <w:bookmarkEnd w:id="5"/>
      <w:r>
        <w:rPr>
          <w:rFonts w:hint="eastAsia"/>
          <w:sz w:val="24"/>
          <w:szCs w:val="24"/>
          <w:lang w:val="en-US" w:eastAsia="zh-CN"/>
        </w:rPr>
        <w:t>生产商须具备有效的《动物防疫条件合格证》；经销商须具备有效的《动物防疫条件合格证》及与生产商签订合作协议（仅第六包须具备）。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供应商未被列入“信用中国”网站(www.creditchina.gov.cn)以下任意名单之一：①记录失信被执行人；②重大税收违法案件当事人名单；③政府采购严重违法失信行为。同时，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4）单位负责人为同一人或者存在直接控股、管理关系的不同供应商，不得同时参加同一包的采购活动。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bookmarkStart w:id="6" w:name="_Toc14557"/>
      <w:r>
        <w:rPr>
          <w:rFonts w:hint="eastAsia" w:ascii="宋体" w:hAnsi="宋体" w:eastAsia="宋体" w:cs="宋体"/>
          <w:sz w:val="24"/>
          <w:szCs w:val="24"/>
          <w:lang w:val="en-US" w:eastAsia="zh-CN"/>
        </w:rPr>
        <w:t>5）本项目招标不接受联合体投标。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r>
        <w:rPr>
          <w:rFonts w:hint="eastAsia"/>
          <w:b/>
          <w:bCs/>
          <w:sz w:val="24"/>
          <w:szCs w:val="24"/>
          <w:lang w:val="en-US" w:eastAsia="zh-CN"/>
        </w:rPr>
        <w:t>三、获取招标文件</w:t>
      </w:r>
      <w:bookmarkEnd w:id="6"/>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时间：</w:t>
      </w:r>
      <w:r>
        <w:rPr>
          <w:rFonts w:hint="eastAsia"/>
          <w:sz w:val="24"/>
          <w:szCs w:val="24"/>
          <w:highlight w:val="yellow"/>
          <w:lang w:val="en-US" w:eastAsia="zh-CN"/>
        </w:rPr>
        <w:t>2022年**月**日至2022年**月**日</w:t>
      </w:r>
      <w:r>
        <w:rPr>
          <w:rFonts w:hint="eastAsia"/>
          <w:sz w:val="24"/>
          <w:szCs w:val="24"/>
          <w:lang w:val="en-US" w:eastAsia="zh-CN"/>
        </w:rPr>
        <w:t>，上午10：00-14:00下午15:30-19:00节假日除外（北京时间）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地点：乌鲁木齐市水磨沟区南湖北路1956号亚欧财富广场A座903室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方式：现场购买，获取招标文件需携带《营业执照副本》、《食品生产许可证》或《食品经营许可证》、《动物防疫条件合格证》及合作协议（仅第6包提供）、《法定代表人身份证明书》及身份证原件或《法定代表人授权委托书》及委托代理人的身份证原件（授权书需附法定代表人身份证及委托代理人身份证复印件正反面），查验原件，留加盖公章复印件一份。</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售价（元）：300元/包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b/>
          <w:bCs/>
          <w:sz w:val="24"/>
          <w:szCs w:val="24"/>
          <w:lang w:val="en-US" w:eastAsia="zh-CN"/>
        </w:rPr>
      </w:pPr>
      <w:bookmarkStart w:id="7" w:name="_Toc18974"/>
      <w:r>
        <w:rPr>
          <w:rFonts w:hint="eastAsia"/>
          <w:b/>
          <w:bCs/>
          <w:sz w:val="24"/>
          <w:szCs w:val="24"/>
          <w:lang w:val="en-US" w:eastAsia="zh-CN"/>
        </w:rPr>
        <w:t>四、提交响应文件截止时间、开标时间和地点</w:t>
      </w:r>
      <w:bookmarkEnd w:id="7"/>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截止时间：</w:t>
      </w:r>
      <w:r>
        <w:rPr>
          <w:rFonts w:hint="eastAsia"/>
          <w:sz w:val="24"/>
          <w:szCs w:val="24"/>
          <w:highlight w:val="yellow"/>
          <w:lang w:val="en-US" w:eastAsia="zh-CN"/>
        </w:rPr>
        <w:t>2022年**月**日11时00</w:t>
      </w:r>
      <w:r>
        <w:rPr>
          <w:rFonts w:hint="eastAsia"/>
          <w:sz w:val="24"/>
          <w:szCs w:val="24"/>
          <w:lang w:val="en-US" w:eastAsia="zh-CN"/>
        </w:rPr>
        <w:t>（北京时间）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地点：新疆维吾尔自治区乌鲁木齐市沙依巴克区克拉玛依西街1100号北晟商业广场公寓楼（天山农商银行旁）22层会议室（如有变动另行通知）。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bookmarkStart w:id="8" w:name="_Toc28897"/>
      <w:r>
        <w:rPr>
          <w:rFonts w:hint="eastAsia"/>
          <w:b/>
          <w:bCs/>
          <w:sz w:val="24"/>
          <w:szCs w:val="24"/>
          <w:lang w:val="en-US" w:eastAsia="zh-CN"/>
        </w:rPr>
        <w:t>五、公告期限</w:t>
      </w:r>
      <w:bookmarkEnd w:id="8"/>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自本公告发布之日起5个工作日。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b/>
          <w:bCs/>
          <w:sz w:val="24"/>
          <w:szCs w:val="24"/>
          <w:lang w:val="en-US" w:eastAsia="zh-CN"/>
        </w:rPr>
      </w:pPr>
      <w:bookmarkStart w:id="9" w:name="_Toc24051"/>
      <w:r>
        <w:rPr>
          <w:rFonts w:hint="eastAsia"/>
          <w:b/>
          <w:bCs/>
          <w:sz w:val="24"/>
          <w:szCs w:val="24"/>
          <w:lang w:val="en-US" w:eastAsia="zh-CN"/>
        </w:rPr>
        <w:t>六、其他补充事宜</w:t>
      </w:r>
      <w:bookmarkEnd w:id="9"/>
    </w:p>
    <w:p>
      <w:pPr>
        <w:keepNext w:val="0"/>
        <w:keepLines w:val="0"/>
        <w:pageBreakBefore w:val="0"/>
        <w:widowControl w:val="0"/>
        <w:kinsoku/>
        <w:wordWrap/>
        <w:overflowPunct/>
        <w:topLinePunct w:val="0"/>
        <w:autoSpaceDE/>
        <w:autoSpaceDN/>
        <w:bidi w:val="0"/>
        <w:adjustRightInd/>
        <w:snapToGrid/>
        <w:spacing w:line="360" w:lineRule="auto"/>
        <w:ind w:firstLine="1440" w:firstLineChars="600"/>
        <w:textAlignment w:val="auto"/>
        <w:rPr>
          <w:rFonts w:hint="eastAsia"/>
          <w:b w:val="0"/>
          <w:bCs w:val="0"/>
          <w:sz w:val="24"/>
          <w:szCs w:val="24"/>
          <w:lang w:val="en-US" w:eastAsia="zh-CN"/>
        </w:rPr>
      </w:pPr>
      <w:bookmarkStart w:id="10" w:name="_Toc24544"/>
      <w:r>
        <w:rPr>
          <w:rFonts w:hint="eastAsia"/>
          <w:b w:val="0"/>
          <w:bCs w:val="0"/>
          <w:sz w:val="24"/>
          <w:szCs w:val="24"/>
          <w:lang w:val="en-US" w:eastAsia="zh-CN"/>
        </w:rPr>
        <w:t>无</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sz w:val="24"/>
          <w:szCs w:val="24"/>
          <w:lang w:val="en-US" w:eastAsia="zh-CN"/>
        </w:rPr>
      </w:pPr>
      <w:r>
        <w:rPr>
          <w:rFonts w:hint="eastAsia"/>
          <w:b/>
          <w:bCs/>
          <w:sz w:val="24"/>
          <w:szCs w:val="24"/>
          <w:lang w:val="en-US" w:eastAsia="zh-CN"/>
        </w:rPr>
        <w:t>七、对本次招标提出询问，请按以下方式联系</w:t>
      </w:r>
      <w:bookmarkEnd w:id="10"/>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1.采购人信息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名称：新疆维吾尔新疆维吾尔自治区某单位</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地址：新疆乌鲁木齐市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联系方式：/</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2.采购代理机构信息</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名称：新疆盛世乾元工程项目管理咨询有限公司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地址：乌鲁木齐市水磨沟区南湖北路1956号亚欧财富广场A座903室</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联系方式：0991-4659594、15299966036</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bookmarkStart w:id="11" w:name="_Toc28359098"/>
      <w:bookmarkStart w:id="12" w:name="_Toc35393639"/>
      <w:bookmarkStart w:id="13" w:name="_Toc35393808"/>
      <w:bookmarkStart w:id="14" w:name="_Toc28359021"/>
      <w:r>
        <w:rPr>
          <w:rFonts w:hint="eastAsia"/>
          <w:sz w:val="24"/>
          <w:szCs w:val="24"/>
          <w:lang w:val="en-US" w:eastAsia="zh-CN"/>
        </w:rPr>
        <w:t>3.项目联系方式</w:t>
      </w:r>
      <w:bookmarkEnd w:id="11"/>
      <w:bookmarkEnd w:id="12"/>
      <w:bookmarkEnd w:id="13"/>
      <w:bookmarkEnd w:id="14"/>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项目联系人：刘菀榕</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电话：0991-4659594、15299966036</w:t>
      </w:r>
    </w:p>
    <w:p>
      <w:pPr>
        <w:rPr>
          <w:rFonts w:hint="eastAsia"/>
          <w:b/>
          <w:sz w:val="28"/>
        </w:rPr>
      </w:pPr>
      <w:r>
        <w:rPr>
          <w:rFonts w:hint="eastAsia"/>
          <w:b/>
          <w:sz w:val="28"/>
        </w:rPr>
        <w:br w:type="page"/>
      </w:r>
    </w:p>
    <w:p>
      <w:pPr>
        <w:spacing w:line="360" w:lineRule="auto"/>
        <w:jc w:val="center"/>
        <w:outlineLvl w:val="0"/>
        <w:rPr>
          <w:b/>
          <w:sz w:val="28"/>
        </w:rPr>
      </w:pPr>
      <w:r>
        <w:rPr>
          <w:rFonts w:hint="eastAsia"/>
          <w:b/>
          <w:sz w:val="28"/>
        </w:rPr>
        <w:t xml:space="preserve">第二章  </w:t>
      </w:r>
      <w:r>
        <w:rPr>
          <w:rFonts w:hint="eastAsia"/>
          <w:b/>
          <w:sz w:val="28"/>
          <w:lang w:eastAsia="zh-CN"/>
        </w:rPr>
        <w:t>供应商</w:t>
      </w:r>
      <w:r>
        <w:rPr>
          <w:rFonts w:hint="eastAsia"/>
          <w:b/>
          <w:sz w:val="28"/>
        </w:rPr>
        <w:t>须知</w:t>
      </w:r>
      <w:bookmarkEnd w:id="2"/>
    </w:p>
    <w:p>
      <w:pPr>
        <w:snapToGrid w:val="0"/>
        <w:spacing w:line="400" w:lineRule="atLeast"/>
        <w:jc w:val="center"/>
        <w:rPr>
          <w:rFonts w:ascii="Tahoma" w:hAnsi="Tahoma" w:eastAsia="黑体" w:cs="Tahoma"/>
          <w:b/>
          <w:sz w:val="28"/>
          <w:szCs w:val="28"/>
        </w:rPr>
      </w:pPr>
      <w:r>
        <w:rPr>
          <w:rFonts w:hint="eastAsia" w:ascii="Tahoma" w:hAnsi="Tahoma" w:eastAsia="黑体" w:cs="Tahoma"/>
          <w:b/>
          <w:sz w:val="28"/>
          <w:szCs w:val="28"/>
          <w:lang w:eastAsia="zh-CN"/>
        </w:rPr>
        <w:t>供应商</w:t>
      </w:r>
      <w:r>
        <w:rPr>
          <w:rFonts w:ascii="Tahoma" w:hAnsi="Tahoma" w:eastAsia="黑体" w:cs="Tahoma"/>
          <w:b/>
          <w:sz w:val="28"/>
          <w:szCs w:val="28"/>
        </w:rPr>
        <w:t>须知前附表</w:t>
      </w:r>
    </w:p>
    <w:tbl>
      <w:tblPr>
        <w:tblStyle w:val="32"/>
        <w:tblW w:w="1035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52"/>
        <w:gridCol w:w="17"/>
        <w:gridCol w:w="1705"/>
        <w:gridCol w:w="7760"/>
        <w:gridCol w:w="1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0" w:hRule="atLeast"/>
          <w:jc w:val="center"/>
        </w:trPr>
        <w:tc>
          <w:tcPr>
            <w:tcW w:w="869" w:type="dxa"/>
            <w:gridSpan w:val="2"/>
            <w:vAlign w:val="center"/>
          </w:tcPr>
          <w:p>
            <w:pPr>
              <w:adjustRightInd w:val="0"/>
              <w:spacing w:line="360" w:lineRule="auto"/>
              <w:jc w:val="center"/>
              <w:textAlignment w:val="baseline"/>
              <w:rPr>
                <w:rFonts w:ascii="Tahoma" w:hAnsi="Tahoma" w:cs="Tahoma"/>
                <w:b/>
                <w:bCs/>
                <w:sz w:val="20"/>
              </w:rPr>
            </w:pPr>
            <w:r>
              <w:rPr>
                <w:rFonts w:ascii="Tahoma" w:hAnsi="Tahoma" w:cs="Tahoma"/>
                <w:b/>
                <w:bCs/>
                <w:sz w:val="20"/>
              </w:rPr>
              <w:t>条款号</w:t>
            </w:r>
          </w:p>
        </w:tc>
        <w:tc>
          <w:tcPr>
            <w:tcW w:w="1705" w:type="dxa"/>
            <w:vAlign w:val="center"/>
          </w:tcPr>
          <w:p>
            <w:pPr>
              <w:adjustRightInd w:val="0"/>
              <w:spacing w:line="360" w:lineRule="auto"/>
              <w:jc w:val="center"/>
              <w:textAlignment w:val="baseline"/>
              <w:rPr>
                <w:rFonts w:ascii="Tahoma" w:hAnsi="Tahoma" w:cs="Tahoma"/>
                <w:b/>
                <w:bCs/>
                <w:sz w:val="20"/>
              </w:rPr>
            </w:pPr>
            <w:r>
              <w:rPr>
                <w:rFonts w:ascii="Tahoma" w:hAnsi="Tahoma" w:cs="Tahoma"/>
                <w:b/>
                <w:bCs/>
                <w:sz w:val="20"/>
              </w:rPr>
              <w:t>条款名称</w:t>
            </w:r>
          </w:p>
        </w:tc>
        <w:tc>
          <w:tcPr>
            <w:tcW w:w="7779" w:type="dxa"/>
            <w:gridSpan w:val="2"/>
            <w:vAlign w:val="center"/>
          </w:tcPr>
          <w:p>
            <w:pPr>
              <w:adjustRightInd w:val="0"/>
              <w:spacing w:line="360" w:lineRule="auto"/>
              <w:jc w:val="center"/>
              <w:textAlignment w:val="baseline"/>
              <w:rPr>
                <w:rFonts w:ascii="Tahoma" w:hAnsi="Tahoma" w:cs="Tahoma"/>
                <w:b/>
                <w:bCs/>
                <w:sz w:val="20"/>
              </w:rPr>
            </w:pPr>
            <w:r>
              <w:rPr>
                <w:rFonts w:ascii="Tahoma" w:hAnsi="Tahoma" w:cs="Tahoma"/>
                <w:b/>
                <w:bCs/>
                <w:sz w:val="20"/>
              </w:rPr>
              <w:t>编列内容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69" w:type="dxa"/>
            <w:gridSpan w:val="2"/>
            <w:vMerge w:val="restart"/>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新疆维吾尔自治区某单位2022年度生活物资采购项目(包六至包九)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6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cs="宋体"/>
                <w:sz w:val="24"/>
                <w:szCs w:val="24"/>
                <w:lang w:val="en-US" w:eastAsia="zh-CN"/>
              </w:rPr>
              <w:t>采购人</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新疆维吾尔自治区某单位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6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招标代理人</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新疆盛世乾元工程项目管理咨询有限公司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5" w:hRule="atLeast"/>
          <w:jc w:val="center"/>
        </w:trPr>
        <w:tc>
          <w:tcPr>
            <w:tcW w:w="86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招标范围</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详见招标文件第三章采购需求书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1" w:hRule="atLeast"/>
          <w:jc w:val="center"/>
        </w:trPr>
        <w:tc>
          <w:tcPr>
            <w:tcW w:w="86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w:t>
            </w:r>
          </w:p>
        </w:tc>
        <w:tc>
          <w:tcPr>
            <w:tcW w:w="7779" w:type="dxa"/>
            <w:gridSpan w:val="2"/>
            <w:vAlign w:val="center"/>
          </w:tcPr>
          <w:p>
            <w:pPr>
              <w:pStyle w:val="2"/>
              <w:spacing w:line="240" w:lineRule="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第6包：SSQYZB-CG2022003-6；</w:t>
            </w:r>
          </w:p>
          <w:p>
            <w:pPr>
              <w:pStyle w:val="2"/>
              <w:spacing w:line="240" w:lineRule="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第7包：SSQYZB-CG2022003-7；</w:t>
            </w:r>
          </w:p>
          <w:p>
            <w:pPr>
              <w:pStyle w:val="2"/>
              <w:spacing w:line="240" w:lineRule="auto"/>
              <w:rPr>
                <w:rFonts w:hint="eastAsia" w:ascii="宋体" w:hAnsi="宋体" w:eastAsia="宋体" w:cs="宋体"/>
                <w:b w:val="0"/>
                <w:bCs w:val="0"/>
                <w:sz w:val="24"/>
                <w:szCs w:val="24"/>
                <w:lang w:val="en-US" w:eastAsia="zh-CN" w:bidi="ar-SA"/>
              </w:rPr>
            </w:pPr>
            <w:r>
              <w:rPr>
                <w:rFonts w:hint="eastAsia" w:ascii="宋体" w:hAnsi="宋体" w:eastAsia="宋体" w:cs="宋体"/>
                <w:b w:val="0"/>
                <w:bCs w:val="0"/>
                <w:sz w:val="24"/>
                <w:szCs w:val="24"/>
                <w:lang w:val="en-US" w:eastAsia="zh-CN" w:bidi="ar-SA"/>
              </w:rPr>
              <w:t>第8包：SSQYZB-CG2022003-8；</w:t>
            </w:r>
          </w:p>
          <w:p>
            <w:pPr>
              <w:pStyle w:val="2"/>
              <w:spacing w:line="240" w:lineRule="auto"/>
              <w:rPr>
                <w:rFonts w:hint="eastAsia"/>
                <w:lang w:val="en-US" w:eastAsia="zh-CN"/>
              </w:rPr>
            </w:pPr>
            <w:r>
              <w:rPr>
                <w:rFonts w:hint="eastAsia" w:ascii="宋体" w:hAnsi="宋体" w:eastAsia="宋体" w:cs="宋体"/>
                <w:b w:val="0"/>
                <w:bCs w:val="0"/>
                <w:sz w:val="24"/>
                <w:szCs w:val="24"/>
                <w:lang w:val="en-US" w:eastAsia="zh-CN" w:bidi="ar-SA"/>
              </w:rPr>
              <w:t xml:space="preserve">第9包：SSQYZB-CG2022003-9；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资金来源</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专项资金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0" w:hRule="atLeast"/>
          <w:jc w:val="center"/>
        </w:trPr>
        <w:tc>
          <w:tcPr>
            <w:tcW w:w="86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资金落实情况</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已落实</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3" w:hRule="atLeast"/>
          <w:jc w:val="center"/>
        </w:trPr>
        <w:tc>
          <w:tcPr>
            <w:tcW w:w="869" w:type="dxa"/>
            <w:gridSpan w:val="2"/>
            <w:vMerge w:val="continue"/>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服务期</w:t>
            </w:r>
            <w:r>
              <w:rPr>
                <w:rFonts w:hint="eastAsia" w:cs="宋体"/>
                <w:sz w:val="24"/>
                <w:szCs w:val="24"/>
                <w:lang w:val="en-US" w:eastAsia="zh-CN"/>
              </w:rPr>
              <w:t>限</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合同签订之日起一年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84" w:hRule="atLeast"/>
          <w:jc w:val="center"/>
        </w:trPr>
        <w:tc>
          <w:tcPr>
            <w:tcW w:w="86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资格要求</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供应商资格要求：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1.满足《中华人民共和国政府采购法》第二十二条规定；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sz w:val="24"/>
                <w:szCs w:val="24"/>
                <w:lang w:val="en-US" w:eastAsia="zh-CN"/>
              </w:rPr>
            </w:pPr>
            <w:r>
              <w:rPr>
                <w:rFonts w:hint="eastAsia"/>
                <w:sz w:val="24"/>
                <w:szCs w:val="24"/>
                <w:lang w:val="en-US" w:eastAsia="zh-CN"/>
              </w:rPr>
              <w:t>2.落实政府采购政策需满足的资格要求：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财政部发展改革委生态环境部市场监管总局关于调整优化节能产品、环境标志产品政府采购执行机制的通知》（财库〔2019〕9号）。</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3.本项目的特定资格要求：</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1）供应商须具备有效的《食品卫生许可证》或《食品经营许可证》，须提供相关资质证明材料。</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2）生产商须具备有效的《动物防疫条件合格证》；经销商须具备有效的《动物防疫条件合格证》及与生产商签订合作协议（仅第六包须具备）。</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3）供应商未被列入“信用中国”网站(www.creditchina.gov.cn)以下任意名单之一：①记录失信被执行人；②重大税收违法案件当事人名单；③政府采购严重违法失信行为。同时，不处于中国政府采购网(www.ccgp.gov.cn)“政府采购严重违法失信行为信息记录”中的禁止参加政府采购活动期间。</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sz w:val="24"/>
                <w:szCs w:val="24"/>
                <w:lang w:val="en-US" w:eastAsia="zh-CN"/>
              </w:rPr>
            </w:pPr>
            <w:r>
              <w:rPr>
                <w:rFonts w:hint="eastAsia"/>
                <w:sz w:val="24"/>
                <w:szCs w:val="24"/>
                <w:lang w:val="en-US" w:eastAsia="zh-CN"/>
              </w:rPr>
              <w:t>4）单位负责人为同一人或者存在直接控股、管理关系的不同供应商，不得同时参加同一包的采购活动。</w:t>
            </w:r>
          </w:p>
          <w:p>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5）本项目招标不接受联合体投标。</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7" w:hRule="atLeast"/>
          <w:jc w:val="center"/>
        </w:trPr>
        <w:tc>
          <w:tcPr>
            <w:tcW w:w="86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2.2</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澄清或修改</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获取招标文件的供应商如认为招标文件如有表述不清晰、缺页、漏页、损页或疑问等，应当在投标截止时间前的10日，以书面形式要求采购人做出书面解释、澄清或补齐；采购人（采购代理机构）将在收到书面函的3个工作日内组织澄清或补齐；澄清或补齐内容是招标文件的组成部份，并将以招标文件的补充文件形式在规定的发布渠道（招标公告发布网站）书面发布通知所有已获取招标文件的供应商。供应商应自行留意采购人（采购代理机构）发出的对招标文件的澄清、修改或补充文件，并及时在发布的网站自行下载获取相应的文本文件获取即可，无须回签确认收到的函。供应商未按规定时间在发布渠道的网站下载的，视同已收到。因其他紧急情况影响本项目正常招标活动的，采购方将在规定的发布渠道书面通知所有已参加投标的供应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5" w:hRule="atLeast"/>
          <w:jc w:val="center"/>
        </w:trPr>
        <w:tc>
          <w:tcPr>
            <w:tcW w:w="86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3.1</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cs="宋体"/>
                <w:sz w:val="24"/>
                <w:szCs w:val="24"/>
                <w:lang w:val="en-US" w:eastAsia="zh-CN"/>
              </w:rPr>
              <w:t>响应文件</w:t>
            </w:r>
            <w:r>
              <w:rPr>
                <w:rFonts w:hint="eastAsia" w:ascii="宋体" w:hAnsi="宋体" w:eastAsia="宋体" w:cs="宋体"/>
                <w:sz w:val="24"/>
                <w:szCs w:val="24"/>
                <w:lang w:val="en-US" w:eastAsia="zh-CN"/>
              </w:rPr>
              <w:t>份数</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cs="宋体"/>
                <w:sz w:val="24"/>
                <w:szCs w:val="24"/>
                <w:lang w:val="en-US" w:eastAsia="zh-CN"/>
              </w:rPr>
              <w:t>1、响应文件</w:t>
            </w:r>
            <w:r>
              <w:rPr>
                <w:rFonts w:hint="eastAsia" w:ascii="宋体" w:hAnsi="宋体" w:eastAsia="宋体" w:cs="宋体"/>
                <w:sz w:val="24"/>
                <w:szCs w:val="24"/>
                <w:lang w:val="en-US" w:eastAsia="zh-CN"/>
              </w:rPr>
              <w:t>的数量：正本1份、副本</w:t>
            </w:r>
            <w:r>
              <w:rPr>
                <w:rFonts w:hint="eastAsia" w:cs="宋体"/>
                <w:sz w:val="24"/>
                <w:szCs w:val="24"/>
                <w:lang w:val="en-US" w:eastAsia="zh-CN"/>
              </w:rPr>
              <w:t>6</w:t>
            </w:r>
            <w:r>
              <w:rPr>
                <w:rFonts w:hint="eastAsia" w:ascii="宋体" w:hAnsi="宋体" w:eastAsia="宋体" w:cs="宋体"/>
                <w:sz w:val="24"/>
                <w:szCs w:val="24"/>
                <w:lang w:val="en-US" w:eastAsia="zh-CN"/>
              </w:rPr>
              <w:t>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cs="宋体"/>
                <w:sz w:val="24"/>
                <w:szCs w:val="24"/>
                <w:lang w:val="en-US" w:eastAsia="zh-CN"/>
              </w:rPr>
            </w:pPr>
            <w:r>
              <w:rPr>
                <w:rFonts w:hint="eastAsia" w:ascii="宋体" w:hAnsi="宋体" w:eastAsia="宋体" w:cs="宋体"/>
                <w:sz w:val="24"/>
                <w:szCs w:val="24"/>
                <w:lang w:val="en-US" w:eastAsia="zh-CN"/>
              </w:rPr>
              <w:t>供应商须</w:t>
            </w:r>
            <w:r>
              <w:rPr>
                <w:rFonts w:hint="eastAsia" w:cs="宋体"/>
                <w:sz w:val="24"/>
                <w:szCs w:val="24"/>
                <w:lang w:val="en-US" w:eastAsia="zh-CN"/>
              </w:rPr>
              <w:t>按采购</w:t>
            </w:r>
            <w:r>
              <w:rPr>
                <w:rFonts w:hint="eastAsia" w:ascii="宋体" w:hAnsi="宋体" w:eastAsia="宋体" w:cs="宋体"/>
                <w:sz w:val="24"/>
                <w:szCs w:val="24"/>
                <w:lang w:val="en-US" w:eastAsia="zh-CN"/>
              </w:rPr>
              <w:t>文件的规定制作响应文件，正、副本可以密封在同一文件袋中。</w:t>
            </w:r>
            <w:r>
              <w:rPr>
                <w:rFonts w:hint="eastAsia" w:cs="宋体"/>
                <w:sz w:val="24"/>
                <w:szCs w:val="24"/>
                <w:lang w:val="en-US" w:eastAsia="zh-CN"/>
              </w:rPr>
              <w:t>应响应节能环保，减少环境污染，请采用双面打印。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cs="宋体"/>
                <w:sz w:val="24"/>
                <w:szCs w:val="24"/>
                <w:lang w:val="en-US" w:eastAsia="zh-CN"/>
              </w:rPr>
              <w:t>2、报价一览表</w:t>
            </w:r>
            <w:r>
              <w:rPr>
                <w:rFonts w:hint="eastAsia" w:ascii="宋体" w:hAnsi="宋体" w:eastAsia="宋体" w:cs="宋体"/>
                <w:sz w:val="24"/>
                <w:szCs w:val="24"/>
                <w:lang w:val="en-US" w:eastAsia="zh-CN"/>
              </w:rPr>
              <w:t>的数量：1份（单独密封），并在信封上标明“</w:t>
            </w:r>
            <w:r>
              <w:rPr>
                <w:rFonts w:hint="eastAsia" w:cs="宋体"/>
                <w:sz w:val="24"/>
                <w:szCs w:val="24"/>
                <w:lang w:val="en-US" w:eastAsia="zh-CN"/>
              </w:rPr>
              <w:t>报价一览表</w:t>
            </w:r>
            <w:r>
              <w:rPr>
                <w:rFonts w:hint="eastAsia" w:ascii="宋体" w:hAnsi="宋体" w:eastAsia="宋体" w:cs="宋体"/>
                <w:sz w:val="24"/>
                <w:szCs w:val="24"/>
                <w:lang w:val="en-US" w:eastAsia="zh-CN"/>
              </w:rPr>
              <w:t>”字样。</w:t>
            </w:r>
            <w:r>
              <w:rPr>
                <w:rFonts w:hint="eastAsia" w:cs="宋体"/>
                <w:sz w:val="24"/>
                <w:szCs w:val="24"/>
                <w:lang w:val="en-US" w:eastAsia="zh-CN"/>
              </w:rPr>
              <w:t>（注：报价一览表及报价明细表密封在一个信封袋）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cs="宋体"/>
                <w:sz w:val="24"/>
                <w:szCs w:val="24"/>
                <w:lang w:val="en-US" w:eastAsia="zh-CN"/>
              </w:rPr>
              <w:t>3、</w:t>
            </w:r>
            <w:r>
              <w:rPr>
                <w:rFonts w:hint="eastAsia" w:ascii="宋体" w:hAnsi="宋体" w:eastAsia="宋体" w:cs="宋体"/>
                <w:sz w:val="24"/>
                <w:szCs w:val="24"/>
                <w:lang w:val="en-US" w:eastAsia="zh-CN"/>
              </w:rPr>
              <w:t>电子版</w:t>
            </w:r>
            <w:r>
              <w:rPr>
                <w:rFonts w:hint="eastAsia" w:cs="宋体"/>
                <w:sz w:val="24"/>
                <w:szCs w:val="24"/>
                <w:lang w:val="en-US" w:eastAsia="zh-CN"/>
              </w:rPr>
              <w:t>响应文件</w:t>
            </w:r>
            <w:r>
              <w:rPr>
                <w:rFonts w:hint="eastAsia" w:ascii="宋体" w:hAnsi="宋体" w:eastAsia="宋体" w:cs="宋体"/>
                <w:sz w:val="24"/>
                <w:szCs w:val="24"/>
                <w:lang w:val="en-US" w:eastAsia="zh-CN"/>
              </w:rPr>
              <w:t>：1份（□Word，☑ PDF，以U盘形式提交，单独密封）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各密封袋注明：项目名称、编号和“在**年**月**日**时之前不得启封”的字样。供应商名称和地址，加盖供应商公章、法人签字或盖章。（</w:t>
            </w:r>
            <w:r>
              <w:rPr>
                <w:rFonts w:hint="eastAsia" w:cs="宋体"/>
                <w:sz w:val="24"/>
                <w:szCs w:val="24"/>
                <w:lang w:val="en-US" w:eastAsia="zh-CN"/>
              </w:rPr>
              <w:t>响应文件</w:t>
            </w:r>
            <w:r>
              <w:rPr>
                <w:rFonts w:hint="eastAsia" w:ascii="宋体" w:hAnsi="宋体" w:eastAsia="宋体" w:cs="宋体"/>
                <w:sz w:val="24"/>
                <w:szCs w:val="24"/>
                <w:lang w:val="en-US" w:eastAsia="zh-CN"/>
              </w:rPr>
              <w:t>一律不退）。</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（注：1、装订形式：不得采用活页、拉杆等方式，必须采用胶装；2、若供应商同时参两个及两个以上合同包的投标，必须按不同合同包分别编制</w:t>
            </w:r>
            <w:r>
              <w:rPr>
                <w:rFonts w:hint="eastAsia" w:cs="宋体"/>
                <w:sz w:val="24"/>
                <w:szCs w:val="24"/>
                <w:lang w:val="en-US" w:eastAsia="zh-CN"/>
              </w:rPr>
              <w:t>响应文件</w:t>
            </w:r>
            <w:r>
              <w:rPr>
                <w:rFonts w:hint="eastAsia" w:ascii="宋体" w:hAnsi="宋体" w:eastAsia="宋体" w:cs="宋体"/>
                <w:sz w:val="24"/>
                <w:szCs w:val="24"/>
                <w:lang w:val="en-US" w:eastAsia="zh-CN"/>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0" w:hRule="atLeast"/>
          <w:jc w:val="center"/>
        </w:trPr>
        <w:tc>
          <w:tcPr>
            <w:tcW w:w="86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3.2</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最高投标限价</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报价说明：</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1、供应商的投标报价按投标格式具体要求进行报价；部分产品为下浮率报价，即若在市场价的基础上报九五折，则报下浮率为5%；部分产品为按产品报单价。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2、下浮率报价是根据乌鲁木齐市北园春农贸市场（http://www.beiyuanchun.com/）公布的相应产品的最低价价格报下浮率，若供货产品在北园春农贸市场无报价，以九鼎市场（https://www.xj9d.com/）价格为准，如采购人所需货物北园春集团、九鼎市场均没有时，以甲乙双方共同询价认可的价格为基准价。不接受有选择性的下浮率，且所报的投标下浮率应当适用于每种食材，若供应商中标，则中标人须按照投标时所报下浮率与采购人签订合同及供应货物，中标企业供应食材的货品单价=当日下单产品在农贸市场的单价*（1-下浮率），请各供应商慎重对待本次投标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b/>
                <w:bCs/>
                <w:lang w:val="en-US" w:eastAsia="zh-CN"/>
              </w:rPr>
            </w:pPr>
            <w:r>
              <w:rPr>
                <w:rFonts w:hint="eastAsia"/>
                <w:lang w:val="en-US" w:eastAsia="zh-CN"/>
              </w:rPr>
              <w:t xml:space="preserve">3、第六包（1-13）项采用下浮率报价、（14-19）项采用固定价报价方式；第七包、第八包、第九包采取固定价报价方式。最高限价具体详见 </w:t>
            </w:r>
            <w:r>
              <w:rPr>
                <w:rFonts w:hint="eastAsia"/>
                <w:b/>
                <w:bCs/>
                <w:lang w:val="en-US" w:eastAsia="zh-CN"/>
              </w:rPr>
              <w:t>第四章 采购需求书；</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4、验收标准：执行国家标准。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5、应根据项目的实际需要整体报价，报价应包含合同期限内服务及其他相关工作的所有费用，总价包干方式报价。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6、配送价格应包含乙方所有税费、成本、利润、运输、装卸、各类劳保、保险等一切费用。</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7、具体数量以实际供货为准。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lang w:val="en-US" w:eastAsia="zh-CN"/>
              </w:rPr>
            </w:pPr>
            <w:r>
              <w:rPr>
                <w:rFonts w:hint="eastAsia"/>
                <w:lang w:val="en-US" w:eastAsia="zh-CN"/>
              </w:rPr>
              <w:t>8、请供应商慎重考虑所投报价，后期一旦中标，将严格按照该综合下浮执行每种产品。</w:t>
            </w:r>
          </w:p>
          <w:p>
            <w:pPr>
              <w:pStyle w:val="5"/>
              <w:spacing w:line="360" w:lineRule="auto"/>
              <w:ind w:left="0" w:leftChars="0" w:firstLine="0" w:firstLineChars="0"/>
              <w:rPr>
                <w:rFonts w:hint="default"/>
                <w:lang w:val="en-US" w:eastAsia="zh-CN"/>
              </w:rPr>
            </w:pPr>
            <w:r>
              <w:rPr>
                <w:rFonts w:hint="eastAsia" w:ascii="宋体" w:hAnsi="宋体" w:eastAsia="宋体" w:cs="宋体"/>
                <w:sz w:val="24"/>
                <w:szCs w:val="24"/>
                <w:lang w:val="en-US" w:eastAsia="zh-CN" w:bidi="ar-SA"/>
              </w:rPr>
              <w:t>9、供应商应在招标文件所附相应的《报价明细表》中标明所提供产品含税单价和总价。如含税单价和总价不符，以含税单价累计为准。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8" w:hRule="atLeast"/>
          <w:jc w:val="center"/>
        </w:trPr>
        <w:tc>
          <w:tcPr>
            <w:tcW w:w="86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3.5</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投标有效期</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投标有效期为：投标截止期结束后180日历日，有效期不足将导致其</w:t>
            </w:r>
            <w:r>
              <w:rPr>
                <w:rFonts w:hint="eastAsia" w:cs="宋体"/>
                <w:sz w:val="24"/>
                <w:szCs w:val="24"/>
                <w:lang w:val="en-US" w:eastAsia="zh-CN"/>
              </w:rPr>
              <w:t>响应文件</w:t>
            </w:r>
            <w:r>
              <w:rPr>
                <w:rFonts w:hint="eastAsia" w:ascii="宋体" w:hAnsi="宋体" w:eastAsia="宋体" w:cs="宋体"/>
                <w:sz w:val="24"/>
                <w:szCs w:val="24"/>
                <w:lang w:val="en-US" w:eastAsia="zh-CN"/>
              </w:rPr>
              <w:t>被拒绝。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75" w:hRule="atLeast"/>
          <w:jc w:val="center"/>
        </w:trPr>
        <w:tc>
          <w:tcPr>
            <w:tcW w:w="86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3.6</w:t>
            </w:r>
          </w:p>
        </w:tc>
        <w:tc>
          <w:tcPr>
            <w:tcW w:w="1705"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投标保证金</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投标保证金：</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金额：</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第6包：5000 元（ 伍仟元整）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第7包：5000 元（ 伍仟元整）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第8包：5000 元（ 伍仟元整）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第9包：5000 元（ 伍仟元整）</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1.户名：新疆盛世乾元工程项目管理咨询有限公司</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2.账号：30704501040008571</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3.开户银行：中国农业银行股份有限公司乌鲁木齐南湖路（兵团）支行</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4.行号：103881070457</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请于</w:t>
            </w:r>
            <w:r>
              <w:rPr>
                <w:rFonts w:hint="eastAsia" w:ascii="宋体" w:hAnsi="宋体" w:eastAsia="宋体" w:cs="宋体"/>
                <w:sz w:val="24"/>
                <w:szCs w:val="24"/>
                <w:highlight w:val="yellow"/>
                <w:lang w:val="en-US" w:eastAsia="zh-CN"/>
              </w:rPr>
              <w:t>2022年</w:t>
            </w:r>
            <w:r>
              <w:rPr>
                <w:rFonts w:hint="eastAsia" w:cs="宋体"/>
                <w:sz w:val="24"/>
                <w:szCs w:val="24"/>
                <w:highlight w:val="yellow"/>
                <w:lang w:val="en-US" w:eastAsia="zh-CN"/>
              </w:rPr>
              <w:t>**</w:t>
            </w:r>
            <w:r>
              <w:rPr>
                <w:rFonts w:hint="eastAsia" w:ascii="宋体" w:hAnsi="宋体" w:eastAsia="宋体" w:cs="宋体"/>
                <w:sz w:val="24"/>
                <w:szCs w:val="24"/>
                <w:highlight w:val="yellow"/>
                <w:lang w:val="en-US" w:eastAsia="zh-CN"/>
              </w:rPr>
              <w:t>月</w:t>
            </w:r>
            <w:r>
              <w:rPr>
                <w:rFonts w:hint="eastAsia" w:cs="宋体"/>
                <w:sz w:val="24"/>
                <w:szCs w:val="24"/>
                <w:highlight w:val="yellow"/>
                <w:lang w:val="en-US" w:eastAsia="zh-CN"/>
              </w:rPr>
              <w:t>**</w:t>
            </w:r>
            <w:r>
              <w:rPr>
                <w:rFonts w:hint="eastAsia" w:ascii="宋体" w:hAnsi="宋体" w:eastAsia="宋体" w:cs="宋体"/>
                <w:sz w:val="24"/>
                <w:szCs w:val="24"/>
                <w:highlight w:val="yellow"/>
                <w:lang w:val="en-US" w:eastAsia="zh-CN"/>
              </w:rPr>
              <w:t>日1</w:t>
            </w:r>
            <w:r>
              <w:rPr>
                <w:rFonts w:hint="eastAsia" w:cs="宋体"/>
                <w:sz w:val="24"/>
                <w:szCs w:val="24"/>
                <w:highlight w:val="yellow"/>
                <w:lang w:val="en-US" w:eastAsia="zh-CN"/>
              </w:rPr>
              <w:t>1</w:t>
            </w:r>
            <w:r>
              <w:rPr>
                <w:rFonts w:hint="eastAsia" w:ascii="宋体" w:hAnsi="宋体" w:eastAsia="宋体" w:cs="宋体"/>
                <w:sz w:val="24"/>
                <w:szCs w:val="24"/>
                <w:highlight w:val="yellow"/>
                <w:lang w:val="en-US" w:eastAsia="zh-CN"/>
              </w:rPr>
              <w:t>：00之前</w:t>
            </w:r>
            <w:r>
              <w:rPr>
                <w:rFonts w:hint="eastAsia" w:ascii="宋体" w:hAnsi="宋体" w:eastAsia="宋体" w:cs="宋体"/>
                <w:sz w:val="24"/>
                <w:szCs w:val="24"/>
                <w:lang w:val="en-US" w:eastAsia="zh-CN"/>
              </w:rPr>
              <w:t>将投标保证金足额电汇或转账（存入）新疆盛世乾元工程项目管理咨询有限公司指定账号。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备注：需备注项目名称及包号。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2"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4.1.2</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封套上写明</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本采购项目、包段全称</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项目编号：</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本采购项目包段编号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响应文件：在</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年</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月</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日</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时</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分前不得开启</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供应商名称：</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供应商全称（加盖公章）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日      期：</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lang w:val="en-US" w:eastAsia="zh-CN"/>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4.2</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cs="宋体"/>
                <w:sz w:val="24"/>
                <w:szCs w:val="24"/>
                <w:lang w:val="en-US" w:eastAsia="zh-CN"/>
              </w:rPr>
              <w:t>响应文件</w:t>
            </w:r>
            <w:r>
              <w:rPr>
                <w:rFonts w:hint="eastAsia" w:ascii="宋体" w:hAnsi="宋体" w:eastAsia="宋体" w:cs="宋体"/>
                <w:sz w:val="24"/>
                <w:szCs w:val="24"/>
                <w:lang w:val="en-US" w:eastAsia="zh-CN"/>
              </w:rPr>
              <w:t>递交</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highlight w:val="yellow"/>
                <w:u w:val="single"/>
                <w:lang w:val="en-US" w:eastAsia="zh-CN"/>
              </w:rPr>
            </w:pPr>
            <w:r>
              <w:rPr>
                <w:rFonts w:hint="eastAsia" w:ascii="宋体" w:hAnsi="宋体" w:eastAsia="宋体" w:cs="宋体"/>
                <w:sz w:val="24"/>
                <w:szCs w:val="24"/>
                <w:lang w:val="en-US" w:eastAsia="zh-CN"/>
              </w:rPr>
              <w:t>投标截止时间（开标时间）：</w:t>
            </w:r>
            <w:r>
              <w:rPr>
                <w:rFonts w:hint="eastAsia" w:ascii="宋体" w:hAnsi="宋体" w:eastAsia="宋体" w:cs="宋体"/>
                <w:sz w:val="24"/>
                <w:szCs w:val="24"/>
                <w:highlight w:val="yellow"/>
                <w:u w:val="single"/>
                <w:lang w:val="en-US" w:eastAsia="zh-CN"/>
              </w:rPr>
              <w:t xml:space="preserve"> 2022 年 </w:t>
            </w:r>
            <w:r>
              <w:rPr>
                <w:rFonts w:hint="eastAsia" w:cs="宋体"/>
                <w:sz w:val="24"/>
                <w:szCs w:val="24"/>
                <w:highlight w:val="yellow"/>
                <w:u w:val="single"/>
                <w:lang w:val="en-US" w:eastAsia="zh-CN"/>
              </w:rPr>
              <w:t>**</w:t>
            </w:r>
            <w:r>
              <w:rPr>
                <w:rFonts w:hint="eastAsia" w:ascii="宋体" w:hAnsi="宋体" w:eastAsia="宋体" w:cs="宋体"/>
                <w:sz w:val="24"/>
                <w:szCs w:val="24"/>
                <w:highlight w:val="yellow"/>
                <w:u w:val="single"/>
                <w:lang w:val="en-US" w:eastAsia="zh-CN"/>
              </w:rPr>
              <w:t xml:space="preserve"> 月 </w:t>
            </w:r>
            <w:r>
              <w:rPr>
                <w:rFonts w:hint="eastAsia" w:cs="宋体"/>
                <w:sz w:val="24"/>
                <w:szCs w:val="24"/>
                <w:highlight w:val="yellow"/>
                <w:u w:val="single"/>
                <w:lang w:val="en-US" w:eastAsia="zh-CN"/>
              </w:rPr>
              <w:t>**</w:t>
            </w:r>
            <w:r>
              <w:rPr>
                <w:rFonts w:hint="eastAsia" w:ascii="宋体" w:hAnsi="宋体" w:eastAsia="宋体" w:cs="宋体"/>
                <w:sz w:val="24"/>
                <w:szCs w:val="24"/>
                <w:highlight w:val="yellow"/>
                <w:u w:val="single"/>
                <w:lang w:val="en-US" w:eastAsia="zh-CN"/>
              </w:rPr>
              <w:t>日 11 时 00 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cs="宋体"/>
                <w:sz w:val="24"/>
                <w:szCs w:val="24"/>
                <w:lang w:val="en-US" w:eastAsia="zh-CN"/>
              </w:rPr>
              <w:t>响应文件</w:t>
            </w:r>
            <w:r>
              <w:rPr>
                <w:rFonts w:hint="eastAsia" w:ascii="宋体" w:hAnsi="宋体" w:eastAsia="宋体" w:cs="宋体"/>
                <w:sz w:val="24"/>
                <w:szCs w:val="24"/>
                <w:lang w:val="en-US" w:eastAsia="zh-CN"/>
              </w:rPr>
              <w:t>递交地址：</w:t>
            </w:r>
            <w:r>
              <w:rPr>
                <w:rFonts w:hint="eastAsia" w:ascii="宋体" w:hAnsi="宋体" w:eastAsia="宋体" w:cs="宋体"/>
                <w:sz w:val="24"/>
                <w:szCs w:val="24"/>
                <w:u w:val="single"/>
                <w:lang w:val="en-US" w:eastAsia="zh-CN"/>
              </w:rPr>
              <w:t>新疆维吾尔自治区乌鲁木齐市沙依巴克区克拉玛依西街1100号北晟商业广场公寓楼（天山农商银行旁）22层会议室（如有变动另行通知）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5.1.1</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开标时间和地点</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开标时间：</w:t>
            </w:r>
            <w:r>
              <w:rPr>
                <w:rFonts w:hint="eastAsia" w:ascii="宋体" w:hAnsi="宋体" w:eastAsia="宋体" w:cs="宋体"/>
                <w:sz w:val="24"/>
                <w:szCs w:val="24"/>
                <w:highlight w:val="yellow"/>
                <w:u w:val="single"/>
                <w:lang w:val="en-US" w:eastAsia="zh-CN"/>
              </w:rPr>
              <w:t xml:space="preserve"> 2022 年 </w:t>
            </w:r>
            <w:r>
              <w:rPr>
                <w:rFonts w:hint="eastAsia" w:cs="宋体"/>
                <w:sz w:val="24"/>
                <w:szCs w:val="24"/>
                <w:highlight w:val="yellow"/>
                <w:u w:val="single"/>
                <w:lang w:val="en-US" w:eastAsia="zh-CN"/>
              </w:rPr>
              <w:t>**</w:t>
            </w:r>
            <w:r>
              <w:rPr>
                <w:rFonts w:hint="eastAsia" w:ascii="宋体" w:hAnsi="宋体" w:eastAsia="宋体" w:cs="宋体"/>
                <w:sz w:val="24"/>
                <w:szCs w:val="24"/>
                <w:highlight w:val="yellow"/>
                <w:u w:val="single"/>
                <w:lang w:val="en-US" w:eastAsia="zh-CN"/>
              </w:rPr>
              <w:t xml:space="preserve"> 月 </w:t>
            </w:r>
            <w:r>
              <w:rPr>
                <w:rFonts w:hint="eastAsia" w:cs="宋体"/>
                <w:sz w:val="24"/>
                <w:szCs w:val="24"/>
                <w:highlight w:val="yellow"/>
                <w:u w:val="single"/>
                <w:lang w:val="en-US" w:eastAsia="zh-CN"/>
              </w:rPr>
              <w:t>**</w:t>
            </w:r>
            <w:r>
              <w:rPr>
                <w:rFonts w:hint="eastAsia" w:ascii="宋体" w:hAnsi="宋体" w:eastAsia="宋体" w:cs="宋体"/>
                <w:sz w:val="24"/>
                <w:szCs w:val="24"/>
                <w:highlight w:val="yellow"/>
                <w:u w:val="single"/>
                <w:lang w:val="en-US" w:eastAsia="zh-CN"/>
              </w:rPr>
              <w:t>日 11 时 00 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开标地点：</w:t>
            </w:r>
            <w:r>
              <w:rPr>
                <w:rFonts w:hint="eastAsia" w:ascii="宋体" w:hAnsi="宋体" w:eastAsia="宋体" w:cs="宋体"/>
                <w:sz w:val="24"/>
                <w:szCs w:val="24"/>
                <w:u w:val="single"/>
                <w:lang w:val="en-US" w:eastAsia="zh-CN"/>
              </w:rPr>
              <w:t>新疆维吾尔自治区乌鲁木齐市沙依巴克区克拉玛依西街1100号北晟商业广场公寓楼（天山农商银行旁）22层会议室（如有变动另行通知）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5.1.3</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开标程序</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（1）密封情况检查：密封性完好</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（2）开标顺序：以递交</w:t>
            </w:r>
            <w:r>
              <w:rPr>
                <w:rFonts w:hint="eastAsia" w:cs="宋体"/>
                <w:sz w:val="24"/>
                <w:szCs w:val="24"/>
                <w:lang w:val="en-US" w:eastAsia="zh-CN"/>
              </w:rPr>
              <w:t>响应文件</w:t>
            </w:r>
            <w:r>
              <w:rPr>
                <w:rFonts w:hint="eastAsia" w:ascii="宋体" w:hAnsi="宋体" w:eastAsia="宋体" w:cs="宋体"/>
                <w:sz w:val="24"/>
                <w:szCs w:val="24"/>
                <w:lang w:val="en-US" w:eastAsia="zh-CN"/>
              </w:rPr>
              <w:t>逆顺序拆取为准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6.1</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评评标委员会</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（1）构成：7人，其中</w:t>
            </w:r>
            <w:r>
              <w:rPr>
                <w:rFonts w:hint="eastAsia" w:cs="宋体"/>
                <w:sz w:val="24"/>
                <w:szCs w:val="24"/>
                <w:lang w:val="en-US" w:eastAsia="zh-CN"/>
              </w:rPr>
              <w:t>采购人</w:t>
            </w:r>
            <w:r>
              <w:rPr>
                <w:rFonts w:hint="eastAsia" w:ascii="宋体" w:hAnsi="宋体" w:eastAsia="宋体" w:cs="宋体"/>
                <w:sz w:val="24"/>
                <w:szCs w:val="24"/>
                <w:lang w:val="en-US" w:eastAsia="zh-CN"/>
              </w:rPr>
              <w:t>代表0人，专家7人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（2）方式：政采云评标专家库中随机抽取</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8"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6.2.1</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评标办法</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根据《政府采购货物和服务招标投标管理办法》（中华人民共和国财政部令第87号）规定的评审标准，采用综合评分法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53"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6.2.2</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评标</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（1）由评标委员会依据有关法律、法规及招标文件的有关规定，对各供应商提供的</w:t>
            </w:r>
            <w:r>
              <w:rPr>
                <w:rFonts w:hint="eastAsia" w:cs="宋体"/>
                <w:sz w:val="24"/>
                <w:szCs w:val="24"/>
                <w:lang w:val="en-US" w:eastAsia="zh-CN"/>
              </w:rPr>
              <w:t>响应文件</w:t>
            </w:r>
            <w:r>
              <w:rPr>
                <w:rFonts w:hint="eastAsia" w:ascii="宋体" w:hAnsi="宋体" w:eastAsia="宋体" w:cs="宋体"/>
                <w:sz w:val="24"/>
                <w:szCs w:val="24"/>
                <w:lang w:val="en-US" w:eastAsia="zh-CN"/>
              </w:rPr>
              <w:t>有效性、完整性和响应程度进行审查，只有通过审查的供应商才能进入下一阶段的评审！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（2）通过有效性、完整性和响应程度审查（</w:t>
            </w:r>
            <w:r>
              <w:rPr>
                <w:rFonts w:hint="eastAsia" w:cs="宋体"/>
                <w:sz w:val="24"/>
                <w:szCs w:val="24"/>
                <w:lang w:val="en-US" w:eastAsia="zh-CN"/>
              </w:rPr>
              <w:t>响应文件</w:t>
            </w:r>
            <w:r>
              <w:rPr>
                <w:rFonts w:hint="eastAsia" w:ascii="宋体" w:hAnsi="宋体" w:eastAsia="宋体" w:cs="宋体"/>
                <w:sz w:val="24"/>
                <w:szCs w:val="24"/>
                <w:lang w:val="en-US" w:eastAsia="zh-CN"/>
              </w:rPr>
              <w:t>在商务、技术等满足</w:t>
            </w:r>
            <w:bookmarkStart w:id="122" w:name="_GoBack"/>
            <w:r>
              <w:rPr>
                <w:rFonts w:hint="eastAsia" w:ascii="宋体" w:hAnsi="宋体" w:eastAsia="宋体" w:cs="宋体"/>
                <w:sz w:val="24"/>
                <w:szCs w:val="24"/>
                <w:lang w:val="en-US" w:eastAsia="zh-CN"/>
              </w:rPr>
              <w:t>招标</w:t>
            </w:r>
            <w:bookmarkEnd w:id="122"/>
            <w:r>
              <w:rPr>
                <w:rFonts w:hint="eastAsia" w:ascii="宋体" w:hAnsi="宋体" w:eastAsia="宋体" w:cs="宋体"/>
                <w:sz w:val="24"/>
                <w:szCs w:val="24"/>
                <w:lang w:val="en-US" w:eastAsia="zh-CN"/>
              </w:rPr>
              <w:t>文件全部实质性要求）的有效</w:t>
            </w:r>
            <w:r>
              <w:rPr>
                <w:rFonts w:hint="eastAsia" w:cs="宋体"/>
                <w:sz w:val="24"/>
                <w:szCs w:val="24"/>
                <w:lang w:val="en-US" w:eastAsia="zh-CN"/>
              </w:rPr>
              <w:t>供应商</w:t>
            </w:r>
            <w:r>
              <w:rPr>
                <w:rFonts w:hint="eastAsia" w:ascii="宋体" w:hAnsi="宋体" w:eastAsia="宋体" w:cs="宋体"/>
                <w:sz w:val="24"/>
                <w:szCs w:val="24"/>
                <w:lang w:val="en-US" w:eastAsia="zh-CN"/>
              </w:rPr>
              <w:t>，</w:t>
            </w:r>
            <w:r>
              <w:rPr>
                <w:rFonts w:hint="eastAsia" w:ascii="宋体" w:hAnsi="宋体" w:eastAsia="宋体" w:cs="宋体"/>
                <w:sz w:val="24"/>
                <w:szCs w:val="24"/>
                <w:highlight w:val="none"/>
                <w:lang w:val="en-US" w:eastAsia="zh-CN"/>
              </w:rPr>
              <w:t>本项目一共分为九个标包，同一个供应商可同时投多个标包，但最多可中三个标包，按照标包1至标包9的顺序进行评标推荐，如在前三个标包中标后，后续标包可参与评标，但不再推荐为前三名成交候选人；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（3）各</w:t>
            </w:r>
            <w:r>
              <w:rPr>
                <w:rFonts w:hint="eastAsia" w:cs="宋体"/>
                <w:sz w:val="24"/>
                <w:szCs w:val="24"/>
                <w:lang w:val="en-US" w:eastAsia="zh-CN"/>
              </w:rPr>
              <w:t>供应商</w:t>
            </w:r>
            <w:r>
              <w:rPr>
                <w:rFonts w:hint="eastAsia" w:ascii="宋体" w:hAnsi="宋体" w:eastAsia="宋体" w:cs="宋体"/>
                <w:sz w:val="24"/>
                <w:szCs w:val="24"/>
                <w:lang w:val="en-US" w:eastAsia="zh-CN"/>
              </w:rPr>
              <w:t>的</w:t>
            </w:r>
            <w:r>
              <w:rPr>
                <w:rFonts w:hint="eastAsia" w:cs="宋体"/>
                <w:sz w:val="24"/>
                <w:szCs w:val="24"/>
                <w:lang w:val="en-US" w:eastAsia="zh-CN"/>
              </w:rPr>
              <w:t>响应文件</w:t>
            </w:r>
            <w:r>
              <w:rPr>
                <w:rFonts w:hint="eastAsia" w:ascii="宋体" w:hAnsi="宋体" w:eastAsia="宋体" w:cs="宋体"/>
                <w:sz w:val="24"/>
                <w:szCs w:val="24"/>
                <w:lang w:val="en-US" w:eastAsia="zh-CN"/>
              </w:rPr>
              <w:t>将提交评标委员会审核。</w:t>
            </w:r>
            <w:r>
              <w:rPr>
                <w:rFonts w:hint="eastAsia" w:cs="宋体"/>
                <w:sz w:val="24"/>
                <w:szCs w:val="24"/>
                <w:lang w:val="en-US" w:eastAsia="zh-CN"/>
              </w:rPr>
              <w:t>供应商</w:t>
            </w:r>
            <w:r>
              <w:rPr>
                <w:rFonts w:hint="eastAsia" w:ascii="宋体" w:hAnsi="宋体" w:eastAsia="宋体" w:cs="宋体"/>
                <w:sz w:val="24"/>
                <w:szCs w:val="24"/>
                <w:lang w:val="en-US" w:eastAsia="zh-CN"/>
              </w:rPr>
              <w:t>应对其提交的</w:t>
            </w:r>
            <w:r>
              <w:rPr>
                <w:rFonts w:hint="eastAsia" w:cs="宋体"/>
                <w:sz w:val="24"/>
                <w:szCs w:val="24"/>
                <w:lang w:val="en-US" w:eastAsia="zh-CN"/>
              </w:rPr>
              <w:t>响应文件</w:t>
            </w:r>
            <w:r>
              <w:rPr>
                <w:rFonts w:hint="eastAsia" w:ascii="宋体" w:hAnsi="宋体" w:eastAsia="宋体" w:cs="宋体"/>
                <w:sz w:val="24"/>
                <w:szCs w:val="24"/>
                <w:lang w:val="en-US" w:eastAsia="zh-CN"/>
              </w:rPr>
              <w:t>中资料的真实性、合法性负责并承担相应的法律责任，即使</w:t>
            </w:r>
            <w:r>
              <w:rPr>
                <w:rFonts w:hint="eastAsia" w:cs="宋体"/>
                <w:sz w:val="24"/>
                <w:szCs w:val="24"/>
                <w:lang w:val="en-US" w:eastAsia="zh-CN"/>
              </w:rPr>
              <w:t>供应商</w:t>
            </w:r>
            <w:r>
              <w:rPr>
                <w:rFonts w:hint="eastAsia" w:ascii="宋体" w:hAnsi="宋体" w:eastAsia="宋体" w:cs="宋体"/>
                <w:sz w:val="24"/>
                <w:szCs w:val="24"/>
                <w:lang w:val="en-US" w:eastAsia="zh-CN"/>
              </w:rPr>
              <w:t>所提交的</w:t>
            </w:r>
            <w:r>
              <w:rPr>
                <w:rFonts w:hint="eastAsia" w:cs="宋体"/>
                <w:sz w:val="24"/>
                <w:szCs w:val="24"/>
                <w:lang w:val="en-US" w:eastAsia="zh-CN"/>
              </w:rPr>
              <w:t>响应文件</w:t>
            </w:r>
            <w:r>
              <w:rPr>
                <w:rFonts w:hint="eastAsia" w:ascii="宋体" w:hAnsi="宋体" w:eastAsia="宋体" w:cs="宋体"/>
                <w:sz w:val="24"/>
                <w:szCs w:val="24"/>
                <w:lang w:val="en-US" w:eastAsia="zh-CN"/>
              </w:rPr>
              <w:t>通过了审查，乃至已确定了成交供应商后，如发现</w:t>
            </w:r>
            <w:r>
              <w:rPr>
                <w:rFonts w:hint="eastAsia" w:cs="宋体"/>
                <w:sz w:val="24"/>
                <w:szCs w:val="24"/>
                <w:lang w:val="en-US" w:eastAsia="zh-CN"/>
              </w:rPr>
              <w:t>供应商</w:t>
            </w:r>
            <w:r>
              <w:rPr>
                <w:rFonts w:hint="eastAsia" w:ascii="宋体" w:hAnsi="宋体" w:eastAsia="宋体" w:cs="宋体"/>
                <w:sz w:val="24"/>
                <w:szCs w:val="24"/>
                <w:lang w:val="en-US" w:eastAsia="zh-CN"/>
              </w:rPr>
              <w:t>所提供的资格类文件不合法或不真实，或存在虚假资料的，仍可废除其成交资格并追究成交供应商的法律责任。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6.4.2</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符合性要求</w:t>
            </w:r>
          </w:p>
        </w:tc>
        <w:tc>
          <w:tcPr>
            <w:tcW w:w="7779"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一、凡有下列情形之一者，</w:t>
            </w:r>
            <w:r>
              <w:rPr>
                <w:rFonts w:hint="eastAsia" w:cs="宋体"/>
                <w:sz w:val="24"/>
                <w:szCs w:val="24"/>
                <w:lang w:val="en-US" w:eastAsia="zh-CN"/>
              </w:rPr>
              <w:t>响应文件</w:t>
            </w:r>
            <w:r>
              <w:rPr>
                <w:rFonts w:hint="eastAsia" w:ascii="宋体" w:hAnsi="宋体" w:eastAsia="宋体" w:cs="宋体"/>
                <w:sz w:val="24"/>
                <w:szCs w:val="24"/>
                <w:lang w:val="en-US" w:eastAsia="zh-CN"/>
              </w:rPr>
              <w:t>将被视为未实质性响应招标文件要求，其投标无效！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（1）不具备招标文件中规定的资格要求的，或</w:t>
            </w:r>
            <w:r>
              <w:rPr>
                <w:rFonts w:hint="eastAsia" w:cs="宋体"/>
                <w:sz w:val="24"/>
                <w:szCs w:val="24"/>
                <w:lang w:val="en-US" w:eastAsia="zh-CN"/>
              </w:rPr>
              <w:t>响应文件</w:t>
            </w:r>
            <w:r>
              <w:rPr>
                <w:rFonts w:hint="eastAsia" w:ascii="宋体" w:hAnsi="宋体" w:eastAsia="宋体" w:cs="宋体"/>
                <w:sz w:val="24"/>
                <w:szCs w:val="24"/>
                <w:lang w:val="en-US" w:eastAsia="zh-CN"/>
              </w:rPr>
              <w:t>中提供的资格证明文件与原件不一致的；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w:t>
            </w:r>
            <w:r>
              <w:rPr>
                <w:rFonts w:hint="eastAsia" w:cs="宋体"/>
                <w:sz w:val="24"/>
                <w:szCs w:val="24"/>
                <w:lang w:val="en-US" w:eastAsia="zh-CN"/>
              </w:rPr>
              <w:t>响应文件</w:t>
            </w:r>
            <w:r>
              <w:rPr>
                <w:rFonts w:hint="eastAsia" w:ascii="宋体" w:hAnsi="宋体" w:eastAsia="宋体" w:cs="宋体"/>
                <w:sz w:val="24"/>
                <w:szCs w:val="24"/>
                <w:lang w:val="en-US" w:eastAsia="zh-CN"/>
              </w:rPr>
              <w:t>未按招标文件规定进行装订、密封、标记的；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w:t>
            </w:r>
            <w:r>
              <w:rPr>
                <w:rFonts w:hint="eastAsia" w:cs="宋体"/>
                <w:sz w:val="24"/>
                <w:szCs w:val="24"/>
                <w:lang w:val="en-US" w:eastAsia="zh-CN"/>
              </w:rPr>
              <w:t>响应文件</w:t>
            </w:r>
            <w:r>
              <w:rPr>
                <w:rFonts w:hint="eastAsia" w:ascii="宋体" w:hAnsi="宋体" w:eastAsia="宋体" w:cs="宋体"/>
                <w:sz w:val="24"/>
                <w:szCs w:val="24"/>
                <w:lang w:val="en-US" w:eastAsia="zh-CN"/>
              </w:rPr>
              <w:t>未按招标文件要求签署、盖章的；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（4）未按照招标文件的规定提交投标保证金的；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w:t>
            </w:r>
            <w:r>
              <w:rPr>
                <w:rFonts w:hint="eastAsia" w:cs="宋体"/>
                <w:sz w:val="24"/>
                <w:szCs w:val="24"/>
                <w:lang w:val="en-US" w:eastAsia="zh-CN"/>
              </w:rPr>
              <w:t>响应文件</w:t>
            </w:r>
            <w:r>
              <w:rPr>
                <w:rFonts w:hint="eastAsia" w:ascii="宋体" w:hAnsi="宋体" w:eastAsia="宋体" w:cs="宋体"/>
                <w:sz w:val="24"/>
                <w:szCs w:val="24"/>
                <w:lang w:val="en-US" w:eastAsia="zh-CN"/>
              </w:rPr>
              <w:t>含有采购人不能接受的附加条件的；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（6）投标有效期不满足招标文件要求的；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（7）同一</w:t>
            </w:r>
            <w:r>
              <w:rPr>
                <w:rFonts w:hint="eastAsia" w:cs="宋体"/>
                <w:sz w:val="24"/>
                <w:szCs w:val="24"/>
                <w:lang w:val="en-US" w:eastAsia="zh-CN"/>
              </w:rPr>
              <w:t>供应商</w:t>
            </w:r>
            <w:r>
              <w:rPr>
                <w:rFonts w:hint="eastAsia" w:ascii="宋体" w:hAnsi="宋体" w:eastAsia="宋体" w:cs="宋体"/>
                <w:sz w:val="24"/>
                <w:szCs w:val="24"/>
                <w:lang w:val="en-US" w:eastAsia="zh-CN"/>
              </w:rPr>
              <w:t>在同一标段重复投一个标的;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（8）报价超过招标文件中规定的预算金额或者最高限价的；或提供的报价是可供选择的（不是唯一报价）；</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（9）</w:t>
            </w:r>
            <w:r>
              <w:rPr>
                <w:rFonts w:hint="eastAsia" w:cs="宋体"/>
                <w:sz w:val="24"/>
                <w:szCs w:val="24"/>
                <w:lang w:val="en-US" w:eastAsia="zh-CN"/>
              </w:rPr>
              <w:t>供应商</w:t>
            </w:r>
            <w:r>
              <w:rPr>
                <w:rFonts w:hint="eastAsia" w:ascii="宋体" w:hAnsi="宋体" w:eastAsia="宋体" w:cs="宋体"/>
                <w:sz w:val="24"/>
                <w:szCs w:val="24"/>
                <w:lang w:val="en-US" w:eastAsia="zh-CN"/>
              </w:rPr>
              <w:t>未进行分项报价或分项报价的构成未能准确全部反映产品价格组成或有所隐含，有可能致使在合同履行过程中引起纠纷（非正常追加或索赔等）或不能诚信履约的；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r>
              <w:rPr>
                <w:rFonts w:hint="eastAsia" w:cs="宋体"/>
                <w:sz w:val="24"/>
                <w:szCs w:val="24"/>
                <w:lang w:val="en-US" w:eastAsia="zh-CN"/>
              </w:rPr>
              <w:t>响应文件</w:t>
            </w:r>
            <w:r>
              <w:rPr>
                <w:rFonts w:hint="eastAsia" w:ascii="宋体" w:hAnsi="宋体" w:eastAsia="宋体" w:cs="宋体"/>
                <w:sz w:val="24"/>
                <w:szCs w:val="24"/>
                <w:lang w:val="en-US" w:eastAsia="zh-CN"/>
              </w:rPr>
              <w:t>的内容与采购内容及要求（质量要求、交货期、付款方式等）有重大偏离或保留的；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（11）存在财政部令第87号文第三十七条规定串通投标的情形之一的；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（12）</w:t>
            </w:r>
            <w:r>
              <w:rPr>
                <w:rFonts w:hint="eastAsia" w:cs="宋体"/>
                <w:sz w:val="24"/>
                <w:szCs w:val="24"/>
                <w:lang w:val="en-US" w:eastAsia="zh-CN"/>
              </w:rPr>
              <w:t>响应文件</w:t>
            </w:r>
            <w:r>
              <w:rPr>
                <w:rFonts w:hint="eastAsia" w:ascii="宋体" w:hAnsi="宋体" w:eastAsia="宋体" w:cs="宋体"/>
                <w:sz w:val="24"/>
                <w:szCs w:val="24"/>
                <w:lang w:val="en-US" w:eastAsia="zh-CN"/>
              </w:rPr>
              <w:t>的内容组成不符合招标文件要求的；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（13）</w:t>
            </w:r>
            <w:r>
              <w:rPr>
                <w:rFonts w:hint="eastAsia" w:cs="宋体"/>
                <w:sz w:val="24"/>
                <w:szCs w:val="24"/>
                <w:lang w:val="en-US" w:eastAsia="zh-CN"/>
              </w:rPr>
              <w:t>响应文件</w:t>
            </w:r>
            <w:r>
              <w:rPr>
                <w:rFonts w:hint="eastAsia" w:ascii="宋体" w:hAnsi="宋体" w:eastAsia="宋体" w:cs="宋体"/>
                <w:sz w:val="24"/>
                <w:szCs w:val="24"/>
                <w:lang w:val="en-US" w:eastAsia="zh-CN"/>
              </w:rPr>
              <w:t>中提供虚假或失实资料的，骗取中标的；</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（14）法律、法规和招标文件规定的其他无效情形。</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二、有下列情形之一的，视为</w:t>
            </w:r>
            <w:r>
              <w:rPr>
                <w:rFonts w:hint="eastAsia" w:cs="宋体"/>
                <w:sz w:val="24"/>
                <w:szCs w:val="24"/>
                <w:lang w:val="en-US" w:eastAsia="zh-CN"/>
              </w:rPr>
              <w:t>供应商</w:t>
            </w:r>
            <w:r>
              <w:rPr>
                <w:rFonts w:hint="eastAsia" w:ascii="宋体" w:hAnsi="宋体" w:eastAsia="宋体" w:cs="宋体"/>
                <w:sz w:val="24"/>
                <w:szCs w:val="24"/>
                <w:lang w:val="en-US" w:eastAsia="zh-CN"/>
              </w:rPr>
              <w:t>串通投标，其投标无效：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（1）不同</w:t>
            </w:r>
            <w:r>
              <w:rPr>
                <w:rFonts w:hint="eastAsia" w:cs="宋体"/>
                <w:sz w:val="24"/>
                <w:szCs w:val="24"/>
                <w:lang w:val="en-US" w:eastAsia="zh-CN"/>
              </w:rPr>
              <w:t>供应商</w:t>
            </w:r>
            <w:r>
              <w:rPr>
                <w:rFonts w:hint="eastAsia" w:ascii="宋体" w:hAnsi="宋体" w:eastAsia="宋体" w:cs="宋体"/>
                <w:sz w:val="24"/>
                <w:szCs w:val="24"/>
                <w:lang w:val="en-US" w:eastAsia="zh-CN"/>
              </w:rPr>
              <w:t>的</w:t>
            </w:r>
            <w:r>
              <w:rPr>
                <w:rFonts w:hint="eastAsia" w:cs="宋体"/>
                <w:sz w:val="24"/>
                <w:szCs w:val="24"/>
                <w:lang w:val="en-US" w:eastAsia="zh-CN"/>
              </w:rPr>
              <w:t>响应文件</w:t>
            </w:r>
            <w:r>
              <w:rPr>
                <w:rFonts w:hint="eastAsia" w:ascii="宋体" w:hAnsi="宋体" w:eastAsia="宋体" w:cs="宋体"/>
                <w:sz w:val="24"/>
                <w:szCs w:val="24"/>
                <w:lang w:val="en-US" w:eastAsia="zh-CN"/>
              </w:rPr>
              <w:t>由同一单位或者个人编制；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（2）不同</w:t>
            </w:r>
            <w:r>
              <w:rPr>
                <w:rFonts w:hint="eastAsia" w:cs="宋体"/>
                <w:sz w:val="24"/>
                <w:szCs w:val="24"/>
                <w:lang w:val="en-US" w:eastAsia="zh-CN"/>
              </w:rPr>
              <w:t>供应商</w:t>
            </w:r>
            <w:r>
              <w:rPr>
                <w:rFonts w:hint="eastAsia" w:ascii="宋体" w:hAnsi="宋体" w:eastAsia="宋体" w:cs="宋体"/>
                <w:sz w:val="24"/>
                <w:szCs w:val="24"/>
                <w:lang w:val="en-US" w:eastAsia="zh-CN"/>
              </w:rPr>
              <w:t>委托同一单位或者个人办理投标事宜；</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（3）不同</w:t>
            </w:r>
            <w:r>
              <w:rPr>
                <w:rFonts w:hint="eastAsia" w:cs="宋体"/>
                <w:sz w:val="24"/>
                <w:szCs w:val="24"/>
                <w:lang w:val="en-US" w:eastAsia="zh-CN"/>
              </w:rPr>
              <w:t>供应商</w:t>
            </w:r>
            <w:r>
              <w:rPr>
                <w:rFonts w:hint="eastAsia" w:ascii="宋体" w:hAnsi="宋体" w:eastAsia="宋体" w:cs="宋体"/>
                <w:sz w:val="24"/>
                <w:szCs w:val="24"/>
                <w:lang w:val="en-US" w:eastAsia="zh-CN"/>
              </w:rPr>
              <w:t>的</w:t>
            </w:r>
            <w:r>
              <w:rPr>
                <w:rFonts w:hint="eastAsia" w:cs="宋体"/>
                <w:sz w:val="24"/>
                <w:szCs w:val="24"/>
                <w:lang w:val="en-US" w:eastAsia="zh-CN"/>
              </w:rPr>
              <w:t>响应文件</w:t>
            </w:r>
            <w:r>
              <w:rPr>
                <w:rFonts w:hint="eastAsia" w:ascii="宋体" w:hAnsi="宋体" w:eastAsia="宋体" w:cs="宋体"/>
                <w:sz w:val="24"/>
                <w:szCs w:val="24"/>
                <w:lang w:val="en-US" w:eastAsia="zh-CN"/>
              </w:rPr>
              <w:t>载明的项目管理成员或者联系人员为同一人；</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（4）不同</w:t>
            </w:r>
            <w:r>
              <w:rPr>
                <w:rFonts w:hint="eastAsia" w:cs="宋体"/>
                <w:sz w:val="24"/>
                <w:szCs w:val="24"/>
                <w:lang w:val="en-US" w:eastAsia="zh-CN"/>
              </w:rPr>
              <w:t>供应商</w:t>
            </w:r>
            <w:r>
              <w:rPr>
                <w:rFonts w:hint="eastAsia" w:ascii="宋体" w:hAnsi="宋体" w:eastAsia="宋体" w:cs="宋体"/>
                <w:sz w:val="24"/>
                <w:szCs w:val="24"/>
                <w:lang w:val="en-US" w:eastAsia="zh-CN"/>
              </w:rPr>
              <w:t>的</w:t>
            </w:r>
            <w:r>
              <w:rPr>
                <w:rFonts w:hint="eastAsia" w:cs="宋体"/>
                <w:sz w:val="24"/>
                <w:szCs w:val="24"/>
                <w:lang w:val="en-US" w:eastAsia="zh-CN"/>
              </w:rPr>
              <w:t>响应文件</w:t>
            </w:r>
            <w:r>
              <w:rPr>
                <w:rFonts w:hint="eastAsia" w:ascii="宋体" w:hAnsi="宋体" w:eastAsia="宋体" w:cs="宋体"/>
                <w:sz w:val="24"/>
                <w:szCs w:val="24"/>
                <w:lang w:val="en-US" w:eastAsia="zh-CN"/>
              </w:rPr>
              <w:t>异常一致或者投标报价呈规律性差异；</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（5）不同</w:t>
            </w:r>
            <w:r>
              <w:rPr>
                <w:rFonts w:hint="eastAsia" w:cs="宋体"/>
                <w:sz w:val="24"/>
                <w:szCs w:val="24"/>
                <w:lang w:val="en-US" w:eastAsia="zh-CN"/>
              </w:rPr>
              <w:t>供应商</w:t>
            </w:r>
            <w:r>
              <w:rPr>
                <w:rFonts w:hint="eastAsia" w:ascii="宋体" w:hAnsi="宋体" w:eastAsia="宋体" w:cs="宋体"/>
                <w:sz w:val="24"/>
                <w:szCs w:val="24"/>
                <w:lang w:val="en-US" w:eastAsia="zh-CN"/>
              </w:rPr>
              <w:t>的</w:t>
            </w:r>
            <w:r>
              <w:rPr>
                <w:rFonts w:hint="eastAsia" w:cs="宋体"/>
                <w:sz w:val="24"/>
                <w:szCs w:val="24"/>
                <w:lang w:val="en-US" w:eastAsia="zh-CN"/>
              </w:rPr>
              <w:t>响应文件</w:t>
            </w:r>
            <w:r>
              <w:rPr>
                <w:rFonts w:hint="eastAsia" w:ascii="宋体" w:hAnsi="宋体" w:eastAsia="宋体" w:cs="宋体"/>
                <w:sz w:val="24"/>
                <w:szCs w:val="24"/>
                <w:lang w:val="en-US" w:eastAsia="zh-CN"/>
              </w:rPr>
              <w:t>相互混装；</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（6）不同</w:t>
            </w:r>
            <w:r>
              <w:rPr>
                <w:rFonts w:hint="eastAsia" w:cs="宋体"/>
                <w:sz w:val="24"/>
                <w:szCs w:val="24"/>
                <w:lang w:val="en-US" w:eastAsia="zh-CN"/>
              </w:rPr>
              <w:t>供应商</w:t>
            </w:r>
            <w:r>
              <w:rPr>
                <w:rFonts w:hint="eastAsia" w:ascii="宋体" w:hAnsi="宋体" w:eastAsia="宋体" w:cs="宋体"/>
                <w:sz w:val="24"/>
                <w:szCs w:val="24"/>
                <w:lang w:val="en-US" w:eastAsia="zh-CN"/>
              </w:rPr>
              <w:t>的投标保证金从同一单位或者个人的账户转出。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360"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7.2.1</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中标公示</w:t>
            </w:r>
          </w:p>
        </w:tc>
        <w:tc>
          <w:tcPr>
            <w:tcW w:w="77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对中标结果在规定的媒体上进行公示，中标公告期限为1个工作日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2315"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8.2</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重新招标或其他方式采购</w:t>
            </w:r>
          </w:p>
        </w:tc>
        <w:tc>
          <w:tcPr>
            <w:tcW w:w="77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公开招标数额标准以上的采购项目，投标截止后</w:t>
            </w:r>
            <w:r>
              <w:rPr>
                <w:rFonts w:hint="eastAsia" w:cs="宋体"/>
                <w:sz w:val="24"/>
                <w:szCs w:val="24"/>
                <w:lang w:val="en-US" w:eastAsia="zh-CN"/>
              </w:rPr>
              <w:t>供应商</w:t>
            </w:r>
            <w:r>
              <w:rPr>
                <w:rFonts w:hint="eastAsia" w:ascii="宋体" w:hAnsi="宋体" w:eastAsia="宋体" w:cs="宋体"/>
                <w:sz w:val="24"/>
                <w:szCs w:val="24"/>
                <w:lang w:val="en-US" w:eastAsia="zh-CN"/>
              </w:rPr>
              <w:t>不足4家或者通过资格审查或符合性审查的</w:t>
            </w:r>
            <w:r>
              <w:rPr>
                <w:rFonts w:hint="eastAsia" w:cs="宋体"/>
                <w:sz w:val="24"/>
                <w:szCs w:val="24"/>
                <w:lang w:val="en-US" w:eastAsia="zh-CN"/>
              </w:rPr>
              <w:t>供应商</w:t>
            </w:r>
            <w:r>
              <w:rPr>
                <w:rFonts w:hint="eastAsia" w:ascii="宋体" w:hAnsi="宋体" w:eastAsia="宋体" w:cs="宋体"/>
                <w:sz w:val="24"/>
                <w:szCs w:val="24"/>
                <w:lang w:val="en-US" w:eastAsia="zh-CN"/>
              </w:rPr>
              <w:t>不足4家的，除采购任务取消情形外，根据《政府采购货物和服务招标投标管理办法》（中华人民共和国财政部令第87号）第四十三条规定，按照以下方式处理：</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（1）招标文件存在不合理条款或者招标程序不符合规定的，采购人、采购代理机构改正后依法重新招标；</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（2）招标文件没有不合理条款、招标程序符合规定，需要采用其他采购方式采购的，采购人应当依法报财政部门批准。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353"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10.1</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质疑和投诉</w:t>
            </w:r>
          </w:p>
        </w:tc>
        <w:tc>
          <w:tcPr>
            <w:tcW w:w="77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供应商</w:t>
            </w:r>
            <w:r>
              <w:rPr>
                <w:rFonts w:hint="eastAsia" w:ascii="宋体" w:hAnsi="宋体" w:eastAsia="宋体" w:cs="宋体"/>
                <w:sz w:val="24"/>
                <w:szCs w:val="24"/>
                <w:lang w:val="en-US" w:eastAsia="zh-CN"/>
              </w:rPr>
              <w:t>认为招标文件、招标过程或中标结果使自己的合法权益受到损害的，应当在知道或者应知其权益受到损害之日起在规定的期限内，以书面形式向</w:t>
            </w:r>
            <w:r>
              <w:rPr>
                <w:rFonts w:hint="eastAsia" w:cs="宋体"/>
                <w:sz w:val="24"/>
                <w:szCs w:val="24"/>
                <w:lang w:val="en-US" w:eastAsia="zh-CN"/>
              </w:rPr>
              <w:t>采购人</w:t>
            </w:r>
            <w:r>
              <w:rPr>
                <w:rFonts w:hint="eastAsia" w:ascii="宋体" w:hAnsi="宋体" w:eastAsia="宋体" w:cs="宋体"/>
                <w:sz w:val="24"/>
                <w:szCs w:val="24"/>
                <w:lang w:val="en-US" w:eastAsia="zh-CN"/>
              </w:rPr>
              <w:t>或招标代理机构提出质疑。</w:t>
            </w:r>
            <w:r>
              <w:rPr>
                <w:rFonts w:hint="eastAsia" w:cs="宋体"/>
                <w:sz w:val="24"/>
                <w:szCs w:val="24"/>
                <w:lang w:val="en-US" w:eastAsia="zh-CN"/>
              </w:rPr>
              <w:t>采购人</w:t>
            </w:r>
            <w:r>
              <w:rPr>
                <w:rFonts w:hint="eastAsia" w:ascii="宋体" w:hAnsi="宋体" w:eastAsia="宋体" w:cs="宋体"/>
                <w:sz w:val="24"/>
                <w:szCs w:val="24"/>
                <w:lang w:val="en-US" w:eastAsia="zh-CN"/>
              </w:rPr>
              <w:t>或招标代理机构收到投标供应商书面质疑后在规定的时间内，对质疑内容作出答复，</w:t>
            </w:r>
            <w:r>
              <w:rPr>
                <w:rFonts w:hint="eastAsia" w:cs="宋体"/>
                <w:sz w:val="24"/>
                <w:szCs w:val="24"/>
                <w:lang w:val="en-US" w:eastAsia="zh-CN"/>
              </w:rPr>
              <w:t>供应商</w:t>
            </w:r>
            <w:r>
              <w:rPr>
                <w:rFonts w:hint="eastAsia" w:ascii="宋体" w:hAnsi="宋体" w:eastAsia="宋体" w:cs="宋体"/>
                <w:sz w:val="24"/>
                <w:szCs w:val="24"/>
                <w:lang w:val="en-US" w:eastAsia="zh-CN"/>
              </w:rPr>
              <w:t>对</w:t>
            </w:r>
            <w:r>
              <w:rPr>
                <w:rFonts w:hint="eastAsia" w:cs="宋体"/>
                <w:sz w:val="24"/>
                <w:szCs w:val="24"/>
                <w:lang w:val="en-US" w:eastAsia="zh-CN"/>
              </w:rPr>
              <w:t>采购人</w:t>
            </w:r>
            <w:r>
              <w:rPr>
                <w:rFonts w:hint="eastAsia" w:ascii="宋体" w:hAnsi="宋体" w:eastAsia="宋体" w:cs="宋体"/>
                <w:sz w:val="24"/>
                <w:szCs w:val="24"/>
                <w:lang w:val="en-US" w:eastAsia="zh-CN"/>
              </w:rPr>
              <w:t>或招标代理机构的质疑答复不满意或者</w:t>
            </w:r>
            <w:r>
              <w:rPr>
                <w:rFonts w:hint="eastAsia" w:cs="宋体"/>
                <w:sz w:val="24"/>
                <w:szCs w:val="24"/>
                <w:lang w:val="en-US" w:eastAsia="zh-CN"/>
              </w:rPr>
              <w:t>采购人</w:t>
            </w:r>
            <w:r>
              <w:rPr>
                <w:rFonts w:hint="eastAsia" w:ascii="宋体" w:hAnsi="宋体" w:eastAsia="宋体" w:cs="宋体"/>
                <w:sz w:val="24"/>
                <w:szCs w:val="24"/>
                <w:lang w:val="en-US" w:eastAsia="zh-CN"/>
              </w:rPr>
              <w:t>或招标代理机构未在规定时间内作出答复的，可以在答复期满后5个工作日内向有关监管部门进行投诉。投诉人对政府采购监督管理部门的投诉处理决定不服或者政府采购监督管理部门逾期未作处理的，可以依法申请行政复议或者向人民法院提起行政诉讼</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质疑、投诉应当采用书面形式，质疑、投诉均应明确阐述招标文件、招标过程或中标结果中使自己合法权益受到损害的实质性内容，提供相关事实、依据和证据及其来源或线索，便于有关单位调查、答复和处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93"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需补充的其他内容</w:t>
            </w:r>
          </w:p>
        </w:tc>
        <w:tc>
          <w:tcPr>
            <w:tcW w:w="77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补充的其他内容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120"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10.3.1</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cs="宋体"/>
                <w:sz w:val="24"/>
                <w:szCs w:val="24"/>
                <w:lang w:val="en-US" w:eastAsia="zh-CN"/>
              </w:rPr>
              <w:t>供应商</w:t>
            </w:r>
            <w:r>
              <w:rPr>
                <w:rFonts w:hint="eastAsia" w:ascii="宋体" w:hAnsi="宋体" w:eastAsia="宋体" w:cs="宋体"/>
                <w:sz w:val="24"/>
                <w:szCs w:val="24"/>
                <w:lang w:val="en-US" w:eastAsia="zh-CN"/>
              </w:rPr>
              <w:t>出席开标会</w:t>
            </w:r>
          </w:p>
        </w:tc>
        <w:tc>
          <w:tcPr>
            <w:tcW w:w="77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（一）关于资格审查：</w:t>
            </w:r>
            <w:r>
              <w:rPr>
                <w:rFonts w:hint="eastAsia" w:cs="宋体"/>
                <w:sz w:val="24"/>
                <w:szCs w:val="24"/>
                <w:lang w:val="en-US" w:eastAsia="zh-CN"/>
              </w:rPr>
              <w:t>供应商</w:t>
            </w:r>
            <w:r>
              <w:rPr>
                <w:rFonts w:hint="eastAsia" w:ascii="宋体" w:hAnsi="宋体" w:eastAsia="宋体" w:cs="宋体"/>
                <w:sz w:val="24"/>
                <w:szCs w:val="24"/>
                <w:lang w:val="en-US" w:eastAsia="zh-CN"/>
              </w:rPr>
              <w:t>在报名获取招标文件时的资格审查，仅代表其在获取招标文件时的资格审查获得通过，并不能代表</w:t>
            </w:r>
            <w:r>
              <w:rPr>
                <w:rFonts w:hint="eastAsia" w:cs="宋体"/>
                <w:sz w:val="24"/>
                <w:szCs w:val="24"/>
                <w:lang w:val="en-US" w:eastAsia="zh-CN"/>
              </w:rPr>
              <w:t>供应商</w:t>
            </w:r>
            <w:r>
              <w:rPr>
                <w:rFonts w:hint="eastAsia" w:ascii="宋体" w:hAnsi="宋体" w:eastAsia="宋体" w:cs="宋体"/>
                <w:sz w:val="24"/>
                <w:szCs w:val="24"/>
                <w:lang w:val="en-US" w:eastAsia="zh-CN"/>
              </w:rPr>
              <w:t>在出席开标会时要求其提供的全部资格证件的合格。</w:t>
            </w:r>
            <w:r>
              <w:rPr>
                <w:rFonts w:hint="eastAsia" w:cs="宋体"/>
                <w:sz w:val="24"/>
                <w:szCs w:val="24"/>
                <w:lang w:val="en-US" w:eastAsia="zh-CN"/>
              </w:rPr>
              <w:t>供应商</w:t>
            </w:r>
            <w:r>
              <w:rPr>
                <w:rFonts w:hint="eastAsia" w:ascii="宋体" w:hAnsi="宋体" w:eastAsia="宋体" w:cs="宋体"/>
                <w:sz w:val="24"/>
                <w:szCs w:val="24"/>
                <w:lang w:val="en-US" w:eastAsia="zh-CN"/>
              </w:rPr>
              <w:t>出席开标会时，须携带以下全部资格证明文件的原件交由监督组成员进行初步审查（初步审查不合格的，不得进入下一阶段的评审），初步审查合格的由评标委员会进一步进行详细审查其</w:t>
            </w:r>
            <w:r>
              <w:rPr>
                <w:rFonts w:hint="eastAsia" w:cs="宋体"/>
                <w:sz w:val="24"/>
                <w:szCs w:val="24"/>
                <w:lang w:val="en-US" w:eastAsia="zh-CN"/>
              </w:rPr>
              <w:t>响应文件</w:t>
            </w:r>
            <w:r>
              <w:rPr>
                <w:rFonts w:hint="eastAsia" w:ascii="宋体" w:hAnsi="宋体" w:eastAsia="宋体" w:cs="宋体"/>
                <w:sz w:val="24"/>
                <w:szCs w:val="24"/>
                <w:lang w:val="en-US" w:eastAsia="zh-CN"/>
              </w:rPr>
              <w:t>中提供的全部资格资料等是否符合，具备投标资格（并随时可以要求</w:t>
            </w:r>
            <w:r>
              <w:rPr>
                <w:rFonts w:hint="eastAsia" w:cs="宋体"/>
                <w:sz w:val="24"/>
                <w:szCs w:val="24"/>
                <w:lang w:val="en-US" w:eastAsia="zh-CN"/>
              </w:rPr>
              <w:t>供应商</w:t>
            </w:r>
            <w:r>
              <w:rPr>
                <w:rFonts w:hint="eastAsia" w:ascii="宋体" w:hAnsi="宋体" w:eastAsia="宋体" w:cs="宋体"/>
                <w:sz w:val="24"/>
                <w:szCs w:val="24"/>
                <w:lang w:val="en-US" w:eastAsia="zh-CN"/>
              </w:rPr>
              <w:t>提供所携带的原件进行复核，以查验其</w:t>
            </w:r>
            <w:r>
              <w:rPr>
                <w:rFonts w:hint="eastAsia" w:cs="宋体"/>
                <w:sz w:val="24"/>
                <w:szCs w:val="24"/>
                <w:lang w:val="en-US" w:eastAsia="zh-CN"/>
              </w:rPr>
              <w:t>响应文件</w:t>
            </w:r>
            <w:r>
              <w:rPr>
                <w:rFonts w:hint="eastAsia" w:ascii="宋体" w:hAnsi="宋体" w:eastAsia="宋体" w:cs="宋体"/>
                <w:sz w:val="24"/>
                <w:szCs w:val="24"/>
                <w:lang w:val="en-US" w:eastAsia="zh-CN"/>
              </w:rPr>
              <w:t>中的资格资料是否与原件一致），经评标委员会评审，所提交的（或</w:t>
            </w:r>
            <w:r>
              <w:rPr>
                <w:rFonts w:hint="eastAsia" w:cs="宋体"/>
                <w:sz w:val="24"/>
                <w:szCs w:val="24"/>
                <w:lang w:val="en-US" w:eastAsia="zh-CN"/>
              </w:rPr>
              <w:t>响应文件</w:t>
            </w:r>
            <w:r>
              <w:rPr>
                <w:rFonts w:hint="eastAsia" w:ascii="宋体" w:hAnsi="宋体" w:eastAsia="宋体" w:cs="宋体"/>
                <w:sz w:val="24"/>
                <w:szCs w:val="24"/>
                <w:lang w:val="en-US" w:eastAsia="zh-CN"/>
              </w:rPr>
              <w:t>中的）资格证件不符合要求或不具备投标资格的其投标无效！）；</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val="en-US" w:eastAsia="zh-CN"/>
              </w:rPr>
              <w:t>（二）开标会：</w:t>
            </w:r>
            <w:r>
              <w:rPr>
                <w:rFonts w:hint="eastAsia" w:cs="宋体"/>
                <w:b/>
                <w:bCs/>
                <w:sz w:val="24"/>
                <w:szCs w:val="24"/>
                <w:lang w:val="en-US" w:eastAsia="zh-CN"/>
              </w:rPr>
              <w:t>供应商</w:t>
            </w:r>
            <w:r>
              <w:rPr>
                <w:rFonts w:hint="eastAsia" w:ascii="宋体" w:hAnsi="宋体" w:eastAsia="宋体" w:cs="宋体"/>
                <w:b/>
                <w:bCs/>
                <w:sz w:val="24"/>
                <w:szCs w:val="24"/>
                <w:lang w:val="en-US" w:eastAsia="zh-CN"/>
              </w:rPr>
              <w:t>出席开标会时，应提交下列有效的资格证件复印件（须加盖单位公章）：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w:t>
            </w:r>
            <w:r>
              <w:rPr>
                <w:rFonts w:hint="eastAsia" w:cs="宋体"/>
                <w:sz w:val="24"/>
                <w:szCs w:val="24"/>
                <w:lang w:val="en-US" w:eastAsia="zh-CN"/>
              </w:rPr>
              <w:t>《</w:t>
            </w:r>
            <w:r>
              <w:rPr>
                <w:rFonts w:hint="eastAsia" w:ascii="宋体" w:hAnsi="宋体" w:eastAsia="宋体" w:cs="宋体"/>
                <w:sz w:val="24"/>
                <w:szCs w:val="24"/>
                <w:lang w:val="en-US" w:eastAsia="zh-CN"/>
              </w:rPr>
              <w:t>营业执照</w:t>
            </w:r>
            <w:r>
              <w:rPr>
                <w:rFonts w:hint="eastAsia" w:cs="宋体"/>
                <w:sz w:val="24"/>
                <w:szCs w:val="24"/>
                <w:lang w:val="en-US" w:eastAsia="zh-CN"/>
              </w:rPr>
              <w:t>副本》</w:t>
            </w:r>
            <w:r>
              <w:rPr>
                <w:rFonts w:hint="eastAsia" w:ascii="宋体" w:hAnsi="宋体" w:eastAsia="宋体" w:cs="宋体"/>
                <w:sz w:val="24"/>
                <w:szCs w:val="24"/>
                <w:lang w:val="en-US" w:eastAsia="zh-CN"/>
              </w:rPr>
              <w:t>；</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（2）《法定代表人身份证明书》及身份证原件或《法定代表人授权委托书》及委托代理人的身份证原件；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（3）《食品生产许可证》或《食品经营许可证》；</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（4）生产商须具备有效的《动物防疫条件合格证》；经销商须具备有效的《动物防疫条件合格证》及与生产商签订合作协议（</w:t>
            </w:r>
            <w:r>
              <w:rPr>
                <w:rFonts w:hint="eastAsia" w:cs="宋体"/>
                <w:sz w:val="24"/>
                <w:szCs w:val="24"/>
                <w:lang w:val="en-US" w:eastAsia="zh-CN"/>
              </w:rPr>
              <w:t>仅</w:t>
            </w:r>
            <w:r>
              <w:rPr>
                <w:rFonts w:hint="eastAsia" w:ascii="宋体" w:hAnsi="宋体" w:eastAsia="宋体" w:cs="宋体"/>
                <w:sz w:val="24"/>
                <w:szCs w:val="24"/>
                <w:lang w:val="en-US" w:eastAsia="zh-CN"/>
              </w:rPr>
              <w:t>第六包须具备）；</w:t>
            </w:r>
          </w:p>
          <w:p>
            <w:pPr>
              <w:pStyle w:val="5"/>
              <w:spacing w:line="360" w:lineRule="auto"/>
              <w:ind w:left="0" w:leftChars="0" w:firstLine="0" w:firstLineChars="0"/>
              <w:rPr>
                <w:rFonts w:hint="eastAsia"/>
                <w:lang w:val="en-US" w:eastAsia="zh-CN"/>
              </w:rPr>
            </w:pPr>
            <w:r>
              <w:rPr>
                <w:rFonts w:hint="eastAsia" w:ascii="宋体" w:hAnsi="宋体" w:eastAsia="宋体" w:cs="宋体"/>
                <w:sz w:val="24"/>
                <w:szCs w:val="24"/>
                <w:lang w:val="en-US" w:eastAsia="zh-CN"/>
              </w:rPr>
              <w:t>（5）投标保证金收据原件；</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（三）特别提示：以上证件均需提供原件的复印件（加盖公章），上述证件的公证件及其他形式，本次招标不予认可。上述证件有效、齐全、满足要求的</w:t>
            </w:r>
            <w:r>
              <w:rPr>
                <w:rFonts w:hint="eastAsia" w:cs="宋体"/>
                <w:sz w:val="24"/>
                <w:szCs w:val="24"/>
                <w:lang w:val="en-US" w:eastAsia="zh-CN"/>
              </w:rPr>
              <w:t>供应商</w:t>
            </w:r>
            <w:r>
              <w:rPr>
                <w:rFonts w:hint="eastAsia" w:ascii="宋体" w:hAnsi="宋体" w:eastAsia="宋体" w:cs="宋体"/>
                <w:sz w:val="24"/>
                <w:szCs w:val="24"/>
                <w:lang w:val="en-US" w:eastAsia="zh-CN"/>
              </w:rPr>
              <w:t>为有效</w:t>
            </w:r>
            <w:r>
              <w:rPr>
                <w:rFonts w:hint="eastAsia" w:cs="宋体"/>
                <w:sz w:val="24"/>
                <w:szCs w:val="24"/>
                <w:lang w:val="en-US" w:eastAsia="zh-CN"/>
              </w:rPr>
              <w:t>供应商</w:t>
            </w:r>
            <w:r>
              <w:rPr>
                <w:rFonts w:hint="eastAsia" w:ascii="宋体" w:hAnsi="宋体" w:eastAsia="宋体" w:cs="宋体"/>
                <w:sz w:val="24"/>
                <w:szCs w:val="24"/>
                <w:lang w:val="en-US" w:eastAsia="zh-CN"/>
              </w:rPr>
              <w:t>，否则其投标将被否决。敬请各供应商注意</w:t>
            </w:r>
            <w:r>
              <w:rPr>
                <w:rFonts w:hint="eastAsia" w:cs="宋体"/>
                <w:sz w:val="24"/>
                <w:szCs w:val="24"/>
                <w:lang w:val="en-US" w:eastAsia="zh-CN"/>
              </w:rPr>
              <w:t>，且在投标文件截止时间后提供材料者不予以接受；</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36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10.3.2</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通讯联系</w:t>
            </w:r>
          </w:p>
        </w:tc>
        <w:tc>
          <w:tcPr>
            <w:tcW w:w="77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自获取（购买）</w:t>
            </w:r>
            <w:r>
              <w:rPr>
                <w:rFonts w:hint="eastAsia" w:cs="宋体"/>
                <w:sz w:val="24"/>
                <w:szCs w:val="24"/>
                <w:lang w:val="en-US" w:eastAsia="zh-CN"/>
              </w:rPr>
              <w:t>响应文件</w:t>
            </w:r>
            <w:r>
              <w:rPr>
                <w:rFonts w:hint="eastAsia" w:ascii="宋体" w:hAnsi="宋体" w:eastAsia="宋体" w:cs="宋体"/>
                <w:sz w:val="24"/>
                <w:szCs w:val="24"/>
                <w:lang w:val="en-US" w:eastAsia="zh-CN"/>
              </w:rPr>
              <w:t>之日起，供应商应确保其提供的联系方式（电话、电子邮件等）一直保持有效和畅通，以保证往来函件（</w:t>
            </w:r>
            <w:r>
              <w:rPr>
                <w:rFonts w:hint="eastAsia" w:cs="宋体"/>
                <w:sz w:val="24"/>
                <w:szCs w:val="24"/>
                <w:lang w:val="en-US" w:eastAsia="zh-CN"/>
              </w:rPr>
              <w:t>响应文件</w:t>
            </w:r>
            <w:r>
              <w:rPr>
                <w:rFonts w:hint="eastAsia" w:ascii="宋体" w:hAnsi="宋体" w:eastAsia="宋体" w:cs="宋体"/>
                <w:sz w:val="24"/>
                <w:szCs w:val="24"/>
                <w:lang w:val="en-US" w:eastAsia="zh-CN"/>
              </w:rPr>
              <w:t>的澄清、修改等）能及时通知供应商，并能及时反馈信息，否则</w:t>
            </w:r>
            <w:r>
              <w:rPr>
                <w:rFonts w:hint="eastAsia" w:cs="宋体"/>
                <w:sz w:val="24"/>
                <w:szCs w:val="24"/>
                <w:lang w:val="en-US" w:eastAsia="zh-CN"/>
              </w:rPr>
              <w:t>采购人</w:t>
            </w:r>
            <w:r>
              <w:rPr>
                <w:rFonts w:hint="eastAsia" w:ascii="宋体" w:hAnsi="宋体" w:eastAsia="宋体" w:cs="宋体"/>
                <w:sz w:val="24"/>
                <w:szCs w:val="24"/>
                <w:lang w:val="en-US" w:eastAsia="zh-CN"/>
              </w:rPr>
              <w:t>（或招标代理机构）不承担由此（因供应商提供的联系方式无效或通讯不畅、无法联系等因素）引起的一切后果！</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67"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10.4</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小、微企业投标产品价格扣除</w:t>
            </w:r>
          </w:p>
        </w:tc>
        <w:tc>
          <w:tcPr>
            <w:tcW w:w="77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根据《政府采购促进中小企业发展管理办法》（财库〔2020〕46号）、《关于政府采购支持监狱企业发展有关问题的通知》(财库〔2014〕68号)、《关于促进残疾人就业政府采购政策的通知》（财库〔2017〕141号)、《关于环境标志产品政府采购实施的意见》（财库〔2006〕90号）、《节能产品政府采购实施意见》的通知（财库〔2004〕185号）。《财政部发展改革委生态环境部市场监管总局关于调整优化节能产品、环境标志产品政府采购执行机制的通知》（财库〔2019〕9号）；须提供《残疾人福利性单位声明函》、《监狱企业的证明文件》、《中小企业声明函》（详见：第六章</w:t>
            </w:r>
            <w:r>
              <w:rPr>
                <w:rFonts w:hint="eastAsia" w:cs="宋体"/>
                <w:sz w:val="24"/>
                <w:szCs w:val="24"/>
                <w:lang w:val="en-US" w:eastAsia="zh-CN"/>
              </w:rPr>
              <w:t>响应文件</w:t>
            </w:r>
            <w:r>
              <w:rPr>
                <w:rFonts w:hint="eastAsia" w:ascii="宋体" w:hAnsi="宋体" w:eastAsia="宋体" w:cs="宋体"/>
                <w:sz w:val="24"/>
                <w:szCs w:val="24"/>
                <w:lang w:val="en-US" w:eastAsia="zh-CN"/>
              </w:rPr>
              <w:t>格式）。</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按照以上条文对于符合要求的企业进行价格扣除，用扣除后的价格参与评审，最后报价扣除比例如下：</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1.小型和微型企业相应产品、服务最后报价的6%；</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监狱企业视同小型、微型企业，在满足价格扣除条件且在响应文件中按要求提交了省级以上监狱管理局、戒毒管理局（含新疆生产建设兵团）出具的属于监狱企业的证明文件的，对其最后报价按第一条的比例予以扣除，用扣除后的价格参与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残疾人福利性单位视同小型、微型企业，在满足价格扣除条件且在响应文件中提供了《残疾人福利性单位声明函》的，对其最后报价按第一条的比例予以扣除，用扣除后的价格参与评审。残疾人福利性单位属于小型、微型企业的，不重复享受政策。</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4.对于节能产品、环境标志产品的相关规定</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节能产品或环境标志产品，依据品目清单和认证证书实施政府优先采购。供应商应能够提供国家确定的认证机构出具的、处于有效期之内的节能产品、环境标志产品认证证书，方可对获得证书的产品优先推荐。</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节能产品报价占总报价比例在30%或以上的，对节能产品的价格给予2%的扣除，在30%以下的，对节能产品的价格给予1%的扣除，用扣除后的价格参与评审。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环境标志产品报价占总报价比例在30%或以上的，对环境标志产品的价格给予2%的扣除，在30%以下的，对节能产品的价格给予1%的扣除，用扣除后的价格参与评审。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（2）供应商应同时提供品目清单网络截图，并以明确标注所报产品信息和位置的方式，用以方便评审。</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（3）认证机构和获证产品信息发布媒体：详见中国政府采购网（www.ccgp.gov.cn）建立的与认证结果信息发布平台的链接。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136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10.5</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签字盖章要求</w:t>
            </w:r>
          </w:p>
        </w:tc>
        <w:tc>
          <w:tcPr>
            <w:tcW w:w="77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1.第六章</w:t>
            </w:r>
            <w:r>
              <w:rPr>
                <w:rFonts w:hint="eastAsia" w:cs="宋体"/>
                <w:sz w:val="24"/>
                <w:szCs w:val="24"/>
                <w:lang w:val="en-US" w:eastAsia="zh-CN"/>
              </w:rPr>
              <w:t>响应文件</w:t>
            </w:r>
            <w:r>
              <w:rPr>
                <w:rFonts w:hint="eastAsia" w:ascii="宋体" w:hAnsi="宋体" w:eastAsia="宋体" w:cs="宋体"/>
                <w:sz w:val="24"/>
                <w:szCs w:val="24"/>
                <w:lang w:val="en-US" w:eastAsia="zh-CN"/>
              </w:rPr>
              <w:t>格式中凡出现应答人单位落款的地方应盖单位章；</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2.第六章</w:t>
            </w:r>
            <w:r>
              <w:rPr>
                <w:rFonts w:hint="eastAsia" w:cs="宋体"/>
                <w:sz w:val="24"/>
                <w:szCs w:val="24"/>
                <w:lang w:val="en-US" w:eastAsia="zh-CN"/>
              </w:rPr>
              <w:t>响应文件</w:t>
            </w:r>
            <w:r>
              <w:rPr>
                <w:rFonts w:hint="eastAsia" w:ascii="宋体" w:hAnsi="宋体" w:eastAsia="宋体" w:cs="宋体"/>
                <w:sz w:val="24"/>
                <w:szCs w:val="24"/>
                <w:lang w:val="en-US" w:eastAsia="zh-CN"/>
              </w:rPr>
              <w:t>格式中凡须签字的地方须按要求签字；</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注：①文件中所有标注“盖章”处均指单位公章，不能以“业务章”、“专用章”、“合同章”等代替；②文件中所有标注“签字”处均指书写签字或签名章，不能以打印体代替。</w:t>
            </w:r>
          </w:p>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请按上述要求制作</w:t>
            </w:r>
            <w:r>
              <w:rPr>
                <w:rFonts w:hint="eastAsia" w:cs="宋体"/>
                <w:sz w:val="24"/>
                <w:szCs w:val="24"/>
                <w:lang w:val="en-US" w:eastAsia="zh-CN"/>
              </w:rPr>
              <w:t>响应文件</w:t>
            </w:r>
            <w:r>
              <w:rPr>
                <w:rFonts w:hint="eastAsia" w:ascii="宋体" w:hAnsi="宋体" w:eastAsia="宋体" w:cs="宋体"/>
                <w:sz w:val="24"/>
                <w:szCs w:val="24"/>
                <w:lang w:val="en-US" w:eastAsia="zh-CN"/>
              </w:rPr>
              <w:t>，否则其投标将被否决。</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8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ascii="宋体" w:hAnsi="宋体" w:eastAsia="宋体" w:cs="宋体"/>
                <w:sz w:val="24"/>
                <w:szCs w:val="24"/>
                <w:lang w:val="en-US" w:eastAsia="zh-CN"/>
              </w:rPr>
              <w:t>10.6</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招标代理中标服务费</w:t>
            </w:r>
          </w:p>
        </w:tc>
        <w:tc>
          <w:tcPr>
            <w:tcW w:w="77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rFonts w:hint="eastAsia" w:ascii="宋体" w:hAnsi="宋体" w:eastAsia="宋体" w:cs="宋体"/>
                <w:sz w:val="24"/>
                <w:szCs w:val="24"/>
                <w:lang w:val="en-US" w:eastAsia="zh-CN"/>
              </w:rPr>
              <w:t>招标代理中标服务费由中标人承担，按照每包一万元一次性收取，即每标包每家单位3333元。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19" w:type="dxa"/>
          <w:trHeight w:val="586" w:hRule="atLeast"/>
          <w:jc w:val="center"/>
        </w:trPr>
        <w:tc>
          <w:tcPr>
            <w:tcW w:w="852"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cs="宋体"/>
                <w:sz w:val="24"/>
                <w:szCs w:val="24"/>
                <w:lang w:val="en-US" w:eastAsia="zh-CN"/>
              </w:rPr>
              <w:t>10.7</w:t>
            </w:r>
          </w:p>
        </w:tc>
        <w:tc>
          <w:tcPr>
            <w:tcW w:w="1722" w:type="dxa"/>
            <w:gridSpan w:val="2"/>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default" w:ascii="宋体" w:hAnsi="宋体" w:eastAsia="宋体" w:cs="宋体"/>
                <w:sz w:val="24"/>
                <w:szCs w:val="24"/>
                <w:lang w:val="en-US" w:eastAsia="zh-CN"/>
              </w:rPr>
            </w:pPr>
            <w:r>
              <w:rPr>
                <w:rFonts w:hint="eastAsia" w:cs="宋体"/>
                <w:sz w:val="24"/>
                <w:szCs w:val="24"/>
                <w:lang w:val="en-US" w:eastAsia="zh-CN"/>
              </w:rPr>
              <w:t>履约保证金</w:t>
            </w:r>
          </w:p>
        </w:tc>
        <w:tc>
          <w:tcPr>
            <w:tcW w:w="7760" w:type="dxa"/>
            <w:vAlign w:val="center"/>
          </w:tcPr>
          <w:p>
            <w:pPr>
              <w:keepNext w:val="0"/>
              <w:keepLines w:val="0"/>
              <w:pageBreakBefore w:val="0"/>
              <w:widowControl w:val="0"/>
              <w:kinsoku/>
              <w:wordWrap/>
              <w:overflowPunct/>
              <w:topLinePunct w:val="0"/>
              <w:autoSpaceDE/>
              <w:autoSpaceDN/>
              <w:bidi w:val="0"/>
              <w:adjustRightInd/>
              <w:snapToGrid/>
              <w:spacing w:line="360" w:lineRule="auto"/>
              <w:textAlignment w:val="auto"/>
              <w:rPr>
                <w:rFonts w:hint="eastAsia" w:ascii="宋体" w:hAnsi="宋体" w:eastAsia="宋体" w:cs="宋体"/>
                <w:sz w:val="24"/>
                <w:szCs w:val="24"/>
                <w:lang w:val="en-US" w:eastAsia="zh-CN"/>
              </w:rPr>
            </w:pPr>
            <w:r>
              <w:rPr>
                <w:szCs w:val="21"/>
              </w:rPr>
              <w:t>乙方需缴纳履约保证金</w:t>
            </w:r>
            <w:r>
              <w:rPr>
                <w:rFonts w:hint="eastAsia"/>
                <w:b/>
                <w:bCs/>
                <w:szCs w:val="21"/>
                <w:u w:val="single"/>
                <w:lang w:val="en-US" w:eastAsia="zh-CN"/>
              </w:rPr>
              <w:t>壹拾万元</w:t>
            </w:r>
            <w:r>
              <w:rPr>
                <w:szCs w:val="21"/>
              </w:rPr>
              <w:t>，履约保证金在合同解除时退还乙方，如乙方有违约行为，将从履约保证金中扣除20％违约金。</w:t>
            </w:r>
          </w:p>
        </w:tc>
      </w:tr>
    </w:tbl>
    <w:p>
      <w:pPr>
        <w:rPr>
          <w:rFonts w:ascii="Tahoma" w:hAnsi="Tahoma" w:eastAsia="黑体" w:cs="Tahoma"/>
          <w:b/>
          <w:bCs/>
          <w:sz w:val="30"/>
          <w:szCs w:val="30"/>
        </w:rPr>
      </w:pPr>
      <w:r>
        <w:rPr>
          <w:rFonts w:ascii="Tahoma" w:hAnsi="Tahoma" w:eastAsia="黑体" w:cs="Tahoma"/>
          <w:b/>
          <w:bCs/>
          <w:sz w:val="30"/>
          <w:szCs w:val="30"/>
        </w:rPr>
        <w:br w:type="page"/>
      </w:r>
    </w:p>
    <w:p>
      <w:pPr>
        <w:spacing w:line="360" w:lineRule="auto"/>
        <w:jc w:val="center"/>
        <w:rPr>
          <w:rFonts w:ascii="Tahoma" w:hAnsi="Tahoma" w:eastAsia="黑体" w:cs="Tahoma"/>
          <w:b/>
          <w:bCs/>
          <w:sz w:val="30"/>
          <w:szCs w:val="30"/>
        </w:rPr>
      </w:pPr>
      <w:r>
        <w:rPr>
          <w:rFonts w:hint="eastAsia" w:ascii="Tahoma" w:hAnsi="Tahoma" w:eastAsia="黑体" w:cs="Tahoma"/>
          <w:b/>
          <w:bCs/>
          <w:sz w:val="30"/>
          <w:szCs w:val="30"/>
          <w:lang w:eastAsia="zh-CN"/>
        </w:rPr>
        <w:t>供应商</w:t>
      </w:r>
      <w:r>
        <w:rPr>
          <w:rFonts w:ascii="Tahoma" w:hAnsi="Tahoma" w:eastAsia="黑体" w:cs="Tahoma"/>
          <w:b/>
          <w:bCs/>
          <w:sz w:val="30"/>
          <w:szCs w:val="30"/>
        </w:rPr>
        <w:t>须知（正文）</w:t>
      </w:r>
    </w:p>
    <w:p>
      <w:pPr>
        <w:spacing w:line="316" w:lineRule="exact"/>
        <w:jc w:val="center"/>
        <w:rPr>
          <w:rFonts w:ascii="Tahoma" w:hAnsi="Tahoma" w:cs="Tahoma"/>
        </w:rPr>
      </w:pPr>
      <w:r>
        <w:rPr>
          <w:rFonts w:ascii="Tahoma" w:hAnsi="Tahoma" w:cs="Tahoma"/>
          <w:b/>
          <w:bCs/>
        </w:rPr>
        <w:t>1</w:t>
      </w:r>
      <w:r>
        <w:rPr>
          <w:rFonts w:ascii="Tahoma" w:hAnsi="Tahoma" w:eastAsia="黑体" w:cs="Tahoma"/>
          <w:b/>
          <w:bCs/>
        </w:rPr>
        <w:t>、总则</w:t>
      </w:r>
    </w:p>
    <w:p>
      <w:pPr>
        <w:spacing w:line="360" w:lineRule="auto"/>
        <w:rPr>
          <w:rFonts w:ascii="Tahoma" w:hAnsi="Tahoma" w:cs="Tahoma"/>
          <w:b/>
          <w:bCs/>
          <w:szCs w:val="21"/>
        </w:rPr>
      </w:pPr>
      <w:r>
        <w:rPr>
          <w:rFonts w:ascii="Tahoma" w:hAnsi="Tahoma" w:cs="Tahoma"/>
          <w:b/>
          <w:bCs/>
          <w:szCs w:val="21"/>
        </w:rPr>
        <w:t>1.1 项目概况</w:t>
      </w:r>
    </w:p>
    <w:p>
      <w:pPr>
        <w:spacing w:line="360" w:lineRule="auto"/>
        <w:rPr>
          <w:rFonts w:ascii="Tahoma" w:hAnsi="Tahoma" w:cs="Tahoma"/>
          <w:szCs w:val="21"/>
        </w:rPr>
      </w:pPr>
      <w:r>
        <w:rPr>
          <w:rFonts w:ascii="Tahoma" w:hAnsi="Tahoma" w:cs="Tahoma"/>
          <w:szCs w:val="21"/>
        </w:rPr>
        <w:t>1.1.1 根据《中华人民共和国政府采购法》、《中华人民共和国政府采购法实施条例》等有关法律、法规和规章的规定，本招标项目已具备招标条件，现对本项目进行招标。</w:t>
      </w:r>
    </w:p>
    <w:p>
      <w:pPr>
        <w:spacing w:line="360" w:lineRule="auto"/>
        <w:rPr>
          <w:rFonts w:ascii="Tahoma" w:hAnsi="Tahoma" w:cs="Tahoma"/>
          <w:szCs w:val="21"/>
        </w:rPr>
      </w:pPr>
      <w:r>
        <w:rPr>
          <w:rFonts w:ascii="Tahoma" w:hAnsi="Tahoma" w:cs="Tahoma"/>
          <w:szCs w:val="21"/>
        </w:rPr>
        <w:t>1.1.2 本招标项目</w:t>
      </w:r>
      <w:r>
        <w:rPr>
          <w:rFonts w:hint="eastAsia" w:ascii="Tahoma" w:hAnsi="Tahoma" w:cs="Tahoma"/>
          <w:szCs w:val="21"/>
          <w:lang w:eastAsia="zh-CN"/>
        </w:rPr>
        <w:t>采购人</w:t>
      </w:r>
      <w:r>
        <w:rPr>
          <w:rFonts w:ascii="Tahoma" w:hAnsi="Tahoma" w:cs="Tahoma"/>
          <w:szCs w:val="21"/>
        </w:rPr>
        <w:t>：见</w:t>
      </w:r>
      <w:r>
        <w:rPr>
          <w:rFonts w:hint="eastAsia" w:ascii="Tahoma" w:hAnsi="Tahoma" w:cs="Tahoma"/>
          <w:szCs w:val="21"/>
          <w:lang w:eastAsia="zh-CN"/>
        </w:rPr>
        <w:t>供应商</w:t>
      </w:r>
      <w:r>
        <w:rPr>
          <w:rFonts w:ascii="Tahoma" w:hAnsi="Tahoma" w:cs="Tahoma"/>
          <w:szCs w:val="21"/>
        </w:rPr>
        <w:t>须知前附表。</w:t>
      </w:r>
    </w:p>
    <w:p>
      <w:pPr>
        <w:spacing w:line="360" w:lineRule="auto"/>
        <w:rPr>
          <w:rFonts w:ascii="Tahoma" w:hAnsi="Tahoma" w:cs="Tahoma"/>
          <w:szCs w:val="21"/>
        </w:rPr>
      </w:pPr>
      <w:r>
        <w:rPr>
          <w:rFonts w:ascii="Tahoma" w:hAnsi="Tahoma" w:cs="Tahoma"/>
          <w:szCs w:val="21"/>
        </w:rPr>
        <w:t>1.1.3 本标段招标代理机构：见</w:t>
      </w:r>
      <w:r>
        <w:rPr>
          <w:rFonts w:hint="eastAsia" w:ascii="Tahoma" w:hAnsi="Tahoma" w:cs="Tahoma"/>
          <w:szCs w:val="21"/>
          <w:lang w:eastAsia="zh-CN"/>
        </w:rPr>
        <w:t>供应商</w:t>
      </w:r>
      <w:r>
        <w:rPr>
          <w:rFonts w:ascii="Tahoma" w:hAnsi="Tahoma" w:cs="Tahoma"/>
          <w:szCs w:val="21"/>
        </w:rPr>
        <w:t>须知前附表。</w:t>
      </w:r>
    </w:p>
    <w:p>
      <w:pPr>
        <w:spacing w:line="360" w:lineRule="auto"/>
        <w:rPr>
          <w:rFonts w:ascii="Tahoma" w:hAnsi="Tahoma" w:cs="Tahoma"/>
          <w:szCs w:val="21"/>
        </w:rPr>
      </w:pPr>
      <w:r>
        <w:rPr>
          <w:rFonts w:ascii="Tahoma" w:hAnsi="Tahoma" w:cs="Tahoma"/>
          <w:szCs w:val="21"/>
        </w:rPr>
        <w:t>1.1.4 本招标项目名称：见</w:t>
      </w:r>
      <w:r>
        <w:rPr>
          <w:rFonts w:hint="eastAsia" w:ascii="Tahoma" w:hAnsi="Tahoma" w:cs="Tahoma"/>
          <w:szCs w:val="21"/>
          <w:lang w:eastAsia="zh-CN"/>
        </w:rPr>
        <w:t>供应商</w:t>
      </w:r>
      <w:r>
        <w:rPr>
          <w:rFonts w:ascii="Tahoma" w:hAnsi="Tahoma" w:cs="Tahoma"/>
          <w:szCs w:val="21"/>
        </w:rPr>
        <w:t>须知前附表。</w:t>
      </w:r>
    </w:p>
    <w:p>
      <w:pPr>
        <w:spacing w:line="360" w:lineRule="auto"/>
        <w:rPr>
          <w:rFonts w:ascii="Tahoma" w:hAnsi="Tahoma" w:cs="Tahoma"/>
          <w:szCs w:val="21"/>
        </w:rPr>
      </w:pPr>
      <w:r>
        <w:rPr>
          <w:rFonts w:ascii="Tahoma" w:hAnsi="Tahoma" w:cs="Tahoma"/>
          <w:szCs w:val="21"/>
        </w:rPr>
        <w:t>1.1.5 适用范围：本招标文件仅适用于招标文件中所叙述项目的招标。</w:t>
      </w:r>
    </w:p>
    <w:p>
      <w:pPr>
        <w:spacing w:line="360" w:lineRule="auto"/>
        <w:rPr>
          <w:rFonts w:ascii="Tahoma" w:hAnsi="Tahoma" w:cs="Tahoma"/>
          <w:szCs w:val="21"/>
        </w:rPr>
      </w:pPr>
      <w:r>
        <w:rPr>
          <w:rFonts w:ascii="Tahoma" w:hAnsi="Tahoma" w:cs="Tahoma"/>
          <w:szCs w:val="21"/>
        </w:rPr>
        <w:t>1.1.6 本招标项目的资金来源：见</w:t>
      </w:r>
      <w:r>
        <w:rPr>
          <w:rFonts w:hint="eastAsia" w:ascii="Tahoma" w:hAnsi="Tahoma" w:cs="Tahoma"/>
          <w:szCs w:val="21"/>
          <w:lang w:eastAsia="zh-CN"/>
        </w:rPr>
        <w:t>供应商</w:t>
      </w:r>
      <w:r>
        <w:rPr>
          <w:rFonts w:ascii="Tahoma" w:hAnsi="Tahoma" w:cs="Tahoma"/>
          <w:szCs w:val="21"/>
        </w:rPr>
        <w:t>须知前附表。</w:t>
      </w:r>
    </w:p>
    <w:p>
      <w:pPr>
        <w:spacing w:line="360" w:lineRule="auto"/>
        <w:rPr>
          <w:rFonts w:ascii="Tahoma" w:hAnsi="Tahoma" w:cs="Tahoma"/>
          <w:szCs w:val="21"/>
        </w:rPr>
      </w:pPr>
      <w:r>
        <w:rPr>
          <w:rFonts w:ascii="Tahoma" w:hAnsi="Tahoma" w:cs="Tahoma"/>
          <w:szCs w:val="21"/>
        </w:rPr>
        <w:t>1.1.7 本招标项目的资金落实情况：见</w:t>
      </w:r>
      <w:r>
        <w:rPr>
          <w:rFonts w:hint="eastAsia" w:ascii="Tahoma" w:hAnsi="Tahoma" w:cs="Tahoma"/>
          <w:szCs w:val="21"/>
          <w:lang w:eastAsia="zh-CN"/>
        </w:rPr>
        <w:t>供应商</w:t>
      </w:r>
      <w:r>
        <w:rPr>
          <w:rFonts w:ascii="Tahoma" w:hAnsi="Tahoma" w:cs="Tahoma"/>
          <w:szCs w:val="21"/>
        </w:rPr>
        <w:t>须知前附表。</w:t>
      </w:r>
    </w:p>
    <w:p>
      <w:pPr>
        <w:spacing w:line="360" w:lineRule="auto"/>
        <w:rPr>
          <w:rFonts w:ascii="Tahoma" w:hAnsi="Tahoma" w:cs="Tahoma"/>
          <w:szCs w:val="21"/>
        </w:rPr>
      </w:pPr>
      <w:r>
        <w:rPr>
          <w:rFonts w:ascii="Tahoma" w:hAnsi="Tahoma" w:cs="Tahoma"/>
          <w:b/>
          <w:bCs/>
          <w:szCs w:val="21"/>
        </w:rPr>
        <w:t>1.2. 定义</w:t>
      </w:r>
    </w:p>
    <w:p>
      <w:pPr>
        <w:spacing w:line="360" w:lineRule="auto"/>
        <w:rPr>
          <w:rFonts w:ascii="Tahoma" w:hAnsi="Tahoma" w:cs="Tahoma"/>
          <w:szCs w:val="21"/>
        </w:rPr>
      </w:pPr>
      <w:r>
        <w:rPr>
          <w:rFonts w:ascii="Tahoma" w:hAnsi="Tahoma" w:cs="Tahoma"/>
          <w:szCs w:val="21"/>
        </w:rPr>
        <w:t>1.2.1</w:t>
      </w:r>
      <w:r>
        <w:rPr>
          <w:rFonts w:hint="eastAsia"/>
          <w:szCs w:val="21"/>
        </w:rPr>
        <w:t xml:space="preserve"> “招标代理人”</w:t>
      </w:r>
      <w:r>
        <w:rPr>
          <w:rFonts w:ascii="Tahoma" w:hAnsi="Tahoma" w:cs="Tahoma"/>
          <w:szCs w:val="21"/>
        </w:rPr>
        <w:t>系指组织本次招标活动的招标代理机构。</w:t>
      </w:r>
    </w:p>
    <w:p>
      <w:pPr>
        <w:spacing w:line="360" w:lineRule="auto"/>
        <w:rPr>
          <w:rFonts w:ascii="Tahoma" w:hAnsi="Tahoma" w:cs="Tahoma"/>
          <w:szCs w:val="21"/>
        </w:rPr>
      </w:pPr>
      <w:r>
        <w:rPr>
          <w:rFonts w:ascii="Tahoma" w:hAnsi="Tahoma" w:cs="Tahoma"/>
          <w:szCs w:val="21"/>
        </w:rPr>
        <w:t>1.2.2</w:t>
      </w:r>
      <w:r>
        <w:rPr>
          <w:rFonts w:hint="eastAsia"/>
          <w:szCs w:val="21"/>
        </w:rPr>
        <w:t xml:space="preserve"> “</w:t>
      </w:r>
      <w:r>
        <w:rPr>
          <w:rFonts w:hint="eastAsia"/>
          <w:szCs w:val="21"/>
          <w:lang w:eastAsia="zh-CN"/>
        </w:rPr>
        <w:t>采购人</w:t>
      </w:r>
      <w:r>
        <w:rPr>
          <w:rFonts w:hint="eastAsia"/>
          <w:szCs w:val="21"/>
        </w:rPr>
        <w:t>”</w:t>
      </w:r>
      <w:r>
        <w:rPr>
          <w:rFonts w:ascii="Tahoma" w:hAnsi="Tahoma" w:cs="Tahoma"/>
          <w:szCs w:val="21"/>
        </w:rPr>
        <w:t>系指</w:t>
      </w:r>
      <w:r>
        <w:rPr>
          <w:rFonts w:hint="eastAsia" w:ascii="Tahoma" w:hAnsi="Tahoma" w:cs="Tahoma"/>
          <w:b/>
          <w:szCs w:val="21"/>
        </w:rPr>
        <w:t>新疆维吾尔自治区某单位</w:t>
      </w:r>
      <w:r>
        <w:rPr>
          <w:rFonts w:ascii="Tahoma" w:hAnsi="Tahoma" w:cs="Tahoma"/>
          <w:szCs w:val="21"/>
        </w:rPr>
        <w:t>。</w:t>
      </w:r>
    </w:p>
    <w:p>
      <w:pPr>
        <w:spacing w:line="360" w:lineRule="auto"/>
        <w:rPr>
          <w:rFonts w:ascii="Tahoma" w:hAnsi="Tahoma" w:cs="Tahoma"/>
          <w:szCs w:val="21"/>
        </w:rPr>
      </w:pPr>
      <w:r>
        <w:rPr>
          <w:rFonts w:ascii="Tahoma" w:hAnsi="Tahoma" w:cs="Tahoma"/>
          <w:szCs w:val="21"/>
        </w:rPr>
        <w:t xml:space="preserve">1.2.3 </w:t>
      </w:r>
      <w:r>
        <w:rPr>
          <w:rFonts w:hint="eastAsia"/>
          <w:szCs w:val="21"/>
        </w:rPr>
        <w:t>“潜在</w:t>
      </w:r>
      <w:r>
        <w:rPr>
          <w:rFonts w:hint="eastAsia"/>
          <w:szCs w:val="21"/>
          <w:lang w:eastAsia="zh-CN"/>
        </w:rPr>
        <w:t>供应商</w:t>
      </w:r>
      <w:r>
        <w:rPr>
          <w:rFonts w:hint="eastAsia"/>
          <w:szCs w:val="21"/>
        </w:rPr>
        <w:t>”</w:t>
      </w:r>
      <w:r>
        <w:rPr>
          <w:rFonts w:ascii="Tahoma" w:hAnsi="Tahoma" w:cs="Tahoma"/>
          <w:szCs w:val="21"/>
        </w:rPr>
        <w:t>系指购买了本招标文件的</w:t>
      </w:r>
      <w:r>
        <w:rPr>
          <w:rFonts w:hint="eastAsia" w:ascii="Tahoma" w:hAnsi="Tahoma" w:cs="Tahoma"/>
          <w:szCs w:val="21"/>
          <w:lang w:eastAsia="zh-CN"/>
        </w:rPr>
        <w:t>供应商</w:t>
      </w:r>
      <w:r>
        <w:rPr>
          <w:rFonts w:ascii="Tahoma" w:hAnsi="Tahoma" w:cs="Tahoma"/>
          <w:szCs w:val="21"/>
        </w:rPr>
        <w:t>。</w:t>
      </w:r>
    </w:p>
    <w:p>
      <w:pPr>
        <w:spacing w:line="360" w:lineRule="auto"/>
        <w:rPr>
          <w:rFonts w:ascii="Tahoma" w:hAnsi="Tahoma" w:cs="Tahoma"/>
          <w:szCs w:val="21"/>
        </w:rPr>
      </w:pPr>
      <w:r>
        <w:rPr>
          <w:rFonts w:ascii="Tahoma" w:hAnsi="Tahoma" w:cs="Tahoma"/>
          <w:szCs w:val="21"/>
        </w:rPr>
        <w:t xml:space="preserve">1.2.4 </w:t>
      </w:r>
      <w:r>
        <w:rPr>
          <w:rFonts w:hint="eastAsia"/>
          <w:szCs w:val="21"/>
        </w:rPr>
        <w:t>“</w:t>
      </w:r>
      <w:r>
        <w:rPr>
          <w:rFonts w:hint="eastAsia"/>
          <w:szCs w:val="21"/>
          <w:lang w:eastAsia="zh-CN"/>
        </w:rPr>
        <w:t>供应商</w:t>
      </w:r>
      <w:r>
        <w:rPr>
          <w:rFonts w:hint="eastAsia"/>
          <w:szCs w:val="21"/>
        </w:rPr>
        <w:t>”</w:t>
      </w:r>
      <w:r>
        <w:rPr>
          <w:rFonts w:ascii="Tahoma" w:hAnsi="Tahoma" w:cs="Tahoma"/>
          <w:szCs w:val="21"/>
        </w:rPr>
        <w:t>系指购买了本招标文件，且已经提交本次</w:t>
      </w:r>
      <w:r>
        <w:rPr>
          <w:rFonts w:hint="eastAsia" w:ascii="Tahoma" w:hAnsi="Tahoma" w:cs="Tahoma"/>
          <w:szCs w:val="21"/>
          <w:lang w:eastAsia="zh-CN"/>
        </w:rPr>
        <w:t>响应文件</w:t>
      </w:r>
      <w:r>
        <w:rPr>
          <w:rFonts w:ascii="Tahoma" w:hAnsi="Tahoma" w:cs="Tahoma"/>
          <w:szCs w:val="21"/>
        </w:rPr>
        <w:t>的</w:t>
      </w:r>
      <w:r>
        <w:rPr>
          <w:rFonts w:hint="eastAsia" w:ascii="Tahoma" w:hAnsi="Tahoma" w:cs="Tahoma"/>
          <w:szCs w:val="21"/>
          <w:lang w:eastAsia="zh-CN"/>
        </w:rPr>
        <w:t>供应商</w:t>
      </w:r>
      <w:r>
        <w:rPr>
          <w:rFonts w:ascii="Tahoma" w:hAnsi="Tahoma" w:cs="Tahoma"/>
          <w:szCs w:val="21"/>
        </w:rPr>
        <w:t>。</w:t>
      </w:r>
    </w:p>
    <w:p>
      <w:pPr>
        <w:spacing w:line="360" w:lineRule="auto"/>
        <w:rPr>
          <w:rFonts w:ascii="Tahoma" w:hAnsi="Tahoma" w:cs="Tahoma"/>
          <w:szCs w:val="21"/>
        </w:rPr>
      </w:pPr>
      <w:r>
        <w:rPr>
          <w:rFonts w:ascii="Tahoma" w:hAnsi="Tahoma" w:cs="Tahoma"/>
          <w:szCs w:val="21"/>
        </w:rPr>
        <w:t>1.2.5</w:t>
      </w:r>
      <w:r>
        <w:rPr>
          <w:rFonts w:hint="eastAsia"/>
          <w:szCs w:val="21"/>
        </w:rPr>
        <w:t xml:space="preserve"> “产品”</w:t>
      </w:r>
      <w:r>
        <w:rPr>
          <w:rFonts w:ascii="Tahoma" w:hAnsi="Tahoma" w:cs="Tahoma"/>
          <w:szCs w:val="21"/>
        </w:rPr>
        <w:t>系指供方按招标文件规定，须向采购人提供的一切货物、保险、税金、备品备件、工具、手册及其它有关技术资料和材料。</w:t>
      </w:r>
    </w:p>
    <w:p>
      <w:pPr>
        <w:spacing w:line="360" w:lineRule="auto"/>
        <w:rPr>
          <w:rFonts w:ascii="Tahoma" w:hAnsi="Tahoma" w:cs="Tahoma"/>
          <w:szCs w:val="21"/>
        </w:rPr>
      </w:pPr>
      <w:r>
        <w:rPr>
          <w:rFonts w:ascii="Tahoma" w:hAnsi="Tahoma" w:cs="Tahoma"/>
          <w:szCs w:val="21"/>
        </w:rPr>
        <w:t>1.2.6</w:t>
      </w:r>
      <w:r>
        <w:rPr>
          <w:rFonts w:hint="eastAsia"/>
          <w:szCs w:val="21"/>
        </w:rPr>
        <w:t xml:space="preserve"> “服务”</w:t>
      </w:r>
      <w:r>
        <w:rPr>
          <w:rFonts w:ascii="Tahoma" w:hAnsi="Tahoma" w:cs="Tahoma"/>
          <w:szCs w:val="21"/>
        </w:rPr>
        <w:t>系指招标文件规定</w:t>
      </w:r>
      <w:r>
        <w:rPr>
          <w:rFonts w:hint="eastAsia" w:ascii="Tahoma" w:hAnsi="Tahoma" w:cs="Tahoma"/>
          <w:szCs w:val="21"/>
          <w:lang w:eastAsia="zh-CN"/>
        </w:rPr>
        <w:t>供应商</w:t>
      </w:r>
      <w:r>
        <w:rPr>
          <w:rFonts w:ascii="Tahoma" w:hAnsi="Tahoma" w:cs="Tahoma"/>
          <w:szCs w:val="21"/>
        </w:rPr>
        <w:t>须承担的安装、调试、技术协助、校准、培训、保修、保养、提供售后服务以及其他类似的义务。</w:t>
      </w:r>
    </w:p>
    <w:p>
      <w:pPr>
        <w:spacing w:line="360" w:lineRule="auto"/>
        <w:rPr>
          <w:rFonts w:hint="eastAsia" w:ascii="Tahoma" w:hAnsi="Tahoma" w:eastAsia="宋体" w:cs="Tahoma"/>
          <w:szCs w:val="21"/>
          <w:lang w:eastAsia="zh-CN"/>
        </w:rPr>
      </w:pPr>
      <w:r>
        <w:rPr>
          <w:rFonts w:ascii="Tahoma" w:hAnsi="Tahoma" w:cs="Tahoma"/>
          <w:b/>
          <w:bCs/>
          <w:szCs w:val="21"/>
        </w:rPr>
        <w:t>1.3. 合格的</w:t>
      </w:r>
      <w:r>
        <w:rPr>
          <w:rFonts w:hint="eastAsia" w:ascii="Tahoma" w:hAnsi="Tahoma" w:cs="Tahoma"/>
          <w:b/>
          <w:bCs/>
          <w:szCs w:val="21"/>
          <w:lang w:eastAsia="zh-CN"/>
        </w:rPr>
        <w:t>供应商</w:t>
      </w:r>
    </w:p>
    <w:p>
      <w:pPr>
        <w:spacing w:line="360" w:lineRule="auto"/>
        <w:rPr>
          <w:rFonts w:ascii="Tahoma" w:hAnsi="Tahoma" w:cs="Tahoma"/>
          <w:szCs w:val="21"/>
        </w:rPr>
      </w:pPr>
      <w:r>
        <w:rPr>
          <w:rFonts w:ascii="Tahoma" w:hAnsi="Tahoma" w:cs="Tahoma"/>
          <w:szCs w:val="21"/>
        </w:rPr>
        <w:t>1.3.1符合第二章</w:t>
      </w:r>
      <w:r>
        <w:rPr>
          <w:rFonts w:hint="eastAsia" w:ascii="Tahoma" w:hAnsi="Tahoma" w:cs="Tahoma"/>
          <w:szCs w:val="21"/>
          <w:lang w:eastAsia="zh-CN"/>
        </w:rPr>
        <w:t>供应商</w:t>
      </w:r>
      <w:r>
        <w:rPr>
          <w:rFonts w:ascii="Tahoma" w:hAnsi="Tahoma" w:cs="Tahoma"/>
          <w:szCs w:val="21"/>
        </w:rPr>
        <w:t>须知前附表中资格要求中的各条要求。</w:t>
      </w:r>
    </w:p>
    <w:p>
      <w:pPr>
        <w:spacing w:line="360" w:lineRule="auto"/>
        <w:rPr>
          <w:rFonts w:ascii="Tahoma" w:hAnsi="Tahoma" w:cs="Tahoma"/>
          <w:szCs w:val="21"/>
        </w:rPr>
      </w:pPr>
      <w:r>
        <w:rPr>
          <w:rFonts w:ascii="Tahoma" w:hAnsi="Tahoma" w:cs="Tahoma"/>
          <w:szCs w:val="21"/>
        </w:rPr>
        <w:t xml:space="preserve">1.3.2 </w:t>
      </w:r>
      <w:r>
        <w:rPr>
          <w:rFonts w:hint="eastAsia" w:ascii="Tahoma" w:hAnsi="Tahoma" w:cs="Tahoma"/>
          <w:szCs w:val="21"/>
          <w:lang w:eastAsia="zh-CN"/>
        </w:rPr>
        <w:t>供应商</w:t>
      </w:r>
      <w:r>
        <w:rPr>
          <w:rFonts w:ascii="Tahoma" w:hAnsi="Tahoma" w:cs="Tahoma"/>
          <w:szCs w:val="21"/>
        </w:rPr>
        <w:t>应依法纳税及缴纳社会保障金。</w:t>
      </w:r>
    </w:p>
    <w:p>
      <w:pPr>
        <w:spacing w:line="360" w:lineRule="auto"/>
        <w:rPr>
          <w:rFonts w:ascii="Tahoma" w:hAnsi="Tahoma" w:cs="Tahoma"/>
          <w:szCs w:val="21"/>
        </w:rPr>
      </w:pPr>
      <w:r>
        <w:rPr>
          <w:rFonts w:ascii="Tahoma" w:hAnsi="Tahoma" w:cs="Tahoma"/>
          <w:szCs w:val="21"/>
        </w:rPr>
        <w:t>1.3.3</w:t>
      </w:r>
      <w:r>
        <w:rPr>
          <w:rFonts w:hint="eastAsia" w:ascii="Tahoma" w:hAnsi="Tahoma" w:cs="Tahoma"/>
          <w:szCs w:val="21"/>
          <w:lang w:eastAsia="zh-CN"/>
        </w:rPr>
        <w:t>供应商</w:t>
      </w:r>
      <w:r>
        <w:rPr>
          <w:rFonts w:ascii="Tahoma" w:hAnsi="Tahoma" w:cs="Tahoma"/>
          <w:szCs w:val="21"/>
        </w:rPr>
        <w:t>应遵守中国的有关法律、法规和规章的规定。</w:t>
      </w:r>
    </w:p>
    <w:p>
      <w:pPr>
        <w:spacing w:line="360" w:lineRule="auto"/>
        <w:rPr>
          <w:rFonts w:ascii="Tahoma" w:hAnsi="Tahoma" w:cs="Tahoma"/>
          <w:szCs w:val="21"/>
        </w:rPr>
      </w:pPr>
      <w:r>
        <w:rPr>
          <w:rFonts w:ascii="Tahoma" w:hAnsi="Tahoma" w:cs="Tahoma"/>
          <w:szCs w:val="21"/>
        </w:rPr>
        <w:t>1.3.4一个</w:t>
      </w:r>
      <w:r>
        <w:rPr>
          <w:rFonts w:hint="eastAsia" w:ascii="Tahoma" w:hAnsi="Tahoma" w:cs="Tahoma"/>
          <w:szCs w:val="21"/>
          <w:lang w:eastAsia="zh-CN"/>
        </w:rPr>
        <w:t>供应商</w:t>
      </w:r>
      <w:r>
        <w:rPr>
          <w:rFonts w:ascii="Tahoma" w:hAnsi="Tahoma" w:cs="Tahoma"/>
          <w:szCs w:val="21"/>
        </w:rPr>
        <w:t>只能提交一个</w:t>
      </w:r>
      <w:r>
        <w:rPr>
          <w:rFonts w:hint="eastAsia" w:ascii="Tahoma" w:hAnsi="Tahoma" w:cs="Tahoma"/>
          <w:szCs w:val="21"/>
          <w:lang w:eastAsia="zh-CN"/>
        </w:rPr>
        <w:t>响应文件</w:t>
      </w:r>
      <w:r>
        <w:rPr>
          <w:rFonts w:ascii="Tahoma" w:hAnsi="Tahoma" w:cs="Tahoma"/>
          <w:szCs w:val="21"/>
        </w:rPr>
        <w:t>。但如果</w:t>
      </w:r>
      <w:r>
        <w:rPr>
          <w:rFonts w:hint="eastAsia" w:ascii="Tahoma" w:hAnsi="Tahoma" w:cs="Tahoma"/>
          <w:szCs w:val="21"/>
          <w:lang w:eastAsia="zh-CN"/>
        </w:rPr>
        <w:t>供应商</w:t>
      </w:r>
      <w:r>
        <w:rPr>
          <w:rFonts w:ascii="Tahoma" w:hAnsi="Tahoma" w:cs="Tahoma"/>
          <w:szCs w:val="21"/>
        </w:rPr>
        <w:t>之间存在下列互为关联关系的情形之一的，不得同时参加本项目投标：</w:t>
      </w:r>
    </w:p>
    <w:p>
      <w:pPr>
        <w:spacing w:line="360" w:lineRule="auto"/>
        <w:rPr>
          <w:rFonts w:ascii="Tahoma" w:hAnsi="Tahoma" w:cs="Tahoma"/>
          <w:szCs w:val="21"/>
        </w:rPr>
      </w:pPr>
      <w:r>
        <w:rPr>
          <w:rFonts w:ascii="Tahoma" w:hAnsi="Tahoma" w:cs="Tahoma"/>
          <w:szCs w:val="21"/>
        </w:rPr>
        <w:t>（1） 法定代表人为同一人的两个及两个以上法人；</w:t>
      </w:r>
    </w:p>
    <w:p>
      <w:pPr>
        <w:spacing w:line="360" w:lineRule="auto"/>
        <w:rPr>
          <w:rFonts w:ascii="Tahoma" w:hAnsi="Tahoma" w:cs="Tahoma"/>
          <w:szCs w:val="21"/>
        </w:rPr>
      </w:pPr>
      <w:r>
        <w:rPr>
          <w:rFonts w:ascii="Tahoma" w:hAnsi="Tahoma" w:cs="Tahoma"/>
          <w:szCs w:val="21"/>
        </w:rPr>
        <w:t>（2） 母公司、直接或间接持股50％及以上的被投资公司;</w:t>
      </w:r>
    </w:p>
    <w:p>
      <w:pPr>
        <w:spacing w:line="360" w:lineRule="auto"/>
        <w:rPr>
          <w:rFonts w:ascii="Tahoma" w:hAnsi="Tahoma" w:cs="Tahoma"/>
          <w:szCs w:val="21"/>
        </w:rPr>
      </w:pPr>
      <w:r>
        <w:rPr>
          <w:rFonts w:ascii="Tahoma" w:hAnsi="Tahoma" w:cs="Tahoma"/>
          <w:szCs w:val="21"/>
        </w:rPr>
        <w:t>（3） 均为同一家母公司直接或间接持股50％及以上的被投资公司。</w:t>
      </w:r>
    </w:p>
    <w:p>
      <w:pPr>
        <w:spacing w:line="360" w:lineRule="auto"/>
        <w:rPr>
          <w:rFonts w:ascii="Tahoma" w:hAnsi="Tahoma" w:cs="Tahoma"/>
          <w:szCs w:val="21"/>
        </w:rPr>
      </w:pPr>
      <w:r>
        <w:rPr>
          <w:rFonts w:ascii="Tahoma" w:hAnsi="Tahoma" w:cs="Tahoma"/>
          <w:szCs w:val="21"/>
        </w:rPr>
        <w:t xml:space="preserve">1.3.5 </w:t>
      </w:r>
      <w:r>
        <w:rPr>
          <w:rFonts w:hint="eastAsia" w:ascii="Tahoma" w:hAnsi="Tahoma" w:cs="Tahoma"/>
          <w:szCs w:val="21"/>
          <w:lang w:eastAsia="zh-CN"/>
        </w:rPr>
        <w:t>供应商</w:t>
      </w:r>
      <w:r>
        <w:rPr>
          <w:rFonts w:ascii="Tahoma" w:hAnsi="Tahoma" w:cs="Tahoma"/>
          <w:szCs w:val="21"/>
        </w:rPr>
        <w:t xml:space="preserve">不得与本次招标项下设计、编制技术规格和其它文件的公司或提供咨询服务的公司包括其附属机构有任何关联。 </w:t>
      </w:r>
    </w:p>
    <w:p>
      <w:pPr>
        <w:spacing w:line="360" w:lineRule="auto"/>
        <w:rPr>
          <w:rFonts w:ascii="Tahoma" w:hAnsi="Tahoma" w:cs="Tahoma"/>
          <w:szCs w:val="21"/>
        </w:rPr>
      </w:pPr>
      <w:r>
        <w:rPr>
          <w:rFonts w:ascii="Tahoma" w:hAnsi="Tahoma" w:cs="Tahoma"/>
          <w:szCs w:val="21"/>
        </w:rPr>
        <w:t>1.3.6一个</w:t>
      </w:r>
      <w:r>
        <w:rPr>
          <w:rFonts w:hint="eastAsia" w:ascii="Tahoma" w:hAnsi="Tahoma" w:cs="Tahoma"/>
          <w:szCs w:val="21"/>
          <w:lang w:eastAsia="zh-CN"/>
        </w:rPr>
        <w:t>供应商</w:t>
      </w:r>
      <w:r>
        <w:rPr>
          <w:rFonts w:ascii="Tahoma" w:hAnsi="Tahoma" w:cs="Tahoma"/>
          <w:szCs w:val="21"/>
        </w:rPr>
        <w:t>代表在同一个项目中只能接受一个</w:t>
      </w:r>
      <w:r>
        <w:rPr>
          <w:rFonts w:hint="eastAsia" w:ascii="Tahoma" w:hAnsi="Tahoma" w:cs="Tahoma"/>
          <w:szCs w:val="21"/>
          <w:lang w:eastAsia="zh-CN"/>
        </w:rPr>
        <w:t>供应商</w:t>
      </w:r>
      <w:r>
        <w:rPr>
          <w:rFonts w:ascii="Tahoma" w:hAnsi="Tahoma" w:cs="Tahoma"/>
          <w:szCs w:val="21"/>
        </w:rPr>
        <w:t>的委托参加投标。</w:t>
      </w:r>
    </w:p>
    <w:p>
      <w:pPr>
        <w:spacing w:line="360" w:lineRule="auto"/>
        <w:rPr>
          <w:rFonts w:ascii="Tahoma" w:hAnsi="Tahoma" w:cs="Tahoma"/>
          <w:b/>
          <w:bCs/>
          <w:szCs w:val="21"/>
        </w:rPr>
      </w:pPr>
      <w:r>
        <w:rPr>
          <w:rFonts w:ascii="Tahoma" w:hAnsi="Tahoma" w:cs="Tahoma"/>
          <w:b/>
          <w:bCs/>
          <w:szCs w:val="21"/>
        </w:rPr>
        <w:t>1.4联合体</w:t>
      </w:r>
    </w:p>
    <w:p>
      <w:pPr>
        <w:spacing w:line="360" w:lineRule="auto"/>
        <w:ind w:firstLine="480"/>
        <w:rPr>
          <w:rFonts w:hint="default" w:ascii="Tahoma" w:hAnsi="Tahoma" w:cs="Tahoma"/>
          <w:bCs/>
          <w:szCs w:val="21"/>
          <w:lang w:val="en-US"/>
        </w:rPr>
      </w:pPr>
      <w:r>
        <w:rPr>
          <w:rFonts w:ascii="Tahoma" w:hAnsi="Tahoma" w:cs="Tahoma"/>
          <w:bCs/>
          <w:szCs w:val="21"/>
        </w:rPr>
        <w:t>1.4.1</w:t>
      </w:r>
      <w:r>
        <w:rPr>
          <w:rFonts w:hint="eastAsia" w:ascii="Tahoma" w:hAnsi="Tahoma" w:cs="Tahoma"/>
          <w:bCs/>
          <w:szCs w:val="21"/>
          <w:lang w:val="en-US" w:eastAsia="zh-CN"/>
        </w:rPr>
        <w:t>本项目不支持联合体投标；</w:t>
      </w:r>
    </w:p>
    <w:p>
      <w:pPr>
        <w:spacing w:line="360" w:lineRule="auto"/>
        <w:rPr>
          <w:rFonts w:ascii="Tahoma" w:hAnsi="Tahoma" w:cs="Tahoma"/>
          <w:b/>
          <w:bCs/>
          <w:szCs w:val="21"/>
        </w:rPr>
      </w:pPr>
      <w:r>
        <w:rPr>
          <w:rFonts w:ascii="Tahoma" w:hAnsi="Tahoma" w:cs="Tahoma"/>
          <w:b/>
          <w:bCs/>
          <w:szCs w:val="21"/>
        </w:rPr>
        <w:t>1.5. 投标费用</w:t>
      </w:r>
    </w:p>
    <w:p>
      <w:pPr>
        <w:spacing w:line="360" w:lineRule="auto"/>
        <w:rPr>
          <w:rFonts w:ascii="Tahoma" w:hAnsi="Tahoma" w:cs="Tahoma"/>
          <w:szCs w:val="21"/>
        </w:rPr>
      </w:pPr>
      <w:r>
        <w:rPr>
          <w:rFonts w:ascii="Tahoma" w:hAnsi="Tahoma" w:cs="Tahoma"/>
          <w:szCs w:val="21"/>
        </w:rPr>
        <w:t>1.5.1</w:t>
      </w:r>
      <w:r>
        <w:rPr>
          <w:rFonts w:hint="eastAsia" w:ascii="Tahoma" w:hAnsi="Tahoma" w:cs="Tahoma"/>
          <w:szCs w:val="21"/>
          <w:lang w:eastAsia="zh-CN"/>
        </w:rPr>
        <w:t>供应商</w:t>
      </w:r>
      <w:r>
        <w:rPr>
          <w:rFonts w:ascii="Tahoma" w:hAnsi="Tahoma" w:cs="Tahoma"/>
          <w:szCs w:val="21"/>
        </w:rPr>
        <w:t>准备和参加投标活动所发生的一切费用（包括报名、招标文件购买、投标</w:t>
      </w:r>
      <w:r>
        <w:rPr>
          <w:rFonts w:hint="eastAsia" w:ascii="Tahoma" w:hAnsi="Tahoma" w:cs="Tahoma"/>
          <w:szCs w:val="21"/>
        </w:rPr>
        <w:t>、招标代理</w:t>
      </w:r>
      <w:r>
        <w:rPr>
          <w:rFonts w:ascii="Tahoma" w:hAnsi="Tahoma" w:cs="Tahoma"/>
          <w:szCs w:val="21"/>
        </w:rPr>
        <w:t>等）均由</w:t>
      </w:r>
      <w:r>
        <w:rPr>
          <w:rFonts w:hint="eastAsia" w:ascii="Tahoma" w:hAnsi="Tahoma" w:cs="Tahoma"/>
          <w:szCs w:val="21"/>
          <w:lang w:eastAsia="zh-CN"/>
        </w:rPr>
        <w:t>供应商</w:t>
      </w:r>
      <w:r>
        <w:rPr>
          <w:rFonts w:ascii="Tahoma" w:hAnsi="Tahoma" w:cs="Tahoma"/>
          <w:szCs w:val="21"/>
        </w:rPr>
        <w:t>自理。</w:t>
      </w:r>
    </w:p>
    <w:p>
      <w:pPr>
        <w:spacing w:line="360" w:lineRule="auto"/>
        <w:rPr>
          <w:rFonts w:ascii="Tahoma" w:hAnsi="Tahoma" w:cs="Tahoma"/>
          <w:szCs w:val="21"/>
        </w:rPr>
      </w:pPr>
      <w:r>
        <w:rPr>
          <w:rFonts w:hint="eastAsia" w:ascii="Tahoma" w:hAnsi="Tahoma" w:cs="Tahoma"/>
          <w:szCs w:val="21"/>
        </w:rPr>
        <w:t>1.5.2 招标代理中标服务费由中标人承担，按照每包一万元一次性收取，即每标包每家单位3</w:t>
      </w:r>
      <w:r>
        <w:rPr>
          <w:rFonts w:ascii="Tahoma" w:hAnsi="Tahoma" w:cs="Tahoma"/>
          <w:szCs w:val="21"/>
        </w:rPr>
        <w:t>333</w:t>
      </w:r>
      <w:r>
        <w:rPr>
          <w:rFonts w:hint="eastAsia" w:ascii="Tahoma" w:hAnsi="Tahoma" w:cs="Tahoma"/>
          <w:szCs w:val="21"/>
        </w:rPr>
        <w:t>元。</w:t>
      </w:r>
    </w:p>
    <w:p>
      <w:pPr>
        <w:spacing w:line="360" w:lineRule="auto"/>
        <w:rPr>
          <w:rFonts w:ascii="Tahoma" w:hAnsi="Tahoma" w:cs="Tahoma"/>
          <w:b/>
          <w:bCs/>
          <w:szCs w:val="21"/>
        </w:rPr>
      </w:pPr>
      <w:bookmarkStart w:id="15" w:name="_Toc152042315"/>
      <w:bookmarkStart w:id="16" w:name="_Toc152045539"/>
      <w:bookmarkStart w:id="17" w:name="_Toc144974507"/>
      <w:bookmarkStart w:id="18" w:name="_Toc179632556"/>
      <w:r>
        <w:rPr>
          <w:rFonts w:ascii="Tahoma" w:hAnsi="Tahoma" w:cs="Tahoma"/>
          <w:b/>
          <w:bCs/>
          <w:szCs w:val="21"/>
        </w:rPr>
        <w:t>1.6 踏勘现场</w:t>
      </w:r>
      <w:bookmarkEnd w:id="15"/>
      <w:bookmarkEnd w:id="16"/>
      <w:bookmarkEnd w:id="17"/>
      <w:bookmarkEnd w:id="18"/>
      <w:r>
        <w:rPr>
          <w:rFonts w:ascii="Tahoma" w:hAnsi="Tahoma" w:cs="Tahoma"/>
          <w:b/>
          <w:bCs/>
          <w:szCs w:val="21"/>
        </w:rPr>
        <w:t>投标前答疑会</w:t>
      </w:r>
    </w:p>
    <w:p>
      <w:pPr>
        <w:spacing w:line="360" w:lineRule="auto"/>
        <w:rPr>
          <w:rFonts w:ascii="Tahoma" w:hAnsi="Tahoma" w:cs="Tahoma"/>
          <w:bCs/>
          <w:szCs w:val="21"/>
        </w:rPr>
      </w:pPr>
      <w:r>
        <w:rPr>
          <w:rFonts w:ascii="Tahoma" w:hAnsi="Tahoma" w:cs="Tahoma"/>
          <w:bCs/>
          <w:szCs w:val="21"/>
        </w:rPr>
        <w:t>1.6.1采购人、采购代理机构可以视采购项目的具体情况，组织供应商进行现场考察或召开投标前答疑会，但不得单独或分别组织只有一个供应商参加的现场考察和答疑会。</w:t>
      </w:r>
    </w:p>
    <w:p>
      <w:pPr>
        <w:spacing w:line="360" w:lineRule="auto"/>
        <w:rPr>
          <w:rFonts w:ascii="Tahoma" w:hAnsi="Tahoma" w:cs="Tahoma"/>
          <w:bCs/>
          <w:szCs w:val="21"/>
        </w:rPr>
      </w:pPr>
      <w:r>
        <w:rPr>
          <w:rFonts w:ascii="Tahoma" w:hAnsi="Tahoma" w:cs="Tahoma"/>
          <w:bCs/>
          <w:szCs w:val="21"/>
        </w:rPr>
        <w:t>1.6.2</w:t>
      </w:r>
      <w:r>
        <w:rPr>
          <w:rFonts w:hint="eastAsia" w:ascii="Tahoma" w:hAnsi="Tahoma" w:cs="Tahoma"/>
          <w:bCs/>
          <w:szCs w:val="21"/>
          <w:lang w:eastAsia="zh-CN"/>
        </w:rPr>
        <w:t>供应商</w:t>
      </w:r>
      <w:r>
        <w:rPr>
          <w:rFonts w:ascii="Tahoma" w:hAnsi="Tahoma" w:cs="Tahoma"/>
          <w:bCs/>
          <w:szCs w:val="21"/>
        </w:rPr>
        <w:t>须知前附表规定组织踏勘现场的，采购人应按</w:t>
      </w:r>
      <w:r>
        <w:rPr>
          <w:rFonts w:hint="eastAsia" w:ascii="Tahoma" w:hAnsi="Tahoma" w:cs="Tahoma"/>
          <w:bCs/>
          <w:szCs w:val="21"/>
          <w:lang w:eastAsia="zh-CN"/>
        </w:rPr>
        <w:t>供应商</w:t>
      </w:r>
      <w:r>
        <w:rPr>
          <w:rFonts w:ascii="Tahoma" w:hAnsi="Tahoma" w:cs="Tahoma"/>
          <w:bCs/>
          <w:szCs w:val="21"/>
        </w:rPr>
        <w:t xml:space="preserve">须知前附表规定的时间、地点组织供应商踏勘项目现场。 </w:t>
      </w:r>
    </w:p>
    <w:p>
      <w:pPr>
        <w:spacing w:line="360" w:lineRule="auto"/>
        <w:rPr>
          <w:rFonts w:ascii="Tahoma" w:hAnsi="Tahoma" w:cs="Tahoma"/>
          <w:bCs/>
          <w:szCs w:val="21"/>
        </w:rPr>
      </w:pPr>
      <w:r>
        <w:rPr>
          <w:rFonts w:ascii="Tahoma" w:hAnsi="Tahoma" w:cs="Tahoma"/>
          <w:bCs/>
          <w:szCs w:val="21"/>
        </w:rPr>
        <w:t>1.6.3 供应商踏勘现场所发生的一切费用自理。</w:t>
      </w:r>
    </w:p>
    <w:p>
      <w:pPr>
        <w:spacing w:line="360" w:lineRule="auto"/>
        <w:rPr>
          <w:rFonts w:ascii="Tahoma" w:hAnsi="Tahoma" w:cs="Tahoma"/>
          <w:bCs/>
          <w:szCs w:val="21"/>
        </w:rPr>
      </w:pPr>
      <w:r>
        <w:rPr>
          <w:rFonts w:ascii="Tahoma" w:hAnsi="Tahoma" w:cs="Tahoma"/>
          <w:bCs/>
          <w:szCs w:val="21"/>
        </w:rPr>
        <w:t>1.6.4 除采购人的原因外，供应商自行负责在踏勘现场中所发生的人员伤亡和财产损失。</w:t>
      </w:r>
    </w:p>
    <w:p>
      <w:pPr>
        <w:spacing w:line="360" w:lineRule="auto"/>
        <w:rPr>
          <w:rFonts w:ascii="Tahoma" w:hAnsi="Tahoma" w:cs="Tahoma"/>
          <w:bCs/>
          <w:szCs w:val="21"/>
        </w:rPr>
      </w:pPr>
      <w:r>
        <w:rPr>
          <w:rFonts w:ascii="Tahoma" w:hAnsi="Tahoma" w:cs="Tahoma"/>
          <w:bCs/>
          <w:szCs w:val="21"/>
        </w:rPr>
        <w:t>1.6.5采购人在踏勘现场中介绍的项目情况，仅供供应商在编制</w:t>
      </w:r>
      <w:r>
        <w:rPr>
          <w:rFonts w:hint="eastAsia" w:ascii="Tahoma" w:hAnsi="Tahoma" w:cs="Tahoma"/>
          <w:bCs/>
          <w:szCs w:val="21"/>
          <w:lang w:eastAsia="zh-CN"/>
        </w:rPr>
        <w:t>响应文件</w:t>
      </w:r>
      <w:r>
        <w:rPr>
          <w:rFonts w:ascii="Tahoma" w:hAnsi="Tahoma" w:cs="Tahoma"/>
          <w:bCs/>
          <w:szCs w:val="21"/>
        </w:rPr>
        <w:t>时参考，采购人不对供应商据此作出的判断和决策负责。</w:t>
      </w:r>
    </w:p>
    <w:p>
      <w:pPr>
        <w:spacing w:line="360" w:lineRule="auto"/>
        <w:rPr>
          <w:rFonts w:ascii="Tahoma" w:hAnsi="Tahoma" w:cs="Tahoma"/>
          <w:bCs/>
          <w:szCs w:val="21"/>
        </w:rPr>
      </w:pPr>
      <w:r>
        <w:rPr>
          <w:rFonts w:ascii="Tahoma" w:hAnsi="Tahoma" w:cs="Tahoma"/>
          <w:bCs/>
          <w:szCs w:val="21"/>
        </w:rPr>
        <w:t xml:space="preserve">1.6.6 </w:t>
      </w:r>
      <w:r>
        <w:rPr>
          <w:rFonts w:hint="eastAsia" w:ascii="Tahoma" w:hAnsi="Tahoma" w:cs="Tahoma"/>
          <w:bCs/>
          <w:szCs w:val="21"/>
          <w:lang w:eastAsia="zh-CN"/>
        </w:rPr>
        <w:t>供应商</w:t>
      </w:r>
      <w:r>
        <w:rPr>
          <w:rFonts w:ascii="Tahoma" w:hAnsi="Tahoma" w:cs="Tahoma"/>
          <w:bCs/>
          <w:szCs w:val="21"/>
        </w:rPr>
        <w:t>须知前附表规定召开投标前答疑会的，采购人按</w:t>
      </w:r>
      <w:r>
        <w:rPr>
          <w:rFonts w:hint="eastAsia" w:ascii="Tahoma" w:hAnsi="Tahoma" w:cs="Tahoma"/>
          <w:bCs/>
          <w:szCs w:val="21"/>
          <w:lang w:eastAsia="zh-CN"/>
        </w:rPr>
        <w:t>供应商</w:t>
      </w:r>
      <w:r>
        <w:rPr>
          <w:rFonts w:ascii="Tahoma" w:hAnsi="Tahoma" w:cs="Tahoma"/>
          <w:bCs/>
          <w:szCs w:val="21"/>
        </w:rPr>
        <w:t>须知前附表规定的时间和地点召开投标前答疑会，澄清供应商提出的问题。</w:t>
      </w:r>
    </w:p>
    <w:p>
      <w:pPr>
        <w:spacing w:line="360" w:lineRule="auto"/>
        <w:rPr>
          <w:rFonts w:ascii="Tahoma" w:hAnsi="Tahoma" w:cs="Tahoma"/>
          <w:bCs/>
          <w:szCs w:val="21"/>
        </w:rPr>
      </w:pPr>
      <w:r>
        <w:rPr>
          <w:rFonts w:ascii="Tahoma" w:hAnsi="Tahoma" w:cs="Tahoma"/>
          <w:bCs/>
          <w:szCs w:val="21"/>
        </w:rPr>
        <w:t>1.6.7本采购项目采购人（采购代理机构）不组织供应商进行现场考察或召开投标前答疑会。供应商应在投标须知前附表规定的时间前，以书面形式将提出的问题送达采购人，采购人或采购代理机构在</w:t>
      </w:r>
      <w:r>
        <w:rPr>
          <w:rFonts w:hint="eastAsia" w:ascii="Tahoma" w:hAnsi="Tahoma" w:cs="Tahoma"/>
          <w:bCs/>
          <w:szCs w:val="21"/>
          <w:lang w:eastAsia="zh-CN"/>
        </w:rPr>
        <w:t>供应商</w:t>
      </w:r>
      <w:r>
        <w:rPr>
          <w:rFonts w:ascii="Tahoma" w:hAnsi="Tahoma" w:cs="Tahoma"/>
          <w:bCs/>
          <w:szCs w:val="21"/>
        </w:rPr>
        <w:t>须知前附表规定的时间内，将对供应商所提问题的进行澄清，以书面方式在规定的发布渠道通知所有获取</w:t>
      </w:r>
      <w:r>
        <w:rPr>
          <w:rFonts w:hint="eastAsia" w:ascii="Tahoma" w:hAnsi="Tahoma" w:cs="Tahoma"/>
          <w:bCs/>
          <w:szCs w:val="21"/>
          <w:lang w:eastAsia="zh-CN"/>
        </w:rPr>
        <w:t>响应文件</w:t>
      </w:r>
      <w:r>
        <w:rPr>
          <w:rFonts w:ascii="Tahoma" w:hAnsi="Tahoma" w:cs="Tahoma"/>
          <w:bCs/>
          <w:szCs w:val="21"/>
        </w:rPr>
        <w:t>的供应商。该澄清内容为招标文件的组成部分。</w:t>
      </w:r>
    </w:p>
    <w:p>
      <w:pPr>
        <w:rPr>
          <w:rFonts w:ascii="Tahoma" w:hAnsi="Tahoma" w:cs="Tahoma"/>
          <w:b/>
          <w:bCs/>
          <w:szCs w:val="21"/>
        </w:rPr>
      </w:pPr>
      <w:r>
        <w:rPr>
          <w:rFonts w:ascii="Tahoma" w:hAnsi="Tahoma" w:cs="Tahoma"/>
          <w:b/>
          <w:bCs/>
          <w:szCs w:val="21"/>
        </w:rPr>
        <w:br w:type="page"/>
      </w:r>
    </w:p>
    <w:p>
      <w:pPr>
        <w:spacing w:line="360" w:lineRule="auto"/>
        <w:jc w:val="center"/>
        <w:rPr>
          <w:rFonts w:ascii="Tahoma" w:hAnsi="Tahoma" w:cs="Tahoma"/>
          <w:b/>
          <w:bCs/>
          <w:szCs w:val="21"/>
        </w:rPr>
      </w:pPr>
      <w:r>
        <w:rPr>
          <w:rFonts w:ascii="Tahoma" w:hAnsi="Tahoma" w:cs="Tahoma"/>
          <w:b/>
          <w:bCs/>
          <w:szCs w:val="21"/>
        </w:rPr>
        <w:t>2、招标文件</w:t>
      </w:r>
    </w:p>
    <w:p>
      <w:pPr>
        <w:spacing w:line="360" w:lineRule="auto"/>
        <w:rPr>
          <w:rFonts w:ascii="Tahoma" w:hAnsi="Tahoma" w:cs="Tahoma"/>
          <w:szCs w:val="21"/>
        </w:rPr>
      </w:pPr>
      <w:r>
        <w:rPr>
          <w:rFonts w:ascii="Tahoma" w:hAnsi="Tahoma" w:cs="Tahoma"/>
          <w:b/>
          <w:bCs/>
          <w:szCs w:val="21"/>
        </w:rPr>
        <w:t>2.1. 招标文件的组成</w:t>
      </w:r>
    </w:p>
    <w:p>
      <w:pPr>
        <w:spacing w:line="360" w:lineRule="auto"/>
        <w:rPr>
          <w:rFonts w:ascii="Tahoma" w:hAnsi="Tahoma" w:cs="Tahoma"/>
          <w:szCs w:val="21"/>
        </w:rPr>
      </w:pPr>
      <w:r>
        <w:rPr>
          <w:rFonts w:ascii="Tahoma" w:hAnsi="Tahoma" w:cs="Tahoma"/>
          <w:szCs w:val="21"/>
        </w:rPr>
        <w:t>2.1.1招标文件用以阐明所需货物及服务招标程序和合同主要条款。招标文件由下述部分组成：</w:t>
      </w:r>
    </w:p>
    <w:p>
      <w:pPr>
        <w:spacing w:line="360" w:lineRule="auto"/>
        <w:ind w:left="182" w:leftChars="76" w:firstLine="240" w:firstLineChars="100"/>
        <w:rPr>
          <w:rFonts w:ascii="Tahoma" w:hAnsi="Tahoma" w:cs="Tahoma"/>
          <w:szCs w:val="21"/>
        </w:rPr>
      </w:pPr>
      <w:r>
        <w:rPr>
          <w:rFonts w:ascii="Tahoma" w:hAnsi="Tahoma" w:cs="Tahoma"/>
          <w:szCs w:val="21"/>
        </w:rPr>
        <w:t>（一）招标公告；</w:t>
      </w:r>
    </w:p>
    <w:p>
      <w:pPr>
        <w:spacing w:line="360" w:lineRule="auto"/>
        <w:ind w:left="160"/>
        <w:rPr>
          <w:rFonts w:ascii="Tahoma" w:hAnsi="Tahoma" w:cs="Tahoma"/>
          <w:szCs w:val="21"/>
        </w:rPr>
      </w:pPr>
      <w:r>
        <w:rPr>
          <w:rFonts w:ascii="Tahoma" w:hAnsi="Tahoma" w:cs="Tahoma"/>
          <w:szCs w:val="21"/>
        </w:rPr>
        <w:t>　（二）</w:t>
      </w:r>
      <w:r>
        <w:rPr>
          <w:rFonts w:hint="eastAsia" w:ascii="Tahoma" w:hAnsi="Tahoma" w:cs="Tahoma"/>
          <w:szCs w:val="21"/>
          <w:lang w:eastAsia="zh-CN"/>
        </w:rPr>
        <w:t>供应商</w:t>
      </w:r>
      <w:r>
        <w:rPr>
          <w:rFonts w:ascii="Tahoma" w:hAnsi="Tahoma" w:cs="Tahoma"/>
          <w:szCs w:val="21"/>
        </w:rPr>
        <w:t>须知（包括</w:t>
      </w:r>
      <w:r>
        <w:rPr>
          <w:rFonts w:hint="eastAsia" w:ascii="Tahoma" w:hAnsi="Tahoma" w:cs="Tahoma"/>
          <w:szCs w:val="21"/>
          <w:lang w:eastAsia="zh-CN"/>
        </w:rPr>
        <w:t>响应文件</w:t>
      </w:r>
      <w:r>
        <w:rPr>
          <w:rFonts w:ascii="Tahoma" w:hAnsi="Tahoma" w:cs="Tahoma"/>
          <w:szCs w:val="21"/>
        </w:rPr>
        <w:t>的密封、签署、盖章要求等）；</w:t>
      </w:r>
    </w:p>
    <w:p>
      <w:pPr>
        <w:spacing w:line="360" w:lineRule="auto"/>
        <w:ind w:left="160"/>
        <w:rPr>
          <w:rFonts w:ascii="Tahoma" w:hAnsi="Tahoma" w:cs="Tahoma"/>
          <w:szCs w:val="21"/>
        </w:rPr>
      </w:pPr>
      <w:r>
        <w:rPr>
          <w:rFonts w:ascii="Tahoma" w:hAnsi="Tahoma" w:cs="Tahoma"/>
          <w:szCs w:val="21"/>
        </w:rPr>
        <w:t>　（三）</w:t>
      </w:r>
      <w:r>
        <w:rPr>
          <w:rFonts w:hint="eastAsia" w:ascii="Tahoma" w:hAnsi="Tahoma" w:cs="Tahoma"/>
          <w:szCs w:val="21"/>
          <w:lang w:eastAsia="zh-CN"/>
        </w:rPr>
        <w:t>供应商</w:t>
      </w:r>
      <w:r>
        <w:rPr>
          <w:rFonts w:ascii="Tahoma" w:hAnsi="Tahoma" w:cs="Tahoma"/>
          <w:szCs w:val="21"/>
        </w:rPr>
        <w:t>应当提交的资格、资信证明文件；</w:t>
      </w:r>
    </w:p>
    <w:p>
      <w:pPr>
        <w:spacing w:line="360" w:lineRule="auto"/>
        <w:ind w:left="160"/>
        <w:rPr>
          <w:rFonts w:ascii="Tahoma" w:hAnsi="Tahoma" w:cs="Tahoma"/>
          <w:szCs w:val="21"/>
        </w:rPr>
      </w:pPr>
      <w:r>
        <w:rPr>
          <w:rFonts w:ascii="Tahoma" w:hAnsi="Tahoma" w:cs="Tahoma"/>
          <w:szCs w:val="21"/>
        </w:rPr>
        <w:t>　（四）为落实政府采购政策，采购标的需满足的要求，以及</w:t>
      </w:r>
      <w:r>
        <w:rPr>
          <w:rFonts w:hint="eastAsia" w:ascii="Tahoma" w:hAnsi="Tahoma" w:cs="Tahoma"/>
          <w:szCs w:val="21"/>
          <w:lang w:eastAsia="zh-CN"/>
        </w:rPr>
        <w:t>供应商</w:t>
      </w:r>
      <w:r>
        <w:rPr>
          <w:rFonts w:ascii="Tahoma" w:hAnsi="Tahoma" w:cs="Tahoma"/>
          <w:szCs w:val="21"/>
        </w:rPr>
        <w:t>须提供的证明材料；</w:t>
      </w:r>
    </w:p>
    <w:p>
      <w:pPr>
        <w:spacing w:line="360" w:lineRule="auto"/>
        <w:ind w:left="160"/>
        <w:rPr>
          <w:rFonts w:ascii="Tahoma" w:hAnsi="Tahoma" w:cs="Tahoma"/>
          <w:szCs w:val="21"/>
        </w:rPr>
      </w:pPr>
      <w:r>
        <w:rPr>
          <w:rFonts w:ascii="Tahoma" w:hAnsi="Tahoma" w:cs="Tahoma"/>
          <w:szCs w:val="21"/>
        </w:rPr>
        <w:t>　（五）</w:t>
      </w:r>
      <w:r>
        <w:rPr>
          <w:rFonts w:hint="eastAsia" w:ascii="Tahoma" w:hAnsi="Tahoma" w:cs="Tahoma"/>
          <w:szCs w:val="21"/>
          <w:lang w:eastAsia="zh-CN"/>
        </w:rPr>
        <w:t>响应文件</w:t>
      </w:r>
      <w:r>
        <w:rPr>
          <w:rFonts w:ascii="Tahoma" w:hAnsi="Tahoma" w:cs="Tahoma"/>
          <w:szCs w:val="21"/>
        </w:rPr>
        <w:t>编制要求、投标报价要求和投标保证金交纳、退还方式以及不予退还投标保证金的情形；</w:t>
      </w:r>
    </w:p>
    <w:p>
      <w:pPr>
        <w:spacing w:line="360" w:lineRule="auto"/>
        <w:ind w:left="160"/>
        <w:rPr>
          <w:rFonts w:ascii="Tahoma" w:hAnsi="Tahoma" w:cs="Tahoma"/>
          <w:szCs w:val="21"/>
        </w:rPr>
      </w:pPr>
      <w:r>
        <w:rPr>
          <w:rFonts w:ascii="Tahoma" w:hAnsi="Tahoma" w:cs="Tahoma"/>
          <w:szCs w:val="21"/>
        </w:rPr>
        <w:t>　（六）采购项目预算金额，设定最高限价的，还应当公开最高限价；</w:t>
      </w:r>
    </w:p>
    <w:p>
      <w:pPr>
        <w:spacing w:line="360" w:lineRule="auto"/>
        <w:ind w:left="160"/>
        <w:rPr>
          <w:rFonts w:ascii="Tahoma" w:hAnsi="Tahoma" w:cs="Tahoma"/>
          <w:szCs w:val="21"/>
        </w:rPr>
      </w:pPr>
      <w:r>
        <w:rPr>
          <w:rFonts w:ascii="Tahoma" w:hAnsi="Tahoma" w:cs="Tahoma"/>
          <w:szCs w:val="21"/>
        </w:rPr>
        <w:t>　（七）采购项目的技术规格、数量、服务标准、验收等要求，包括附件、图纸等；</w:t>
      </w:r>
    </w:p>
    <w:p>
      <w:pPr>
        <w:spacing w:line="360" w:lineRule="auto"/>
        <w:ind w:left="160"/>
        <w:rPr>
          <w:rFonts w:ascii="Tahoma" w:hAnsi="Tahoma" w:cs="Tahoma"/>
          <w:szCs w:val="21"/>
        </w:rPr>
      </w:pPr>
      <w:r>
        <w:rPr>
          <w:rFonts w:ascii="Tahoma" w:hAnsi="Tahoma" w:cs="Tahoma"/>
          <w:szCs w:val="21"/>
        </w:rPr>
        <w:t>　（八）拟签订的合同文本；</w:t>
      </w:r>
    </w:p>
    <w:p>
      <w:pPr>
        <w:spacing w:line="360" w:lineRule="auto"/>
        <w:ind w:left="160"/>
        <w:rPr>
          <w:rFonts w:ascii="Tahoma" w:hAnsi="Tahoma" w:cs="Tahoma"/>
          <w:szCs w:val="21"/>
        </w:rPr>
      </w:pPr>
      <w:r>
        <w:rPr>
          <w:rFonts w:ascii="Tahoma" w:hAnsi="Tahoma" w:cs="Tahoma"/>
          <w:szCs w:val="21"/>
        </w:rPr>
        <w:t>　（九）货物、服务提供的时间、地点、方式；</w:t>
      </w:r>
    </w:p>
    <w:p>
      <w:pPr>
        <w:spacing w:line="360" w:lineRule="auto"/>
        <w:ind w:left="160"/>
        <w:rPr>
          <w:rFonts w:ascii="Tahoma" w:hAnsi="Tahoma" w:cs="Tahoma"/>
          <w:szCs w:val="21"/>
        </w:rPr>
      </w:pPr>
      <w:r>
        <w:rPr>
          <w:rFonts w:ascii="Tahoma" w:hAnsi="Tahoma" w:cs="Tahoma"/>
          <w:szCs w:val="21"/>
        </w:rPr>
        <w:t>　（十）采购资金的支付方式、时间、条件；</w:t>
      </w:r>
    </w:p>
    <w:p>
      <w:pPr>
        <w:spacing w:line="360" w:lineRule="auto"/>
        <w:ind w:left="160"/>
        <w:rPr>
          <w:rFonts w:ascii="Tahoma" w:hAnsi="Tahoma" w:cs="Tahoma"/>
          <w:szCs w:val="21"/>
        </w:rPr>
      </w:pPr>
      <w:r>
        <w:rPr>
          <w:rFonts w:ascii="Tahoma" w:hAnsi="Tahoma" w:cs="Tahoma"/>
          <w:szCs w:val="21"/>
        </w:rPr>
        <w:t>　（十一）评标方法、评标标准和投标无效情形；</w:t>
      </w:r>
    </w:p>
    <w:p>
      <w:pPr>
        <w:spacing w:line="360" w:lineRule="auto"/>
        <w:ind w:left="160"/>
        <w:rPr>
          <w:rFonts w:ascii="Tahoma" w:hAnsi="Tahoma" w:cs="Tahoma"/>
          <w:szCs w:val="21"/>
        </w:rPr>
      </w:pPr>
      <w:r>
        <w:rPr>
          <w:rFonts w:ascii="Tahoma" w:hAnsi="Tahoma" w:cs="Tahoma"/>
          <w:szCs w:val="21"/>
        </w:rPr>
        <w:t>　（十二）投标有效期；</w:t>
      </w:r>
    </w:p>
    <w:p>
      <w:pPr>
        <w:spacing w:line="360" w:lineRule="auto"/>
        <w:ind w:left="160"/>
        <w:rPr>
          <w:rFonts w:ascii="Tahoma" w:hAnsi="Tahoma" w:cs="Tahoma"/>
          <w:szCs w:val="21"/>
        </w:rPr>
      </w:pPr>
      <w:r>
        <w:rPr>
          <w:rFonts w:ascii="Tahoma" w:hAnsi="Tahoma" w:cs="Tahoma"/>
          <w:szCs w:val="21"/>
        </w:rPr>
        <w:t>　（十三）投标截止时间、开标时间及地点；</w:t>
      </w:r>
    </w:p>
    <w:p>
      <w:pPr>
        <w:spacing w:line="360" w:lineRule="auto"/>
        <w:ind w:left="160"/>
        <w:rPr>
          <w:rFonts w:ascii="Tahoma" w:hAnsi="Tahoma" w:cs="Tahoma"/>
          <w:szCs w:val="21"/>
        </w:rPr>
      </w:pPr>
      <w:r>
        <w:rPr>
          <w:rFonts w:ascii="Tahoma" w:hAnsi="Tahoma" w:cs="Tahoma"/>
          <w:szCs w:val="21"/>
        </w:rPr>
        <w:t>　（十四）采购代理机构代理费用的收取标准和方式；</w:t>
      </w:r>
    </w:p>
    <w:p>
      <w:pPr>
        <w:spacing w:line="360" w:lineRule="auto"/>
        <w:ind w:firstLine="360" w:firstLineChars="150"/>
        <w:rPr>
          <w:rFonts w:ascii="Tahoma" w:hAnsi="Tahoma" w:cs="Tahoma"/>
          <w:szCs w:val="21"/>
        </w:rPr>
      </w:pPr>
      <w:r>
        <w:rPr>
          <w:rFonts w:ascii="Tahoma" w:hAnsi="Tahoma" w:cs="Tahoma"/>
          <w:szCs w:val="21"/>
        </w:rPr>
        <w:t>（十五）</w:t>
      </w:r>
      <w:r>
        <w:rPr>
          <w:rFonts w:hint="eastAsia" w:ascii="Tahoma" w:hAnsi="Tahoma" w:cs="Tahoma"/>
          <w:szCs w:val="21"/>
          <w:lang w:eastAsia="zh-CN"/>
        </w:rPr>
        <w:t>供应商</w:t>
      </w:r>
      <w:r>
        <w:rPr>
          <w:rFonts w:ascii="Tahoma" w:hAnsi="Tahoma" w:cs="Tahoma"/>
          <w:szCs w:val="21"/>
        </w:rPr>
        <w:t>信用信息查询渠道及截止时点、信用信息查询记录和证据留存的具体方式、信用信息的使用规则等；</w:t>
      </w:r>
    </w:p>
    <w:p>
      <w:pPr>
        <w:spacing w:line="360" w:lineRule="auto"/>
        <w:ind w:firstLine="360" w:firstLineChars="150"/>
        <w:rPr>
          <w:rFonts w:ascii="Tahoma" w:hAnsi="Tahoma" w:cs="Tahoma"/>
          <w:szCs w:val="21"/>
        </w:rPr>
      </w:pPr>
      <w:r>
        <w:rPr>
          <w:rFonts w:ascii="Tahoma" w:hAnsi="Tahoma" w:cs="Tahoma"/>
          <w:szCs w:val="21"/>
        </w:rPr>
        <w:t>（十六）省级以上财政部门规定的其他事项；</w:t>
      </w:r>
    </w:p>
    <w:p>
      <w:pPr>
        <w:spacing w:line="360" w:lineRule="auto"/>
        <w:rPr>
          <w:rFonts w:ascii="Tahoma" w:hAnsi="Tahoma" w:cs="Tahoma"/>
          <w:szCs w:val="21"/>
        </w:rPr>
      </w:pPr>
      <w:r>
        <w:rPr>
          <w:rFonts w:ascii="Tahoma" w:hAnsi="Tahoma" w:cs="Tahoma"/>
          <w:szCs w:val="21"/>
        </w:rPr>
        <w:t>2.1.2除非有特殊要求，招标文件不单独提供招标货物使用地的自然环境、气候条件、公用设施等情况，</w:t>
      </w:r>
      <w:r>
        <w:rPr>
          <w:rFonts w:hint="eastAsia" w:ascii="Tahoma" w:hAnsi="Tahoma" w:cs="Tahoma"/>
          <w:szCs w:val="21"/>
          <w:lang w:eastAsia="zh-CN"/>
        </w:rPr>
        <w:t>供应商</w:t>
      </w:r>
      <w:r>
        <w:rPr>
          <w:rFonts w:ascii="Tahoma" w:hAnsi="Tahoma" w:cs="Tahoma"/>
          <w:szCs w:val="21"/>
        </w:rPr>
        <w:t>被视为熟悉上述与履行合同有关的一切情况。</w:t>
      </w:r>
    </w:p>
    <w:p>
      <w:pPr>
        <w:spacing w:line="360" w:lineRule="auto"/>
        <w:rPr>
          <w:rFonts w:ascii="Tahoma" w:hAnsi="Tahoma" w:cs="Tahoma"/>
          <w:b/>
          <w:szCs w:val="21"/>
        </w:rPr>
      </w:pPr>
      <w:bookmarkStart w:id="19" w:name="_Toc179632562"/>
      <w:bookmarkStart w:id="20" w:name="_Toc144974512"/>
      <w:bookmarkStart w:id="21" w:name="_Toc152045544"/>
      <w:bookmarkStart w:id="22" w:name="_Toc152042320"/>
      <w:bookmarkStart w:id="23" w:name="_Toc430488851"/>
      <w:bookmarkStart w:id="24" w:name="_Toc430488644"/>
      <w:bookmarkStart w:id="25" w:name="_Toc430490612"/>
      <w:bookmarkStart w:id="26" w:name="_Toc430422413"/>
      <w:bookmarkStart w:id="27" w:name="_Toc430492126"/>
      <w:bookmarkStart w:id="28" w:name="_Toc415567497"/>
      <w:bookmarkStart w:id="29" w:name="_Toc430489119"/>
      <w:r>
        <w:rPr>
          <w:rFonts w:ascii="Tahoma" w:hAnsi="Tahoma" w:cs="Tahoma"/>
          <w:b/>
          <w:szCs w:val="21"/>
        </w:rPr>
        <w:t>2.2 招标文件的澄清</w:t>
      </w:r>
      <w:bookmarkEnd w:id="19"/>
      <w:bookmarkEnd w:id="20"/>
      <w:bookmarkEnd w:id="21"/>
      <w:bookmarkEnd w:id="22"/>
    </w:p>
    <w:p>
      <w:pPr>
        <w:spacing w:line="360" w:lineRule="auto"/>
        <w:rPr>
          <w:rFonts w:ascii="Tahoma" w:hAnsi="Tahoma" w:cs="Tahoma"/>
          <w:szCs w:val="21"/>
        </w:rPr>
      </w:pPr>
      <w:r>
        <w:rPr>
          <w:rFonts w:ascii="Tahoma" w:hAnsi="Tahoma" w:cs="Tahoma"/>
          <w:szCs w:val="21"/>
        </w:rPr>
        <w:t>2.2.1采购人或者采购代理机构可以对已发出的招标文件、投标邀请书进行必要的澄清或者修改，但不得改变采购标的和资格条件。澄清或者修改应当在原公告发布媒体上发布澄清公告。</w:t>
      </w:r>
    </w:p>
    <w:p>
      <w:pPr>
        <w:spacing w:line="360" w:lineRule="auto"/>
        <w:rPr>
          <w:rFonts w:ascii="Tahoma" w:hAnsi="Tahoma" w:cs="Tahoma"/>
          <w:szCs w:val="21"/>
        </w:rPr>
      </w:pPr>
      <w:r>
        <w:rPr>
          <w:rFonts w:ascii="Tahoma" w:hAnsi="Tahoma" w:cs="Tahoma"/>
          <w:szCs w:val="21"/>
        </w:rPr>
        <w:t>2.2.2</w:t>
      </w:r>
      <w:r>
        <w:rPr>
          <w:rFonts w:hint="eastAsia" w:ascii="Tahoma" w:hAnsi="Tahoma" w:cs="Tahoma"/>
          <w:szCs w:val="21"/>
          <w:lang w:eastAsia="zh-CN"/>
        </w:rPr>
        <w:t>供应商</w:t>
      </w:r>
      <w:r>
        <w:rPr>
          <w:rFonts w:ascii="Tahoma" w:hAnsi="Tahoma" w:cs="Tahoma"/>
          <w:szCs w:val="21"/>
        </w:rPr>
        <w:t>应仔细阅读和检查招标文件的全部内容。如发现缺页或附件不全，应及时向</w:t>
      </w:r>
      <w:r>
        <w:rPr>
          <w:rFonts w:hint="eastAsia" w:ascii="Tahoma" w:hAnsi="Tahoma" w:cs="Tahoma"/>
          <w:szCs w:val="21"/>
          <w:lang w:eastAsia="zh-CN"/>
        </w:rPr>
        <w:t>采购人</w:t>
      </w:r>
      <w:r>
        <w:rPr>
          <w:rFonts w:ascii="Tahoma" w:hAnsi="Tahoma" w:cs="Tahoma"/>
          <w:szCs w:val="21"/>
        </w:rPr>
        <w:t>提出，以便补齐。如有疑问，应在</w:t>
      </w:r>
      <w:r>
        <w:rPr>
          <w:rFonts w:hint="eastAsia" w:ascii="Tahoma" w:hAnsi="Tahoma" w:cs="Tahoma"/>
          <w:szCs w:val="21"/>
          <w:lang w:eastAsia="zh-CN"/>
        </w:rPr>
        <w:t>供应商</w:t>
      </w:r>
      <w:r>
        <w:rPr>
          <w:rFonts w:ascii="Tahoma" w:hAnsi="Tahoma" w:cs="Tahoma"/>
          <w:szCs w:val="21"/>
        </w:rPr>
        <w:t>须知前附表规定的时间前以书面形式（包括信函、电报、传真等可以有形地表现所载内容的形式，下同），要求</w:t>
      </w:r>
      <w:r>
        <w:rPr>
          <w:rFonts w:hint="eastAsia" w:ascii="Tahoma" w:hAnsi="Tahoma" w:cs="Tahoma"/>
          <w:szCs w:val="21"/>
          <w:lang w:eastAsia="zh-CN"/>
        </w:rPr>
        <w:t>采购人</w:t>
      </w:r>
      <w:r>
        <w:rPr>
          <w:rFonts w:ascii="Tahoma" w:hAnsi="Tahoma" w:cs="Tahoma"/>
          <w:szCs w:val="21"/>
        </w:rPr>
        <w:t>对招标文件予以澄清。</w:t>
      </w:r>
      <w:r>
        <w:rPr>
          <w:rFonts w:hint="eastAsia" w:ascii="Tahoma" w:hAnsi="Tahoma" w:cs="Tahoma"/>
          <w:szCs w:val="21"/>
          <w:lang w:eastAsia="zh-CN"/>
        </w:rPr>
        <w:t>采购人</w:t>
      </w:r>
      <w:r>
        <w:rPr>
          <w:rFonts w:ascii="Tahoma" w:hAnsi="Tahoma" w:cs="Tahoma"/>
          <w:szCs w:val="21"/>
        </w:rPr>
        <w:t>将视情况将不标明澄清问题查询来源的书面答复发给所有</w:t>
      </w:r>
      <w:r>
        <w:rPr>
          <w:rFonts w:hint="eastAsia" w:ascii="Tahoma" w:hAnsi="Tahoma" w:cs="Tahoma"/>
          <w:szCs w:val="21"/>
          <w:lang w:eastAsia="zh-CN"/>
        </w:rPr>
        <w:t>供应商</w:t>
      </w:r>
      <w:r>
        <w:rPr>
          <w:rFonts w:ascii="Tahoma" w:hAnsi="Tahoma" w:cs="Tahoma"/>
          <w:szCs w:val="21"/>
        </w:rPr>
        <w:t>，该澄清内容为招标文件的组成部分。</w:t>
      </w:r>
    </w:p>
    <w:p>
      <w:pPr>
        <w:spacing w:line="360" w:lineRule="auto"/>
        <w:rPr>
          <w:rFonts w:ascii="Tahoma" w:hAnsi="Tahoma" w:cs="Tahoma"/>
          <w:szCs w:val="21"/>
        </w:rPr>
      </w:pPr>
      <w:r>
        <w:rPr>
          <w:rFonts w:ascii="Tahoma" w:hAnsi="Tahoma" w:cs="Tahoma"/>
          <w:szCs w:val="21"/>
        </w:rPr>
        <w:t>2.2.3招标文件的澄清将在</w:t>
      </w:r>
      <w:r>
        <w:rPr>
          <w:rFonts w:hint="eastAsia" w:ascii="Tahoma" w:hAnsi="Tahoma" w:cs="Tahoma"/>
          <w:szCs w:val="21"/>
          <w:lang w:eastAsia="zh-CN"/>
        </w:rPr>
        <w:t>供应商</w:t>
      </w:r>
      <w:r>
        <w:rPr>
          <w:rFonts w:ascii="Tahoma" w:hAnsi="Tahoma" w:cs="Tahoma"/>
          <w:szCs w:val="21"/>
        </w:rPr>
        <w:t>须知前附表规定的投标截止时间15天前以书面形式发给所有购买招标文件的</w:t>
      </w:r>
      <w:r>
        <w:rPr>
          <w:rFonts w:hint="eastAsia" w:ascii="Tahoma" w:hAnsi="Tahoma" w:cs="Tahoma"/>
          <w:szCs w:val="21"/>
          <w:lang w:eastAsia="zh-CN"/>
        </w:rPr>
        <w:t>供应商</w:t>
      </w:r>
      <w:r>
        <w:rPr>
          <w:rFonts w:ascii="Tahoma" w:hAnsi="Tahoma" w:cs="Tahoma"/>
          <w:szCs w:val="21"/>
        </w:rPr>
        <w:t>，</w:t>
      </w:r>
      <w:r>
        <w:rPr>
          <w:rFonts w:hint="eastAsia" w:ascii="Tahoma" w:hAnsi="Tahoma" w:cs="Tahoma"/>
          <w:szCs w:val="21"/>
          <w:lang w:eastAsia="zh-CN"/>
        </w:rPr>
        <w:t>采购人</w:t>
      </w:r>
      <w:r>
        <w:rPr>
          <w:rFonts w:ascii="Tahoma" w:hAnsi="Tahoma" w:cs="Tahoma"/>
          <w:szCs w:val="21"/>
        </w:rPr>
        <w:t>只对投标须知前附表中规定的截止时间以前收到的要求澄清的问题予以答复。如果澄清发出的时间因距投标截止时间不足15天，</w:t>
      </w:r>
      <w:r>
        <w:rPr>
          <w:rFonts w:hint="eastAsia" w:ascii="Tahoma" w:hAnsi="Tahoma" w:cs="Tahoma"/>
          <w:szCs w:val="21"/>
          <w:lang w:eastAsia="zh-CN"/>
        </w:rPr>
        <w:t>供应商</w:t>
      </w:r>
      <w:r>
        <w:rPr>
          <w:rFonts w:ascii="Tahoma" w:hAnsi="Tahoma" w:cs="Tahoma"/>
          <w:szCs w:val="21"/>
        </w:rPr>
        <w:t>认为该澄清影响到对</w:t>
      </w:r>
      <w:r>
        <w:rPr>
          <w:rFonts w:hint="eastAsia" w:ascii="Tahoma" w:hAnsi="Tahoma" w:cs="Tahoma"/>
          <w:szCs w:val="21"/>
          <w:lang w:eastAsia="zh-CN"/>
        </w:rPr>
        <w:t>响应文件</w:t>
      </w:r>
      <w:r>
        <w:rPr>
          <w:rFonts w:ascii="Tahoma" w:hAnsi="Tahoma" w:cs="Tahoma"/>
          <w:szCs w:val="21"/>
        </w:rPr>
        <w:t>的修编，造成在原投标截止时间前修编</w:t>
      </w:r>
      <w:r>
        <w:rPr>
          <w:rFonts w:hint="eastAsia" w:ascii="Tahoma" w:hAnsi="Tahoma" w:cs="Tahoma"/>
          <w:szCs w:val="21"/>
          <w:lang w:eastAsia="zh-CN"/>
        </w:rPr>
        <w:t>响应文件</w:t>
      </w:r>
      <w:r>
        <w:rPr>
          <w:rFonts w:ascii="Tahoma" w:hAnsi="Tahoma" w:cs="Tahoma"/>
          <w:szCs w:val="21"/>
        </w:rPr>
        <w:t>的时间不足，</w:t>
      </w:r>
      <w:r>
        <w:rPr>
          <w:rFonts w:hint="eastAsia" w:ascii="Tahoma" w:hAnsi="Tahoma" w:cs="Tahoma"/>
          <w:szCs w:val="21"/>
          <w:lang w:eastAsia="zh-CN"/>
        </w:rPr>
        <w:t>供应商</w:t>
      </w:r>
      <w:r>
        <w:rPr>
          <w:rFonts w:ascii="Tahoma" w:hAnsi="Tahoma" w:cs="Tahoma"/>
          <w:szCs w:val="21"/>
        </w:rPr>
        <w:t>应以书面形式通知</w:t>
      </w:r>
      <w:r>
        <w:rPr>
          <w:rFonts w:hint="eastAsia" w:ascii="Tahoma" w:hAnsi="Tahoma" w:cs="Tahoma"/>
          <w:szCs w:val="21"/>
          <w:lang w:eastAsia="zh-CN"/>
        </w:rPr>
        <w:t>采购人</w:t>
      </w:r>
      <w:r>
        <w:rPr>
          <w:rFonts w:ascii="Tahoma" w:hAnsi="Tahoma" w:cs="Tahoma"/>
          <w:szCs w:val="21"/>
        </w:rPr>
        <w:t>要求酌情延长投标截止时间，以保证</w:t>
      </w:r>
      <w:r>
        <w:rPr>
          <w:rFonts w:hint="eastAsia" w:ascii="Tahoma" w:hAnsi="Tahoma" w:cs="Tahoma"/>
          <w:szCs w:val="21"/>
          <w:lang w:eastAsia="zh-CN"/>
        </w:rPr>
        <w:t>供应商</w:t>
      </w:r>
      <w:r>
        <w:rPr>
          <w:rFonts w:ascii="Tahoma" w:hAnsi="Tahoma" w:cs="Tahoma"/>
          <w:szCs w:val="21"/>
        </w:rPr>
        <w:t>有合理的时间修编</w:t>
      </w:r>
      <w:r>
        <w:rPr>
          <w:rFonts w:hint="eastAsia" w:ascii="Tahoma" w:hAnsi="Tahoma" w:cs="Tahoma"/>
          <w:szCs w:val="21"/>
          <w:lang w:eastAsia="zh-CN"/>
        </w:rPr>
        <w:t>响应文件</w:t>
      </w:r>
      <w:r>
        <w:rPr>
          <w:rFonts w:ascii="Tahoma" w:hAnsi="Tahoma" w:cs="Tahoma"/>
          <w:szCs w:val="21"/>
        </w:rPr>
        <w:t>，</w:t>
      </w:r>
      <w:r>
        <w:rPr>
          <w:rFonts w:hint="eastAsia" w:ascii="Tahoma" w:hAnsi="Tahoma" w:cs="Tahoma"/>
          <w:szCs w:val="21"/>
          <w:lang w:eastAsia="zh-CN"/>
        </w:rPr>
        <w:t>采购人</w:t>
      </w:r>
      <w:r>
        <w:rPr>
          <w:rFonts w:ascii="Tahoma" w:hAnsi="Tahoma" w:cs="Tahoma"/>
          <w:szCs w:val="21"/>
        </w:rPr>
        <w:t>应按规定酌情延长投标截止时间。否则，</w:t>
      </w:r>
      <w:r>
        <w:rPr>
          <w:rFonts w:hint="eastAsia" w:ascii="Tahoma" w:hAnsi="Tahoma" w:cs="Tahoma"/>
          <w:szCs w:val="21"/>
          <w:lang w:eastAsia="zh-CN"/>
        </w:rPr>
        <w:t>采购人</w:t>
      </w:r>
      <w:r>
        <w:rPr>
          <w:rFonts w:ascii="Tahoma" w:hAnsi="Tahoma" w:cs="Tahoma"/>
          <w:szCs w:val="21"/>
        </w:rPr>
        <w:t>仍将按原投标截止时间执行。</w:t>
      </w:r>
    </w:p>
    <w:p>
      <w:pPr>
        <w:spacing w:line="360" w:lineRule="auto"/>
        <w:rPr>
          <w:rFonts w:ascii="Tahoma" w:hAnsi="Tahoma" w:cs="Tahoma"/>
          <w:szCs w:val="21"/>
        </w:rPr>
      </w:pPr>
      <w:r>
        <w:rPr>
          <w:rFonts w:ascii="Tahoma" w:hAnsi="Tahoma" w:cs="Tahoma"/>
          <w:szCs w:val="21"/>
        </w:rPr>
        <w:t xml:space="preserve">2.2.4 </w:t>
      </w:r>
      <w:r>
        <w:rPr>
          <w:rFonts w:hint="eastAsia" w:ascii="Tahoma" w:hAnsi="Tahoma" w:cs="Tahoma"/>
          <w:szCs w:val="21"/>
          <w:lang w:eastAsia="zh-CN"/>
        </w:rPr>
        <w:t>供应商</w:t>
      </w:r>
      <w:r>
        <w:rPr>
          <w:rFonts w:ascii="Tahoma" w:hAnsi="Tahoma" w:cs="Tahoma"/>
          <w:szCs w:val="21"/>
        </w:rPr>
        <w:t>在收到澄清后，应在</w:t>
      </w:r>
      <w:r>
        <w:rPr>
          <w:rFonts w:hint="eastAsia" w:ascii="Tahoma" w:hAnsi="Tahoma" w:cs="Tahoma"/>
          <w:szCs w:val="21"/>
          <w:lang w:eastAsia="zh-CN"/>
        </w:rPr>
        <w:t>供应商</w:t>
      </w:r>
      <w:r>
        <w:rPr>
          <w:rFonts w:ascii="Tahoma" w:hAnsi="Tahoma" w:cs="Tahoma"/>
          <w:szCs w:val="21"/>
        </w:rPr>
        <w:t>须知前附表规定的时间内以书面形式通知</w:t>
      </w:r>
      <w:r>
        <w:rPr>
          <w:rFonts w:hint="eastAsia" w:ascii="Tahoma" w:hAnsi="Tahoma" w:cs="Tahoma"/>
          <w:szCs w:val="21"/>
          <w:lang w:eastAsia="zh-CN"/>
        </w:rPr>
        <w:t>采购人</w:t>
      </w:r>
      <w:r>
        <w:rPr>
          <w:rFonts w:ascii="Tahoma" w:hAnsi="Tahoma" w:cs="Tahoma"/>
          <w:szCs w:val="21"/>
        </w:rPr>
        <w:t>，确认已收到该澄清。</w:t>
      </w:r>
    </w:p>
    <w:p>
      <w:pPr>
        <w:spacing w:line="360" w:lineRule="auto"/>
        <w:rPr>
          <w:rFonts w:ascii="Tahoma" w:hAnsi="Tahoma" w:cs="Tahoma"/>
          <w:szCs w:val="21"/>
        </w:rPr>
      </w:pPr>
      <w:r>
        <w:rPr>
          <w:rFonts w:ascii="Tahoma" w:hAnsi="Tahoma" w:cs="Tahoma"/>
          <w:szCs w:val="21"/>
        </w:rPr>
        <w:t>2.2.5 在投标截止时间15天前，</w:t>
      </w:r>
      <w:r>
        <w:rPr>
          <w:rFonts w:hint="eastAsia" w:ascii="Tahoma" w:hAnsi="Tahoma" w:cs="Tahoma"/>
          <w:szCs w:val="21"/>
          <w:lang w:eastAsia="zh-CN"/>
        </w:rPr>
        <w:t>采购人</w:t>
      </w:r>
      <w:r>
        <w:rPr>
          <w:rFonts w:ascii="Tahoma" w:hAnsi="Tahoma" w:cs="Tahoma"/>
          <w:szCs w:val="21"/>
        </w:rPr>
        <w:t>可以书面形式修改招标文件，并通知所有已购买招标文件的</w:t>
      </w:r>
      <w:r>
        <w:rPr>
          <w:rFonts w:hint="eastAsia" w:ascii="Tahoma" w:hAnsi="Tahoma" w:cs="Tahoma"/>
          <w:szCs w:val="21"/>
          <w:lang w:eastAsia="zh-CN"/>
        </w:rPr>
        <w:t>供应商</w:t>
      </w:r>
      <w:r>
        <w:rPr>
          <w:rFonts w:ascii="Tahoma" w:hAnsi="Tahoma" w:cs="Tahoma"/>
          <w:szCs w:val="21"/>
        </w:rPr>
        <w:t>，该修改内容为招标文件的组成部分。如果修改招标文件的时间距投标截止时间不足15天，</w:t>
      </w:r>
      <w:r>
        <w:rPr>
          <w:rFonts w:hint="eastAsia" w:ascii="Tahoma" w:hAnsi="Tahoma" w:cs="Tahoma"/>
          <w:szCs w:val="21"/>
          <w:lang w:eastAsia="zh-CN"/>
        </w:rPr>
        <w:t>供应商</w:t>
      </w:r>
      <w:r>
        <w:rPr>
          <w:rFonts w:ascii="Tahoma" w:hAnsi="Tahoma" w:cs="Tahoma"/>
          <w:szCs w:val="21"/>
        </w:rPr>
        <w:t>认为因招标文件的修改影响到对</w:t>
      </w:r>
      <w:r>
        <w:rPr>
          <w:rFonts w:hint="eastAsia" w:ascii="Tahoma" w:hAnsi="Tahoma" w:cs="Tahoma"/>
          <w:szCs w:val="21"/>
          <w:lang w:eastAsia="zh-CN"/>
        </w:rPr>
        <w:t>响应文件</w:t>
      </w:r>
      <w:r>
        <w:rPr>
          <w:rFonts w:ascii="Tahoma" w:hAnsi="Tahoma" w:cs="Tahoma"/>
          <w:szCs w:val="21"/>
        </w:rPr>
        <w:t>的修编，造成在原投标截止时间前修编</w:t>
      </w:r>
      <w:r>
        <w:rPr>
          <w:rFonts w:hint="eastAsia" w:ascii="Tahoma" w:hAnsi="Tahoma" w:cs="Tahoma"/>
          <w:szCs w:val="21"/>
          <w:lang w:eastAsia="zh-CN"/>
        </w:rPr>
        <w:t>响应文件</w:t>
      </w:r>
      <w:r>
        <w:rPr>
          <w:rFonts w:ascii="Tahoma" w:hAnsi="Tahoma" w:cs="Tahoma"/>
          <w:szCs w:val="21"/>
        </w:rPr>
        <w:t>的时间不足，</w:t>
      </w:r>
      <w:r>
        <w:rPr>
          <w:rFonts w:hint="eastAsia" w:ascii="Tahoma" w:hAnsi="Tahoma" w:cs="Tahoma"/>
          <w:szCs w:val="21"/>
          <w:lang w:eastAsia="zh-CN"/>
        </w:rPr>
        <w:t>供应商</w:t>
      </w:r>
      <w:r>
        <w:rPr>
          <w:rFonts w:ascii="Tahoma" w:hAnsi="Tahoma" w:cs="Tahoma"/>
          <w:szCs w:val="21"/>
        </w:rPr>
        <w:t>应以书面形式通知</w:t>
      </w:r>
      <w:r>
        <w:rPr>
          <w:rFonts w:hint="eastAsia" w:ascii="Tahoma" w:hAnsi="Tahoma" w:cs="Tahoma"/>
          <w:szCs w:val="21"/>
          <w:lang w:eastAsia="zh-CN"/>
        </w:rPr>
        <w:t>采购人</w:t>
      </w:r>
      <w:r>
        <w:rPr>
          <w:rFonts w:ascii="Tahoma" w:hAnsi="Tahoma" w:cs="Tahoma"/>
          <w:szCs w:val="21"/>
        </w:rPr>
        <w:t>要求酌情延长投标截止时间和开标时间（但应当至少在投标截止时间三个日历日前将变更时间以书面形式通知所有</w:t>
      </w:r>
      <w:r>
        <w:rPr>
          <w:rFonts w:hint="eastAsia" w:ascii="Tahoma" w:hAnsi="Tahoma" w:cs="Tahoma"/>
          <w:szCs w:val="21"/>
          <w:lang w:eastAsia="zh-CN"/>
        </w:rPr>
        <w:t>供应商</w:t>
      </w:r>
      <w:r>
        <w:rPr>
          <w:rFonts w:ascii="Tahoma" w:hAnsi="Tahoma" w:cs="Tahoma"/>
          <w:szCs w:val="21"/>
        </w:rPr>
        <w:t>），以保证</w:t>
      </w:r>
      <w:r>
        <w:rPr>
          <w:rFonts w:hint="eastAsia" w:ascii="Tahoma" w:hAnsi="Tahoma" w:cs="Tahoma"/>
          <w:szCs w:val="21"/>
          <w:lang w:eastAsia="zh-CN"/>
        </w:rPr>
        <w:t>供应商</w:t>
      </w:r>
      <w:r>
        <w:rPr>
          <w:rFonts w:ascii="Tahoma" w:hAnsi="Tahoma" w:cs="Tahoma"/>
          <w:szCs w:val="21"/>
        </w:rPr>
        <w:t>有合理的时间修编</w:t>
      </w:r>
      <w:r>
        <w:rPr>
          <w:rFonts w:hint="eastAsia" w:ascii="Tahoma" w:hAnsi="Tahoma" w:cs="Tahoma"/>
          <w:szCs w:val="21"/>
          <w:lang w:eastAsia="zh-CN"/>
        </w:rPr>
        <w:t>响应文件</w:t>
      </w:r>
      <w:r>
        <w:rPr>
          <w:rFonts w:ascii="Tahoma" w:hAnsi="Tahoma" w:cs="Tahoma"/>
          <w:szCs w:val="21"/>
        </w:rPr>
        <w:t>，</w:t>
      </w:r>
      <w:r>
        <w:rPr>
          <w:rFonts w:hint="eastAsia" w:ascii="Tahoma" w:hAnsi="Tahoma" w:cs="Tahoma"/>
          <w:szCs w:val="21"/>
          <w:lang w:eastAsia="zh-CN"/>
        </w:rPr>
        <w:t>采购人</w:t>
      </w:r>
      <w:r>
        <w:rPr>
          <w:rFonts w:ascii="Tahoma" w:hAnsi="Tahoma" w:cs="Tahoma"/>
          <w:szCs w:val="21"/>
        </w:rPr>
        <w:t>应按规定酌情延长投标截止时间。否则，</w:t>
      </w:r>
      <w:r>
        <w:rPr>
          <w:rFonts w:hint="eastAsia" w:ascii="Tahoma" w:hAnsi="Tahoma" w:cs="Tahoma"/>
          <w:szCs w:val="21"/>
          <w:lang w:eastAsia="zh-CN"/>
        </w:rPr>
        <w:t>采购人</w:t>
      </w:r>
      <w:r>
        <w:rPr>
          <w:rFonts w:ascii="Tahoma" w:hAnsi="Tahoma" w:cs="Tahoma"/>
          <w:szCs w:val="21"/>
        </w:rPr>
        <w:t>仍将按原投标截止时间执行。在此情况下，</w:t>
      </w:r>
      <w:r>
        <w:rPr>
          <w:rFonts w:hint="eastAsia" w:ascii="Tahoma" w:hAnsi="Tahoma" w:cs="Tahoma"/>
          <w:szCs w:val="21"/>
          <w:lang w:eastAsia="zh-CN"/>
        </w:rPr>
        <w:t>采购人</w:t>
      </w:r>
      <w:r>
        <w:rPr>
          <w:rFonts w:ascii="Tahoma" w:hAnsi="Tahoma" w:cs="Tahoma"/>
          <w:szCs w:val="21"/>
        </w:rPr>
        <w:t>和</w:t>
      </w:r>
      <w:r>
        <w:rPr>
          <w:rFonts w:hint="eastAsia" w:ascii="Tahoma" w:hAnsi="Tahoma" w:cs="Tahoma"/>
          <w:szCs w:val="21"/>
          <w:lang w:eastAsia="zh-CN"/>
        </w:rPr>
        <w:t>供应商</w:t>
      </w:r>
      <w:r>
        <w:rPr>
          <w:rFonts w:ascii="Tahoma" w:hAnsi="Tahoma" w:cs="Tahoma"/>
          <w:szCs w:val="21"/>
        </w:rPr>
        <w:t>受投标截止期制约的所有权利和义务均应延长至新的截止日期。</w:t>
      </w:r>
    </w:p>
    <w:p>
      <w:pPr>
        <w:spacing w:line="360" w:lineRule="auto"/>
        <w:rPr>
          <w:rFonts w:ascii="Tahoma" w:hAnsi="Tahoma" w:cs="Tahoma"/>
          <w:szCs w:val="21"/>
        </w:rPr>
      </w:pPr>
      <w:r>
        <w:rPr>
          <w:rFonts w:ascii="Tahoma" w:hAnsi="Tahoma" w:cs="Tahoma"/>
          <w:szCs w:val="21"/>
        </w:rPr>
        <w:t xml:space="preserve">2.2.6 </w:t>
      </w:r>
      <w:r>
        <w:rPr>
          <w:rFonts w:hint="eastAsia" w:ascii="Tahoma" w:hAnsi="Tahoma" w:cs="Tahoma"/>
          <w:szCs w:val="21"/>
          <w:lang w:eastAsia="zh-CN"/>
        </w:rPr>
        <w:t>供应商</w:t>
      </w:r>
      <w:r>
        <w:rPr>
          <w:rFonts w:ascii="Tahoma" w:hAnsi="Tahoma" w:cs="Tahoma"/>
          <w:szCs w:val="21"/>
        </w:rPr>
        <w:t>收到修改内容后，应在</w:t>
      </w:r>
      <w:r>
        <w:rPr>
          <w:rFonts w:hint="eastAsia" w:ascii="Tahoma" w:hAnsi="Tahoma" w:cs="Tahoma"/>
          <w:szCs w:val="21"/>
          <w:lang w:eastAsia="zh-CN"/>
        </w:rPr>
        <w:t>供应商</w:t>
      </w:r>
      <w:r>
        <w:rPr>
          <w:rFonts w:ascii="Tahoma" w:hAnsi="Tahoma" w:cs="Tahoma"/>
          <w:szCs w:val="21"/>
        </w:rPr>
        <w:t>须知前附表规定的时间内以书面形式通知</w:t>
      </w:r>
      <w:r>
        <w:rPr>
          <w:rFonts w:hint="eastAsia" w:ascii="Tahoma" w:hAnsi="Tahoma" w:cs="Tahoma"/>
          <w:szCs w:val="21"/>
          <w:lang w:eastAsia="zh-CN"/>
        </w:rPr>
        <w:t>采购人</w:t>
      </w:r>
      <w:r>
        <w:rPr>
          <w:rFonts w:ascii="Tahoma" w:hAnsi="Tahoma" w:cs="Tahoma"/>
          <w:szCs w:val="21"/>
        </w:rPr>
        <w:t>，确认已收到该修改。该修改内容为招标文件的组成部分。</w:t>
      </w:r>
    </w:p>
    <w:p>
      <w:pPr>
        <w:spacing w:line="360" w:lineRule="auto"/>
        <w:rPr>
          <w:rFonts w:ascii="Tahoma" w:hAnsi="Tahoma" w:cs="Tahoma"/>
          <w:szCs w:val="21"/>
        </w:rPr>
      </w:pPr>
      <w:r>
        <w:rPr>
          <w:rFonts w:ascii="Tahoma" w:hAnsi="Tahoma" w:cs="Tahoma"/>
          <w:szCs w:val="21"/>
        </w:rPr>
        <w:t>2.2.7采购人在投标须知前附表中标明了澄清、补充或修改招标文件发布的渠道，供应商应自行留意采购人发出的澄清、修改或补充以及与之有关的文本文件，并及时按采购人在投标须知前附表中标明澄清、补充或修改通知发布的渠道获取相应的文本文件，无须回签确认收到的函。供应商未按规定时间在发布渠道的网站下载澄清、补充或修改招标文件（包括开标时间、地点的变更等）通知的，视同已收到。</w:t>
      </w:r>
    </w:p>
    <w:bookmarkEnd w:id="23"/>
    <w:bookmarkEnd w:id="24"/>
    <w:bookmarkEnd w:id="25"/>
    <w:bookmarkEnd w:id="26"/>
    <w:bookmarkEnd w:id="27"/>
    <w:bookmarkEnd w:id="28"/>
    <w:bookmarkEnd w:id="29"/>
    <w:p>
      <w:pPr>
        <w:spacing w:line="360" w:lineRule="auto"/>
        <w:jc w:val="center"/>
        <w:rPr>
          <w:rFonts w:hint="eastAsia" w:ascii="Tahoma" w:hAnsi="Tahoma" w:eastAsia="宋体" w:cs="Tahoma"/>
          <w:szCs w:val="21"/>
          <w:lang w:eastAsia="zh-CN"/>
        </w:rPr>
      </w:pPr>
      <w:r>
        <w:rPr>
          <w:rFonts w:ascii="Tahoma" w:hAnsi="Tahoma" w:cs="Tahoma"/>
          <w:b/>
          <w:bCs/>
          <w:szCs w:val="21"/>
        </w:rPr>
        <w:t>3、</w:t>
      </w:r>
      <w:r>
        <w:rPr>
          <w:rFonts w:hint="eastAsia" w:ascii="Tahoma" w:hAnsi="Tahoma" w:cs="Tahoma"/>
          <w:b/>
          <w:bCs/>
          <w:szCs w:val="21"/>
          <w:lang w:eastAsia="zh-CN"/>
        </w:rPr>
        <w:t>响应文件</w:t>
      </w:r>
    </w:p>
    <w:p>
      <w:pPr>
        <w:spacing w:line="360" w:lineRule="auto"/>
        <w:rPr>
          <w:rFonts w:ascii="Tahoma" w:hAnsi="Tahoma" w:cs="Tahoma"/>
          <w:szCs w:val="21"/>
        </w:rPr>
      </w:pPr>
      <w:r>
        <w:rPr>
          <w:rFonts w:ascii="Tahoma" w:hAnsi="Tahoma" w:cs="Tahoma"/>
          <w:b/>
          <w:bCs/>
          <w:szCs w:val="21"/>
        </w:rPr>
        <w:t xml:space="preserve">3.1. </w:t>
      </w:r>
      <w:r>
        <w:rPr>
          <w:rFonts w:hint="eastAsia" w:ascii="Tahoma" w:hAnsi="Tahoma" w:cs="Tahoma"/>
          <w:b/>
          <w:bCs/>
          <w:szCs w:val="21"/>
          <w:lang w:eastAsia="zh-CN"/>
        </w:rPr>
        <w:t>响应文件</w:t>
      </w:r>
      <w:r>
        <w:rPr>
          <w:rFonts w:ascii="Tahoma" w:hAnsi="Tahoma" w:cs="Tahoma"/>
          <w:b/>
          <w:bCs/>
          <w:szCs w:val="21"/>
        </w:rPr>
        <w:t>的组成</w:t>
      </w:r>
    </w:p>
    <w:p>
      <w:pPr>
        <w:shd w:val="clear" w:color="auto" w:fill="FFFFFF"/>
        <w:snapToGrid w:val="0"/>
        <w:spacing w:line="360" w:lineRule="auto"/>
        <w:rPr>
          <w:rFonts w:ascii="Tahoma" w:hAnsi="Tahoma" w:cs="Tahoma"/>
          <w:szCs w:val="21"/>
        </w:rPr>
      </w:pPr>
      <w:r>
        <w:rPr>
          <w:rFonts w:ascii="Tahoma" w:hAnsi="Tahoma" w:cs="Tahoma"/>
          <w:szCs w:val="21"/>
        </w:rPr>
        <w:t>3.1.1</w:t>
      </w:r>
      <w:r>
        <w:rPr>
          <w:rFonts w:hint="eastAsia" w:ascii="Tahoma" w:hAnsi="Tahoma" w:cs="Tahoma"/>
          <w:szCs w:val="21"/>
          <w:lang w:eastAsia="zh-CN"/>
        </w:rPr>
        <w:t>供应商</w:t>
      </w:r>
      <w:r>
        <w:rPr>
          <w:rFonts w:ascii="Tahoma" w:hAnsi="Tahoma" w:cs="Tahoma"/>
          <w:szCs w:val="21"/>
        </w:rPr>
        <w:t>应当按照招标文件的要求编制</w:t>
      </w:r>
      <w:r>
        <w:rPr>
          <w:rFonts w:hint="eastAsia" w:ascii="Tahoma" w:hAnsi="Tahoma" w:cs="Tahoma"/>
          <w:szCs w:val="21"/>
          <w:lang w:eastAsia="zh-CN"/>
        </w:rPr>
        <w:t>响应文件</w:t>
      </w:r>
      <w:r>
        <w:rPr>
          <w:rFonts w:ascii="Tahoma" w:hAnsi="Tahoma" w:cs="Tahoma"/>
          <w:szCs w:val="21"/>
        </w:rPr>
        <w:t>。</w:t>
      </w:r>
      <w:r>
        <w:rPr>
          <w:rFonts w:hint="eastAsia" w:ascii="Tahoma" w:hAnsi="Tahoma" w:cs="Tahoma"/>
          <w:szCs w:val="21"/>
          <w:lang w:eastAsia="zh-CN"/>
        </w:rPr>
        <w:t>响应文件</w:t>
      </w:r>
      <w:r>
        <w:rPr>
          <w:rFonts w:ascii="Tahoma" w:hAnsi="Tahoma" w:cs="Tahoma"/>
          <w:szCs w:val="21"/>
        </w:rPr>
        <w:t>应当对招标文件提出的要求和条件作出明确响应。</w:t>
      </w:r>
      <w:r>
        <w:rPr>
          <w:rFonts w:ascii="Tahoma" w:hAnsi="Tahoma" w:cs="Tahoma"/>
          <w:b/>
          <w:szCs w:val="21"/>
        </w:rPr>
        <w:t>并保证所提供的全部资料的真实性，否则其投标将按无效投标处理。</w:t>
      </w:r>
    </w:p>
    <w:p>
      <w:pPr>
        <w:shd w:val="clear" w:color="auto" w:fill="FFFFFF"/>
        <w:snapToGrid w:val="0"/>
        <w:spacing w:line="360" w:lineRule="auto"/>
        <w:rPr>
          <w:rFonts w:ascii="Tahoma" w:hAnsi="Tahoma" w:cs="Tahoma"/>
          <w:szCs w:val="21"/>
        </w:rPr>
      </w:pPr>
      <w:r>
        <w:rPr>
          <w:rFonts w:ascii="Tahoma" w:hAnsi="Tahoma" w:cs="Tahoma"/>
          <w:szCs w:val="21"/>
        </w:rPr>
        <w:t>3.1.2</w:t>
      </w:r>
      <w:r>
        <w:rPr>
          <w:rFonts w:hint="eastAsia" w:ascii="Tahoma" w:hAnsi="Tahoma" w:cs="Tahoma"/>
          <w:szCs w:val="21"/>
          <w:lang w:eastAsia="zh-CN"/>
        </w:rPr>
        <w:t>供应商</w:t>
      </w:r>
      <w:r>
        <w:rPr>
          <w:rFonts w:ascii="Tahoma" w:hAnsi="Tahoma" w:cs="Tahoma"/>
          <w:szCs w:val="21"/>
        </w:rPr>
        <w:t>须知前附表规定接受联合体投标的，或</w:t>
      </w:r>
      <w:r>
        <w:rPr>
          <w:rFonts w:hint="eastAsia" w:ascii="Tahoma" w:hAnsi="Tahoma" w:cs="Tahoma"/>
          <w:szCs w:val="21"/>
          <w:lang w:eastAsia="zh-CN"/>
        </w:rPr>
        <w:t>供应商</w:t>
      </w:r>
      <w:r>
        <w:rPr>
          <w:rFonts w:ascii="Tahoma" w:hAnsi="Tahoma" w:cs="Tahoma"/>
          <w:szCs w:val="21"/>
        </w:rPr>
        <w:t>组成联合体的，</w:t>
      </w:r>
      <w:r>
        <w:rPr>
          <w:rFonts w:hint="eastAsia" w:ascii="Tahoma" w:hAnsi="Tahoma" w:cs="Tahoma"/>
          <w:szCs w:val="21"/>
          <w:lang w:eastAsia="zh-CN"/>
        </w:rPr>
        <w:t>响应文件</w:t>
      </w:r>
      <w:r>
        <w:rPr>
          <w:rFonts w:ascii="Tahoma" w:hAnsi="Tahoma" w:cs="Tahoma"/>
          <w:szCs w:val="21"/>
        </w:rPr>
        <w:t>应包括本须知第1.3.6目所指的联合体协议书。</w:t>
      </w:r>
    </w:p>
    <w:p>
      <w:pPr>
        <w:spacing w:line="360" w:lineRule="auto"/>
        <w:rPr>
          <w:rFonts w:ascii="Tahoma" w:hAnsi="Tahoma" w:cs="Tahoma"/>
          <w:b/>
          <w:bCs/>
          <w:szCs w:val="21"/>
        </w:rPr>
      </w:pPr>
      <w:r>
        <w:rPr>
          <w:rFonts w:ascii="Tahoma" w:hAnsi="Tahoma" w:cs="Tahoma"/>
          <w:b/>
          <w:bCs/>
          <w:szCs w:val="21"/>
        </w:rPr>
        <w:t>3.1.3</w:t>
      </w:r>
      <w:r>
        <w:rPr>
          <w:rFonts w:hint="eastAsia" w:ascii="Tahoma" w:hAnsi="Tahoma" w:cs="Tahoma"/>
          <w:b/>
          <w:bCs/>
          <w:szCs w:val="21"/>
          <w:lang w:eastAsia="zh-CN"/>
        </w:rPr>
        <w:t>响应文件</w:t>
      </w:r>
      <w:r>
        <w:rPr>
          <w:rFonts w:ascii="Tahoma" w:hAnsi="Tahoma" w:cs="Tahoma"/>
          <w:b/>
          <w:bCs/>
          <w:szCs w:val="21"/>
        </w:rPr>
        <w:t>一套（份数：</w:t>
      </w:r>
      <w:r>
        <w:rPr>
          <w:rFonts w:hint="eastAsia" w:ascii="Tahoma" w:hAnsi="Tahoma" w:cs="Tahoma"/>
          <w:b/>
          <w:bCs/>
          <w:szCs w:val="21"/>
        </w:rPr>
        <w:t>详见投标须知附表</w:t>
      </w:r>
      <w:r>
        <w:rPr>
          <w:rFonts w:ascii="Tahoma" w:hAnsi="Tahoma" w:cs="Tahoma"/>
          <w:b/>
          <w:bCs/>
          <w:szCs w:val="21"/>
        </w:rPr>
        <w:t>），包括资格类文件和投标主要文件。</w:t>
      </w:r>
    </w:p>
    <w:p>
      <w:pPr>
        <w:spacing w:line="360" w:lineRule="auto"/>
        <w:rPr>
          <w:rFonts w:ascii="Tahoma" w:hAnsi="Tahoma" w:cs="Tahoma"/>
          <w:b/>
          <w:szCs w:val="21"/>
        </w:rPr>
      </w:pPr>
      <w:r>
        <w:rPr>
          <w:rFonts w:ascii="Tahoma" w:hAnsi="Tahoma" w:cs="Tahoma"/>
          <w:b/>
          <w:szCs w:val="21"/>
        </w:rPr>
        <w:t>（一）、投标主要文件</w:t>
      </w:r>
    </w:p>
    <w:p>
      <w:pPr>
        <w:spacing w:line="360" w:lineRule="auto"/>
        <w:rPr>
          <w:rFonts w:ascii="Tahoma" w:hAnsi="Tahoma" w:cs="Tahoma"/>
          <w:bCs/>
          <w:szCs w:val="21"/>
        </w:rPr>
      </w:pPr>
      <w:r>
        <w:rPr>
          <w:rFonts w:ascii="Tahoma" w:hAnsi="Tahoma" w:cs="Tahoma"/>
          <w:bCs/>
          <w:szCs w:val="21"/>
        </w:rPr>
        <w:t>1.1投标函</w:t>
      </w:r>
    </w:p>
    <w:p>
      <w:pPr>
        <w:spacing w:line="360" w:lineRule="auto"/>
        <w:rPr>
          <w:rFonts w:ascii="Tahoma" w:hAnsi="Tahoma" w:cs="Tahoma"/>
          <w:bCs/>
          <w:szCs w:val="21"/>
        </w:rPr>
      </w:pPr>
      <w:r>
        <w:rPr>
          <w:rFonts w:ascii="Tahoma" w:hAnsi="Tahoma" w:cs="Tahoma"/>
          <w:bCs/>
          <w:szCs w:val="21"/>
        </w:rPr>
        <w:t>1.2、报价文件</w:t>
      </w:r>
    </w:p>
    <w:p>
      <w:pPr>
        <w:spacing w:line="360" w:lineRule="auto"/>
        <w:rPr>
          <w:rFonts w:ascii="Tahoma" w:hAnsi="Tahoma" w:cs="Tahoma"/>
          <w:bCs/>
          <w:szCs w:val="21"/>
          <w:highlight w:val="none"/>
        </w:rPr>
      </w:pPr>
      <w:r>
        <w:rPr>
          <w:rFonts w:ascii="Tahoma" w:hAnsi="Tahoma" w:cs="Tahoma"/>
          <w:bCs/>
          <w:szCs w:val="21"/>
          <w:highlight w:val="none"/>
        </w:rPr>
        <w:t>1.2.1</w:t>
      </w:r>
      <w:r>
        <w:rPr>
          <w:rFonts w:hint="eastAsia" w:ascii="Tahoma" w:hAnsi="Tahoma" w:cs="Tahoma"/>
          <w:bCs/>
          <w:szCs w:val="21"/>
          <w:highlight w:val="none"/>
          <w:lang w:eastAsia="zh-CN"/>
        </w:rPr>
        <w:t>报价一览表</w:t>
      </w:r>
      <w:r>
        <w:rPr>
          <w:rFonts w:ascii="Tahoma" w:hAnsi="Tahoma" w:cs="Tahoma"/>
          <w:bCs/>
          <w:szCs w:val="21"/>
          <w:highlight w:val="none"/>
        </w:rPr>
        <w:t>(标包</w:t>
      </w:r>
      <w:r>
        <w:rPr>
          <w:rFonts w:hint="eastAsia" w:ascii="Tahoma" w:hAnsi="Tahoma" w:cs="Tahoma"/>
          <w:bCs/>
          <w:szCs w:val="21"/>
          <w:highlight w:val="none"/>
          <w:lang w:val="en-US" w:eastAsia="zh-CN"/>
        </w:rPr>
        <w:t>6</w:t>
      </w:r>
      <w:r>
        <w:rPr>
          <w:rFonts w:ascii="Tahoma" w:hAnsi="Tahoma" w:cs="Tahoma"/>
          <w:bCs/>
          <w:szCs w:val="21"/>
          <w:highlight w:val="none"/>
        </w:rPr>
        <w:t>-</w:t>
      </w:r>
      <w:r>
        <w:rPr>
          <w:rFonts w:hint="eastAsia" w:ascii="Tahoma" w:hAnsi="Tahoma" w:cs="Tahoma"/>
          <w:bCs/>
          <w:szCs w:val="21"/>
          <w:highlight w:val="none"/>
          <w:lang w:val="en-US" w:eastAsia="zh-CN"/>
        </w:rPr>
        <w:t>肉类</w:t>
      </w:r>
      <w:r>
        <w:rPr>
          <w:rFonts w:ascii="Tahoma" w:hAnsi="Tahoma" w:cs="Tahoma"/>
          <w:bCs/>
          <w:szCs w:val="21"/>
          <w:highlight w:val="none"/>
        </w:rPr>
        <w:t>)</w:t>
      </w:r>
    </w:p>
    <w:p>
      <w:pPr>
        <w:spacing w:line="360" w:lineRule="auto"/>
        <w:rPr>
          <w:rFonts w:ascii="Tahoma" w:hAnsi="Tahoma" w:cs="Tahoma"/>
          <w:bCs/>
          <w:szCs w:val="21"/>
          <w:highlight w:val="none"/>
        </w:rPr>
      </w:pPr>
      <w:r>
        <w:rPr>
          <w:rFonts w:ascii="Tahoma" w:hAnsi="Tahoma" w:cs="Tahoma"/>
          <w:bCs/>
          <w:szCs w:val="21"/>
          <w:highlight w:val="none"/>
        </w:rPr>
        <w:t>1.2.1</w:t>
      </w:r>
      <w:r>
        <w:rPr>
          <w:rFonts w:hint="eastAsia" w:ascii="Tahoma" w:hAnsi="Tahoma" w:cs="Tahoma"/>
          <w:bCs/>
          <w:szCs w:val="21"/>
          <w:highlight w:val="none"/>
          <w:lang w:eastAsia="zh-CN"/>
        </w:rPr>
        <w:t>报价一览表</w:t>
      </w:r>
      <w:r>
        <w:rPr>
          <w:rFonts w:ascii="Tahoma" w:hAnsi="Tahoma" w:cs="Tahoma"/>
          <w:bCs/>
          <w:szCs w:val="21"/>
          <w:highlight w:val="none"/>
        </w:rPr>
        <w:t>(标包</w:t>
      </w:r>
      <w:r>
        <w:rPr>
          <w:rFonts w:hint="eastAsia" w:ascii="Tahoma" w:hAnsi="Tahoma" w:cs="Tahoma"/>
          <w:bCs/>
          <w:szCs w:val="21"/>
          <w:highlight w:val="none"/>
          <w:lang w:val="en-US" w:eastAsia="zh-CN"/>
        </w:rPr>
        <w:t>7</w:t>
      </w:r>
      <w:r>
        <w:rPr>
          <w:rFonts w:ascii="Tahoma" w:hAnsi="Tahoma" w:cs="Tahoma"/>
          <w:bCs/>
          <w:szCs w:val="21"/>
          <w:highlight w:val="none"/>
        </w:rPr>
        <w:t>-</w:t>
      </w:r>
      <w:r>
        <w:rPr>
          <w:rFonts w:hint="eastAsia" w:ascii="Tahoma" w:hAnsi="Tahoma" w:cs="Tahoma"/>
          <w:bCs/>
          <w:szCs w:val="21"/>
          <w:highlight w:val="none"/>
          <w:lang w:val="en-US" w:eastAsia="zh-CN"/>
        </w:rPr>
        <w:t>面粉）</w:t>
      </w:r>
      <w:r>
        <w:rPr>
          <w:rFonts w:ascii="Tahoma" w:hAnsi="Tahoma" w:cs="Tahoma"/>
          <w:bCs/>
          <w:szCs w:val="21"/>
          <w:highlight w:val="none"/>
        </w:rPr>
        <w:t xml:space="preserve"> </w:t>
      </w:r>
    </w:p>
    <w:p>
      <w:pPr>
        <w:spacing w:line="360" w:lineRule="auto"/>
        <w:rPr>
          <w:rFonts w:ascii="Tahoma" w:hAnsi="Tahoma" w:cs="Tahoma"/>
          <w:bCs/>
          <w:szCs w:val="21"/>
          <w:highlight w:val="none"/>
        </w:rPr>
      </w:pPr>
      <w:r>
        <w:rPr>
          <w:rFonts w:ascii="Tahoma" w:hAnsi="Tahoma" w:cs="Tahoma"/>
          <w:bCs/>
          <w:szCs w:val="21"/>
          <w:highlight w:val="none"/>
        </w:rPr>
        <w:t>1.2.1</w:t>
      </w:r>
      <w:r>
        <w:rPr>
          <w:rFonts w:hint="eastAsia" w:ascii="Tahoma" w:hAnsi="Tahoma" w:cs="Tahoma"/>
          <w:bCs/>
          <w:szCs w:val="21"/>
          <w:highlight w:val="none"/>
          <w:lang w:eastAsia="zh-CN"/>
        </w:rPr>
        <w:t>报价一览表</w:t>
      </w:r>
      <w:r>
        <w:rPr>
          <w:rFonts w:ascii="Tahoma" w:hAnsi="Tahoma" w:cs="Tahoma"/>
          <w:bCs/>
          <w:szCs w:val="21"/>
          <w:highlight w:val="none"/>
        </w:rPr>
        <w:t>(标包</w:t>
      </w:r>
      <w:r>
        <w:rPr>
          <w:rFonts w:hint="eastAsia" w:ascii="Tahoma" w:hAnsi="Tahoma" w:cs="Tahoma"/>
          <w:bCs/>
          <w:szCs w:val="21"/>
          <w:highlight w:val="none"/>
          <w:lang w:val="en-US" w:eastAsia="zh-CN"/>
        </w:rPr>
        <w:t>8</w:t>
      </w:r>
      <w:r>
        <w:rPr>
          <w:rFonts w:ascii="Tahoma" w:hAnsi="Tahoma" w:cs="Tahoma"/>
          <w:bCs/>
          <w:szCs w:val="21"/>
          <w:highlight w:val="none"/>
        </w:rPr>
        <w:t>-</w:t>
      </w:r>
      <w:r>
        <w:rPr>
          <w:rFonts w:hint="eastAsia" w:ascii="Tahoma" w:hAnsi="Tahoma" w:cs="Tahoma"/>
          <w:bCs/>
          <w:szCs w:val="21"/>
          <w:highlight w:val="none"/>
          <w:lang w:val="en-US" w:eastAsia="zh-CN"/>
        </w:rPr>
        <w:t>副食品</w:t>
      </w:r>
      <w:r>
        <w:rPr>
          <w:rFonts w:ascii="Tahoma" w:hAnsi="Tahoma" w:cs="Tahoma"/>
          <w:bCs/>
          <w:szCs w:val="21"/>
          <w:highlight w:val="none"/>
        </w:rPr>
        <w:t>)</w:t>
      </w:r>
    </w:p>
    <w:p>
      <w:pPr>
        <w:spacing w:line="360" w:lineRule="auto"/>
        <w:rPr>
          <w:rFonts w:ascii="Tahoma" w:hAnsi="Tahoma" w:cs="Tahoma"/>
          <w:bCs/>
          <w:szCs w:val="21"/>
          <w:highlight w:val="none"/>
        </w:rPr>
      </w:pPr>
      <w:r>
        <w:rPr>
          <w:rFonts w:ascii="Tahoma" w:hAnsi="Tahoma" w:cs="Tahoma"/>
          <w:bCs/>
          <w:szCs w:val="21"/>
          <w:highlight w:val="none"/>
        </w:rPr>
        <w:t>1.2.1</w:t>
      </w:r>
      <w:r>
        <w:rPr>
          <w:rFonts w:hint="eastAsia" w:ascii="Tahoma" w:hAnsi="Tahoma" w:cs="Tahoma"/>
          <w:bCs/>
          <w:szCs w:val="21"/>
          <w:highlight w:val="none"/>
          <w:lang w:eastAsia="zh-CN"/>
        </w:rPr>
        <w:t>报价一览表</w:t>
      </w:r>
      <w:r>
        <w:rPr>
          <w:rFonts w:ascii="Tahoma" w:hAnsi="Tahoma" w:cs="Tahoma"/>
          <w:bCs/>
          <w:szCs w:val="21"/>
          <w:highlight w:val="none"/>
        </w:rPr>
        <w:t>(标包</w:t>
      </w:r>
      <w:r>
        <w:rPr>
          <w:rFonts w:hint="eastAsia" w:ascii="Tahoma" w:hAnsi="Tahoma" w:cs="Tahoma"/>
          <w:bCs/>
          <w:szCs w:val="21"/>
          <w:highlight w:val="none"/>
          <w:lang w:val="en-US" w:eastAsia="zh-CN"/>
        </w:rPr>
        <w:t>9</w:t>
      </w:r>
      <w:r>
        <w:rPr>
          <w:rFonts w:ascii="Tahoma" w:hAnsi="Tahoma" w:cs="Tahoma"/>
          <w:bCs/>
          <w:szCs w:val="21"/>
          <w:highlight w:val="none"/>
        </w:rPr>
        <w:t>-</w:t>
      </w:r>
      <w:r>
        <w:rPr>
          <w:rFonts w:hint="eastAsia" w:ascii="Tahoma" w:hAnsi="Tahoma" w:cs="Tahoma"/>
          <w:bCs/>
          <w:szCs w:val="21"/>
          <w:highlight w:val="none"/>
          <w:lang w:val="en-US" w:eastAsia="zh-CN"/>
        </w:rPr>
        <w:t>日用品</w:t>
      </w:r>
      <w:r>
        <w:rPr>
          <w:rFonts w:ascii="Tahoma" w:hAnsi="Tahoma" w:cs="Tahoma"/>
          <w:bCs/>
          <w:szCs w:val="21"/>
          <w:highlight w:val="none"/>
        </w:rPr>
        <w:t>)</w:t>
      </w:r>
    </w:p>
    <w:p>
      <w:pPr>
        <w:spacing w:line="360" w:lineRule="auto"/>
        <w:rPr>
          <w:rFonts w:ascii="Tahoma" w:hAnsi="Tahoma" w:cs="Tahoma"/>
          <w:bCs/>
          <w:szCs w:val="21"/>
          <w:highlight w:val="none"/>
        </w:rPr>
      </w:pPr>
      <w:r>
        <w:rPr>
          <w:rFonts w:ascii="Tahoma" w:hAnsi="Tahoma" w:cs="Tahoma"/>
          <w:bCs/>
          <w:szCs w:val="21"/>
          <w:highlight w:val="none"/>
        </w:rPr>
        <w:t>1.2.2节能产品明细表(样表，如有)</w:t>
      </w:r>
    </w:p>
    <w:p>
      <w:pPr>
        <w:spacing w:line="360" w:lineRule="auto"/>
        <w:rPr>
          <w:rFonts w:ascii="Tahoma" w:hAnsi="Tahoma" w:cs="Tahoma"/>
          <w:bCs/>
          <w:szCs w:val="21"/>
          <w:highlight w:val="none"/>
        </w:rPr>
      </w:pPr>
      <w:r>
        <w:rPr>
          <w:rFonts w:ascii="Tahoma" w:hAnsi="Tahoma" w:cs="Tahoma"/>
          <w:bCs/>
          <w:szCs w:val="21"/>
          <w:highlight w:val="none"/>
        </w:rPr>
        <w:t>1.2.3环境标志产品明细表(样表，如有)</w:t>
      </w:r>
    </w:p>
    <w:p>
      <w:pPr>
        <w:spacing w:line="360" w:lineRule="auto"/>
        <w:rPr>
          <w:rFonts w:ascii="Tahoma" w:hAnsi="Tahoma" w:cs="Tahoma"/>
          <w:bCs/>
          <w:szCs w:val="21"/>
          <w:highlight w:val="none"/>
        </w:rPr>
      </w:pPr>
      <w:r>
        <w:rPr>
          <w:rFonts w:ascii="Tahoma" w:hAnsi="Tahoma" w:cs="Tahoma"/>
          <w:bCs/>
          <w:szCs w:val="21"/>
          <w:highlight w:val="none"/>
        </w:rPr>
        <w:t>1.3法定代表人</w:t>
      </w:r>
      <w:r>
        <w:rPr>
          <w:rFonts w:hint="eastAsia" w:ascii="Tahoma" w:hAnsi="Tahoma" w:cs="Tahoma"/>
          <w:bCs/>
          <w:szCs w:val="21"/>
          <w:highlight w:val="none"/>
          <w:lang w:val="en-US" w:eastAsia="zh-CN"/>
        </w:rPr>
        <w:t>身份证明书</w:t>
      </w:r>
      <w:r>
        <w:rPr>
          <w:rFonts w:ascii="Tahoma" w:hAnsi="Tahoma" w:cs="Tahoma"/>
          <w:bCs/>
          <w:szCs w:val="21"/>
          <w:highlight w:val="none"/>
        </w:rPr>
        <w:t>及法定代表人授权委托书</w:t>
      </w:r>
    </w:p>
    <w:p>
      <w:pPr>
        <w:spacing w:line="360" w:lineRule="auto"/>
        <w:rPr>
          <w:rFonts w:ascii="Tahoma" w:hAnsi="Tahoma" w:cs="Tahoma"/>
          <w:bCs/>
          <w:szCs w:val="21"/>
          <w:highlight w:val="none"/>
        </w:rPr>
      </w:pPr>
      <w:r>
        <w:rPr>
          <w:rFonts w:ascii="Tahoma" w:hAnsi="Tahoma" w:cs="Tahoma"/>
          <w:bCs/>
          <w:szCs w:val="21"/>
          <w:highlight w:val="none"/>
        </w:rPr>
        <w:t>1.4关于资格的声明函</w:t>
      </w:r>
    </w:p>
    <w:p>
      <w:pPr>
        <w:spacing w:line="360" w:lineRule="auto"/>
        <w:rPr>
          <w:rFonts w:ascii="Tahoma" w:hAnsi="Tahoma" w:cs="Tahoma"/>
          <w:bCs/>
          <w:szCs w:val="21"/>
          <w:highlight w:val="none"/>
        </w:rPr>
      </w:pPr>
      <w:r>
        <w:rPr>
          <w:rFonts w:ascii="Tahoma" w:hAnsi="Tahoma" w:cs="Tahoma"/>
          <w:bCs/>
          <w:szCs w:val="21"/>
          <w:highlight w:val="none"/>
        </w:rPr>
        <w:t>1.5中小企业声明函(如有)</w:t>
      </w:r>
    </w:p>
    <w:p>
      <w:pPr>
        <w:spacing w:line="360" w:lineRule="auto"/>
        <w:rPr>
          <w:rFonts w:ascii="Tahoma" w:hAnsi="Tahoma" w:cs="Tahoma"/>
          <w:bCs/>
          <w:szCs w:val="21"/>
          <w:highlight w:val="none"/>
        </w:rPr>
      </w:pPr>
      <w:r>
        <w:rPr>
          <w:rFonts w:ascii="Tahoma" w:hAnsi="Tahoma" w:cs="Tahoma"/>
          <w:bCs/>
          <w:szCs w:val="21"/>
          <w:highlight w:val="none"/>
        </w:rPr>
        <w:t>1.6监狱企业的证明文件(如有)</w:t>
      </w:r>
    </w:p>
    <w:p>
      <w:pPr>
        <w:spacing w:line="360" w:lineRule="auto"/>
        <w:rPr>
          <w:rFonts w:ascii="Tahoma" w:hAnsi="Tahoma" w:cs="Tahoma"/>
          <w:bCs/>
          <w:szCs w:val="21"/>
          <w:highlight w:val="none"/>
        </w:rPr>
      </w:pPr>
      <w:r>
        <w:rPr>
          <w:rFonts w:ascii="Tahoma" w:hAnsi="Tahoma" w:cs="Tahoma"/>
          <w:bCs/>
          <w:szCs w:val="21"/>
          <w:highlight w:val="none"/>
        </w:rPr>
        <w:t>1.7残疾人福利性单位声明函(如有)</w:t>
      </w:r>
    </w:p>
    <w:p>
      <w:pPr>
        <w:spacing w:line="360" w:lineRule="auto"/>
        <w:rPr>
          <w:rFonts w:ascii="Tahoma" w:hAnsi="Tahoma" w:cs="Tahoma"/>
          <w:bCs/>
          <w:szCs w:val="21"/>
          <w:highlight w:val="none"/>
        </w:rPr>
      </w:pPr>
      <w:r>
        <w:rPr>
          <w:rFonts w:ascii="Tahoma" w:hAnsi="Tahoma" w:cs="Tahoma"/>
          <w:bCs/>
          <w:szCs w:val="21"/>
          <w:highlight w:val="none"/>
        </w:rPr>
        <w:t>1.8《食品卫生许可证》或《食品经营许可证》</w:t>
      </w:r>
    </w:p>
    <w:p>
      <w:pPr>
        <w:spacing w:line="360" w:lineRule="auto"/>
        <w:rPr>
          <w:rFonts w:ascii="Tahoma" w:hAnsi="Tahoma" w:cs="Tahoma"/>
          <w:bCs/>
          <w:szCs w:val="21"/>
          <w:highlight w:val="none"/>
        </w:rPr>
      </w:pPr>
      <w:r>
        <w:rPr>
          <w:rFonts w:ascii="Tahoma" w:hAnsi="Tahoma" w:cs="Tahoma"/>
          <w:bCs/>
          <w:szCs w:val="21"/>
          <w:highlight w:val="none"/>
        </w:rPr>
        <w:t>1.9</w:t>
      </w:r>
      <w:r>
        <w:rPr>
          <w:rFonts w:hint="eastAsia" w:ascii="Tahoma" w:hAnsi="Tahoma" w:cs="Tahoma"/>
          <w:bCs/>
          <w:szCs w:val="21"/>
          <w:highlight w:val="none"/>
        </w:rPr>
        <w:t>《动物防疫条件合格证》 （如为经销商则须同时提供《动物防疫条件合格证》及与生产商签订合作协议）仅第六包须提供</w:t>
      </w:r>
    </w:p>
    <w:p>
      <w:pPr>
        <w:spacing w:line="360" w:lineRule="auto"/>
        <w:rPr>
          <w:rFonts w:ascii="Tahoma" w:hAnsi="Tahoma" w:cs="Tahoma"/>
          <w:bCs/>
          <w:szCs w:val="21"/>
          <w:highlight w:val="none"/>
        </w:rPr>
      </w:pPr>
      <w:r>
        <w:rPr>
          <w:rFonts w:hint="eastAsia" w:ascii="Tahoma" w:hAnsi="Tahoma" w:cs="Tahoma"/>
          <w:bCs/>
          <w:szCs w:val="21"/>
          <w:highlight w:val="none"/>
        </w:rPr>
        <w:t>1</w:t>
      </w:r>
      <w:r>
        <w:rPr>
          <w:rFonts w:ascii="Tahoma" w:hAnsi="Tahoma" w:cs="Tahoma"/>
          <w:bCs/>
          <w:szCs w:val="21"/>
          <w:highlight w:val="none"/>
        </w:rPr>
        <w:t>.10商务条款偏离表</w:t>
      </w:r>
    </w:p>
    <w:p>
      <w:pPr>
        <w:spacing w:line="360" w:lineRule="auto"/>
        <w:rPr>
          <w:rFonts w:ascii="Tahoma" w:hAnsi="Tahoma" w:cs="Tahoma"/>
          <w:bCs/>
          <w:szCs w:val="21"/>
          <w:highlight w:val="none"/>
        </w:rPr>
      </w:pPr>
      <w:r>
        <w:rPr>
          <w:rFonts w:ascii="Tahoma" w:hAnsi="Tahoma" w:cs="Tahoma"/>
          <w:bCs/>
          <w:szCs w:val="21"/>
          <w:highlight w:val="none"/>
        </w:rPr>
        <w:t>1.1</w:t>
      </w:r>
      <w:r>
        <w:rPr>
          <w:rFonts w:hint="eastAsia" w:ascii="Tahoma" w:hAnsi="Tahoma" w:cs="Tahoma"/>
          <w:bCs/>
          <w:szCs w:val="21"/>
          <w:highlight w:val="none"/>
          <w:lang w:val="en-US" w:eastAsia="zh-CN"/>
        </w:rPr>
        <w:t>1</w:t>
      </w:r>
      <w:r>
        <w:rPr>
          <w:rFonts w:ascii="Tahoma" w:hAnsi="Tahoma" w:cs="Tahoma"/>
          <w:bCs/>
          <w:szCs w:val="21"/>
          <w:highlight w:val="none"/>
        </w:rPr>
        <w:t>技术规格偏离表</w:t>
      </w:r>
    </w:p>
    <w:p>
      <w:pPr>
        <w:spacing w:line="360" w:lineRule="auto"/>
        <w:rPr>
          <w:rFonts w:ascii="Tahoma" w:hAnsi="Tahoma" w:cs="Tahoma"/>
          <w:bCs/>
          <w:szCs w:val="21"/>
          <w:highlight w:val="none"/>
        </w:rPr>
      </w:pPr>
      <w:r>
        <w:rPr>
          <w:rFonts w:ascii="Tahoma" w:hAnsi="Tahoma" w:cs="Tahoma"/>
          <w:bCs/>
          <w:szCs w:val="21"/>
          <w:highlight w:val="none"/>
        </w:rPr>
        <w:t>1.1</w:t>
      </w:r>
      <w:r>
        <w:rPr>
          <w:rFonts w:hint="eastAsia" w:ascii="Tahoma" w:hAnsi="Tahoma" w:cs="Tahoma"/>
          <w:bCs/>
          <w:szCs w:val="21"/>
          <w:highlight w:val="none"/>
          <w:lang w:val="en-US" w:eastAsia="zh-CN"/>
        </w:rPr>
        <w:t>2</w:t>
      </w:r>
      <w:r>
        <w:rPr>
          <w:rFonts w:ascii="Tahoma" w:hAnsi="Tahoma" w:cs="Tahoma"/>
          <w:bCs/>
          <w:szCs w:val="21"/>
          <w:highlight w:val="none"/>
        </w:rPr>
        <w:t>投标保证金</w:t>
      </w:r>
    </w:p>
    <w:p>
      <w:pPr>
        <w:spacing w:line="360" w:lineRule="auto"/>
        <w:rPr>
          <w:rFonts w:ascii="Tahoma" w:hAnsi="Tahoma" w:cs="Tahoma"/>
          <w:bCs/>
          <w:szCs w:val="21"/>
          <w:highlight w:val="none"/>
        </w:rPr>
      </w:pPr>
      <w:r>
        <w:rPr>
          <w:rFonts w:ascii="Tahoma" w:hAnsi="Tahoma" w:cs="Tahoma"/>
          <w:bCs/>
          <w:szCs w:val="21"/>
          <w:highlight w:val="none"/>
        </w:rPr>
        <w:t>1.1</w:t>
      </w:r>
      <w:r>
        <w:rPr>
          <w:rFonts w:hint="eastAsia" w:ascii="Tahoma" w:hAnsi="Tahoma" w:cs="Tahoma"/>
          <w:bCs/>
          <w:szCs w:val="21"/>
          <w:highlight w:val="none"/>
          <w:lang w:val="en-US" w:eastAsia="zh-CN"/>
        </w:rPr>
        <w:t>3</w:t>
      </w:r>
      <w:r>
        <w:rPr>
          <w:rFonts w:ascii="Tahoma" w:hAnsi="Tahoma" w:cs="Tahoma"/>
          <w:bCs/>
          <w:szCs w:val="21"/>
          <w:highlight w:val="none"/>
        </w:rPr>
        <w:t>其他补充材料</w:t>
      </w:r>
    </w:p>
    <w:p>
      <w:pPr>
        <w:spacing w:line="360" w:lineRule="auto"/>
        <w:rPr>
          <w:rFonts w:ascii="Tahoma" w:hAnsi="Tahoma" w:cs="Tahoma"/>
          <w:b/>
          <w:szCs w:val="21"/>
          <w:highlight w:val="none"/>
        </w:rPr>
      </w:pPr>
      <w:r>
        <w:rPr>
          <w:rFonts w:ascii="Tahoma" w:hAnsi="Tahoma" w:cs="Tahoma"/>
          <w:b/>
          <w:szCs w:val="21"/>
          <w:highlight w:val="none"/>
        </w:rPr>
        <w:t>（二）、</w:t>
      </w:r>
      <w:r>
        <w:rPr>
          <w:rFonts w:hint="eastAsia" w:ascii="Tahoma" w:hAnsi="Tahoma" w:cs="Tahoma"/>
          <w:b/>
          <w:szCs w:val="21"/>
          <w:highlight w:val="none"/>
        </w:rPr>
        <w:t>商务技术</w:t>
      </w:r>
      <w:r>
        <w:rPr>
          <w:rFonts w:ascii="Tahoma" w:hAnsi="Tahoma" w:cs="Tahoma"/>
          <w:b/>
          <w:szCs w:val="21"/>
          <w:highlight w:val="none"/>
        </w:rPr>
        <w:t>文件</w:t>
      </w:r>
    </w:p>
    <w:p>
      <w:pPr>
        <w:spacing w:line="360" w:lineRule="auto"/>
        <w:rPr>
          <w:rFonts w:ascii="Tahoma" w:hAnsi="Tahoma" w:cs="Tahoma"/>
          <w:szCs w:val="21"/>
          <w:highlight w:val="none"/>
        </w:rPr>
      </w:pPr>
      <w:r>
        <w:rPr>
          <w:rFonts w:ascii="Tahoma" w:hAnsi="Tahoma" w:cs="Tahoma"/>
          <w:szCs w:val="21"/>
          <w:highlight w:val="none"/>
        </w:rPr>
        <w:t>2.1</w:t>
      </w:r>
      <w:r>
        <w:rPr>
          <w:rFonts w:hint="eastAsia" w:ascii="Tahoma" w:hAnsi="Tahoma" w:cs="Tahoma"/>
          <w:szCs w:val="21"/>
          <w:highlight w:val="none"/>
          <w:lang w:eastAsia="zh-CN"/>
        </w:rPr>
        <w:t>供应商</w:t>
      </w:r>
      <w:r>
        <w:rPr>
          <w:rFonts w:ascii="Tahoma" w:hAnsi="Tahoma" w:cs="Tahoma"/>
          <w:szCs w:val="21"/>
          <w:highlight w:val="none"/>
        </w:rPr>
        <w:t>综合概况</w:t>
      </w:r>
    </w:p>
    <w:p>
      <w:pPr>
        <w:spacing w:line="360" w:lineRule="auto"/>
        <w:rPr>
          <w:rFonts w:ascii="Tahoma" w:hAnsi="Tahoma" w:cs="Tahoma"/>
          <w:szCs w:val="21"/>
          <w:highlight w:val="none"/>
        </w:rPr>
      </w:pPr>
      <w:r>
        <w:rPr>
          <w:rFonts w:ascii="Tahoma" w:hAnsi="Tahoma" w:cs="Tahoma"/>
          <w:szCs w:val="21"/>
          <w:highlight w:val="none"/>
        </w:rPr>
        <w:t>2.2同类项目工作经验</w:t>
      </w:r>
    </w:p>
    <w:p>
      <w:pPr>
        <w:spacing w:line="360" w:lineRule="auto"/>
        <w:rPr>
          <w:rFonts w:ascii="Tahoma" w:hAnsi="Tahoma" w:cs="Tahoma"/>
          <w:szCs w:val="21"/>
          <w:highlight w:val="none"/>
        </w:rPr>
      </w:pPr>
      <w:r>
        <w:rPr>
          <w:rFonts w:ascii="Tahoma" w:hAnsi="Tahoma" w:cs="Tahoma"/>
          <w:szCs w:val="21"/>
          <w:highlight w:val="none"/>
        </w:rPr>
        <w:t>2.3配送车辆</w:t>
      </w:r>
    </w:p>
    <w:p>
      <w:pPr>
        <w:spacing w:line="360" w:lineRule="auto"/>
        <w:rPr>
          <w:rFonts w:ascii="Tahoma" w:hAnsi="Tahoma" w:cs="Tahoma"/>
          <w:szCs w:val="21"/>
          <w:highlight w:val="none"/>
        </w:rPr>
      </w:pPr>
      <w:r>
        <w:rPr>
          <w:rFonts w:ascii="Tahoma" w:hAnsi="Tahoma" w:cs="Tahoma"/>
          <w:szCs w:val="21"/>
          <w:highlight w:val="none"/>
        </w:rPr>
        <w:t>2.4配送人员</w:t>
      </w:r>
    </w:p>
    <w:p>
      <w:pPr>
        <w:spacing w:line="360" w:lineRule="auto"/>
        <w:rPr>
          <w:rFonts w:ascii="Tahoma" w:hAnsi="Tahoma" w:cs="Tahoma"/>
          <w:szCs w:val="21"/>
          <w:highlight w:val="none"/>
        </w:rPr>
      </w:pPr>
      <w:r>
        <w:rPr>
          <w:rFonts w:ascii="Tahoma" w:hAnsi="Tahoma" w:cs="Tahoma"/>
          <w:szCs w:val="21"/>
          <w:highlight w:val="none"/>
        </w:rPr>
        <w:t>2.5仓储能力</w:t>
      </w:r>
    </w:p>
    <w:p>
      <w:pPr>
        <w:spacing w:line="360" w:lineRule="auto"/>
        <w:rPr>
          <w:rFonts w:ascii="Tahoma" w:hAnsi="Tahoma" w:cs="Tahoma"/>
          <w:szCs w:val="21"/>
          <w:highlight w:val="none"/>
        </w:rPr>
      </w:pPr>
      <w:r>
        <w:rPr>
          <w:rFonts w:ascii="Tahoma" w:hAnsi="Tahoma" w:cs="Tahoma"/>
          <w:szCs w:val="21"/>
          <w:highlight w:val="none"/>
        </w:rPr>
        <w:t>2.6货物配送方案</w:t>
      </w:r>
    </w:p>
    <w:p>
      <w:pPr>
        <w:spacing w:line="360" w:lineRule="auto"/>
        <w:rPr>
          <w:rFonts w:ascii="Tahoma" w:hAnsi="Tahoma" w:cs="Tahoma"/>
          <w:szCs w:val="21"/>
          <w:highlight w:val="none"/>
        </w:rPr>
      </w:pPr>
      <w:r>
        <w:rPr>
          <w:rFonts w:ascii="Tahoma" w:hAnsi="Tahoma" w:cs="Tahoma"/>
          <w:szCs w:val="21"/>
          <w:highlight w:val="none"/>
        </w:rPr>
        <w:t>2.7安全质量</w:t>
      </w:r>
    </w:p>
    <w:p>
      <w:pPr>
        <w:spacing w:line="360" w:lineRule="auto"/>
        <w:rPr>
          <w:rFonts w:ascii="Tahoma" w:hAnsi="Tahoma" w:cs="Tahoma"/>
          <w:szCs w:val="21"/>
          <w:highlight w:val="none"/>
        </w:rPr>
      </w:pPr>
      <w:r>
        <w:rPr>
          <w:rFonts w:ascii="Tahoma" w:hAnsi="Tahoma" w:cs="Tahoma"/>
          <w:szCs w:val="21"/>
          <w:highlight w:val="none"/>
        </w:rPr>
        <w:t>2.8服务管控</w:t>
      </w:r>
    </w:p>
    <w:p>
      <w:pPr>
        <w:spacing w:line="360" w:lineRule="auto"/>
        <w:rPr>
          <w:rFonts w:ascii="Tahoma" w:hAnsi="Tahoma" w:cs="Tahoma"/>
          <w:szCs w:val="21"/>
          <w:highlight w:val="none"/>
        </w:rPr>
      </w:pPr>
      <w:r>
        <w:rPr>
          <w:rFonts w:ascii="Tahoma" w:hAnsi="Tahoma" w:cs="Tahoma"/>
          <w:szCs w:val="21"/>
          <w:highlight w:val="none"/>
        </w:rPr>
        <w:t>2.9配送方案及特殊情况应急方案.</w:t>
      </w:r>
    </w:p>
    <w:p>
      <w:pPr>
        <w:spacing w:line="360" w:lineRule="auto"/>
        <w:rPr>
          <w:rFonts w:ascii="Tahoma" w:hAnsi="Tahoma" w:cs="Tahoma"/>
          <w:szCs w:val="21"/>
          <w:highlight w:val="none"/>
        </w:rPr>
      </w:pPr>
      <w:r>
        <w:rPr>
          <w:rFonts w:ascii="Tahoma" w:hAnsi="Tahoma" w:cs="Tahoma"/>
          <w:szCs w:val="21"/>
          <w:highlight w:val="none"/>
        </w:rPr>
        <w:t>2.10售后服务</w:t>
      </w:r>
    </w:p>
    <w:p>
      <w:pPr>
        <w:spacing w:line="360" w:lineRule="auto"/>
        <w:rPr>
          <w:rFonts w:ascii="Tahoma" w:hAnsi="Tahoma" w:cs="Tahoma"/>
          <w:szCs w:val="21"/>
          <w:highlight w:val="none"/>
        </w:rPr>
      </w:pPr>
      <w:r>
        <w:rPr>
          <w:rFonts w:ascii="Tahoma" w:hAnsi="Tahoma" w:cs="Tahoma"/>
          <w:szCs w:val="21"/>
          <w:highlight w:val="none"/>
        </w:rPr>
        <w:t>2.11服务承诺</w:t>
      </w:r>
    </w:p>
    <w:p>
      <w:pPr>
        <w:spacing w:line="360" w:lineRule="auto"/>
        <w:rPr>
          <w:rFonts w:ascii="Tahoma" w:hAnsi="Tahoma" w:cs="Tahoma"/>
          <w:szCs w:val="21"/>
          <w:highlight w:val="none"/>
        </w:rPr>
      </w:pPr>
      <w:r>
        <w:rPr>
          <w:rFonts w:ascii="Tahoma" w:hAnsi="Tahoma" w:cs="Tahoma"/>
          <w:szCs w:val="21"/>
          <w:highlight w:val="none"/>
        </w:rPr>
        <w:t>2.12其他补充材料</w:t>
      </w:r>
    </w:p>
    <w:p>
      <w:pPr>
        <w:spacing w:line="360" w:lineRule="auto"/>
        <w:rPr>
          <w:rFonts w:ascii="Tahoma" w:hAnsi="Tahoma" w:cs="Tahoma"/>
          <w:szCs w:val="21"/>
        </w:rPr>
      </w:pPr>
      <w:r>
        <w:rPr>
          <w:rFonts w:ascii="Tahoma" w:hAnsi="Tahoma" w:cs="Tahoma"/>
          <w:b/>
          <w:bCs/>
          <w:szCs w:val="21"/>
        </w:rPr>
        <w:t>3.2. 投标报价</w:t>
      </w:r>
      <w:r>
        <w:rPr>
          <w:rFonts w:ascii="Tahoma" w:hAnsi="Tahoma" w:cs="Tahoma"/>
          <w:szCs w:val="21"/>
        </w:rPr>
        <w:t xml:space="preserve"> </w:t>
      </w:r>
    </w:p>
    <w:p>
      <w:pPr>
        <w:shd w:val="clear" w:color="auto" w:fill="FFFFFF"/>
        <w:snapToGrid w:val="0"/>
        <w:spacing w:line="360" w:lineRule="auto"/>
        <w:rPr>
          <w:rFonts w:ascii="Tahoma" w:hAnsi="Tahoma" w:cs="Tahoma"/>
          <w:szCs w:val="21"/>
        </w:rPr>
      </w:pPr>
      <w:r>
        <w:rPr>
          <w:rFonts w:ascii="Tahoma" w:hAnsi="Tahoma" w:cs="Tahoma"/>
          <w:szCs w:val="21"/>
        </w:rPr>
        <w:t xml:space="preserve">3.2.1 </w:t>
      </w:r>
      <w:r>
        <w:rPr>
          <w:rFonts w:hint="eastAsia" w:ascii="Tahoma" w:hAnsi="Tahoma" w:cs="Tahoma"/>
          <w:szCs w:val="21"/>
          <w:lang w:eastAsia="zh-CN"/>
        </w:rPr>
        <w:t>供应商</w:t>
      </w:r>
      <w:r>
        <w:rPr>
          <w:rFonts w:ascii="Tahoma" w:hAnsi="Tahoma" w:cs="Tahoma"/>
          <w:szCs w:val="21"/>
        </w:rPr>
        <w:t>应按招标文件的要求填写相应投标报价表格。</w:t>
      </w:r>
    </w:p>
    <w:p>
      <w:pPr>
        <w:spacing w:line="360" w:lineRule="auto"/>
        <w:rPr>
          <w:rFonts w:ascii="Tahoma" w:hAnsi="Tahoma" w:cs="Tahoma"/>
          <w:szCs w:val="21"/>
        </w:rPr>
      </w:pPr>
      <w:r>
        <w:rPr>
          <w:rFonts w:ascii="Tahoma" w:hAnsi="Tahoma" w:cs="Tahoma"/>
          <w:szCs w:val="21"/>
        </w:rPr>
        <w:t>3.2.2 除非有另外的规定，</w:t>
      </w:r>
      <w:r>
        <w:rPr>
          <w:rFonts w:hint="eastAsia" w:ascii="Tahoma" w:hAnsi="Tahoma" w:cs="Tahoma"/>
          <w:szCs w:val="21"/>
          <w:lang w:eastAsia="zh-CN"/>
        </w:rPr>
        <w:t>供应商</w:t>
      </w:r>
      <w:r>
        <w:rPr>
          <w:rFonts w:ascii="Tahoma" w:hAnsi="Tahoma" w:cs="Tahoma"/>
          <w:szCs w:val="21"/>
        </w:rPr>
        <w:t>可对招标项目一览表所列的全部合同包或部分合同包进行投标。招标代理机构不接受有任何可选择性的报价，每一种货物只能有一个报价。</w:t>
      </w:r>
      <w:r>
        <w:rPr>
          <w:rFonts w:ascii="Tahoma" w:hAnsi="Tahoma" w:cs="Tahoma"/>
          <w:b/>
          <w:szCs w:val="21"/>
        </w:rPr>
        <w:t>否则其投标将被拒绝！</w:t>
      </w:r>
    </w:p>
    <w:p>
      <w:pPr>
        <w:spacing w:line="360" w:lineRule="auto"/>
        <w:rPr>
          <w:rFonts w:ascii="Tahoma" w:hAnsi="Tahoma" w:cs="Tahoma"/>
          <w:szCs w:val="21"/>
        </w:rPr>
      </w:pPr>
      <w:r>
        <w:rPr>
          <w:rFonts w:ascii="Tahoma" w:hAnsi="Tahoma" w:cs="Tahoma"/>
          <w:b/>
          <w:bCs/>
          <w:szCs w:val="21"/>
        </w:rPr>
        <w:t xml:space="preserve">3.3. </w:t>
      </w:r>
      <w:r>
        <w:rPr>
          <w:rFonts w:hint="eastAsia" w:ascii="Tahoma" w:hAnsi="Tahoma" w:cs="Tahoma"/>
          <w:b/>
          <w:bCs/>
          <w:szCs w:val="21"/>
          <w:lang w:eastAsia="zh-CN"/>
        </w:rPr>
        <w:t>响应文件</w:t>
      </w:r>
      <w:r>
        <w:rPr>
          <w:rFonts w:ascii="Tahoma" w:hAnsi="Tahoma" w:cs="Tahoma"/>
          <w:b/>
          <w:bCs/>
          <w:szCs w:val="21"/>
        </w:rPr>
        <w:t>语言</w:t>
      </w:r>
    </w:p>
    <w:p>
      <w:pPr>
        <w:spacing w:line="360" w:lineRule="auto"/>
        <w:rPr>
          <w:rFonts w:ascii="Tahoma" w:hAnsi="Tahoma" w:cs="Tahoma"/>
          <w:szCs w:val="21"/>
        </w:rPr>
      </w:pPr>
      <w:r>
        <w:rPr>
          <w:rFonts w:ascii="Tahoma" w:hAnsi="Tahoma" w:cs="Tahoma"/>
          <w:szCs w:val="21"/>
        </w:rPr>
        <w:t>3.2.1</w:t>
      </w:r>
      <w:r>
        <w:rPr>
          <w:rFonts w:hint="eastAsia" w:ascii="Tahoma" w:hAnsi="Tahoma" w:cs="Tahoma"/>
          <w:szCs w:val="21"/>
          <w:lang w:eastAsia="zh-CN"/>
        </w:rPr>
        <w:t>响应文件</w:t>
      </w:r>
      <w:r>
        <w:rPr>
          <w:rFonts w:ascii="Tahoma" w:hAnsi="Tahoma" w:cs="Tahoma"/>
          <w:szCs w:val="21"/>
        </w:rPr>
        <w:t>应用中文书写。</w:t>
      </w:r>
      <w:r>
        <w:rPr>
          <w:rFonts w:hint="eastAsia" w:ascii="Tahoma" w:hAnsi="Tahoma" w:cs="Tahoma"/>
          <w:szCs w:val="21"/>
          <w:lang w:eastAsia="zh-CN"/>
        </w:rPr>
        <w:t>响应文件</w:t>
      </w:r>
      <w:r>
        <w:rPr>
          <w:rFonts w:ascii="Tahoma" w:hAnsi="Tahoma" w:cs="Tahoma"/>
          <w:szCs w:val="21"/>
        </w:rPr>
        <w:t>中所附或所引用的原件不是中文时，应附中文译本。各种计量单位及符号应采用国际上统一使用的公制计量单位和符号。</w:t>
      </w:r>
    </w:p>
    <w:p>
      <w:pPr>
        <w:spacing w:line="360" w:lineRule="auto"/>
        <w:rPr>
          <w:rFonts w:ascii="Tahoma" w:hAnsi="Tahoma" w:cs="Tahoma"/>
          <w:b/>
          <w:szCs w:val="21"/>
        </w:rPr>
      </w:pPr>
      <w:r>
        <w:rPr>
          <w:rFonts w:ascii="Tahoma" w:hAnsi="Tahoma" w:cs="Tahoma"/>
          <w:b/>
          <w:szCs w:val="21"/>
        </w:rPr>
        <w:t xml:space="preserve">3.4. </w:t>
      </w:r>
      <w:r>
        <w:rPr>
          <w:rFonts w:hint="eastAsia" w:ascii="Tahoma" w:hAnsi="Tahoma" w:cs="Tahoma"/>
          <w:b/>
          <w:szCs w:val="21"/>
          <w:lang w:eastAsia="zh-CN"/>
        </w:rPr>
        <w:t>响应文件</w:t>
      </w:r>
      <w:r>
        <w:rPr>
          <w:rFonts w:ascii="Tahoma" w:hAnsi="Tahoma" w:cs="Tahoma"/>
          <w:b/>
          <w:szCs w:val="21"/>
        </w:rPr>
        <w:t>的编制</w:t>
      </w:r>
    </w:p>
    <w:p>
      <w:pPr>
        <w:spacing w:line="360" w:lineRule="auto"/>
        <w:rPr>
          <w:rFonts w:ascii="Tahoma" w:hAnsi="Tahoma" w:cs="Tahoma"/>
          <w:szCs w:val="21"/>
        </w:rPr>
      </w:pPr>
      <w:r>
        <w:rPr>
          <w:rFonts w:ascii="Tahoma" w:hAnsi="Tahoma" w:cs="Tahoma"/>
          <w:szCs w:val="21"/>
        </w:rPr>
        <w:t>3.4.1</w:t>
      </w:r>
      <w:r>
        <w:rPr>
          <w:rFonts w:hint="eastAsia" w:ascii="Tahoma" w:hAnsi="Tahoma" w:cs="Tahoma"/>
          <w:szCs w:val="21"/>
          <w:lang w:eastAsia="zh-CN"/>
        </w:rPr>
        <w:t>响应文件</w:t>
      </w:r>
      <w:r>
        <w:rPr>
          <w:rFonts w:ascii="Tahoma" w:hAnsi="Tahoma" w:cs="Tahoma"/>
          <w:szCs w:val="21"/>
        </w:rPr>
        <w:t>应按招标文件</w:t>
      </w:r>
      <w:r>
        <w:rPr>
          <w:rFonts w:hint="eastAsia"/>
          <w:szCs w:val="21"/>
        </w:rPr>
        <w:t>“</w:t>
      </w:r>
      <w:r>
        <w:rPr>
          <w:rFonts w:hint="eastAsia"/>
          <w:szCs w:val="21"/>
          <w:lang w:eastAsia="zh-CN"/>
        </w:rPr>
        <w:t>响应文件</w:t>
      </w:r>
      <w:r>
        <w:rPr>
          <w:rFonts w:hint="eastAsia"/>
          <w:szCs w:val="21"/>
        </w:rPr>
        <w:t>格式”</w:t>
      </w:r>
      <w:r>
        <w:rPr>
          <w:rFonts w:ascii="Tahoma" w:hAnsi="Tahoma" w:cs="Tahoma"/>
          <w:szCs w:val="21"/>
        </w:rPr>
        <w:t>进行编写，如有必要，可以增加附页，作为</w:t>
      </w:r>
      <w:r>
        <w:rPr>
          <w:rFonts w:hint="eastAsia" w:ascii="Tahoma" w:hAnsi="Tahoma" w:cs="Tahoma"/>
          <w:szCs w:val="21"/>
          <w:lang w:eastAsia="zh-CN"/>
        </w:rPr>
        <w:t>响应文件</w:t>
      </w:r>
      <w:r>
        <w:rPr>
          <w:rFonts w:ascii="Tahoma" w:hAnsi="Tahoma" w:cs="Tahoma"/>
          <w:szCs w:val="21"/>
        </w:rPr>
        <w:t>的组成部分。其中，投标函附录在满足招标文件实质性要求的基础上，可以提出比招标文件要求更有利于</w:t>
      </w:r>
      <w:r>
        <w:rPr>
          <w:rFonts w:hint="eastAsia" w:ascii="Tahoma" w:hAnsi="Tahoma" w:cs="Tahoma"/>
          <w:szCs w:val="21"/>
          <w:lang w:eastAsia="zh-CN"/>
        </w:rPr>
        <w:t>采购人</w:t>
      </w:r>
      <w:r>
        <w:rPr>
          <w:rFonts w:ascii="Tahoma" w:hAnsi="Tahoma" w:cs="Tahoma"/>
          <w:szCs w:val="21"/>
        </w:rPr>
        <w:t>的承诺。</w:t>
      </w:r>
    </w:p>
    <w:p>
      <w:pPr>
        <w:spacing w:line="360" w:lineRule="auto"/>
        <w:rPr>
          <w:rFonts w:ascii="Tahoma" w:hAnsi="Tahoma" w:cs="Tahoma"/>
          <w:szCs w:val="21"/>
        </w:rPr>
      </w:pPr>
      <w:r>
        <w:rPr>
          <w:rFonts w:ascii="Tahoma" w:hAnsi="Tahoma" w:cs="Tahoma"/>
          <w:szCs w:val="21"/>
        </w:rPr>
        <w:t xml:space="preserve">3.4.2 </w:t>
      </w:r>
      <w:r>
        <w:rPr>
          <w:rFonts w:hint="eastAsia" w:ascii="Tahoma" w:hAnsi="Tahoma" w:cs="Tahoma"/>
          <w:szCs w:val="21"/>
          <w:lang w:eastAsia="zh-CN"/>
        </w:rPr>
        <w:t>响应文件</w:t>
      </w:r>
      <w:r>
        <w:rPr>
          <w:rFonts w:ascii="Tahoma" w:hAnsi="Tahoma" w:cs="Tahoma"/>
          <w:szCs w:val="21"/>
        </w:rPr>
        <w:t>应当对招标文件有关供货计划、投标有效期、质量要求、技术标准和要求、招标范围等实质性内容做出响应。</w:t>
      </w:r>
    </w:p>
    <w:p>
      <w:pPr>
        <w:spacing w:line="360" w:lineRule="auto"/>
        <w:rPr>
          <w:rFonts w:ascii="Tahoma" w:hAnsi="Tahoma" w:cs="Tahoma"/>
          <w:szCs w:val="21"/>
        </w:rPr>
      </w:pPr>
      <w:r>
        <w:rPr>
          <w:rFonts w:ascii="Tahoma" w:hAnsi="Tahoma" w:cs="Tahoma"/>
          <w:szCs w:val="21"/>
        </w:rPr>
        <w:t>3.4.3</w:t>
      </w:r>
      <w:r>
        <w:rPr>
          <w:rFonts w:hint="eastAsia" w:ascii="Tahoma" w:hAnsi="Tahoma" w:cs="Tahoma"/>
          <w:szCs w:val="21"/>
          <w:lang w:eastAsia="zh-CN"/>
        </w:rPr>
        <w:t>供应商</w:t>
      </w:r>
      <w:r>
        <w:rPr>
          <w:rFonts w:ascii="Tahoma" w:hAnsi="Tahoma" w:cs="Tahoma"/>
          <w:szCs w:val="21"/>
        </w:rPr>
        <w:t>须编制由本须知第3.1条规定</w:t>
      </w:r>
      <w:r>
        <w:rPr>
          <w:rFonts w:hint="eastAsia" w:ascii="Tahoma" w:hAnsi="Tahoma" w:cs="Tahoma"/>
          <w:szCs w:val="21"/>
          <w:lang w:eastAsia="zh-CN"/>
        </w:rPr>
        <w:t>响应文件</w:t>
      </w:r>
      <w:r>
        <w:rPr>
          <w:rFonts w:ascii="Tahoma" w:hAnsi="Tahoma" w:cs="Tahoma"/>
          <w:szCs w:val="21"/>
        </w:rPr>
        <w:t>组成内容的</w:t>
      </w:r>
      <w:r>
        <w:rPr>
          <w:rFonts w:hint="eastAsia" w:ascii="Tahoma" w:hAnsi="Tahoma" w:cs="Tahoma"/>
          <w:szCs w:val="21"/>
          <w:lang w:eastAsia="zh-CN"/>
        </w:rPr>
        <w:t>响应文件</w:t>
      </w:r>
      <w:r>
        <w:rPr>
          <w:rFonts w:ascii="Tahoma" w:hAnsi="Tahoma" w:cs="Tahoma"/>
          <w:szCs w:val="21"/>
        </w:rPr>
        <w:t>一套：包括正本一份、副本</w:t>
      </w:r>
      <w:r>
        <w:rPr>
          <w:rFonts w:hint="eastAsia" w:ascii="Tahoma" w:hAnsi="Tahoma" w:cs="Tahoma"/>
          <w:szCs w:val="21"/>
          <w:lang w:val="en-US" w:eastAsia="zh-CN"/>
        </w:rPr>
        <w:t>六</w:t>
      </w:r>
      <w:r>
        <w:rPr>
          <w:rFonts w:ascii="Tahoma" w:hAnsi="Tahoma" w:cs="Tahoma"/>
          <w:szCs w:val="21"/>
        </w:rPr>
        <w:t>份</w:t>
      </w:r>
      <w:r>
        <w:rPr>
          <w:rFonts w:hint="eastAsia" w:ascii="Tahoma" w:hAnsi="Tahoma" w:cs="Tahoma"/>
          <w:szCs w:val="21"/>
        </w:rPr>
        <w:t>、</w:t>
      </w:r>
      <w:r>
        <w:rPr>
          <w:rFonts w:hint="eastAsia" w:ascii="Tahoma" w:hAnsi="Tahoma" w:cs="Tahoma"/>
          <w:szCs w:val="21"/>
          <w:lang w:eastAsia="zh-CN"/>
        </w:rPr>
        <w:t>报价一览表</w:t>
      </w:r>
      <w:r>
        <w:rPr>
          <w:rFonts w:hint="eastAsia" w:ascii="Tahoma" w:hAnsi="Tahoma" w:cs="Tahoma"/>
          <w:szCs w:val="21"/>
        </w:rPr>
        <w:t>一份、电子版一份（U盘一份</w:t>
      </w:r>
      <w:r>
        <w:rPr>
          <w:rFonts w:hint="eastAsia" w:ascii="Times New Roman" w:cs="Times New Roman"/>
          <w:b/>
          <w:bCs/>
          <w:szCs w:val="21"/>
        </w:rPr>
        <w:t>PDF版，否则视为不响应招标文件视为投标无效，</w:t>
      </w:r>
      <w:r>
        <w:rPr>
          <w:rFonts w:hint="eastAsia" w:ascii="Tahoma" w:hAnsi="Tahoma" w:cs="Tahoma"/>
          <w:szCs w:val="21"/>
        </w:rPr>
        <w:t>）</w:t>
      </w:r>
      <w:r>
        <w:rPr>
          <w:rFonts w:hint="eastAsia" w:ascii="Tahoma" w:hAnsi="Tahoma" w:cs="Tahoma"/>
          <w:szCs w:val="21"/>
          <w:lang w:eastAsia="zh-CN"/>
        </w:rPr>
        <w:t>响应文件</w:t>
      </w:r>
      <w:r>
        <w:rPr>
          <w:rFonts w:ascii="Tahoma" w:hAnsi="Tahoma" w:cs="Tahoma"/>
          <w:szCs w:val="21"/>
        </w:rPr>
        <w:t>的正本应使用不能擦去的墨料或墨水打印、书写，必须采用A4幅面纸张（图页除外）进行胶装。并在封面右上角标明</w:t>
      </w:r>
      <w:r>
        <w:rPr>
          <w:rFonts w:hint="eastAsia"/>
          <w:szCs w:val="21"/>
        </w:rPr>
        <w:t>“正本”、“副本”</w:t>
      </w:r>
      <w:r>
        <w:rPr>
          <w:rFonts w:ascii="Tahoma" w:hAnsi="Tahoma" w:cs="Tahoma"/>
          <w:szCs w:val="21"/>
        </w:rPr>
        <w:t>字样，副本与正本如有不一致的，则以正本为准。</w:t>
      </w:r>
    </w:p>
    <w:p>
      <w:pPr>
        <w:spacing w:line="360" w:lineRule="auto"/>
        <w:rPr>
          <w:rFonts w:ascii="Tahoma" w:hAnsi="Tahoma" w:cs="Tahoma"/>
          <w:b/>
          <w:szCs w:val="21"/>
        </w:rPr>
      </w:pPr>
      <w:r>
        <w:rPr>
          <w:rFonts w:ascii="Tahoma" w:hAnsi="Tahoma" w:cs="Tahoma"/>
          <w:szCs w:val="21"/>
        </w:rPr>
        <w:t>3.4.4</w:t>
      </w:r>
      <w:r>
        <w:rPr>
          <w:rFonts w:hint="eastAsia" w:ascii="Tahoma" w:hAnsi="Tahoma" w:cs="Tahoma"/>
          <w:b/>
          <w:szCs w:val="21"/>
          <w:lang w:eastAsia="zh-CN"/>
        </w:rPr>
        <w:t>响应文件</w:t>
      </w:r>
      <w:r>
        <w:rPr>
          <w:rFonts w:ascii="Tahoma" w:hAnsi="Tahoma" w:cs="Tahoma"/>
          <w:b/>
          <w:szCs w:val="21"/>
        </w:rPr>
        <w:t>的“正本”应由</w:t>
      </w:r>
      <w:r>
        <w:rPr>
          <w:rFonts w:hint="eastAsia" w:ascii="Tahoma" w:hAnsi="Tahoma" w:cs="Tahoma"/>
          <w:b/>
          <w:szCs w:val="21"/>
          <w:lang w:eastAsia="zh-CN"/>
        </w:rPr>
        <w:t>供应商</w:t>
      </w:r>
      <w:r>
        <w:rPr>
          <w:rFonts w:ascii="Tahoma" w:hAnsi="Tahoma" w:cs="Tahoma"/>
          <w:b/>
          <w:szCs w:val="21"/>
        </w:rPr>
        <w:t>的法定代表人或者其授权代表</w:t>
      </w:r>
      <w:r>
        <w:rPr>
          <w:rFonts w:hint="eastAsia" w:ascii="Tahoma" w:hAnsi="Tahoma" w:cs="Tahoma"/>
          <w:b/>
          <w:szCs w:val="21"/>
        </w:rPr>
        <w:t>在凡规定签字或盖章处逐一签署并加盖单位公章</w:t>
      </w:r>
      <w:r>
        <w:rPr>
          <w:rFonts w:ascii="Tahoma" w:hAnsi="Tahoma" w:cs="Tahoma"/>
          <w:b/>
          <w:szCs w:val="21"/>
        </w:rPr>
        <w:t>，</w:t>
      </w:r>
      <w:r>
        <w:rPr>
          <w:rFonts w:hint="eastAsia" w:ascii="Tahoma" w:hAnsi="Tahoma" w:cs="Tahoma"/>
          <w:b/>
          <w:szCs w:val="21"/>
          <w:lang w:eastAsia="zh-CN"/>
        </w:rPr>
        <w:t>响应文件</w:t>
      </w:r>
      <w:r>
        <w:rPr>
          <w:rFonts w:ascii="Tahoma" w:hAnsi="Tahoma" w:cs="Tahoma"/>
          <w:b/>
          <w:szCs w:val="21"/>
        </w:rPr>
        <w:t>应附法定代表人签署的授权委托书（应与开标时到场的授权委托人相一致）。否则，其投标无效！</w:t>
      </w:r>
    </w:p>
    <w:p>
      <w:pPr>
        <w:spacing w:line="360" w:lineRule="auto"/>
        <w:rPr>
          <w:rFonts w:ascii="Tahoma" w:hAnsi="Tahoma" w:cs="Tahoma"/>
          <w:szCs w:val="21"/>
        </w:rPr>
      </w:pPr>
      <w:r>
        <w:rPr>
          <w:rFonts w:ascii="Tahoma" w:hAnsi="Tahoma" w:cs="Tahoma"/>
          <w:szCs w:val="21"/>
        </w:rPr>
        <w:t>3.4.5</w:t>
      </w:r>
      <w:r>
        <w:rPr>
          <w:rFonts w:hint="eastAsia" w:ascii="Tahoma" w:hAnsi="Tahoma" w:cs="Tahoma"/>
          <w:szCs w:val="21"/>
          <w:lang w:eastAsia="zh-CN"/>
        </w:rPr>
        <w:t>响应文件</w:t>
      </w:r>
      <w:r>
        <w:rPr>
          <w:rFonts w:ascii="Tahoma" w:hAnsi="Tahoma" w:cs="Tahoma"/>
          <w:szCs w:val="21"/>
        </w:rPr>
        <w:t>的全部副本应使用不能擦去的墨料或墨水打印、书写，也可以用正本的</w:t>
      </w:r>
      <w:r>
        <w:rPr>
          <w:rFonts w:ascii="Tahoma" w:hAnsi="Tahoma" w:cs="Tahoma"/>
          <w:b/>
          <w:bCs/>
          <w:szCs w:val="21"/>
        </w:rPr>
        <w:t>全套完整复印件</w:t>
      </w:r>
      <w:r>
        <w:rPr>
          <w:rFonts w:ascii="Tahoma" w:hAnsi="Tahoma" w:cs="Tahoma"/>
          <w:szCs w:val="21"/>
        </w:rPr>
        <w:t>（A4幅面，图页除外）并胶装</w:t>
      </w:r>
      <w:r>
        <w:rPr>
          <w:rFonts w:hint="eastAsia" w:ascii="Tahoma" w:hAnsi="Tahoma" w:cs="Tahoma"/>
          <w:szCs w:val="21"/>
        </w:rPr>
        <w:t>。</w:t>
      </w:r>
    </w:p>
    <w:p>
      <w:pPr>
        <w:spacing w:line="360" w:lineRule="auto"/>
        <w:rPr>
          <w:rFonts w:ascii="Tahoma" w:hAnsi="Tahoma" w:cs="Tahoma"/>
          <w:szCs w:val="21"/>
        </w:rPr>
      </w:pPr>
      <w:r>
        <w:rPr>
          <w:rFonts w:ascii="Tahoma" w:hAnsi="Tahoma" w:cs="Tahoma"/>
          <w:szCs w:val="21"/>
        </w:rPr>
        <w:t>3.4.6全套</w:t>
      </w:r>
      <w:r>
        <w:rPr>
          <w:rFonts w:hint="eastAsia" w:ascii="Tahoma" w:hAnsi="Tahoma" w:cs="Tahoma"/>
          <w:szCs w:val="21"/>
          <w:lang w:eastAsia="zh-CN"/>
        </w:rPr>
        <w:t>响应文件</w:t>
      </w:r>
      <w:r>
        <w:rPr>
          <w:rFonts w:ascii="Tahoma" w:hAnsi="Tahoma" w:cs="Tahoma"/>
          <w:szCs w:val="21"/>
        </w:rPr>
        <w:t>应无涂改和行间插字，除非这些改动是根据招标代理机构的指示进行的，或者是为改正</w:t>
      </w:r>
      <w:r>
        <w:rPr>
          <w:rFonts w:hint="eastAsia" w:ascii="Tahoma" w:hAnsi="Tahoma" w:cs="Tahoma"/>
          <w:szCs w:val="21"/>
          <w:lang w:eastAsia="zh-CN"/>
        </w:rPr>
        <w:t>供应商</w:t>
      </w:r>
      <w:r>
        <w:rPr>
          <w:rFonts w:ascii="Tahoma" w:hAnsi="Tahoma" w:cs="Tahoma"/>
          <w:szCs w:val="21"/>
        </w:rPr>
        <w:t>造成的必须修改的错误而进行的。有改动时，修改处应由授权代表签署证明或加盖</w:t>
      </w:r>
      <w:r>
        <w:rPr>
          <w:rFonts w:hint="eastAsia" w:ascii="Tahoma" w:hAnsi="Tahoma" w:cs="Tahoma"/>
          <w:szCs w:val="21"/>
          <w:lang w:eastAsia="zh-CN"/>
        </w:rPr>
        <w:t>供应商</w:t>
      </w:r>
      <w:r>
        <w:rPr>
          <w:rFonts w:ascii="Tahoma" w:hAnsi="Tahoma" w:cs="Tahoma"/>
          <w:szCs w:val="21"/>
        </w:rPr>
        <w:t xml:space="preserve">章。 </w:t>
      </w:r>
    </w:p>
    <w:p>
      <w:pPr>
        <w:spacing w:line="360" w:lineRule="auto"/>
        <w:rPr>
          <w:rFonts w:ascii="Tahoma" w:hAnsi="Tahoma" w:cs="Tahoma"/>
          <w:szCs w:val="21"/>
        </w:rPr>
      </w:pPr>
      <w:r>
        <w:rPr>
          <w:rFonts w:ascii="Tahoma" w:hAnsi="Tahoma" w:cs="Tahoma"/>
          <w:szCs w:val="21"/>
        </w:rPr>
        <w:t>3.4.7除非有另外的规定或许可，投标使用货币为：人民币。</w:t>
      </w:r>
    </w:p>
    <w:p>
      <w:pPr>
        <w:spacing w:line="360" w:lineRule="auto"/>
        <w:rPr>
          <w:rFonts w:ascii="Tahoma" w:hAnsi="Tahoma" w:cs="Tahoma"/>
          <w:szCs w:val="21"/>
        </w:rPr>
      </w:pPr>
      <w:r>
        <w:rPr>
          <w:rFonts w:ascii="Tahoma" w:hAnsi="Tahoma" w:cs="Tahoma"/>
          <w:szCs w:val="21"/>
        </w:rPr>
        <w:t>3.4.8</w:t>
      </w:r>
      <w:r>
        <w:rPr>
          <w:rFonts w:hint="eastAsia" w:ascii="Tahoma" w:hAnsi="Tahoma" w:cs="Tahoma"/>
          <w:szCs w:val="21"/>
          <w:lang w:eastAsia="zh-CN"/>
        </w:rPr>
        <w:t>供应商</w:t>
      </w:r>
      <w:r>
        <w:rPr>
          <w:rFonts w:ascii="Tahoma" w:hAnsi="Tahoma" w:cs="Tahoma"/>
          <w:szCs w:val="21"/>
        </w:rPr>
        <w:t xml:space="preserve">应提交证明其拟供货物符合招标文件要求的技术文件，该文件可以是包括文字资料、图纸和数据等组成，并须提供货物主要技术性能的详细描述。 </w:t>
      </w:r>
    </w:p>
    <w:p>
      <w:pPr>
        <w:spacing w:line="360" w:lineRule="auto"/>
        <w:rPr>
          <w:rFonts w:ascii="Tahoma" w:hAnsi="Tahoma" w:cs="Tahoma"/>
          <w:szCs w:val="21"/>
        </w:rPr>
      </w:pPr>
      <w:r>
        <w:rPr>
          <w:rFonts w:ascii="Tahoma" w:hAnsi="Tahoma" w:cs="Tahoma"/>
          <w:szCs w:val="21"/>
        </w:rPr>
        <w:t>3.4.9</w:t>
      </w:r>
      <w:r>
        <w:rPr>
          <w:rFonts w:ascii="Tahoma" w:hAnsi="Tahoma" w:cs="Tahoma"/>
          <w:b/>
          <w:szCs w:val="21"/>
        </w:rPr>
        <w:t>未按招标文件规定的内容编写的</w:t>
      </w:r>
      <w:r>
        <w:rPr>
          <w:rFonts w:hint="eastAsia" w:ascii="Tahoma" w:hAnsi="Tahoma" w:cs="Tahoma"/>
          <w:b/>
          <w:szCs w:val="21"/>
          <w:lang w:eastAsia="zh-CN"/>
        </w:rPr>
        <w:t>响应文件</w:t>
      </w:r>
      <w:r>
        <w:rPr>
          <w:rFonts w:ascii="Tahoma" w:hAnsi="Tahoma" w:cs="Tahoma"/>
          <w:b/>
          <w:szCs w:val="21"/>
        </w:rPr>
        <w:t>或</w:t>
      </w:r>
      <w:r>
        <w:rPr>
          <w:rFonts w:hint="eastAsia" w:ascii="Tahoma" w:hAnsi="Tahoma" w:cs="Tahoma"/>
          <w:b/>
          <w:szCs w:val="21"/>
          <w:lang w:eastAsia="zh-CN"/>
        </w:rPr>
        <w:t>响应文件</w:t>
      </w:r>
      <w:r>
        <w:rPr>
          <w:rFonts w:ascii="Tahoma" w:hAnsi="Tahoma" w:cs="Tahoma"/>
          <w:b/>
          <w:szCs w:val="21"/>
        </w:rPr>
        <w:t>字迹模糊不清的，无法辨认其价格、关键参数或指标等的，其投标无效。</w:t>
      </w:r>
    </w:p>
    <w:p>
      <w:pPr>
        <w:spacing w:line="360" w:lineRule="auto"/>
        <w:rPr>
          <w:rFonts w:ascii="Tahoma" w:hAnsi="Tahoma" w:cs="Tahoma"/>
          <w:szCs w:val="21"/>
        </w:rPr>
      </w:pPr>
      <w:r>
        <w:rPr>
          <w:rFonts w:ascii="Tahoma" w:hAnsi="Tahoma" w:cs="Tahoma"/>
          <w:szCs w:val="21"/>
        </w:rPr>
        <w:t>3.4.10</w:t>
      </w:r>
      <w:r>
        <w:rPr>
          <w:rFonts w:hint="eastAsia" w:ascii="Tahoma" w:hAnsi="Tahoma" w:cs="Tahoma"/>
          <w:szCs w:val="21"/>
          <w:lang w:eastAsia="zh-CN"/>
        </w:rPr>
        <w:t>供应商</w:t>
      </w:r>
      <w:r>
        <w:rPr>
          <w:rFonts w:ascii="Tahoma" w:hAnsi="Tahoma" w:cs="Tahoma"/>
          <w:szCs w:val="21"/>
        </w:rPr>
        <w:t>可对本次招标的所有货物进行投标，也可只对其中一个合同包或几个合同包的货物进行投标；除非招标文件另有规定，不得将一个合同包中的货物拆开投标。</w:t>
      </w:r>
    </w:p>
    <w:p>
      <w:pPr>
        <w:spacing w:line="360" w:lineRule="auto"/>
        <w:rPr>
          <w:rFonts w:ascii="Tahoma" w:hAnsi="Tahoma" w:cs="Tahoma"/>
          <w:b/>
          <w:bCs/>
          <w:szCs w:val="21"/>
        </w:rPr>
      </w:pPr>
      <w:r>
        <w:rPr>
          <w:rFonts w:ascii="Tahoma" w:hAnsi="Tahoma" w:cs="Tahoma"/>
          <w:b/>
          <w:bCs/>
          <w:szCs w:val="21"/>
        </w:rPr>
        <w:t>3.5. 投标有效期</w:t>
      </w:r>
    </w:p>
    <w:p>
      <w:pPr>
        <w:spacing w:line="360" w:lineRule="auto"/>
        <w:rPr>
          <w:rFonts w:ascii="Tahoma" w:hAnsi="Tahoma" w:cs="Tahoma"/>
          <w:szCs w:val="21"/>
        </w:rPr>
      </w:pPr>
      <w:r>
        <w:rPr>
          <w:rFonts w:ascii="Tahoma" w:hAnsi="Tahoma" w:cs="Tahoma"/>
          <w:szCs w:val="21"/>
        </w:rPr>
        <w:t>3.5.1</w:t>
      </w:r>
      <w:r>
        <w:rPr>
          <w:rFonts w:hint="eastAsia" w:ascii="Tahoma" w:hAnsi="Tahoma" w:cs="Tahoma"/>
          <w:szCs w:val="21"/>
          <w:lang w:eastAsia="zh-CN"/>
        </w:rPr>
        <w:t>响应文件</w:t>
      </w:r>
      <w:r>
        <w:rPr>
          <w:rFonts w:ascii="Tahoma" w:hAnsi="Tahoma" w:cs="Tahoma"/>
          <w:szCs w:val="21"/>
        </w:rPr>
        <w:t>从</w:t>
      </w:r>
      <w:r>
        <w:rPr>
          <w:rFonts w:hint="eastAsia" w:ascii="Tahoma" w:hAnsi="Tahoma" w:cs="Tahoma"/>
          <w:szCs w:val="21"/>
          <w:lang w:eastAsia="zh-CN"/>
        </w:rPr>
        <w:t>供应商</w:t>
      </w:r>
      <w:r>
        <w:rPr>
          <w:rFonts w:ascii="Tahoma" w:hAnsi="Tahoma" w:cs="Tahoma"/>
          <w:szCs w:val="21"/>
        </w:rPr>
        <w:t>须知前附表所规定的投标截止期之后开始生效，在</w:t>
      </w:r>
      <w:r>
        <w:rPr>
          <w:rFonts w:hint="eastAsia" w:ascii="Tahoma" w:hAnsi="Tahoma" w:cs="Tahoma"/>
          <w:szCs w:val="21"/>
          <w:lang w:eastAsia="zh-CN"/>
        </w:rPr>
        <w:t>供应商</w:t>
      </w:r>
      <w:r>
        <w:rPr>
          <w:rFonts w:ascii="Tahoma" w:hAnsi="Tahoma" w:cs="Tahoma"/>
          <w:szCs w:val="21"/>
        </w:rPr>
        <w:t>须知前附表所规定的期限内保持有效。有效期不足将导致其</w:t>
      </w:r>
      <w:r>
        <w:rPr>
          <w:rFonts w:hint="eastAsia" w:ascii="Tahoma" w:hAnsi="Tahoma" w:cs="Tahoma"/>
          <w:szCs w:val="21"/>
          <w:lang w:eastAsia="zh-CN"/>
        </w:rPr>
        <w:t>响应文件</w:t>
      </w:r>
      <w:r>
        <w:rPr>
          <w:rFonts w:ascii="Tahoma" w:hAnsi="Tahoma" w:cs="Tahoma"/>
          <w:szCs w:val="21"/>
        </w:rPr>
        <w:t>被拒绝。</w:t>
      </w:r>
    </w:p>
    <w:p>
      <w:pPr>
        <w:spacing w:line="360" w:lineRule="auto"/>
        <w:rPr>
          <w:rFonts w:ascii="Tahoma" w:hAnsi="Tahoma" w:cs="Tahoma"/>
          <w:szCs w:val="21"/>
        </w:rPr>
      </w:pPr>
      <w:r>
        <w:rPr>
          <w:rFonts w:ascii="Tahoma" w:hAnsi="Tahoma" w:cs="Tahoma"/>
          <w:szCs w:val="21"/>
        </w:rPr>
        <w:t>3.5.2特殊情况下招标代理人可于投标有效期满之前书面要求</w:t>
      </w:r>
      <w:r>
        <w:rPr>
          <w:rFonts w:hint="eastAsia" w:ascii="Tahoma" w:hAnsi="Tahoma" w:cs="Tahoma"/>
          <w:szCs w:val="21"/>
          <w:lang w:eastAsia="zh-CN"/>
        </w:rPr>
        <w:t>供应商</w:t>
      </w:r>
      <w:r>
        <w:rPr>
          <w:rFonts w:ascii="Tahoma" w:hAnsi="Tahoma" w:cs="Tahoma"/>
          <w:szCs w:val="21"/>
        </w:rPr>
        <w:t>同意延长有效期，</w:t>
      </w:r>
      <w:r>
        <w:rPr>
          <w:rFonts w:hint="eastAsia" w:ascii="Tahoma" w:hAnsi="Tahoma" w:cs="Tahoma"/>
          <w:szCs w:val="21"/>
          <w:lang w:eastAsia="zh-CN"/>
        </w:rPr>
        <w:t>供应商</w:t>
      </w:r>
      <w:r>
        <w:rPr>
          <w:rFonts w:ascii="Tahoma" w:hAnsi="Tahoma" w:cs="Tahoma"/>
          <w:szCs w:val="21"/>
        </w:rPr>
        <w:t>应在招标代理机构规定的期限内以书面形式予以答复。</w:t>
      </w:r>
      <w:r>
        <w:rPr>
          <w:rFonts w:hint="eastAsia" w:ascii="Tahoma" w:hAnsi="Tahoma" w:cs="Tahoma"/>
          <w:szCs w:val="21"/>
          <w:lang w:eastAsia="zh-CN"/>
        </w:rPr>
        <w:t>供应商</w:t>
      </w:r>
      <w:r>
        <w:rPr>
          <w:rFonts w:ascii="Tahoma" w:hAnsi="Tahoma" w:cs="Tahoma"/>
          <w:szCs w:val="21"/>
        </w:rPr>
        <w:t>可以拒绝上述要求而其投标保证金可按规定予以退还。</w:t>
      </w:r>
      <w:r>
        <w:rPr>
          <w:rFonts w:hint="eastAsia" w:ascii="Tahoma" w:hAnsi="Tahoma" w:cs="Tahoma"/>
          <w:szCs w:val="21"/>
          <w:lang w:eastAsia="zh-CN"/>
        </w:rPr>
        <w:t>供应商</w:t>
      </w:r>
      <w:r>
        <w:rPr>
          <w:rFonts w:ascii="Tahoma" w:hAnsi="Tahoma" w:cs="Tahoma"/>
          <w:szCs w:val="21"/>
        </w:rPr>
        <w:t>答复不明确或者逾期未答复的，均视为拒绝上述要求。对于接受该要求的</w:t>
      </w:r>
      <w:r>
        <w:rPr>
          <w:rFonts w:hint="eastAsia" w:ascii="Tahoma" w:hAnsi="Tahoma" w:cs="Tahoma"/>
          <w:szCs w:val="21"/>
          <w:lang w:eastAsia="zh-CN"/>
        </w:rPr>
        <w:t>供应商</w:t>
      </w:r>
      <w:r>
        <w:rPr>
          <w:rFonts w:ascii="Tahoma" w:hAnsi="Tahoma" w:cs="Tahoma"/>
          <w:szCs w:val="21"/>
        </w:rPr>
        <w:t>，既不要求也不允许其修改</w:t>
      </w:r>
      <w:r>
        <w:rPr>
          <w:rFonts w:hint="eastAsia" w:ascii="Tahoma" w:hAnsi="Tahoma" w:cs="Tahoma"/>
          <w:szCs w:val="21"/>
          <w:lang w:eastAsia="zh-CN"/>
        </w:rPr>
        <w:t>响应文件</w:t>
      </w:r>
      <w:r>
        <w:rPr>
          <w:rFonts w:ascii="Tahoma" w:hAnsi="Tahoma" w:cs="Tahoma"/>
          <w:szCs w:val="21"/>
        </w:rPr>
        <w:t>，但将要求其相应延长投标保证金有效期，有关退还和不予退还投标保证金的规定在投标有效期延长期内继续有效。</w:t>
      </w:r>
    </w:p>
    <w:p>
      <w:pPr>
        <w:spacing w:line="360" w:lineRule="auto"/>
        <w:rPr>
          <w:rFonts w:ascii="Tahoma" w:hAnsi="Tahoma" w:cs="Tahoma"/>
          <w:b/>
          <w:bCs/>
          <w:szCs w:val="21"/>
        </w:rPr>
      </w:pPr>
      <w:r>
        <w:rPr>
          <w:rFonts w:ascii="Tahoma" w:hAnsi="Tahoma" w:cs="Tahoma"/>
          <w:b/>
          <w:bCs/>
          <w:szCs w:val="21"/>
        </w:rPr>
        <w:t>3.6. 投标保证金</w:t>
      </w:r>
    </w:p>
    <w:p>
      <w:pPr>
        <w:spacing w:line="360" w:lineRule="auto"/>
        <w:rPr>
          <w:rFonts w:ascii="Tahoma" w:hAnsi="Tahoma" w:cs="Tahoma"/>
          <w:szCs w:val="21"/>
        </w:rPr>
      </w:pPr>
      <w:r>
        <w:rPr>
          <w:rFonts w:ascii="Tahoma" w:hAnsi="Tahoma" w:cs="Tahoma"/>
          <w:szCs w:val="21"/>
        </w:rPr>
        <w:t>3.6.1 投标保证金为</w:t>
      </w:r>
      <w:r>
        <w:rPr>
          <w:rFonts w:hint="eastAsia" w:ascii="Tahoma" w:hAnsi="Tahoma" w:cs="Tahoma"/>
          <w:szCs w:val="21"/>
          <w:lang w:eastAsia="zh-CN"/>
        </w:rPr>
        <w:t>响应文件</w:t>
      </w:r>
      <w:r>
        <w:rPr>
          <w:rFonts w:ascii="Tahoma" w:hAnsi="Tahoma" w:cs="Tahoma"/>
          <w:szCs w:val="21"/>
        </w:rPr>
        <w:t>的组成部分之一。</w:t>
      </w:r>
    </w:p>
    <w:p>
      <w:pPr>
        <w:spacing w:line="360" w:lineRule="auto"/>
        <w:rPr>
          <w:rFonts w:ascii="Tahoma" w:hAnsi="Tahoma" w:cs="Tahoma"/>
          <w:szCs w:val="21"/>
        </w:rPr>
      </w:pPr>
      <w:r>
        <w:rPr>
          <w:rFonts w:ascii="Tahoma" w:hAnsi="Tahoma" w:cs="Tahoma"/>
          <w:szCs w:val="21"/>
        </w:rPr>
        <w:t xml:space="preserve">3.6.2 </w:t>
      </w:r>
      <w:r>
        <w:rPr>
          <w:rFonts w:hint="eastAsia" w:ascii="Tahoma" w:hAnsi="Tahoma" w:cs="Tahoma"/>
          <w:szCs w:val="21"/>
          <w:lang w:eastAsia="zh-CN"/>
        </w:rPr>
        <w:t>供应商</w:t>
      </w:r>
      <w:r>
        <w:rPr>
          <w:rFonts w:ascii="Tahoma" w:hAnsi="Tahoma" w:cs="Tahoma"/>
          <w:szCs w:val="21"/>
        </w:rPr>
        <w:t>应在提交</w:t>
      </w:r>
      <w:r>
        <w:rPr>
          <w:rFonts w:hint="eastAsia" w:ascii="Tahoma" w:hAnsi="Tahoma" w:cs="Tahoma"/>
          <w:szCs w:val="21"/>
          <w:lang w:eastAsia="zh-CN"/>
        </w:rPr>
        <w:t>响应文件</w:t>
      </w:r>
      <w:r>
        <w:rPr>
          <w:rFonts w:ascii="Tahoma" w:hAnsi="Tahoma" w:cs="Tahoma"/>
          <w:szCs w:val="21"/>
        </w:rPr>
        <w:t>之前向招标代理机构缴交</w:t>
      </w:r>
      <w:r>
        <w:rPr>
          <w:rFonts w:hint="eastAsia" w:ascii="Tahoma" w:hAnsi="Tahoma" w:cs="Tahoma"/>
          <w:szCs w:val="21"/>
          <w:lang w:eastAsia="zh-CN"/>
        </w:rPr>
        <w:t>供应商</w:t>
      </w:r>
      <w:r>
        <w:rPr>
          <w:rFonts w:ascii="Tahoma" w:hAnsi="Tahoma" w:cs="Tahoma"/>
          <w:szCs w:val="21"/>
        </w:rPr>
        <w:t>须知前附表要求的投标保证金。联合体投标的，可以由联合体中的一方或者共同提交投标保证金，以一方名义提交投标保证金的，对联合体各方均具有约束力。</w:t>
      </w:r>
    </w:p>
    <w:p>
      <w:pPr>
        <w:spacing w:line="360" w:lineRule="auto"/>
        <w:rPr>
          <w:rFonts w:ascii="Tahoma" w:hAnsi="Tahoma" w:cs="Tahoma"/>
          <w:szCs w:val="21"/>
        </w:rPr>
      </w:pPr>
      <w:r>
        <w:rPr>
          <w:rFonts w:ascii="Tahoma" w:hAnsi="Tahoma" w:cs="Tahoma"/>
          <w:szCs w:val="21"/>
        </w:rPr>
        <w:t>3.6.3 投标保证金用于保护本次招标活动免受</w:t>
      </w:r>
      <w:r>
        <w:rPr>
          <w:rFonts w:hint="eastAsia" w:ascii="Tahoma" w:hAnsi="Tahoma" w:cs="Tahoma"/>
          <w:szCs w:val="21"/>
          <w:lang w:eastAsia="zh-CN"/>
        </w:rPr>
        <w:t>供应商</w:t>
      </w:r>
      <w:r>
        <w:rPr>
          <w:rFonts w:ascii="Tahoma" w:hAnsi="Tahoma" w:cs="Tahoma"/>
          <w:szCs w:val="21"/>
        </w:rPr>
        <w:t>的行为而引起的风险。</w:t>
      </w:r>
    </w:p>
    <w:p>
      <w:pPr>
        <w:spacing w:line="360" w:lineRule="auto"/>
        <w:rPr>
          <w:rFonts w:ascii="Tahoma" w:hAnsi="Tahoma" w:cs="Tahoma"/>
          <w:szCs w:val="21"/>
        </w:rPr>
      </w:pPr>
      <w:r>
        <w:rPr>
          <w:rFonts w:ascii="Tahoma" w:hAnsi="Tahoma" w:cs="Tahoma"/>
          <w:szCs w:val="21"/>
        </w:rPr>
        <w:t>3.6.4 投标保证金以</w:t>
      </w:r>
      <w:r>
        <w:rPr>
          <w:rFonts w:ascii="Tahoma" w:hAnsi="Tahoma" w:cs="Tahoma"/>
          <w:bCs/>
          <w:spacing w:val="8"/>
          <w:szCs w:val="21"/>
        </w:rPr>
        <w:t>投标保证金</w:t>
      </w:r>
      <w:r>
        <w:rPr>
          <w:rFonts w:hint="eastAsia" w:ascii="Tahoma" w:hAnsi="Tahoma" w:cs="Tahoma"/>
          <w:bCs/>
          <w:spacing w:val="8"/>
          <w:szCs w:val="21"/>
        </w:rPr>
        <w:t>以非现金形式由</w:t>
      </w:r>
      <w:r>
        <w:rPr>
          <w:rFonts w:hint="eastAsia" w:ascii="Tahoma" w:hAnsi="Tahoma" w:cs="Tahoma"/>
          <w:bCs/>
          <w:spacing w:val="8"/>
          <w:szCs w:val="21"/>
          <w:lang w:eastAsia="zh-CN"/>
        </w:rPr>
        <w:t>供应商</w:t>
      </w:r>
      <w:r>
        <w:rPr>
          <w:rFonts w:hint="eastAsia" w:ascii="Tahoma" w:hAnsi="Tahoma" w:cs="Tahoma"/>
          <w:bCs/>
          <w:spacing w:val="8"/>
          <w:szCs w:val="21"/>
        </w:rPr>
        <w:t>基本账户转出</w:t>
      </w:r>
      <w:r>
        <w:rPr>
          <w:rFonts w:ascii="Tahoma" w:hAnsi="Tahoma" w:cs="Tahoma"/>
          <w:bCs/>
          <w:spacing w:val="8"/>
          <w:szCs w:val="21"/>
        </w:rPr>
        <w:t>形式交纳</w:t>
      </w:r>
      <w:r>
        <w:rPr>
          <w:rFonts w:ascii="Tahoma" w:hAnsi="Tahoma" w:cs="Tahoma"/>
          <w:szCs w:val="21"/>
        </w:rPr>
        <w:t>。</w:t>
      </w:r>
      <w:r>
        <w:rPr>
          <w:rFonts w:hint="eastAsia" w:ascii="Tahoma" w:hAnsi="Tahoma" w:cs="Tahoma"/>
          <w:szCs w:val="21"/>
          <w:lang w:eastAsia="zh-CN"/>
        </w:rPr>
        <w:t>供应商</w:t>
      </w:r>
      <w:r>
        <w:rPr>
          <w:rFonts w:ascii="Tahoma" w:hAnsi="Tahoma" w:cs="Tahoma"/>
          <w:szCs w:val="21"/>
        </w:rPr>
        <w:t>须知前附表另有规定的，则从其约定。</w:t>
      </w:r>
    </w:p>
    <w:p>
      <w:pPr>
        <w:spacing w:line="360" w:lineRule="auto"/>
        <w:rPr>
          <w:rFonts w:ascii="Tahoma" w:hAnsi="Tahoma" w:cs="Tahoma"/>
          <w:szCs w:val="21"/>
        </w:rPr>
      </w:pPr>
      <w:r>
        <w:rPr>
          <w:rFonts w:ascii="Tahoma" w:hAnsi="Tahoma" w:cs="Tahoma"/>
          <w:szCs w:val="21"/>
        </w:rPr>
        <w:t xml:space="preserve">3.6.5 </w:t>
      </w:r>
      <w:r>
        <w:rPr>
          <w:rFonts w:ascii="Tahoma" w:hAnsi="Tahoma" w:cs="Tahoma"/>
          <w:b/>
          <w:bCs/>
          <w:szCs w:val="21"/>
        </w:rPr>
        <w:t>未按规定缴交投标保证金的投标，将被视为其投标无效。</w:t>
      </w:r>
    </w:p>
    <w:p>
      <w:pPr>
        <w:spacing w:line="360" w:lineRule="auto"/>
        <w:rPr>
          <w:rFonts w:ascii="Tahoma" w:hAnsi="Tahoma" w:cs="Tahoma"/>
          <w:szCs w:val="21"/>
        </w:rPr>
      </w:pPr>
      <w:r>
        <w:rPr>
          <w:rFonts w:ascii="Tahoma" w:hAnsi="Tahoma" w:cs="Tahoma"/>
          <w:szCs w:val="21"/>
        </w:rPr>
        <w:t>3.6.6投标保证金退还手续说明</w:t>
      </w:r>
    </w:p>
    <w:p>
      <w:pPr>
        <w:spacing w:line="360" w:lineRule="auto"/>
        <w:ind w:firstLine="120" w:firstLineChars="50"/>
        <w:rPr>
          <w:rFonts w:ascii="Tahoma" w:hAnsi="Tahoma" w:cs="Tahoma"/>
          <w:szCs w:val="21"/>
        </w:rPr>
      </w:pPr>
      <w:r>
        <w:rPr>
          <w:rFonts w:ascii="Tahoma" w:hAnsi="Tahoma" w:cs="Tahoma"/>
          <w:szCs w:val="21"/>
        </w:rPr>
        <w:t>（1）投标保证金将在中标通知书发出之日起五个工作日内，按照</w:t>
      </w:r>
      <w:r>
        <w:rPr>
          <w:rFonts w:hint="eastAsia" w:ascii="Tahoma" w:hAnsi="Tahoma" w:cs="Tahoma"/>
          <w:szCs w:val="21"/>
          <w:lang w:eastAsia="zh-CN"/>
        </w:rPr>
        <w:t>供应商</w:t>
      </w:r>
      <w:r>
        <w:rPr>
          <w:rFonts w:ascii="Tahoma" w:hAnsi="Tahoma" w:cs="Tahoma"/>
          <w:szCs w:val="21"/>
        </w:rPr>
        <w:t>所提供的开户行、开户名称、帐号等信息，予以退还中标人以外的</w:t>
      </w:r>
      <w:r>
        <w:rPr>
          <w:rFonts w:hint="eastAsia" w:ascii="Tahoma" w:hAnsi="Tahoma" w:cs="Tahoma"/>
          <w:szCs w:val="21"/>
          <w:lang w:eastAsia="zh-CN"/>
        </w:rPr>
        <w:t>供应商</w:t>
      </w:r>
      <w:r>
        <w:rPr>
          <w:rFonts w:ascii="Tahoma" w:hAnsi="Tahoma" w:cs="Tahoma"/>
          <w:szCs w:val="21"/>
        </w:rPr>
        <w:t>的投标保证金。</w:t>
      </w:r>
    </w:p>
    <w:p>
      <w:pPr>
        <w:spacing w:line="360" w:lineRule="auto"/>
        <w:ind w:firstLine="120" w:firstLineChars="50"/>
        <w:rPr>
          <w:rFonts w:ascii="Tahoma" w:hAnsi="Tahoma" w:cs="Tahoma"/>
          <w:szCs w:val="21"/>
        </w:rPr>
      </w:pPr>
      <w:r>
        <w:rPr>
          <w:rFonts w:ascii="Tahoma" w:hAnsi="Tahoma" w:cs="Tahoma"/>
          <w:szCs w:val="21"/>
        </w:rPr>
        <w:t>（2）请相关</w:t>
      </w:r>
      <w:r>
        <w:rPr>
          <w:rFonts w:hint="eastAsia" w:ascii="Tahoma" w:hAnsi="Tahoma" w:cs="Tahoma"/>
          <w:szCs w:val="21"/>
          <w:lang w:eastAsia="zh-CN"/>
        </w:rPr>
        <w:t>供应商</w:t>
      </w:r>
      <w:r>
        <w:rPr>
          <w:rFonts w:ascii="Tahoma" w:hAnsi="Tahoma" w:cs="Tahoma"/>
          <w:szCs w:val="21"/>
        </w:rPr>
        <w:t>按上述说明办理保证金退还手续，未按要求办理的将不能如期办理而非</w:t>
      </w:r>
      <w:r>
        <w:rPr>
          <w:rFonts w:hint="eastAsia" w:ascii="Tahoma" w:hAnsi="Tahoma" w:cs="Tahoma"/>
          <w:szCs w:val="21"/>
          <w:lang w:eastAsia="zh-CN"/>
        </w:rPr>
        <w:t>采购人</w:t>
      </w:r>
      <w:r>
        <w:rPr>
          <w:rFonts w:ascii="Tahoma" w:hAnsi="Tahoma" w:cs="Tahoma"/>
          <w:szCs w:val="21"/>
        </w:rPr>
        <w:t>原因。</w:t>
      </w:r>
    </w:p>
    <w:p>
      <w:pPr>
        <w:spacing w:line="360" w:lineRule="auto"/>
        <w:rPr>
          <w:rFonts w:ascii="Tahoma" w:hAnsi="Tahoma" w:cs="Tahoma"/>
          <w:szCs w:val="21"/>
        </w:rPr>
      </w:pPr>
      <w:r>
        <w:rPr>
          <w:rFonts w:ascii="Tahoma" w:hAnsi="Tahoma" w:cs="Tahoma"/>
          <w:szCs w:val="21"/>
        </w:rPr>
        <w:t>3.6.7在中标人签订合同（</w:t>
      </w:r>
      <w:r>
        <w:rPr>
          <w:rFonts w:hint="eastAsia" w:ascii="Tahoma" w:hAnsi="Tahoma" w:cs="Tahoma"/>
          <w:szCs w:val="21"/>
          <w:lang w:eastAsia="zh-CN"/>
        </w:rPr>
        <w:t>采购人</w:t>
      </w:r>
      <w:r>
        <w:rPr>
          <w:rFonts w:ascii="Tahoma" w:hAnsi="Tahoma" w:cs="Tahoma"/>
          <w:szCs w:val="21"/>
        </w:rPr>
        <w:t>如有要求中标人支付履约保证金的，则增加：支付履约保证金）后5个工作日内，中标人的投标保证金予以原额退还。</w:t>
      </w:r>
    </w:p>
    <w:p>
      <w:pPr>
        <w:spacing w:line="360" w:lineRule="auto"/>
        <w:rPr>
          <w:rFonts w:ascii="Tahoma" w:hAnsi="Tahoma" w:cs="Tahoma"/>
          <w:szCs w:val="21"/>
        </w:rPr>
      </w:pPr>
      <w:r>
        <w:rPr>
          <w:rFonts w:ascii="Tahoma" w:hAnsi="Tahoma" w:cs="Tahoma"/>
          <w:szCs w:val="21"/>
        </w:rPr>
        <w:t>3.6.8 发生以下情况之一的，投标保证金将不予退还：</w:t>
      </w:r>
    </w:p>
    <w:p>
      <w:pPr>
        <w:spacing w:line="360" w:lineRule="auto"/>
        <w:ind w:firstLine="240" w:firstLineChars="100"/>
        <w:rPr>
          <w:rFonts w:ascii="Tahoma" w:hAnsi="Tahoma" w:cs="Tahoma"/>
          <w:szCs w:val="21"/>
        </w:rPr>
      </w:pPr>
      <w:r>
        <w:rPr>
          <w:rFonts w:ascii="Tahoma" w:hAnsi="Tahoma" w:cs="Tahoma"/>
          <w:szCs w:val="21"/>
        </w:rPr>
        <w:t>（1）</w:t>
      </w:r>
      <w:r>
        <w:rPr>
          <w:rFonts w:hint="eastAsia" w:ascii="Tahoma" w:hAnsi="Tahoma" w:cs="Tahoma"/>
          <w:szCs w:val="21"/>
          <w:lang w:eastAsia="zh-CN"/>
        </w:rPr>
        <w:t>供应商</w:t>
      </w:r>
      <w:r>
        <w:rPr>
          <w:rFonts w:ascii="Tahoma" w:hAnsi="Tahoma" w:cs="Tahoma"/>
          <w:szCs w:val="21"/>
        </w:rPr>
        <w:t>在投标有效期内撤销</w:t>
      </w:r>
      <w:r>
        <w:rPr>
          <w:rFonts w:hint="eastAsia" w:ascii="Tahoma" w:hAnsi="Tahoma" w:cs="Tahoma"/>
          <w:szCs w:val="21"/>
          <w:lang w:eastAsia="zh-CN"/>
        </w:rPr>
        <w:t>响应文件</w:t>
      </w:r>
      <w:r>
        <w:rPr>
          <w:rFonts w:ascii="Tahoma" w:hAnsi="Tahoma" w:cs="Tahoma"/>
          <w:szCs w:val="21"/>
        </w:rPr>
        <w:t>的；</w:t>
      </w:r>
    </w:p>
    <w:p>
      <w:pPr>
        <w:spacing w:line="360" w:lineRule="auto"/>
        <w:ind w:firstLine="240" w:firstLineChars="100"/>
        <w:rPr>
          <w:rFonts w:ascii="Tahoma" w:hAnsi="Tahoma" w:cs="Tahoma"/>
          <w:szCs w:val="21"/>
        </w:rPr>
      </w:pPr>
      <w:r>
        <w:rPr>
          <w:rFonts w:ascii="Tahoma" w:hAnsi="Tahoma" w:cs="Tahoma"/>
          <w:szCs w:val="21"/>
        </w:rPr>
        <w:t>（2）</w:t>
      </w:r>
      <w:r>
        <w:rPr>
          <w:rFonts w:hint="eastAsia" w:ascii="Tahoma" w:hAnsi="Tahoma" w:cs="Tahoma"/>
          <w:szCs w:val="21"/>
          <w:lang w:eastAsia="zh-CN"/>
        </w:rPr>
        <w:t>供应商</w:t>
      </w:r>
      <w:r>
        <w:rPr>
          <w:rFonts w:ascii="Tahoma" w:hAnsi="Tahoma" w:cs="Tahoma"/>
          <w:szCs w:val="21"/>
        </w:rPr>
        <w:t>提供虚假投标证明材料；</w:t>
      </w:r>
    </w:p>
    <w:p>
      <w:pPr>
        <w:spacing w:line="360" w:lineRule="auto"/>
        <w:ind w:firstLine="240" w:firstLineChars="100"/>
        <w:rPr>
          <w:rFonts w:ascii="Tahoma" w:hAnsi="Tahoma" w:cs="Tahoma"/>
          <w:szCs w:val="21"/>
        </w:rPr>
      </w:pPr>
      <w:r>
        <w:rPr>
          <w:rFonts w:ascii="Tahoma" w:hAnsi="Tahoma" w:cs="Tahoma"/>
          <w:szCs w:val="21"/>
        </w:rPr>
        <w:t>（</w:t>
      </w:r>
      <w:r>
        <w:rPr>
          <w:rFonts w:hint="eastAsia" w:ascii="Tahoma" w:hAnsi="Tahoma" w:cs="Tahoma"/>
          <w:szCs w:val="21"/>
        </w:rPr>
        <w:t>3</w:t>
      </w:r>
      <w:r>
        <w:rPr>
          <w:rFonts w:ascii="Tahoma" w:hAnsi="Tahoma" w:cs="Tahoma"/>
          <w:szCs w:val="21"/>
        </w:rPr>
        <w:t>）以他人名义投标或者以其他方式弄虚作假，骗取中标；</w:t>
      </w:r>
    </w:p>
    <w:p>
      <w:pPr>
        <w:shd w:val="clear" w:color="auto" w:fill="FFFFFF"/>
        <w:snapToGrid w:val="0"/>
        <w:spacing w:line="360" w:lineRule="auto"/>
        <w:ind w:firstLine="240" w:firstLineChars="100"/>
        <w:rPr>
          <w:rFonts w:ascii="Tahoma" w:hAnsi="Tahoma" w:cs="Tahoma"/>
          <w:szCs w:val="21"/>
        </w:rPr>
      </w:pPr>
      <w:r>
        <w:rPr>
          <w:rFonts w:ascii="Tahoma" w:hAnsi="Tahoma" w:cs="Tahoma"/>
          <w:szCs w:val="21"/>
        </w:rPr>
        <w:t>（</w:t>
      </w:r>
      <w:r>
        <w:rPr>
          <w:rFonts w:hint="eastAsia" w:ascii="Tahoma" w:hAnsi="Tahoma" w:cs="Tahoma"/>
          <w:szCs w:val="21"/>
        </w:rPr>
        <w:t>4</w:t>
      </w:r>
      <w:r>
        <w:rPr>
          <w:rFonts w:ascii="Tahoma" w:hAnsi="Tahoma" w:cs="Tahoma"/>
          <w:szCs w:val="21"/>
        </w:rPr>
        <w:t>）</w:t>
      </w:r>
      <w:r>
        <w:rPr>
          <w:rFonts w:hint="eastAsia" w:ascii="Tahoma" w:hAnsi="Tahoma" w:cs="Tahoma"/>
          <w:szCs w:val="21"/>
          <w:lang w:eastAsia="zh-CN"/>
        </w:rPr>
        <w:t>供应商</w:t>
      </w:r>
      <w:r>
        <w:rPr>
          <w:rFonts w:ascii="Tahoma" w:hAnsi="Tahoma" w:cs="Tahoma"/>
          <w:szCs w:val="21"/>
        </w:rPr>
        <w:t>在规定的投标有效期内修改其</w:t>
      </w:r>
      <w:r>
        <w:rPr>
          <w:rFonts w:hint="eastAsia" w:ascii="Tahoma" w:hAnsi="Tahoma" w:cs="Tahoma"/>
          <w:szCs w:val="21"/>
          <w:lang w:eastAsia="zh-CN"/>
        </w:rPr>
        <w:t>响应文件</w:t>
      </w:r>
      <w:r>
        <w:rPr>
          <w:rFonts w:ascii="Tahoma" w:hAnsi="Tahoma" w:cs="Tahoma"/>
          <w:szCs w:val="21"/>
        </w:rPr>
        <w:t>；</w:t>
      </w:r>
    </w:p>
    <w:p>
      <w:pPr>
        <w:shd w:val="clear" w:color="auto" w:fill="FFFFFF"/>
        <w:snapToGrid w:val="0"/>
        <w:spacing w:line="360" w:lineRule="auto"/>
        <w:ind w:firstLine="240" w:firstLineChars="100"/>
        <w:rPr>
          <w:rFonts w:ascii="Tahoma" w:hAnsi="Tahoma" w:cs="Tahoma"/>
          <w:szCs w:val="21"/>
        </w:rPr>
      </w:pPr>
      <w:r>
        <w:rPr>
          <w:rFonts w:ascii="Tahoma" w:hAnsi="Tahoma" w:cs="Tahoma"/>
          <w:szCs w:val="21"/>
        </w:rPr>
        <w:t>（</w:t>
      </w:r>
      <w:r>
        <w:rPr>
          <w:rFonts w:hint="eastAsia" w:ascii="Tahoma" w:hAnsi="Tahoma" w:cs="Tahoma"/>
          <w:szCs w:val="21"/>
        </w:rPr>
        <w:t>5</w:t>
      </w:r>
      <w:r>
        <w:rPr>
          <w:rFonts w:ascii="Tahoma" w:hAnsi="Tahoma" w:cs="Tahoma"/>
          <w:szCs w:val="21"/>
        </w:rPr>
        <w:t>）中标人在收到中标通知书后，无正当理由拒签合同协议书或未按招标文件规定提交履约担保。</w:t>
      </w:r>
    </w:p>
    <w:p>
      <w:pPr>
        <w:spacing w:line="360" w:lineRule="auto"/>
        <w:ind w:firstLine="249" w:firstLineChars="104"/>
        <w:rPr>
          <w:rFonts w:ascii="Tahoma" w:hAnsi="Tahoma" w:cs="Tahoma"/>
          <w:szCs w:val="21"/>
        </w:rPr>
      </w:pPr>
      <w:r>
        <w:rPr>
          <w:rFonts w:ascii="Tahoma" w:hAnsi="Tahoma" w:cs="Tahoma"/>
          <w:szCs w:val="21"/>
        </w:rPr>
        <w:t>（</w:t>
      </w:r>
      <w:r>
        <w:rPr>
          <w:rFonts w:hint="eastAsia" w:ascii="Tahoma" w:hAnsi="Tahoma" w:cs="Tahoma"/>
          <w:szCs w:val="21"/>
        </w:rPr>
        <w:t>6</w:t>
      </w:r>
      <w:r>
        <w:rPr>
          <w:rFonts w:ascii="Tahoma" w:hAnsi="Tahoma" w:cs="Tahoma"/>
          <w:szCs w:val="21"/>
        </w:rPr>
        <w:t>）上述不予退还投标保证金的情况给招标采购单位造成损失的，还要承担赔偿责任。</w:t>
      </w:r>
    </w:p>
    <w:p>
      <w:pPr>
        <w:spacing w:line="360" w:lineRule="auto"/>
        <w:jc w:val="center"/>
        <w:rPr>
          <w:rFonts w:ascii="Tahoma" w:hAnsi="Tahoma" w:cs="Tahoma"/>
          <w:b/>
          <w:bCs/>
          <w:szCs w:val="21"/>
        </w:rPr>
      </w:pPr>
      <w:r>
        <w:rPr>
          <w:rFonts w:ascii="Tahoma" w:hAnsi="Tahoma" w:cs="Tahoma"/>
          <w:b/>
          <w:bCs/>
          <w:szCs w:val="21"/>
        </w:rPr>
        <w:t>4、投标</w:t>
      </w:r>
    </w:p>
    <w:p>
      <w:pPr>
        <w:spacing w:line="360" w:lineRule="auto"/>
        <w:rPr>
          <w:rFonts w:ascii="Tahoma" w:hAnsi="Tahoma" w:cs="Tahoma"/>
          <w:b/>
          <w:bCs/>
          <w:szCs w:val="21"/>
        </w:rPr>
      </w:pPr>
      <w:r>
        <w:rPr>
          <w:rFonts w:ascii="Tahoma" w:hAnsi="Tahoma" w:cs="Tahoma"/>
          <w:b/>
          <w:bCs/>
          <w:szCs w:val="21"/>
        </w:rPr>
        <w:t>4.1.</w:t>
      </w:r>
      <w:r>
        <w:rPr>
          <w:rFonts w:hint="eastAsia" w:ascii="Tahoma" w:hAnsi="Tahoma" w:cs="Tahoma"/>
          <w:b/>
          <w:bCs/>
          <w:szCs w:val="21"/>
          <w:lang w:eastAsia="zh-CN"/>
        </w:rPr>
        <w:t>响应文件</w:t>
      </w:r>
      <w:r>
        <w:rPr>
          <w:rFonts w:ascii="Tahoma" w:hAnsi="Tahoma" w:cs="Tahoma"/>
          <w:b/>
          <w:bCs/>
          <w:szCs w:val="21"/>
        </w:rPr>
        <w:t>的密封、标记</w:t>
      </w:r>
    </w:p>
    <w:p>
      <w:pPr>
        <w:spacing w:line="360" w:lineRule="auto"/>
        <w:rPr>
          <w:rFonts w:ascii="Tahoma" w:hAnsi="Tahoma" w:cs="Tahoma"/>
          <w:b/>
          <w:bCs/>
          <w:szCs w:val="21"/>
        </w:rPr>
      </w:pPr>
      <w:r>
        <w:rPr>
          <w:rFonts w:ascii="Tahoma" w:hAnsi="Tahoma" w:cs="Tahoma"/>
          <w:b/>
          <w:bCs/>
          <w:szCs w:val="21"/>
        </w:rPr>
        <w:t xml:space="preserve">4.1.1 </w:t>
      </w:r>
      <w:r>
        <w:rPr>
          <w:rFonts w:hint="eastAsia" w:ascii="Tahoma" w:hAnsi="Tahoma" w:cs="Tahoma"/>
          <w:b/>
          <w:bCs/>
          <w:szCs w:val="21"/>
          <w:lang w:eastAsia="zh-CN"/>
        </w:rPr>
        <w:t>供应商</w:t>
      </w:r>
      <w:r>
        <w:rPr>
          <w:rFonts w:ascii="Tahoma" w:hAnsi="Tahoma" w:cs="Tahoma"/>
          <w:b/>
          <w:bCs/>
          <w:szCs w:val="21"/>
        </w:rPr>
        <w:t>应将</w:t>
      </w:r>
      <w:r>
        <w:rPr>
          <w:rFonts w:hint="eastAsia" w:ascii="Tahoma" w:hAnsi="Tahoma" w:cs="Tahoma"/>
          <w:b/>
          <w:bCs/>
          <w:szCs w:val="21"/>
          <w:lang w:eastAsia="zh-CN"/>
        </w:rPr>
        <w:t>响应文件</w:t>
      </w:r>
      <w:r>
        <w:rPr>
          <w:rFonts w:ascii="Tahoma" w:hAnsi="Tahoma" w:cs="Tahoma"/>
          <w:b/>
          <w:bCs/>
          <w:szCs w:val="21"/>
        </w:rPr>
        <w:t>正本全部副本</w:t>
      </w:r>
      <w:r>
        <w:rPr>
          <w:rFonts w:hint="eastAsia" w:ascii="Tahoma" w:hAnsi="Tahoma" w:cs="Tahoma"/>
          <w:b/>
          <w:bCs/>
          <w:szCs w:val="21"/>
          <w:lang w:eastAsia="zh-CN"/>
        </w:rPr>
        <w:t>、报价一览表</w:t>
      </w:r>
      <w:r>
        <w:rPr>
          <w:rFonts w:ascii="Tahoma" w:hAnsi="Tahoma" w:cs="Tahoma"/>
          <w:b/>
          <w:bCs/>
          <w:szCs w:val="21"/>
        </w:rPr>
        <w:t>、</w:t>
      </w:r>
      <w:r>
        <w:rPr>
          <w:rFonts w:hint="eastAsia" w:ascii="Tahoma" w:hAnsi="Tahoma" w:cs="Tahoma"/>
          <w:b/>
          <w:bCs/>
          <w:szCs w:val="21"/>
        </w:rPr>
        <w:t>电子版</w:t>
      </w:r>
      <w:r>
        <w:rPr>
          <w:rFonts w:hint="eastAsia" w:ascii="Tahoma" w:hAnsi="Tahoma" w:cs="Tahoma"/>
          <w:b/>
          <w:bCs/>
          <w:szCs w:val="21"/>
          <w:lang w:val="en-US" w:eastAsia="zh-CN"/>
        </w:rPr>
        <w:t>u盘PDF版本</w:t>
      </w:r>
      <w:r>
        <w:rPr>
          <w:rFonts w:ascii="Tahoma" w:hAnsi="Tahoma" w:cs="Tahoma"/>
          <w:b/>
          <w:bCs/>
          <w:szCs w:val="21"/>
        </w:rPr>
        <w:t>分别用封袋密封，并标明</w:t>
      </w:r>
      <w:r>
        <w:rPr>
          <w:rFonts w:hint="eastAsia" w:ascii="Tahoma" w:hAnsi="Tahoma" w:cs="Tahoma"/>
          <w:b/>
          <w:bCs/>
          <w:szCs w:val="21"/>
          <w:lang w:eastAsia="zh-CN"/>
        </w:rPr>
        <w:t>采购人</w:t>
      </w:r>
      <w:r>
        <w:rPr>
          <w:rFonts w:ascii="Tahoma" w:hAnsi="Tahoma" w:cs="Tahoma"/>
          <w:b/>
          <w:bCs/>
          <w:szCs w:val="21"/>
        </w:rPr>
        <w:t>名称、</w:t>
      </w:r>
      <w:r>
        <w:rPr>
          <w:rFonts w:hint="eastAsia" w:ascii="Tahoma" w:hAnsi="Tahoma" w:cs="Tahoma"/>
          <w:b/>
          <w:bCs/>
          <w:szCs w:val="21"/>
          <w:lang w:eastAsia="zh-CN"/>
        </w:rPr>
        <w:t>供应商</w:t>
      </w:r>
      <w:r>
        <w:rPr>
          <w:rFonts w:ascii="Tahoma" w:hAnsi="Tahoma" w:cs="Tahoma"/>
          <w:b/>
          <w:bCs/>
          <w:szCs w:val="21"/>
        </w:rPr>
        <w:t>名称、项目编号及</w:t>
      </w:r>
      <w:r>
        <w:rPr>
          <w:rFonts w:hint="eastAsia"/>
          <w:b/>
          <w:bCs/>
          <w:szCs w:val="21"/>
        </w:rPr>
        <w:t>“</w:t>
      </w:r>
      <w:r>
        <w:rPr>
          <w:rFonts w:hint="eastAsia"/>
          <w:b/>
          <w:bCs/>
          <w:szCs w:val="21"/>
          <w:lang w:eastAsia="zh-CN"/>
        </w:rPr>
        <w:t>报价一览表</w:t>
      </w:r>
      <w:r>
        <w:rPr>
          <w:rFonts w:hint="eastAsia"/>
          <w:b/>
          <w:bCs/>
          <w:szCs w:val="21"/>
        </w:rPr>
        <w:t>”、</w:t>
      </w:r>
      <w:r>
        <w:rPr>
          <w:rFonts w:hint="eastAsia"/>
          <w:b/>
          <w:bCs/>
          <w:szCs w:val="21"/>
          <w:lang w:eastAsia="zh-CN"/>
        </w:rPr>
        <w:t>“</w:t>
      </w:r>
      <w:r>
        <w:rPr>
          <w:rFonts w:hint="eastAsia" w:ascii="Tahoma" w:hAnsi="Tahoma" w:cs="Tahoma"/>
          <w:b/>
          <w:bCs/>
          <w:szCs w:val="21"/>
        </w:rPr>
        <w:t>电子版</w:t>
      </w:r>
      <w:r>
        <w:rPr>
          <w:rFonts w:hint="eastAsia"/>
          <w:b/>
          <w:bCs/>
          <w:szCs w:val="21"/>
          <w:lang w:eastAsia="zh-CN"/>
        </w:rPr>
        <w:t>”、</w:t>
      </w:r>
      <w:r>
        <w:rPr>
          <w:rFonts w:hint="eastAsia"/>
          <w:b/>
          <w:bCs/>
          <w:szCs w:val="21"/>
        </w:rPr>
        <w:t>“正本”或“副本”字</w:t>
      </w:r>
      <w:r>
        <w:rPr>
          <w:rFonts w:ascii="Tahoma" w:hAnsi="Tahoma" w:cs="Tahoma"/>
          <w:b/>
          <w:bCs/>
          <w:szCs w:val="21"/>
        </w:rPr>
        <w:t>样，并在封口处加盖</w:t>
      </w:r>
      <w:r>
        <w:rPr>
          <w:rFonts w:hint="eastAsia" w:ascii="Tahoma" w:hAnsi="Tahoma" w:cs="Tahoma"/>
          <w:b/>
          <w:bCs/>
          <w:szCs w:val="21"/>
          <w:lang w:eastAsia="zh-CN"/>
        </w:rPr>
        <w:t>供应商</w:t>
      </w:r>
      <w:r>
        <w:rPr>
          <w:rFonts w:ascii="Tahoma" w:hAnsi="Tahoma" w:cs="Tahoma"/>
          <w:b/>
          <w:bCs/>
          <w:szCs w:val="21"/>
        </w:rPr>
        <w:t>骑缝公章。</w:t>
      </w:r>
    </w:p>
    <w:p>
      <w:pPr>
        <w:spacing w:line="360" w:lineRule="auto"/>
        <w:rPr>
          <w:rFonts w:ascii="Tahoma" w:hAnsi="Tahoma" w:cs="Tahoma"/>
          <w:b/>
          <w:bCs/>
          <w:szCs w:val="21"/>
        </w:rPr>
      </w:pPr>
      <w:r>
        <w:rPr>
          <w:rFonts w:ascii="Tahoma" w:hAnsi="Tahoma" w:cs="Tahoma"/>
          <w:b/>
          <w:bCs/>
          <w:szCs w:val="21"/>
        </w:rPr>
        <w:t>4.1.2 每一封套上应注明</w:t>
      </w:r>
      <w:r>
        <w:rPr>
          <w:rFonts w:hint="eastAsia"/>
          <w:b/>
          <w:bCs/>
          <w:szCs w:val="21"/>
        </w:rPr>
        <w:t>“</w:t>
      </w:r>
      <w:r>
        <w:rPr>
          <w:rFonts w:ascii="Tahoma" w:hAnsi="Tahoma" w:cs="Tahoma"/>
          <w:b/>
          <w:bCs/>
          <w:szCs w:val="21"/>
        </w:rPr>
        <w:t>在</w:t>
      </w:r>
      <w:r>
        <w:rPr>
          <w:rFonts w:ascii="Tahoma" w:hAnsi="Tahoma" w:cs="Tahoma"/>
          <w:b/>
          <w:bCs/>
          <w:szCs w:val="21"/>
          <w:u w:val="single"/>
        </w:rPr>
        <w:t xml:space="preserve">         </w:t>
      </w:r>
      <w:r>
        <w:rPr>
          <w:rFonts w:ascii="Tahoma" w:hAnsi="Tahoma" w:cs="Tahoma"/>
          <w:b/>
          <w:bCs/>
          <w:szCs w:val="21"/>
        </w:rPr>
        <w:t>年</w:t>
      </w:r>
      <w:r>
        <w:rPr>
          <w:rFonts w:ascii="Tahoma" w:hAnsi="Tahoma" w:cs="Tahoma"/>
          <w:b/>
          <w:bCs/>
          <w:szCs w:val="21"/>
          <w:u w:val="single"/>
        </w:rPr>
        <w:t xml:space="preserve">   </w:t>
      </w:r>
      <w:r>
        <w:rPr>
          <w:rFonts w:ascii="Tahoma" w:hAnsi="Tahoma" w:cs="Tahoma"/>
          <w:b/>
          <w:bCs/>
          <w:szCs w:val="21"/>
        </w:rPr>
        <w:t>月</w:t>
      </w:r>
      <w:r>
        <w:rPr>
          <w:rFonts w:ascii="Tahoma" w:hAnsi="Tahoma" w:cs="Tahoma"/>
          <w:b/>
          <w:bCs/>
          <w:szCs w:val="21"/>
          <w:u w:val="single"/>
        </w:rPr>
        <w:t xml:space="preserve">    </w:t>
      </w:r>
      <w:r>
        <w:rPr>
          <w:rFonts w:ascii="Tahoma" w:hAnsi="Tahoma" w:cs="Tahoma"/>
          <w:b/>
          <w:bCs/>
          <w:szCs w:val="21"/>
        </w:rPr>
        <w:t>日</w:t>
      </w:r>
      <w:r>
        <w:rPr>
          <w:rFonts w:ascii="Tahoma" w:hAnsi="Tahoma" w:cs="Tahoma"/>
          <w:b/>
          <w:bCs/>
          <w:szCs w:val="21"/>
          <w:u w:val="single"/>
        </w:rPr>
        <w:t xml:space="preserve">   </w:t>
      </w:r>
      <w:r>
        <w:rPr>
          <w:rFonts w:ascii="Tahoma" w:hAnsi="Tahoma" w:cs="Tahoma"/>
          <w:b/>
          <w:bCs/>
          <w:szCs w:val="21"/>
        </w:rPr>
        <w:t>时</w:t>
      </w:r>
      <w:r>
        <w:rPr>
          <w:rFonts w:ascii="Tahoma" w:hAnsi="Tahoma" w:cs="Tahoma"/>
          <w:b/>
          <w:bCs/>
          <w:szCs w:val="21"/>
          <w:u w:val="single"/>
        </w:rPr>
        <w:t xml:space="preserve">   </w:t>
      </w:r>
      <w:r>
        <w:rPr>
          <w:rFonts w:ascii="Tahoma" w:hAnsi="Tahoma" w:cs="Tahoma"/>
          <w:b/>
          <w:bCs/>
          <w:szCs w:val="21"/>
        </w:rPr>
        <w:t>分前不得开启（指招标文件中规定的开标日期及时间）不准启封</w:t>
      </w:r>
      <w:r>
        <w:rPr>
          <w:rFonts w:hint="eastAsia"/>
          <w:b/>
          <w:bCs/>
          <w:szCs w:val="21"/>
        </w:rPr>
        <w:t>”</w:t>
      </w:r>
      <w:r>
        <w:rPr>
          <w:rFonts w:ascii="Tahoma" w:hAnsi="Tahoma" w:cs="Tahoma"/>
          <w:b/>
          <w:bCs/>
          <w:szCs w:val="21"/>
        </w:rPr>
        <w:t>的字样，并加盖</w:t>
      </w:r>
      <w:r>
        <w:rPr>
          <w:rFonts w:hint="eastAsia" w:ascii="Tahoma" w:hAnsi="Tahoma" w:cs="Tahoma"/>
          <w:b/>
          <w:bCs/>
          <w:szCs w:val="21"/>
          <w:lang w:eastAsia="zh-CN"/>
        </w:rPr>
        <w:t>供应商</w:t>
      </w:r>
      <w:r>
        <w:rPr>
          <w:rFonts w:ascii="Tahoma" w:hAnsi="Tahoma" w:cs="Tahoma"/>
          <w:b/>
          <w:bCs/>
          <w:szCs w:val="21"/>
        </w:rPr>
        <w:t>公章。</w:t>
      </w:r>
    </w:p>
    <w:p>
      <w:pPr>
        <w:spacing w:line="360" w:lineRule="auto"/>
        <w:ind w:firstLine="482" w:firstLineChars="200"/>
        <w:rPr>
          <w:rFonts w:ascii="Tahoma" w:hAnsi="Tahoma" w:cs="Tahoma"/>
          <w:b/>
          <w:bCs/>
          <w:szCs w:val="21"/>
        </w:rPr>
      </w:pPr>
      <w:r>
        <w:rPr>
          <w:rFonts w:hint="eastAsia" w:ascii="Tahoma" w:hAnsi="Tahoma" w:cs="Tahoma"/>
          <w:b/>
          <w:bCs/>
          <w:szCs w:val="21"/>
          <w:lang w:eastAsia="zh-CN"/>
        </w:rPr>
        <w:t>响应文件</w:t>
      </w:r>
      <w:r>
        <w:rPr>
          <w:rFonts w:ascii="Tahoma" w:hAnsi="Tahoma" w:cs="Tahoma"/>
          <w:b/>
          <w:bCs/>
          <w:szCs w:val="21"/>
        </w:rPr>
        <w:t>未按规定密封及标记的将导致投标被拒绝。</w:t>
      </w:r>
    </w:p>
    <w:p>
      <w:pPr>
        <w:spacing w:line="360" w:lineRule="auto"/>
        <w:rPr>
          <w:rFonts w:ascii="Tahoma" w:hAnsi="Tahoma" w:cs="Tahoma"/>
          <w:b/>
          <w:bCs/>
          <w:szCs w:val="21"/>
        </w:rPr>
      </w:pPr>
      <w:r>
        <w:rPr>
          <w:rFonts w:ascii="Tahoma" w:hAnsi="Tahoma" w:cs="Tahoma"/>
          <w:b/>
          <w:bCs/>
          <w:szCs w:val="21"/>
        </w:rPr>
        <w:t xml:space="preserve">4.2. </w:t>
      </w:r>
      <w:r>
        <w:rPr>
          <w:rFonts w:hint="eastAsia" w:ascii="Tahoma" w:hAnsi="Tahoma" w:cs="Tahoma"/>
          <w:b/>
          <w:bCs/>
          <w:szCs w:val="21"/>
          <w:lang w:eastAsia="zh-CN"/>
        </w:rPr>
        <w:t>响应文件</w:t>
      </w:r>
      <w:r>
        <w:rPr>
          <w:rFonts w:ascii="Tahoma" w:hAnsi="Tahoma" w:cs="Tahoma"/>
          <w:b/>
          <w:bCs/>
          <w:szCs w:val="21"/>
        </w:rPr>
        <w:t>的递交</w:t>
      </w:r>
    </w:p>
    <w:p>
      <w:pPr>
        <w:spacing w:line="360" w:lineRule="auto"/>
        <w:rPr>
          <w:rFonts w:ascii="Tahoma" w:hAnsi="Tahoma" w:cs="Tahoma"/>
          <w:szCs w:val="21"/>
        </w:rPr>
      </w:pPr>
      <w:r>
        <w:rPr>
          <w:rFonts w:ascii="Tahoma" w:hAnsi="Tahoma" w:cs="Tahoma"/>
          <w:szCs w:val="21"/>
        </w:rPr>
        <w:t>4.2.1</w:t>
      </w:r>
      <w:r>
        <w:rPr>
          <w:rFonts w:hint="eastAsia" w:ascii="Tahoma" w:hAnsi="Tahoma" w:cs="Tahoma"/>
          <w:szCs w:val="21"/>
          <w:lang w:eastAsia="zh-CN"/>
        </w:rPr>
        <w:t>响应文件</w:t>
      </w:r>
      <w:r>
        <w:rPr>
          <w:rFonts w:ascii="Tahoma" w:hAnsi="Tahoma" w:cs="Tahoma"/>
          <w:szCs w:val="21"/>
        </w:rPr>
        <w:t>应由专人送交，</w:t>
      </w:r>
      <w:r>
        <w:rPr>
          <w:rFonts w:hint="eastAsia" w:ascii="Tahoma" w:hAnsi="Tahoma" w:cs="Tahoma"/>
          <w:szCs w:val="21"/>
          <w:lang w:eastAsia="zh-CN"/>
        </w:rPr>
        <w:t>供应商</w:t>
      </w:r>
      <w:r>
        <w:rPr>
          <w:rFonts w:ascii="Tahoma" w:hAnsi="Tahoma" w:cs="Tahoma"/>
          <w:szCs w:val="21"/>
        </w:rPr>
        <w:t>应将</w:t>
      </w:r>
      <w:r>
        <w:rPr>
          <w:rFonts w:hint="eastAsia" w:ascii="Tahoma" w:hAnsi="Tahoma" w:cs="Tahoma"/>
          <w:szCs w:val="21"/>
          <w:lang w:eastAsia="zh-CN"/>
        </w:rPr>
        <w:t>响应文件</w:t>
      </w:r>
      <w:r>
        <w:rPr>
          <w:rFonts w:ascii="Tahoma" w:hAnsi="Tahoma" w:cs="Tahoma"/>
          <w:szCs w:val="21"/>
        </w:rPr>
        <w:t>按照本须知第4.1条的规定进行密封和标记后，按</w:t>
      </w:r>
      <w:r>
        <w:rPr>
          <w:rFonts w:hint="eastAsia" w:ascii="Tahoma" w:hAnsi="Tahoma" w:cs="Tahoma"/>
          <w:szCs w:val="21"/>
          <w:lang w:eastAsia="zh-CN"/>
        </w:rPr>
        <w:t>供应商</w:t>
      </w:r>
      <w:r>
        <w:rPr>
          <w:rFonts w:ascii="Tahoma" w:hAnsi="Tahoma" w:cs="Tahoma"/>
          <w:szCs w:val="21"/>
        </w:rPr>
        <w:t>须知前附表注明的地址送至接收人。</w:t>
      </w:r>
    </w:p>
    <w:p>
      <w:pPr>
        <w:spacing w:line="360" w:lineRule="auto"/>
        <w:rPr>
          <w:rFonts w:ascii="Tahoma" w:hAnsi="Tahoma" w:cs="Tahoma"/>
          <w:szCs w:val="21"/>
        </w:rPr>
      </w:pPr>
      <w:r>
        <w:rPr>
          <w:rFonts w:ascii="Tahoma" w:hAnsi="Tahoma" w:cs="Tahoma"/>
          <w:szCs w:val="21"/>
        </w:rPr>
        <w:t>4.2.2如果未按上述规定进行密封和标记，</w:t>
      </w:r>
      <w:r>
        <w:rPr>
          <w:rFonts w:hint="eastAsia" w:ascii="Tahoma" w:hAnsi="Tahoma" w:cs="Tahoma"/>
          <w:szCs w:val="21"/>
          <w:lang w:eastAsia="zh-CN"/>
        </w:rPr>
        <w:t>采购人</w:t>
      </w:r>
      <w:r>
        <w:rPr>
          <w:rFonts w:ascii="Tahoma" w:hAnsi="Tahoma" w:cs="Tahoma"/>
          <w:szCs w:val="21"/>
        </w:rPr>
        <w:t>将不承担由此造成的对</w:t>
      </w:r>
      <w:r>
        <w:rPr>
          <w:rFonts w:hint="eastAsia" w:ascii="Tahoma" w:hAnsi="Tahoma" w:cs="Tahoma"/>
          <w:szCs w:val="21"/>
          <w:lang w:eastAsia="zh-CN"/>
        </w:rPr>
        <w:t>响应文件</w:t>
      </w:r>
      <w:r>
        <w:rPr>
          <w:rFonts w:ascii="Tahoma" w:hAnsi="Tahoma" w:cs="Tahoma"/>
          <w:szCs w:val="21"/>
        </w:rPr>
        <w:t>的误投或提前拆封的责任。</w:t>
      </w:r>
    </w:p>
    <w:p>
      <w:pPr>
        <w:spacing w:line="360" w:lineRule="auto"/>
        <w:rPr>
          <w:rFonts w:ascii="Tahoma" w:hAnsi="Tahoma" w:cs="Tahoma"/>
          <w:szCs w:val="21"/>
        </w:rPr>
      </w:pPr>
      <w:r>
        <w:rPr>
          <w:rFonts w:ascii="Tahoma" w:hAnsi="Tahoma" w:cs="Tahoma"/>
          <w:szCs w:val="21"/>
        </w:rPr>
        <w:t>4.2.3</w:t>
      </w:r>
      <w:r>
        <w:rPr>
          <w:rFonts w:hint="eastAsia" w:ascii="Tahoma" w:hAnsi="Tahoma" w:cs="Tahoma"/>
          <w:szCs w:val="21"/>
          <w:lang w:eastAsia="zh-CN"/>
        </w:rPr>
        <w:t>响应文件</w:t>
      </w:r>
      <w:r>
        <w:rPr>
          <w:rFonts w:ascii="Tahoma" w:hAnsi="Tahoma" w:cs="Tahoma"/>
          <w:szCs w:val="21"/>
        </w:rPr>
        <w:t>应在投标邀请或招标公告中规定的截止时间前送达，在招标文件要求提交</w:t>
      </w:r>
      <w:r>
        <w:rPr>
          <w:rFonts w:hint="eastAsia" w:ascii="Tahoma" w:hAnsi="Tahoma" w:cs="Tahoma"/>
          <w:szCs w:val="21"/>
          <w:lang w:eastAsia="zh-CN"/>
        </w:rPr>
        <w:t>响应文件</w:t>
      </w:r>
      <w:r>
        <w:rPr>
          <w:rFonts w:ascii="Tahoma" w:hAnsi="Tahoma" w:cs="Tahoma"/>
          <w:szCs w:val="21"/>
        </w:rPr>
        <w:t>的截止时间之后送达的</w:t>
      </w:r>
      <w:r>
        <w:rPr>
          <w:rFonts w:hint="eastAsia" w:ascii="Tahoma" w:hAnsi="Tahoma" w:cs="Tahoma"/>
          <w:szCs w:val="21"/>
          <w:lang w:eastAsia="zh-CN"/>
        </w:rPr>
        <w:t>响应文件</w:t>
      </w:r>
      <w:r>
        <w:rPr>
          <w:rFonts w:ascii="Tahoma" w:hAnsi="Tahoma" w:cs="Tahoma"/>
          <w:szCs w:val="21"/>
        </w:rPr>
        <w:t>，</w:t>
      </w:r>
      <w:r>
        <w:rPr>
          <w:rFonts w:ascii="Tahoma" w:hAnsi="Tahoma" w:cs="Tahoma"/>
          <w:b/>
          <w:szCs w:val="21"/>
        </w:rPr>
        <w:t>为无效</w:t>
      </w:r>
      <w:r>
        <w:rPr>
          <w:rFonts w:hint="eastAsia" w:ascii="Tahoma" w:hAnsi="Tahoma" w:cs="Tahoma"/>
          <w:b/>
          <w:szCs w:val="21"/>
          <w:lang w:eastAsia="zh-CN"/>
        </w:rPr>
        <w:t>响应文件</w:t>
      </w:r>
      <w:r>
        <w:rPr>
          <w:rFonts w:ascii="Tahoma" w:hAnsi="Tahoma" w:cs="Tahoma"/>
          <w:b/>
          <w:szCs w:val="21"/>
        </w:rPr>
        <w:t>将被拒收。</w:t>
      </w:r>
    </w:p>
    <w:p>
      <w:pPr>
        <w:shd w:val="clear" w:color="auto" w:fill="FFFFFF"/>
        <w:snapToGrid w:val="0"/>
        <w:spacing w:line="360" w:lineRule="auto"/>
        <w:rPr>
          <w:rFonts w:ascii="Tahoma" w:hAnsi="Tahoma" w:cs="Tahoma"/>
          <w:b/>
          <w:szCs w:val="21"/>
        </w:rPr>
      </w:pPr>
      <w:r>
        <w:rPr>
          <w:rFonts w:ascii="Tahoma" w:hAnsi="Tahoma" w:cs="Tahoma"/>
          <w:b/>
          <w:szCs w:val="21"/>
        </w:rPr>
        <w:t>4.3</w:t>
      </w:r>
      <w:r>
        <w:rPr>
          <w:rFonts w:ascii="Tahoma" w:hAnsi="Tahoma" w:cs="Tahoma"/>
          <w:b/>
          <w:bCs/>
          <w:szCs w:val="21"/>
        </w:rPr>
        <w:t xml:space="preserve">. </w:t>
      </w:r>
      <w:r>
        <w:rPr>
          <w:rFonts w:hint="eastAsia" w:ascii="Tahoma" w:hAnsi="Tahoma" w:cs="Tahoma"/>
          <w:b/>
          <w:szCs w:val="21"/>
          <w:lang w:eastAsia="zh-CN"/>
        </w:rPr>
        <w:t>响应文件</w:t>
      </w:r>
      <w:r>
        <w:rPr>
          <w:rFonts w:ascii="Tahoma" w:hAnsi="Tahoma" w:cs="Tahoma"/>
          <w:b/>
          <w:szCs w:val="21"/>
        </w:rPr>
        <w:t>的修改与撤回</w:t>
      </w:r>
    </w:p>
    <w:p>
      <w:pPr>
        <w:spacing w:line="360" w:lineRule="auto"/>
        <w:rPr>
          <w:rFonts w:ascii="Tahoma" w:hAnsi="Tahoma" w:cs="Tahoma"/>
          <w:szCs w:val="21"/>
        </w:rPr>
      </w:pPr>
      <w:r>
        <w:rPr>
          <w:rFonts w:ascii="Tahoma" w:hAnsi="Tahoma" w:cs="Tahoma"/>
          <w:szCs w:val="21"/>
        </w:rPr>
        <w:t>4.3.1</w:t>
      </w:r>
      <w:r>
        <w:rPr>
          <w:rFonts w:hint="eastAsia" w:ascii="Tahoma" w:hAnsi="Tahoma" w:cs="Tahoma"/>
          <w:szCs w:val="21"/>
          <w:lang w:eastAsia="zh-CN"/>
        </w:rPr>
        <w:t>供应商</w:t>
      </w:r>
      <w:r>
        <w:rPr>
          <w:rFonts w:ascii="Tahoma" w:hAnsi="Tahoma" w:cs="Tahoma"/>
          <w:szCs w:val="21"/>
        </w:rPr>
        <w:t>在投标截止时间前，可以对所提交的</w:t>
      </w:r>
      <w:r>
        <w:rPr>
          <w:rFonts w:hint="eastAsia" w:ascii="Tahoma" w:hAnsi="Tahoma" w:cs="Tahoma"/>
          <w:szCs w:val="21"/>
          <w:lang w:eastAsia="zh-CN"/>
        </w:rPr>
        <w:t>响应文件</w:t>
      </w:r>
      <w:r>
        <w:rPr>
          <w:rFonts w:ascii="Tahoma" w:hAnsi="Tahoma" w:cs="Tahoma"/>
          <w:szCs w:val="21"/>
        </w:rPr>
        <w:t>进行修改或者撤回，并书面通知招标代理机构。修改的内容和撤回通知应当按本须知要求签署、盖章、密封，并作为</w:t>
      </w:r>
      <w:r>
        <w:rPr>
          <w:rFonts w:hint="eastAsia" w:ascii="Tahoma" w:hAnsi="Tahoma" w:cs="Tahoma"/>
          <w:szCs w:val="21"/>
          <w:lang w:eastAsia="zh-CN"/>
        </w:rPr>
        <w:t>响应文件</w:t>
      </w:r>
      <w:r>
        <w:rPr>
          <w:rFonts w:ascii="Tahoma" w:hAnsi="Tahoma" w:cs="Tahoma"/>
          <w:szCs w:val="21"/>
        </w:rPr>
        <w:t>的组成部分。</w:t>
      </w:r>
    </w:p>
    <w:p>
      <w:pPr>
        <w:spacing w:line="360" w:lineRule="auto"/>
        <w:rPr>
          <w:rFonts w:ascii="Tahoma" w:hAnsi="Tahoma" w:cs="Tahoma"/>
          <w:b/>
          <w:bCs/>
          <w:szCs w:val="21"/>
        </w:rPr>
      </w:pPr>
      <w:r>
        <w:rPr>
          <w:rFonts w:ascii="Tahoma" w:hAnsi="Tahoma" w:cs="Tahoma"/>
          <w:szCs w:val="21"/>
        </w:rPr>
        <w:t>4.3.2</w:t>
      </w:r>
      <w:r>
        <w:rPr>
          <w:rFonts w:hint="eastAsia" w:ascii="Tahoma" w:hAnsi="Tahoma" w:cs="Tahoma"/>
          <w:b/>
          <w:bCs/>
          <w:szCs w:val="21"/>
          <w:lang w:eastAsia="zh-CN"/>
        </w:rPr>
        <w:t>供应商</w:t>
      </w:r>
      <w:r>
        <w:rPr>
          <w:rFonts w:ascii="Tahoma" w:hAnsi="Tahoma" w:cs="Tahoma"/>
          <w:b/>
          <w:bCs/>
          <w:szCs w:val="21"/>
        </w:rPr>
        <w:t>在投标截止期后不得修改、撤回</w:t>
      </w:r>
      <w:r>
        <w:rPr>
          <w:rFonts w:hint="eastAsia" w:ascii="Tahoma" w:hAnsi="Tahoma" w:cs="Tahoma"/>
          <w:b/>
          <w:bCs/>
          <w:szCs w:val="21"/>
          <w:lang w:eastAsia="zh-CN"/>
        </w:rPr>
        <w:t>响应文件</w:t>
      </w:r>
      <w:r>
        <w:rPr>
          <w:rFonts w:ascii="Tahoma" w:hAnsi="Tahoma" w:cs="Tahoma"/>
          <w:b/>
          <w:bCs/>
          <w:szCs w:val="21"/>
        </w:rPr>
        <w:t>。</w:t>
      </w:r>
      <w:r>
        <w:rPr>
          <w:rFonts w:hint="eastAsia" w:ascii="Tahoma" w:hAnsi="Tahoma" w:cs="Tahoma"/>
          <w:b/>
          <w:bCs/>
          <w:szCs w:val="21"/>
          <w:lang w:eastAsia="zh-CN"/>
        </w:rPr>
        <w:t>供应商</w:t>
      </w:r>
      <w:r>
        <w:rPr>
          <w:rFonts w:ascii="Tahoma" w:hAnsi="Tahoma" w:cs="Tahoma"/>
          <w:b/>
          <w:bCs/>
          <w:szCs w:val="21"/>
        </w:rPr>
        <w:t>在投标截止期后修改</w:t>
      </w:r>
      <w:r>
        <w:rPr>
          <w:rFonts w:hint="eastAsia" w:ascii="Tahoma" w:hAnsi="Tahoma" w:cs="Tahoma"/>
          <w:b/>
          <w:bCs/>
          <w:szCs w:val="21"/>
          <w:lang w:eastAsia="zh-CN"/>
        </w:rPr>
        <w:t>响应文件</w:t>
      </w:r>
      <w:r>
        <w:rPr>
          <w:rFonts w:ascii="Tahoma" w:hAnsi="Tahoma" w:cs="Tahoma"/>
          <w:b/>
          <w:bCs/>
          <w:szCs w:val="21"/>
        </w:rPr>
        <w:t>的，其投标被拒绝。</w:t>
      </w:r>
    </w:p>
    <w:p>
      <w:pPr>
        <w:spacing w:line="360" w:lineRule="auto"/>
        <w:rPr>
          <w:rFonts w:ascii="Tahoma" w:hAnsi="Tahoma" w:cs="Tahoma"/>
          <w:szCs w:val="21"/>
        </w:rPr>
      </w:pPr>
      <w:r>
        <w:rPr>
          <w:rFonts w:ascii="Tahoma" w:hAnsi="Tahoma" w:cs="Tahoma"/>
          <w:szCs w:val="21"/>
        </w:rPr>
        <w:t>4.3.3</w:t>
      </w:r>
      <w:r>
        <w:rPr>
          <w:rFonts w:hint="eastAsia" w:ascii="Tahoma" w:hAnsi="Tahoma" w:cs="Tahoma"/>
          <w:szCs w:val="21"/>
          <w:lang w:eastAsia="zh-CN"/>
        </w:rPr>
        <w:t>响应文件</w:t>
      </w:r>
      <w:r>
        <w:rPr>
          <w:rFonts w:ascii="Tahoma" w:hAnsi="Tahoma" w:cs="Tahoma"/>
          <w:szCs w:val="21"/>
        </w:rPr>
        <w:t>一经递交，除招标文件另有规定外，一律不予退还。</w:t>
      </w:r>
    </w:p>
    <w:p>
      <w:pPr>
        <w:spacing w:line="360" w:lineRule="auto"/>
        <w:jc w:val="center"/>
        <w:rPr>
          <w:rFonts w:ascii="Tahoma" w:hAnsi="Tahoma" w:cs="Tahoma"/>
          <w:b/>
          <w:bCs/>
          <w:szCs w:val="21"/>
        </w:rPr>
      </w:pPr>
      <w:r>
        <w:rPr>
          <w:rFonts w:ascii="Tahoma" w:hAnsi="Tahoma" w:cs="Tahoma"/>
          <w:b/>
          <w:bCs/>
          <w:szCs w:val="21"/>
        </w:rPr>
        <w:t>5、</w:t>
      </w:r>
      <w:r>
        <w:rPr>
          <w:rFonts w:ascii="Tahoma" w:hAnsi="Tahoma" w:cs="Tahoma"/>
          <w:b/>
          <w:bCs/>
          <w:spacing w:val="8"/>
          <w:szCs w:val="21"/>
        </w:rPr>
        <w:t>开标</w:t>
      </w:r>
    </w:p>
    <w:p>
      <w:pPr>
        <w:spacing w:line="360" w:lineRule="auto"/>
        <w:rPr>
          <w:rFonts w:ascii="Tahoma" w:hAnsi="Tahoma" w:cs="Tahoma"/>
          <w:szCs w:val="21"/>
        </w:rPr>
      </w:pPr>
      <w:r>
        <w:rPr>
          <w:rFonts w:ascii="Tahoma" w:hAnsi="Tahoma" w:cs="Tahoma"/>
          <w:b/>
          <w:bCs/>
          <w:szCs w:val="21"/>
        </w:rPr>
        <w:t>5.1. 开标</w:t>
      </w:r>
    </w:p>
    <w:p>
      <w:pPr>
        <w:spacing w:line="360" w:lineRule="auto"/>
        <w:rPr>
          <w:rFonts w:ascii="Tahoma" w:hAnsi="Tahoma" w:cs="Tahoma"/>
          <w:szCs w:val="21"/>
        </w:rPr>
      </w:pPr>
      <w:r>
        <w:rPr>
          <w:rFonts w:ascii="Tahoma" w:hAnsi="Tahoma" w:cs="Tahoma"/>
          <w:szCs w:val="21"/>
        </w:rPr>
        <w:t xml:space="preserve">5.1.1 </w:t>
      </w:r>
      <w:r>
        <w:rPr>
          <w:rFonts w:hint="eastAsia" w:ascii="Tahoma" w:hAnsi="Tahoma" w:cs="Tahoma"/>
          <w:szCs w:val="21"/>
          <w:lang w:eastAsia="zh-CN"/>
        </w:rPr>
        <w:t>采购人</w:t>
      </w:r>
      <w:r>
        <w:rPr>
          <w:rFonts w:ascii="Tahoma" w:hAnsi="Tahoma" w:cs="Tahoma"/>
          <w:szCs w:val="21"/>
        </w:rPr>
        <w:t>按</w:t>
      </w:r>
      <w:r>
        <w:rPr>
          <w:rFonts w:hint="eastAsia" w:ascii="Tahoma" w:hAnsi="Tahoma" w:cs="Tahoma"/>
          <w:szCs w:val="21"/>
          <w:lang w:eastAsia="zh-CN"/>
        </w:rPr>
        <w:t>供应商</w:t>
      </w:r>
      <w:r>
        <w:rPr>
          <w:rFonts w:ascii="Tahoma" w:hAnsi="Tahoma" w:cs="Tahoma"/>
          <w:szCs w:val="21"/>
        </w:rPr>
        <w:t>须知前附表规定的时间、地点公开开标。</w:t>
      </w:r>
    </w:p>
    <w:p>
      <w:pPr>
        <w:spacing w:line="360" w:lineRule="auto"/>
        <w:rPr>
          <w:rFonts w:ascii="Tahoma" w:hAnsi="Tahoma" w:cs="Tahoma"/>
          <w:szCs w:val="21"/>
        </w:rPr>
      </w:pPr>
      <w:r>
        <w:rPr>
          <w:rFonts w:ascii="Tahoma" w:hAnsi="Tahoma" w:cs="Tahoma"/>
          <w:bCs/>
          <w:szCs w:val="21"/>
        </w:rPr>
        <w:t>5.1.2</w:t>
      </w:r>
      <w:r>
        <w:rPr>
          <w:rFonts w:ascii="Tahoma" w:hAnsi="Tahoma" w:cs="Tahoma"/>
          <w:szCs w:val="21"/>
        </w:rPr>
        <w:t>开标由招标代理机构主持，</w:t>
      </w:r>
      <w:r>
        <w:rPr>
          <w:rFonts w:hint="eastAsia" w:ascii="Tahoma" w:hAnsi="Tahoma" w:cs="Tahoma"/>
          <w:szCs w:val="21"/>
          <w:lang w:eastAsia="zh-CN"/>
        </w:rPr>
        <w:t>采购人</w:t>
      </w:r>
      <w:r>
        <w:rPr>
          <w:rFonts w:ascii="Tahoma" w:hAnsi="Tahoma" w:cs="Tahoma"/>
          <w:szCs w:val="21"/>
        </w:rPr>
        <w:t>、</w:t>
      </w:r>
      <w:r>
        <w:rPr>
          <w:rFonts w:hint="eastAsia" w:ascii="Tahoma" w:hAnsi="Tahoma" w:cs="Tahoma"/>
          <w:szCs w:val="21"/>
          <w:lang w:eastAsia="zh-CN"/>
        </w:rPr>
        <w:t>供应商</w:t>
      </w:r>
      <w:r>
        <w:rPr>
          <w:rFonts w:ascii="Tahoma" w:hAnsi="Tahoma" w:cs="Tahoma"/>
          <w:szCs w:val="21"/>
        </w:rPr>
        <w:t>和有关方面代表参加。</w:t>
      </w:r>
      <w:r>
        <w:rPr>
          <w:rFonts w:hint="eastAsia" w:ascii="Tahoma" w:hAnsi="Tahoma" w:cs="Tahoma"/>
          <w:szCs w:val="21"/>
          <w:lang w:eastAsia="zh-CN"/>
        </w:rPr>
        <w:t>供应商</w:t>
      </w:r>
      <w:r>
        <w:rPr>
          <w:rFonts w:ascii="Tahoma" w:hAnsi="Tahoma" w:cs="Tahoma"/>
          <w:szCs w:val="21"/>
        </w:rPr>
        <w:t>应派授权代表参加开标会，并签到。</w:t>
      </w:r>
    </w:p>
    <w:p>
      <w:pPr>
        <w:spacing w:line="360" w:lineRule="auto"/>
        <w:rPr>
          <w:rFonts w:ascii="Tahoma" w:hAnsi="Tahoma" w:cs="Tahoma"/>
          <w:szCs w:val="21"/>
        </w:rPr>
      </w:pPr>
      <w:r>
        <w:rPr>
          <w:rFonts w:ascii="Tahoma" w:hAnsi="Tahoma" w:cs="Tahoma"/>
          <w:szCs w:val="21"/>
        </w:rPr>
        <w:t>5.1.3开标时，应当由</w:t>
      </w:r>
      <w:r>
        <w:rPr>
          <w:rFonts w:hint="eastAsia" w:ascii="Tahoma" w:hAnsi="Tahoma" w:cs="Tahoma"/>
          <w:szCs w:val="21"/>
          <w:lang w:eastAsia="zh-CN"/>
        </w:rPr>
        <w:t>供应商</w:t>
      </w:r>
      <w:r>
        <w:rPr>
          <w:rFonts w:ascii="Tahoma" w:hAnsi="Tahoma" w:cs="Tahoma"/>
          <w:szCs w:val="21"/>
        </w:rPr>
        <w:t>或者其推选的代表检查</w:t>
      </w:r>
      <w:r>
        <w:rPr>
          <w:rFonts w:hint="eastAsia" w:ascii="Tahoma" w:hAnsi="Tahoma" w:cs="Tahoma"/>
          <w:szCs w:val="21"/>
          <w:lang w:eastAsia="zh-CN"/>
        </w:rPr>
        <w:t>响应文件</w:t>
      </w:r>
      <w:r>
        <w:rPr>
          <w:rFonts w:ascii="Tahoma" w:hAnsi="Tahoma" w:cs="Tahoma"/>
          <w:szCs w:val="21"/>
        </w:rPr>
        <w:t>的密封情况，也可以由</w:t>
      </w:r>
      <w:r>
        <w:rPr>
          <w:rFonts w:hint="eastAsia" w:ascii="Tahoma" w:hAnsi="Tahoma" w:cs="Tahoma"/>
          <w:szCs w:val="21"/>
          <w:lang w:eastAsia="zh-CN"/>
        </w:rPr>
        <w:t>采购人</w:t>
      </w:r>
      <w:r>
        <w:rPr>
          <w:rFonts w:ascii="Tahoma" w:hAnsi="Tahoma" w:cs="Tahoma"/>
          <w:szCs w:val="21"/>
        </w:rPr>
        <w:t>委托的公证机构检查并公证；经确认无误后，</w:t>
      </w:r>
      <w:r>
        <w:rPr>
          <w:rFonts w:hint="eastAsia" w:ascii="Tahoma" w:hAnsi="Tahoma" w:cs="Tahoma"/>
          <w:szCs w:val="21"/>
        </w:rPr>
        <w:t>以开标现场随机拆取为准</w:t>
      </w:r>
      <w:r>
        <w:rPr>
          <w:rFonts w:ascii="Tahoma" w:hAnsi="Tahoma" w:cs="Tahoma"/>
          <w:szCs w:val="21"/>
        </w:rPr>
        <w:t>，由开标会唱标人宣唱并由记录人记录各</w:t>
      </w:r>
      <w:r>
        <w:rPr>
          <w:rFonts w:hint="eastAsia" w:ascii="Tahoma" w:hAnsi="Tahoma" w:cs="Tahoma"/>
          <w:szCs w:val="21"/>
          <w:lang w:eastAsia="zh-CN"/>
        </w:rPr>
        <w:t>供应商</w:t>
      </w:r>
      <w:r>
        <w:rPr>
          <w:rFonts w:ascii="Tahoma" w:hAnsi="Tahoma" w:cs="Tahoma"/>
          <w:szCs w:val="21"/>
        </w:rPr>
        <w:t>的报价，唱标内容为“</w:t>
      </w:r>
      <w:r>
        <w:rPr>
          <w:rFonts w:hint="eastAsia" w:ascii="Tahoma" w:hAnsi="Tahoma" w:cs="Tahoma"/>
          <w:szCs w:val="21"/>
          <w:lang w:eastAsia="zh-CN"/>
        </w:rPr>
        <w:t>报价一览表</w:t>
      </w:r>
      <w:r>
        <w:rPr>
          <w:rFonts w:ascii="Tahoma" w:hAnsi="Tahoma" w:cs="Tahoma"/>
          <w:szCs w:val="21"/>
        </w:rPr>
        <w:t xml:space="preserve">”内容。未宣读的投标价格、价格折扣和招标文件允许提供的备选投标方案等实质内容，评标时不予承认。 </w:t>
      </w:r>
    </w:p>
    <w:p>
      <w:pPr>
        <w:spacing w:line="360" w:lineRule="auto"/>
        <w:rPr>
          <w:rFonts w:ascii="Tahoma" w:hAnsi="Tahoma" w:cs="Tahoma"/>
          <w:szCs w:val="21"/>
        </w:rPr>
      </w:pPr>
      <w:r>
        <w:rPr>
          <w:rFonts w:ascii="Tahoma" w:hAnsi="Tahoma" w:cs="Tahoma"/>
          <w:szCs w:val="21"/>
        </w:rPr>
        <w:t>5.1.4开标时，</w:t>
      </w:r>
      <w:r>
        <w:rPr>
          <w:rFonts w:hint="eastAsia" w:ascii="Tahoma" w:hAnsi="Tahoma" w:cs="Tahoma"/>
          <w:szCs w:val="21"/>
          <w:lang w:eastAsia="zh-CN"/>
        </w:rPr>
        <w:t>响应文件</w:t>
      </w:r>
      <w:r>
        <w:rPr>
          <w:rFonts w:ascii="Tahoma" w:hAnsi="Tahoma" w:cs="Tahoma"/>
          <w:szCs w:val="21"/>
        </w:rPr>
        <w:t>中</w:t>
      </w:r>
      <w:r>
        <w:rPr>
          <w:rFonts w:hint="eastAsia" w:ascii="Tahoma" w:hAnsi="Tahoma" w:cs="Tahoma"/>
          <w:szCs w:val="21"/>
          <w:lang w:eastAsia="zh-CN"/>
        </w:rPr>
        <w:t>报价一览表</w:t>
      </w:r>
      <w:r>
        <w:rPr>
          <w:rFonts w:ascii="Tahoma" w:hAnsi="Tahoma" w:cs="Tahoma"/>
          <w:szCs w:val="21"/>
        </w:rPr>
        <w:t>（报价表）内容与</w:t>
      </w:r>
      <w:r>
        <w:rPr>
          <w:rFonts w:hint="eastAsia" w:ascii="Tahoma" w:hAnsi="Tahoma" w:cs="Tahoma"/>
          <w:szCs w:val="21"/>
          <w:lang w:eastAsia="zh-CN"/>
        </w:rPr>
        <w:t>响应文件</w:t>
      </w:r>
      <w:r>
        <w:rPr>
          <w:rFonts w:ascii="Tahoma" w:hAnsi="Tahoma" w:cs="Tahoma"/>
          <w:szCs w:val="21"/>
        </w:rPr>
        <w:t>中明细表内容不一致的，以</w:t>
      </w:r>
      <w:r>
        <w:rPr>
          <w:rFonts w:hint="eastAsia" w:ascii="Tahoma" w:hAnsi="Tahoma" w:cs="Tahoma"/>
          <w:szCs w:val="21"/>
          <w:lang w:eastAsia="zh-CN"/>
        </w:rPr>
        <w:t>报价一览表</w:t>
      </w:r>
      <w:r>
        <w:rPr>
          <w:rFonts w:ascii="Tahoma" w:hAnsi="Tahoma" w:cs="Tahoma"/>
          <w:szCs w:val="21"/>
        </w:rPr>
        <w:t>（报价表）为准。</w:t>
      </w:r>
      <w:r>
        <w:rPr>
          <w:rFonts w:hint="eastAsia" w:ascii="Tahoma" w:hAnsi="Tahoma" w:cs="Tahoma"/>
          <w:szCs w:val="21"/>
          <w:lang w:val="en-US" w:eastAsia="zh-CN"/>
        </w:rPr>
        <w:t>大小写不一致时，以大写为准；</w:t>
      </w:r>
      <w:r>
        <w:rPr>
          <w:rFonts w:ascii="Tahoma" w:hAnsi="Tahoma" w:cs="Tahoma"/>
          <w:szCs w:val="21"/>
        </w:rPr>
        <w:t xml:space="preserve"> </w:t>
      </w:r>
    </w:p>
    <w:p>
      <w:pPr>
        <w:spacing w:line="360" w:lineRule="auto"/>
        <w:rPr>
          <w:rFonts w:ascii="Tahoma" w:hAnsi="Tahoma" w:cs="Tahoma"/>
          <w:szCs w:val="21"/>
        </w:rPr>
      </w:pPr>
      <w:r>
        <w:rPr>
          <w:rFonts w:ascii="Tahoma" w:hAnsi="Tahoma" w:cs="Tahoma"/>
          <w:szCs w:val="21"/>
        </w:rPr>
        <w:t xml:space="preserve">5.1.5开标过程由指定专人负责记录，并存档备查。 </w:t>
      </w:r>
    </w:p>
    <w:p>
      <w:pPr>
        <w:spacing w:line="360" w:lineRule="auto"/>
        <w:rPr>
          <w:rFonts w:ascii="Tahoma" w:hAnsi="Tahoma" w:cs="Tahoma"/>
          <w:szCs w:val="21"/>
        </w:rPr>
      </w:pPr>
      <w:r>
        <w:rPr>
          <w:rFonts w:ascii="Tahoma" w:hAnsi="Tahoma" w:cs="Tahoma"/>
          <w:szCs w:val="21"/>
        </w:rPr>
        <w:t>5.1.6 开标时，各</w:t>
      </w:r>
      <w:r>
        <w:rPr>
          <w:rFonts w:hint="eastAsia" w:ascii="Tahoma" w:hAnsi="Tahoma" w:cs="Tahoma"/>
          <w:szCs w:val="21"/>
          <w:lang w:eastAsia="zh-CN"/>
        </w:rPr>
        <w:t>供应商</w:t>
      </w:r>
      <w:r>
        <w:rPr>
          <w:rFonts w:ascii="Tahoma" w:hAnsi="Tahoma" w:cs="Tahoma"/>
          <w:szCs w:val="21"/>
        </w:rPr>
        <w:t>代表需在“开标会</w:t>
      </w:r>
      <w:r>
        <w:rPr>
          <w:rFonts w:hint="eastAsia" w:ascii="Tahoma" w:hAnsi="Tahoma" w:cs="Tahoma"/>
          <w:szCs w:val="21"/>
          <w:lang w:eastAsia="zh-CN"/>
        </w:rPr>
        <w:t>供应商</w:t>
      </w:r>
      <w:r>
        <w:rPr>
          <w:rFonts w:ascii="Tahoma" w:hAnsi="Tahoma" w:cs="Tahoma"/>
          <w:szCs w:val="21"/>
        </w:rPr>
        <w:t>签字表”上签字确认开标时间。</w:t>
      </w:r>
    </w:p>
    <w:p>
      <w:pPr>
        <w:spacing w:line="360" w:lineRule="auto"/>
        <w:rPr>
          <w:rFonts w:ascii="Tahoma" w:hAnsi="Tahoma" w:cs="Tahoma"/>
          <w:szCs w:val="21"/>
        </w:rPr>
      </w:pPr>
      <w:r>
        <w:rPr>
          <w:rFonts w:ascii="Tahoma" w:hAnsi="Tahoma" w:cs="Tahoma"/>
          <w:szCs w:val="21"/>
        </w:rPr>
        <w:t>5.1.7开标大会结束后，各</w:t>
      </w:r>
      <w:r>
        <w:rPr>
          <w:rFonts w:hint="eastAsia" w:ascii="Tahoma" w:hAnsi="Tahoma" w:cs="Tahoma"/>
          <w:szCs w:val="21"/>
          <w:lang w:eastAsia="zh-CN"/>
        </w:rPr>
        <w:t>供应商</w:t>
      </w:r>
      <w:r>
        <w:rPr>
          <w:rFonts w:ascii="Tahoma" w:hAnsi="Tahoma" w:cs="Tahoma"/>
          <w:szCs w:val="21"/>
        </w:rPr>
        <w:t>代表需在“开标价格记录汇总表”上签字后方可离开。</w:t>
      </w:r>
    </w:p>
    <w:p>
      <w:pPr>
        <w:spacing w:line="360" w:lineRule="auto"/>
        <w:rPr>
          <w:rFonts w:ascii="Tahoma" w:hAnsi="Tahoma" w:cs="Tahoma"/>
          <w:szCs w:val="21"/>
        </w:rPr>
      </w:pPr>
      <w:r>
        <w:rPr>
          <w:rFonts w:ascii="Tahoma" w:hAnsi="Tahoma" w:cs="Tahoma"/>
          <w:szCs w:val="21"/>
        </w:rPr>
        <w:t>5.1.8投标截止时间结束后参加投标的</w:t>
      </w:r>
      <w:r>
        <w:rPr>
          <w:rFonts w:hint="eastAsia" w:ascii="Tahoma" w:hAnsi="Tahoma" w:cs="Tahoma"/>
          <w:szCs w:val="21"/>
          <w:lang w:eastAsia="zh-CN"/>
        </w:rPr>
        <w:t>供应商</w:t>
      </w:r>
      <w:r>
        <w:rPr>
          <w:rFonts w:ascii="Tahoma" w:hAnsi="Tahoma" w:cs="Tahoma"/>
          <w:szCs w:val="21"/>
        </w:rPr>
        <w:t>不足三家的，本次招标程序终止，除招标任务取消情形外，招标单位将依法重新组织招标或者采取其他方式采购。</w:t>
      </w:r>
    </w:p>
    <w:p>
      <w:pPr>
        <w:spacing w:line="360" w:lineRule="auto"/>
        <w:jc w:val="center"/>
        <w:rPr>
          <w:rFonts w:ascii="Tahoma" w:hAnsi="Tahoma" w:cs="Tahoma"/>
          <w:szCs w:val="21"/>
        </w:rPr>
      </w:pPr>
      <w:r>
        <w:rPr>
          <w:rFonts w:ascii="Tahoma" w:hAnsi="Tahoma" w:cs="Tahoma"/>
          <w:b/>
          <w:bCs/>
          <w:szCs w:val="21"/>
        </w:rPr>
        <w:t>6、评标</w:t>
      </w:r>
    </w:p>
    <w:p>
      <w:pPr>
        <w:spacing w:line="360" w:lineRule="auto"/>
        <w:rPr>
          <w:rFonts w:ascii="Tahoma" w:hAnsi="Tahoma" w:cs="Tahoma"/>
          <w:b/>
          <w:bCs/>
          <w:szCs w:val="21"/>
        </w:rPr>
      </w:pPr>
      <w:r>
        <w:rPr>
          <w:rFonts w:ascii="Tahoma" w:hAnsi="Tahoma" w:cs="Tahoma"/>
          <w:b/>
          <w:bCs/>
          <w:szCs w:val="21"/>
        </w:rPr>
        <w:t>6.1．评标委员会</w:t>
      </w:r>
    </w:p>
    <w:p>
      <w:pPr>
        <w:spacing w:line="360" w:lineRule="auto"/>
        <w:rPr>
          <w:rFonts w:ascii="Tahoma" w:hAnsi="Tahoma" w:cs="Tahoma"/>
          <w:szCs w:val="21"/>
        </w:rPr>
      </w:pPr>
      <w:r>
        <w:rPr>
          <w:rFonts w:ascii="Tahoma" w:hAnsi="Tahoma" w:cs="Tahoma"/>
          <w:szCs w:val="21"/>
        </w:rPr>
        <w:t>6.1.1</w:t>
      </w:r>
      <w:r>
        <w:rPr>
          <w:rFonts w:hint="eastAsia" w:ascii="Tahoma" w:hAnsi="Tahoma" w:cs="Tahoma"/>
          <w:szCs w:val="21"/>
          <w:lang w:eastAsia="zh-CN"/>
        </w:rPr>
        <w:t>采购人</w:t>
      </w:r>
      <w:r>
        <w:rPr>
          <w:rFonts w:ascii="Tahoma" w:hAnsi="Tahoma" w:cs="Tahoma"/>
          <w:szCs w:val="21"/>
        </w:rPr>
        <w:t>根据招标货物和服务的特点依法组建评标委员会。</w:t>
      </w:r>
      <w:r>
        <w:rPr>
          <w:rFonts w:ascii="Tahoma" w:hAnsi="Tahoma" w:cs="Tahoma"/>
          <w:bCs/>
          <w:szCs w:val="21"/>
        </w:rPr>
        <w:t>评标委员会由采购人代表和有关技术、经济等方面的专家组成，成员人数应当为</w:t>
      </w:r>
      <w:r>
        <w:rPr>
          <w:rFonts w:ascii="Tahoma" w:hAnsi="Tahoma" w:cs="Tahoma"/>
          <w:bCs/>
          <w:szCs w:val="21"/>
          <w:u w:val="single"/>
        </w:rPr>
        <w:t xml:space="preserve"> </w:t>
      </w:r>
      <w:r>
        <w:rPr>
          <w:rFonts w:hint="eastAsia" w:ascii="Tahoma" w:hAnsi="Tahoma" w:cs="Tahoma"/>
          <w:bCs/>
          <w:szCs w:val="21"/>
          <w:u w:val="single"/>
        </w:rPr>
        <w:t>7</w:t>
      </w:r>
      <w:r>
        <w:rPr>
          <w:rFonts w:ascii="Tahoma" w:hAnsi="Tahoma" w:cs="Tahoma"/>
          <w:bCs/>
          <w:szCs w:val="21"/>
        </w:rPr>
        <w:t>人以上单数，其中，技术、经济等方面的专家不得少于成员总数的2/3，</w:t>
      </w:r>
      <w:r>
        <w:rPr>
          <w:rFonts w:ascii="Tahoma" w:hAnsi="Tahoma" w:cs="Tahoma"/>
          <w:szCs w:val="21"/>
        </w:rPr>
        <w:t>并对</w:t>
      </w:r>
      <w:r>
        <w:rPr>
          <w:rFonts w:hint="eastAsia" w:ascii="Tahoma" w:hAnsi="Tahoma" w:cs="Tahoma"/>
          <w:szCs w:val="21"/>
          <w:lang w:eastAsia="zh-CN"/>
        </w:rPr>
        <w:t>响应文件</w:t>
      </w:r>
      <w:r>
        <w:rPr>
          <w:rFonts w:ascii="Tahoma" w:hAnsi="Tahoma" w:cs="Tahoma"/>
          <w:szCs w:val="21"/>
        </w:rPr>
        <w:t>进行审查、评估和比较，并做出授予合同的建议。</w:t>
      </w:r>
    </w:p>
    <w:p>
      <w:pPr>
        <w:spacing w:line="360" w:lineRule="auto"/>
        <w:rPr>
          <w:rFonts w:ascii="Tahoma" w:hAnsi="Tahoma" w:cs="Tahoma"/>
          <w:szCs w:val="21"/>
        </w:rPr>
      </w:pPr>
      <w:r>
        <w:rPr>
          <w:rFonts w:ascii="Tahoma" w:hAnsi="Tahoma" w:cs="Tahoma"/>
          <w:szCs w:val="21"/>
        </w:rPr>
        <w:t>6.1.2招标单位就招标文件征询过意见的专家，不得再作为评标专家参加评标。</w:t>
      </w:r>
      <w:r>
        <w:rPr>
          <w:rFonts w:hint="eastAsia" w:ascii="Tahoma" w:hAnsi="Tahoma" w:cs="Tahoma"/>
          <w:szCs w:val="21"/>
          <w:lang w:eastAsia="zh-CN"/>
        </w:rPr>
        <w:t>采购人</w:t>
      </w:r>
      <w:r>
        <w:rPr>
          <w:rFonts w:ascii="Tahoma" w:hAnsi="Tahoma" w:cs="Tahoma"/>
          <w:szCs w:val="21"/>
        </w:rPr>
        <w:t xml:space="preserve">不得以专家身份参与本部门或者本项目的评标。招标代理机构工作人员不得参加由本机构代理的招标项目的评标。 </w:t>
      </w:r>
    </w:p>
    <w:p>
      <w:pPr>
        <w:spacing w:line="360" w:lineRule="auto"/>
        <w:rPr>
          <w:rFonts w:ascii="Tahoma" w:hAnsi="Tahoma" w:cs="Tahoma"/>
          <w:szCs w:val="21"/>
        </w:rPr>
      </w:pPr>
      <w:r>
        <w:rPr>
          <w:rFonts w:ascii="Tahoma" w:hAnsi="Tahoma" w:cs="Tahoma"/>
          <w:szCs w:val="21"/>
        </w:rPr>
        <w:t xml:space="preserve">6.1.3评标委员会成员应当履行下列义务： </w:t>
      </w:r>
    </w:p>
    <w:p>
      <w:pPr>
        <w:spacing w:line="360" w:lineRule="auto"/>
        <w:ind w:firstLine="120" w:firstLineChars="50"/>
        <w:rPr>
          <w:rFonts w:ascii="Tahoma" w:hAnsi="Tahoma" w:cs="Tahoma"/>
          <w:szCs w:val="21"/>
        </w:rPr>
      </w:pPr>
      <w:r>
        <w:rPr>
          <w:rFonts w:ascii="Tahoma" w:hAnsi="Tahoma" w:cs="Tahoma"/>
          <w:szCs w:val="21"/>
        </w:rPr>
        <w:t xml:space="preserve">（一）遵纪守法，客观、公正、廉洁地履行职责； </w:t>
      </w:r>
    </w:p>
    <w:p>
      <w:pPr>
        <w:spacing w:line="360" w:lineRule="auto"/>
        <w:ind w:firstLine="120" w:firstLineChars="50"/>
        <w:rPr>
          <w:rFonts w:ascii="Tahoma" w:hAnsi="Tahoma" w:cs="Tahoma"/>
          <w:szCs w:val="21"/>
        </w:rPr>
      </w:pPr>
      <w:r>
        <w:rPr>
          <w:rFonts w:ascii="Tahoma" w:hAnsi="Tahoma" w:cs="Tahoma"/>
          <w:szCs w:val="21"/>
        </w:rPr>
        <w:t xml:space="preserve">（二）按照招标文件规定的评标方法和评标标准进行评标，对评审意见承担个人责任； </w:t>
      </w:r>
    </w:p>
    <w:p>
      <w:pPr>
        <w:spacing w:line="360" w:lineRule="auto"/>
        <w:ind w:firstLine="120" w:firstLineChars="50"/>
        <w:rPr>
          <w:rFonts w:ascii="Tahoma" w:hAnsi="Tahoma" w:cs="Tahoma"/>
          <w:szCs w:val="21"/>
        </w:rPr>
      </w:pPr>
      <w:r>
        <w:rPr>
          <w:rFonts w:ascii="Tahoma" w:hAnsi="Tahoma" w:cs="Tahoma"/>
          <w:szCs w:val="21"/>
        </w:rPr>
        <w:t xml:space="preserve">（三）对评标过程和结果，以及供应商的商业秘密保密； </w:t>
      </w:r>
    </w:p>
    <w:p>
      <w:pPr>
        <w:spacing w:line="360" w:lineRule="auto"/>
        <w:ind w:firstLine="120" w:firstLineChars="50"/>
        <w:rPr>
          <w:rFonts w:ascii="Tahoma" w:hAnsi="Tahoma" w:cs="Tahoma"/>
          <w:szCs w:val="21"/>
        </w:rPr>
      </w:pPr>
      <w:r>
        <w:rPr>
          <w:rFonts w:ascii="Tahoma" w:hAnsi="Tahoma" w:cs="Tahoma"/>
          <w:szCs w:val="21"/>
        </w:rPr>
        <w:t xml:space="preserve">（四）参与评标报告的起草； </w:t>
      </w:r>
    </w:p>
    <w:p>
      <w:pPr>
        <w:spacing w:line="360" w:lineRule="auto"/>
        <w:ind w:firstLine="120" w:firstLineChars="50"/>
        <w:rPr>
          <w:rFonts w:ascii="Tahoma" w:hAnsi="Tahoma" w:cs="Tahoma"/>
          <w:szCs w:val="21"/>
        </w:rPr>
      </w:pPr>
      <w:r>
        <w:rPr>
          <w:rFonts w:ascii="Tahoma" w:hAnsi="Tahoma" w:cs="Tahoma"/>
          <w:szCs w:val="21"/>
        </w:rPr>
        <w:t xml:space="preserve">（五）配合有关部门的投诉处理工作； </w:t>
      </w:r>
    </w:p>
    <w:p>
      <w:pPr>
        <w:spacing w:line="360" w:lineRule="auto"/>
        <w:ind w:firstLine="120" w:firstLineChars="50"/>
        <w:rPr>
          <w:rFonts w:ascii="Tahoma" w:hAnsi="Tahoma" w:cs="Tahoma"/>
          <w:szCs w:val="21"/>
        </w:rPr>
      </w:pPr>
      <w:r>
        <w:rPr>
          <w:rFonts w:ascii="Tahoma" w:hAnsi="Tahoma" w:cs="Tahoma"/>
          <w:szCs w:val="21"/>
        </w:rPr>
        <w:t xml:space="preserve">（六）配合招标单位答复投标供应商提出的质疑。 </w:t>
      </w:r>
    </w:p>
    <w:p>
      <w:pPr>
        <w:spacing w:line="360" w:lineRule="auto"/>
        <w:rPr>
          <w:rFonts w:ascii="Tahoma" w:hAnsi="Tahoma" w:cs="Tahoma"/>
          <w:szCs w:val="21"/>
        </w:rPr>
      </w:pPr>
      <w:r>
        <w:rPr>
          <w:rFonts w:ascii="Tahoma" w:hAnsi="Tahoma" w:cs="Tahoma"/>
          <w:b/>
          <w:bCs/>
          <w:szCs w:val="21"/>
        </w:rPr>
        <w:t>6.2．评标</w:t>
      </w:r>
    </w:p>
    <w:p>
      <w:pPr>
        <w:spacing w:line="360" w:lineRule="auto"/>
        <w:rPr>
          <w:rFonts w:ascii="Tahoma" w:hAnsi="Tahoma" w:cs="Tahoma"/>
          <w:szCs w:val="21"/>
        </w:rPr>
      </w:pPr>
      <w:r>
        <w:rPr>
          <w:rFonts w:ascii="Tahoma" w:hAnsi="Tahoma" w:cs="Tahoma"/>
          <w:szCs w:val="21"/>
        </w:rPr>
        <w:t>6.2.1本项目评标办法根据《政府采购货物和服务招标投标管理办法》（中华人民共和国财政部令第87号）规定的评审标准，评标办法（详见第三章）。</w:t>
      </w:r>
    </w:p>
    <w:p>
      <w:pPr>
        <w:spacing w:line="360" w:lineRule="auto"/>
        <w:rPr>
          <w:rFonts w:ascii="Tahoma" w:hAnsi="Tahoma" w:cs="Tahoma"/>
          <w:szCs w:val="21"/>
        </w:rPr>
      </w:pPr>
      <w:r>
        <w:rPr>
          <w:rFonts w:ascii="Tahoma" w:hAnsi="Tahoma" w:cs="Tahoma"/>
          <w:szCs w:val="21"/>
        </w:rPr>
        <w:t>6.2.2对所有</w:t>
      </w:r>
      <w:r>
        <w:rPr>
          <w:rFonts w:hint="eastAsia" w:ascii="Tahoma" w:hAnsi="Tahoma" w:cs="Tahoma"/>
          <w:szCs w:val="21"/>
          <w:lang w:eastAsia="zh-CN"/>
        </w:rPr>
        <w:t>供应商</w:t>
      </w:r>
      <w:r>
        <w:rPr>
          <w:rFonts w:ascii="Tahoma" w:hAnsi="Tahoma" w:cs="Tahoma"/>
          <w:szCs w:val="21"/>
        </w:rPr>
        <w:t>的评估，都采用相同的程序和招标文件规定的评审标准。评议过程将严格按照招标文件规定的评标办法和标准进行。</w:t>
      </w:r>
    </w:p>
    <w:p>
      <w:pPr>
        <w:spacing w:line="360" w:lineRule="auto"/>
        <w:rPr>
          <w:rFonts w:ascii="Tahoma" w:hAnsi="Tahoma" w:cs="Tahoma"/>
          <w:szCs w:val="21"/>
        </w:rPr>
      </w:pPr>
      <w:r>
        <w:rPr>
          <w:rFonts w:ascii="Tahoma" w:hAnsi="Tahoma" w:cs="Tahoma"/>
          <w:szCs w:val="21"/>
        </w:rPr>
        <w:t>6.2.3有关</w:t>
      </w:r>
      <w:r>
        <w:rPr>
          <w:rFonts w:hint="eastAsia" w:ascii="Tahoma" w:hAnsi="Tahoma" w:cs="Tahoma"/>
          <w:szCs w:val="21"/>
          <w:lang w:eastAsia="zh-CN"/>
        </w:rPr>
        <w:t>响应文件</w:t>
      </w:r>
      <w:r>
        <w:rPr>
          <w:rFonts w:ascii="Tahoma" w:hAnsi="Tahoma" w:cs="Tahoma"/>
          <w:szCs w:val="21"/>
        </w:rPr>
        <w:t>的审查、澄清、评估和比较以及推荐</w:t>
      </w:r>
      <w:r>
        <w:rPr>
          <w:rFonts w:hint="eastAsia" w:ascii="Tahoma" w:hAnsi="Tahoma" w:cs="Tahoma"/>
          <w:szCs w:val="21"/>
          <w:lang w:eastAsia="zh-CN"/>
        </w:rPr>
        <w:t>成交候选人</w:t>
      </w:r>
      <w:r>
        <w:rPr>
          <w:rFonts w:ascii="Tahoma" w:hAnsi="Tahoma" w:cs="Tahoma"/>
          <w:szCs w:val="21"/>
        </w:rPr>
        <w:t>的一切情况都不得透露给任一</w:t>
      </w:r>
      <w:r>
        <w:rPr>
          <w:rFonts w:hint="eastAsia" w:ascii="Tahoma" w:hAnsi="Tahoma" w:cs="Tahoma"/>
          <w:szCs w:val="21"/>
          <w:lang w:eastAsia="zh-CN"/>
        </w:rPr>
        <w:t>供应商</w:t>
      </w:r>
      <w:r>
        <w:rPr>
          <w:rFonts w:ascii="Tahoma" w:hAnsi="Tahoma" w:cs="Tahoma"/>
          <w:szCs w:val="21"/>
        </w:rPr>
        <w:t>或与上述评标工作无关的人员。</w:t>
      </w:r>
    </w:p>
    <w:p>
      <w:pPr>
        <w:spacing w:line="360" w:lineRule="auto"/>
        <w:rPr>
          <w:rFonts w:ascii="Tahoma" w:hAnsi="Tahoma" w:cs="Tahoma"/>
          <w:szCs w:val="21"/>
        </w:rPr>
      </w:pPr>
      <w:r>
        <w:rPr>
          <w:rFonts w:ascii="Tahoma" w:hAnsi="Tahoma" w:cs="Tahoma"/>
          <w:szCs w:val="21"/>
        </w:rPr>
        <w:t>6.2.4</w:t>
      </w:r>
      <w:r>
        <w:rPr>
          <w:rFonts w:hint="eastAsia" w:ascii="Tahoma" w:hAnsi="Tahoma" w:cs="Tahoma"/>
          <w:szCs w:val="21"/>
          <w:lang w:eastAsia="zh-CN"/>
        </w:rPr>
        <w:t>供应商</w:t>
      </w:r>
      <w:r>
        <w:rPr>
          <w:rFonts w:ascii="Tahoma" w:hAnsi="Tahoma" w:cs="Tahoma"/>
          <w:szCs w:val="21"/>
        </w:rPr>
        <w:t>任何试图影响评委会对</w:t>
      </w:r>
      <w:r>
        <w:rPr>
          <w:rFonts w:hint="eastAsia" w:ascii="Tahoma" w:hAnsi="Tahoma" w:cs="Tahoma"/>
          <w:szCs w:val="21"/>
          <w:lang w:eastAsia="zh-CN"/>
        </w:rPr>
        <w:t>响应文件</w:t>
      </w:r>
      <w:r>
        <w:rPr>
          <w:rFonts w:ascii="Tahoma" w:hAnsi="Tahoma" w:cs="Tahoma"/>
          <w:szCs w:val="21"/>
        </w:rPr>
        <w:t>的评估、比较或者推荐候选人的行为，都将导致其投标被拒绝，并被没收投标保证金。</w:t>
      </w:r>
    </w:p>
    <w:p>
      <w:pPr>
        <w:spacing w:line="360" w:lineRule="auto"/>
        <w:rPr>
          <w:rFonts w:ascii="Tahoma" w:hAnsi="Tahoma" w:cs="Tahoma"/>
          <w:szCs w:val="21"/>
        </w:rPr>
      </w:pPr>
      <w:r>
        <w:rPr>
          <w:rFonts w:ascii="Tahoma" w:hAnsi="Tahoma" w:cs="Tahoma"/>
          <w:b/>
          <w:bCs/>
          <w:szCs w:val="21"/>
        </w:rPr>
        <w:t xml:space="preserve">6.3. </w:t>
      </w:r>
      <w:r>
        <w:rPr>
          <w:rFonts w:hint="eastAsia" w:ascii="Tahoma" w:hAnsi="Tahoma" w:cs="Tahoma"/>
          <w:b/>
          <w:bCs/>
          <w:szCs w:val="21"/>
          <w:lang w:eastAsia="zh-CN"/>
        </w:rPr>
        <w:t>响应文件</w:t>
      </w:r>
      <w:r>
        <w:rPr>
          <w:rFonts w:ascii="Tahoma" w:hAnsi="Tahoma" w:cs="Tahoma"/>
          <w:b/>
          <w:bCs/>
          <w:szCs w:val="21"/>
        </w:rPr>
        <w:t>的初审</w:t>
      </w:r>
    </w:p>
    <w:p>
      <w:pPr>
        <w:spacing w:line="360" w:lineRule="auto"/>
        <w:rPr>
          <w:rFonts w:ascii="Tahoma" w:hAnsi="Tahoma" w:cs="Tahoma"/>
          <w:szCs w:val="21"/>
        </w:rPr>
      </w:pPr>
      <w:r>
        <w:rPr>
          <w:rFonts w:ascii="Tahoma" w:hAnsi="Tahoma" w:cs="Tahoma"/>
          <w:szCs w:val="21"/>
        </w:rPr>
        <w:t>6.3.1评委会将对</w:t>
      </w:r>
      <w:r>
        <w:rPr>
          <w:rFonts w:hint="eastAsia" w:ascii="Tahoma" w:hAnsi="Tahoma" w:cs="Tahoma"/>
          <w:szCs w:val="21"/>
          <w:lang w:eastAsia="zh-CN"/>
        </w:rPr>
        <w:t>响应文件</w:t>
      </w:r>
      <w:r>
        <w:rPr>
          <w:rFonts w:ascii="Tahoma" w:hAnsi="Tahoma" w:cs="Tahoma"/>
          <w:szCs w:val="21"/>
        </w:rPr>
        <w:t>进行检查，以确定</w:t>
      </w:r>
      <w:r>
        <w:rPr>
          <w:rFonts w:hint="eastAsia" w:ascii="Tahoma" w:hAnsi="Tahoma" w:cs="Tahoma"/>
          <w:szCs w:val="21"/>
          <w:lang w:eastAsia="zh-CN"/>
        </w:rPr>
        <w:t>响应文件</w:t>
      </w:r>
      <w:r>
        <w:rPr>
          <w:rFonts w:ascii="Tahoma" w:hAnsi="Tahoma" w:cs="Tahoma"/>
          <w:szCs w:val="21"/>
        </w:rPr>
        <w:t xml:space="preserve">是否完整、有无计算上的错误、是否提交了投标保证金、文件是否已正确签署。 </w:t>
      </w:r>
    </w:p>
    <w:p>
      <w:pPr>
        <w:spacing w:line="360" w:lineRule="auto"/>
        <w:rPr>
          <w:rFonts w:ascii="Tahoma" w:hAnsi="Tahoma" w:cs="Tahoma"/>
          <w:b/>
          <w:bCs/>
          <w:szCs w:val="21"/>
        </w:rPr>
      </w:pPr>
      <w:r>
        <w:rPr>
          <w:rFonts w:ascii="Tahoma" w:hAnsi="Tahoma" w:cs="Tahoma"/>
          <w:b/>
          <w:bCs/>
          <w:szCs w:val="21"/>
        </w:rPr>
        <w:t xml:space="preserve">6.4.资格性检查和符合性检查 </w:t>
      </w:r>
    </w:p>
    <w:p>
      <w:pPr>
        <w:spacing w:line="360" w:lineRule="auto"/>
        <w:rPr>
          <w:rFonts w:ascii="Tahoma" w:hAnsi="Tahoma" w:cs="Tahoma"/>
          <w:szCs w:val="21"/>
        </w:rPr>
      </w:pPr>
      <w:r>
        <w:rPr>
          <w:rFonts w:ascii="Tahoma" w:hAnsi="Tahoma" w:cs="Tahoma"/>
          <w:szCs w:val="21"/>
        </w:rPr>
        <w:t>6.4.1资格性检查：依据法律法规和招标文件的规定，在对</w:t>
      </w:r>
      <w:r>
        <w:rPr>
          <w:rFonts w:hint="eastAsia" w:ascii="Tahoma" w:hAnsi="Tahoma" w:cs="Tahoma"/>
          <w:szCs w:val="21"/>
          <w:lang w:eastAsia="zh-CN"/>
        </w:rPr>
        <w:t>响应文件</w:t>
      </w:r>
      <w:r>
        <w:rPr>
          <w:rFonts w:ascii="Tahoma" w:hAnsi="Tahoma" w:cs="Tahoma"/>
          <w:szCs w:val="21"/>
        </w:rPr>
        <w:t>详细评估之前，评标委员会将依据</w:t>
      </w:r>
      <w:r>
        <w:rPr>
          <w:rFonts w:hint="eastAsia" w:ascii="Tahoma" w:hAnsi="Tahoma" w:cs="Tahoma"/>
          <w:szCs w:val="21"/>
          <w:lang w:eastAsia="zh-CN"/>
        </w:rPr>
        <w:t>供应商</w:t>
      </w:r>
      <w:r>
        <w:rPr>
          <w:rFonts w:ascii="Tahoma" w:hAnsi="Tahoma" w:cs="Tahoma"/>
          <w:szCs w:val="21"/>
        </w:rPr>
        <w:t>提交的</w:t>
      </w:r>
      <w:r>
        <w:rPr>
          <w:rFonts w:hint="eastAsia" w:ascii="Tahoma" w:hAnsi="Tahoma" w:cs="Tahoma"/>
          <w:szCs w:val="21"/>
          <w:lang w:eastAsia="zh-CN"/>
        </w:rPr>
        <w:t>响应文件</w:t>
      </w:r>
      <w:r>
        <w:rPr>
          <w:rFonts w:ascii="Tahoma" w:hAnsi="Tahoma" w:cs="Tahoma"/>
          <w:szCs w:val="21"/>
        </w:rPr>
        <w:t>按</w:t>
      </w:r>
      <w:r>
        <w:rPr>
          <w:rFonts w:hint="eastAsia" w:ascii="Tahoma" w:hAnsi="Tahoma" w:cs="Tahoma"/>
          <w:szCs w:val="21"/>
          <w:lang w:eastAsia="zh-CN"/>
        </w:rPr>
        <w:t>供应商</w:t>
      </w:r>
      <w:r>
        <w:rPr>
          <w:rFonts w:ascii="Tahoma" w:hAnsi="Tahoma" w:cs="Tahoma"/>
          <w:szCs w:val="21"/>
        </w:rPr>
        <w:t>须知前附表所述的资格标准对</w:t>
      </w:r>
      <w:r>
        <w:rPr>
          <w:rFonts w:hint="eastAsia" w:ascii="Tahoma" w:hAnsi="Tahoma" w:cs="Tahoma"/>
          <w:szCs w:val="21"/>
          <w:lang w:eastAsia="zh-CN"/>
        </w:rPr>
        <w:t>供应商</w:t>
      </w:r>
      <w:r>
        <w:rPr>
          <w:rFonts w:ascii="Tahoma" w:hAnsi="Tahoma" w:cs="Tahoma"/>
          <w:szCs w:val="21"/>
        </w:rPr>
        <w:t>进行资格审查，以确定其是否具备投标资格。如果</w:t>
      </w:r>
      <w:r>
        <w:rPr>
          <w:rFonts w:hint="eastAsia" w:ascii="Tahoma" w:hAnsi="Tahoma" w:cs="Tahoma"/>
          <w:szCs w:val="21"/>
          <w:lang w:eastAsia="zh-CN"/>
        </w:rPr>
        <w:t>供应商</w:t>
      </w:r>
      <w:r>
        <w:rPr>
          <w:rFonts w:ascii="Tahoma" w:hAnsi="Tahoma" w:cs="Tahoma"/>
          <w:szCs w:val="21"/>
        </w:rPr>
        <w:t>不具备投标资格，不满足招标文件所规定的资格标准或提供资格证明文件不全的，</w:t>
      </w:r>
      <w:r>
        <w:rPr>
          <w:rFonts w:ascii="Tahoma" w:hAnsi="Tahoma" w:cs="Tahoma"/>
          <w:b/>
          <w:szCs w:val="21"/>
        </w:rPr>
        <w:t>其投标无效。</w:t>
      </w:r>
    </w:p>
    <w:p>
      <w:pPr>
        <w:spacing w:line="360" w:lineRule="auto"/>
        <w:rPr>
          <w:rFonts w:ascii="Tahoma" w:hAnsi="Tahoma" w:cs="Tahoma"/>
          <w:szCs w:val="21"/>
        </w:rPr>
      </w:pPr>
      <w:r>
        <w:rPr>
          <w:rFonts w:ascii="Tahoma" w:hAnsi="Tahoma" w:cs="Tahoma"/>
          <w:szCs w:val="21"/>
        </w:rPr>
        <w:t>6.4.2符合性检查：由评标委员会依据有关法律、法规及招标文件的要求，对对符合资格的</w:t>
      </w:r>
      <w:r>
        <w:rPr>
          <w:rFonts w:hint="eastAsia" w:ascii="Tahoma" w:hAnsi="Tahoma" w:cs="Tahoma"/>
          <w:szCs w:val="21"/>
          <w:lang w:eastAsia="zh-CN"/>
        </w:rPr>
        <w:t>供应商</w:t>
      </w:r>
      <w:r>
        <w:rPr>
          <w:rFonts w:ascii="Tahoma" w:hAnsi="Tahoma" w:cs="Tahoma"/>
          <w:szCs w:val="21"/>
        </w:rPr>
        <w:t>的</w:t>
      </w:r>
      <w:r>
        <w:rPr>
          <w:rFonts w:hint="eastAsia" w:ascii="Tahoma" w:hAnsi="Tahoma" w:cs="Tahoma"/>
          <w:szCs w:val="21"/>
          <w:lang w:eastAsia="zh-CN"/>
        </w:rPr>
        <w:t>响应文件</w:t>
      </w:r>
      <w:r>
        <w:rPr>
          <w:rFonts w:ascii="Tahoma" w:hAnsi="Tahoma" w:cs="Tahoma"/>
          <w:szCs w:val="21"/>
        </w:rPr>
        <w:t>进行符合性审查，以确定其是否满足招标文件的实质性要求。只有通过符合性审查的</w:t>
      </w:r>
      <w:r>
        <w:rPr>
          <w:rFonts w:hint="eastAsia" w:ascii="Tahoma" w:hAnsi="Tahoma" w:cs="Tahoma"/>
          <w:szCs w:val="21"/>
          <w:lang w:eastAsia="zh-CN"/>
        </w:rPr>
        <w:t>供应商</w:t>
      </w:r>
      <w:r>
        <w:rPr>
          <w:rFonts w:ascii="Tahoma" w:hAnsi="Tahoma" w:cs="Tahoma"/>
          <w:szCs w:val="21"/>
        </w:rPr>
        <w:t>的</w:t>
      </w:r>
      <w:r>
        <w:rPr>
          <w:rFonts w:hint="eastAsia" w:ascii="Tahoma" w:hAnsi="Tahoma" w:cs="Tahoma"/>
          <w:szCs w:val="21"/>
          <w:lang w:eastAsia="zh-CN"/>
        </w:rPr>
        <w:t>响应文件</w:t>
      </w:r>
      <w:r>
        <w:rPr>
          <w:rFonts w:ascii="Tahoma" w:hAnsi="Tahoma" w:cs="Tahoma"/>
          <w:szCs w:val="21"/>
        </w:rPr>
        <w:t>才能进入下一阶段的评审！</w:t>
      </w:r>
    </w:p>
    <w:p>
      <w:pPr>
        <w:spacing w:line="360" w:lineRule="auto"/>
        <w:rPr>
          <w:rFonts w:ascii="Tahoma" w:hAnsi="Tahoma" w:cs="Tahoma"/>
          <w:szCs w:val="21"/>
        </w:rPr>
      </w:pPr>
      <w:r>
        <w:rPr>
          <w:rFonts w:ascii="Tahoma" w:hAnsi="Tahoma" w:cs="Tahoma"/>
          <w:szCs w:val="21"/>
        </w:rPr>
        <w:t>6.4.3</w:t>
      </w:r>
      <w:r>
        <w:rPr>
          <w:rFonts w:hint="eastAsia" w:ascii="Tahoma" w:hAnsi="Tahoma" w:cs="Tahoma"/>
          <w:b/>
          <w:szCs w:val="21"/>
          <w:lang w:eastAsia="zh-CN"/>
        </w:rPr>
        <w:t>供应商</w:t>
      </w:r>
      <w:r>
        <w:rPr>
          <w:rFonts w:ascii="Tahoma" w:hAnsi="Tahoma" w:cs="Tahoma"/>
          <w:b/>
          <w:szCs w:val="21"/>
        </w:rPr>
        <w:t>存在下列情况之一的，</w:t>
      </w:r>
      <w:r>
        <w:rPr>
          <w:rFonts w:hint="eastAsia" w:ascii="Tahoma" w:hAnsi="Tahoma" w:cs="Tahoma"/>
          <w:b/>
          <w:szCs w:val="21"/>
          <w:lang w:eastAsia="zh-CN"/>
        </w:rPr>
        <w:t>响应文件</w:t>
      </w:r>
      <w:r>
        <w:rPr>
          <w:rFonts w:ascii="Tahoma" w:hAnsi="Tahoma" w:cs="Tahoma"/>
          <w:b/>
          <w:szCs w:val="21"/>
        </w:rPr>
        <w:t>将被视为未实质性响应招标文件要求，其投标无效：</w:t>
      </w:r>
    </w:p>
    <w:p>
      <w:pPr>
        <w:spacing w:line="360" w:lineRule="auto"/>
        <w:ind w:firstLine="240" w:firstLineChars="100"/>
        <w:rPr>
          <w:rFonts w:ascii="Tahoma" w:hAnsi="Tahoma" w:cs="Tahoma"/>
          <w:szCs w:val="21"/>
        </w:rPr>
      </w:pPr>
      <w:bookmarkStart w:id="30" w:name="_Hlk520742932"/>
      <w:r>
        <w:rPr>
          <w:rFonts w:ascii="Tahoma" w:hAnsi="Tahoma" w:cs="Tahoma"/>
          <w:szCs w:val="21"/>
        </w:rPr>
        <w:t>（1）不具备招标文件中规定的资格要求的，或</w:t>
      </w:r>
      <w:r>
        <w:rPr>
          <w:rFonts w:hint="eastAsia" w:ascii="Tahoma" w:hAnsi="Tahoma" w:cs="Tahoma"/>
          <w:szCs w:val="21"/>
          <w:lang w:eastAsia="zh-CN"/>
        </w:rPr>
        <w:t>响应文件</w:t>
      </w:r>
      <w:r>
        <w:rPr>
          <w:rFonts w:ascii="Tahoma" w:hAnsi="Tahoma" w:cs="Tahoma"/>
          <w:szCs w:val="21"/>
        </w:rPr>
        <w:t>中提供的资格证明文件与原件不一致的；</w:t>
      </w:r>
    </w:p>
    <w:p>
      <w:pPr>
        <w:spacing w:line="360" w:lineRule="auto"/>
        <w:ind w:firstLine="240" w:firstLineChars="100"/>
        <w:rPr>
          <w:rFonts w:ascii="Tahoma" w:hAnsi="Tahoma" w:cs="Tahoma"/>
          <w:szCs w:val="21"/>
        </w:rPr>
      </w:pPr>
      <w:r>
        <w:rPr>
          <w:rFonts w:ascii="Tahoma" w:hAnsi="Tahoma" w:cs="Tahoma"/>
          <w:szCs w:val="21"/>
        </w:rPr>
        <w:t>（2）</w:t>
      </w:r>
      <w:r>
        <w:rPr>
          <w:rFonts w:hint="eastAsia" w:ascii="Tahoma" w:hAnsi="Tahoma" w:cs="Tahoma"/>
          <w:szCs w:val="21"/>
          <w:lang w:eastAsia="zh-CN"/>
        </w:rPr>
        <w:t>响应文件</w:t>
      </w:r>
      <w:r>
        <w:rPr>
          <w:rFonts w:ascii="Tahoma" w:hAnsi="Tahoma" w:cs="Tahoma"/>
          <w:szCs w:val="21"/>
        </w:rPr>
        <w:t>未按招标文件规定进行装订、密封、标记的；</w:t>
      </w:r>
    </w:p>
    <w:p>
      <w:pPr>
        <w:spacing w:line="360" w:lineRule="auto"/>
        <w:ind w:firstLine="240" w:firstLineChars="100"/>
        <w:rPr>
          <w:rFonts w:ascii="Tahoma" w:hAnsi="Tahoma" w:cs="Tahoma"/>
          <w:szCs w:val="21"/>
        </w:rPr>
      </w:pPr>
      <w:r>
        <w:rPr>
          <w:rFonts w:ascii="Tahoma" w:hAnsi="Tahoma" w:cs="Tahoma"/>
          <w:szCs w:val="21"/>
        </w:rPr>
        <w:t>（3）</w:t>
      </w:r>
      <w:r>
        <w:rPr>
          <w:rFonts w:hint="eastAsia" w:ascii="Tahoma" w:hAnsi="Tahoma" w:cs="Tahoma"/>
          <w:szCs w:val="21"/>
          <w:lang w:eastAsia="zh-CN"/>
        </w:rPr>
        <w:t>响应文件</w:t>
      </w:r>
      <w:r>
        <w:rPr>
          <w:rFonts w:ascii="Tahoma" w:hAnsi="Tahoma" w:cs="Tahoma"/>
          <w:szCs w:val="21"/>
        </w:rPr>
        <w:t>未按招标文件要求签署、盖章的；</w:t>
      </w:r>
    </w:p>
    <w:p>
      <w:pPr>
        <w:spacing w:line="360" w:lineRule="auto"/>
        <w:ind w:firstLine="240" w:firstLineChars="100"/>
        <w:rPr>
          <w:rFonts w:ascii="Tahoma" w:hAnsi="Tahoma" w:cs="Tahoma"/>
          <w:szCs w:val="21"/>
        </w:rPr>
      </w:pPr>
      <w:r>
        <w:rPr>
          <w:rFonts w:ascii="Tahoma" w:hAnsi="Tahoma" w:cs="Tahoma"/>
          <w:szCs w:val="21"/>
        </w:rPr>
        <w:t>（4）未按照招标文件的规定提交投标保证金的；</w:t>
      </w:r>
    </w:p>
    <w:p>
      <w:pPr>
        <w:spacing w:line="360" w:lineRule="auto"/>
        <w:ind w:firstLine="240" w:firstLineChars="100"/>
        <w:rPr>
          <w:rFonts w:ascii="Tahoma" w:hAnsi="Tahoma" w:cs="Tahoma"/>
          <w:szCs w:val="21"/>
        </w:rPr>
      </w:pPr>
      <w:r>
        <w:rPr>
          <w:rFonts w:ascii="Tahoma" w:hAnsi="Tahoma" w:cs="Tahoma"/>
          <w:szCs w:val="21"/>
        </w:rPr>
        <w:t>（5）</w:t>
      </w:r>
      <w:r>
        <w:rPr>
          <w:rFonts w:hint="eastAsia" w:ascii="Tahoma" w:hAnsi="Tahoma" w:cs="Tahoma"/>
          <w:szCs w:val="21"/>
          <w:lang w:eastAsia="zh-CN"/>
        </w:rPr>
        <w:t>响应文件</w:t>
      </w:r>
      <w:r>
        <w:rPr>
          <w:rFonts w:ascii="Tahoma" w:hAnsi="Tahoma" w:cs="Tahoma"/>
          <w:szCs w:val="21"/>
        </w:rPr>
        <w:t>含有采购人不能接受的附加条件的；</w:t>
      </w:r>
    </w:p>
    <w:p>
      <w:pPr>
        <w:spacing w:line="360" w:lineRule="auto"/>
        <w:ind w:firstLine="240" w:firstLineChars="100"/>
        <w:rPr>
          <w:rFonts w:ascii="Tahoma" w:hAnsi="Tahoma" w:cs="Tahoma"/>
          <w:szCs w:val="21"/>
        </w:rPr>
      </w:pPr>
      <w:r>
        <w:rPr>
          <w:rFonts w:ascii="Tahoma" w:hAnsi="Tahoma" w:cs="Tahoma"/>
          <w:szCs w:val="21"/>
        </w:rPr>
        <w:t>（6）投标有效期不满足招标文件要求的；</w:t>
      </w:r>
    </w:p>
    <w:p>
      <w:pPr>
        <w:spacing w:line="360" w:lineRule="auto"/>
        <w:ind w:firstLine="240" w:firstLineChars="100"/>
        <w:rPr>
          <w:rFonts w:ascii="Tahoma" w:hAnsi="Tahoma" w:cs="Tahoma"/>
          <w:szCs w:val="21"/>
        </w:rPr>
      </w:pPr>
      <w:r>
        <w:rPr>
          <w:rFonts w:ascii="Tahoma" w:hAnsi="Tahoma" w:cs="Tahoma"/>
          <w:szCs w:val="21"/>
        </w:rPr>
        <w:t>（7）同一</w:t>
      </w:r>
      <w:r>
        <w:rPr>
          <w:rFonts w:hint="eastAsia" w:ascii="Tahoma" w:hAnsi="Tahoma" w:cs="Tahoma"/>
          <w:szCs w:val="21"/>
          <w:lang w:eastAsia="zh-CN"/>
        </w:rPr>
        <w:t>供应商</w:t>
      </w:r>
      <w:r>
        <w:rPr>
          <w:rFonts w:ascii="Tahoma" w:hAnsi="Tahoma" w:cs="Tahoma"/>
          <w:szCs w:val="21"/>
        </w:rPr>
        <w:t>在同一标段重复投一个标的</w:t>
      </w:r>
    </w:p>
    <w:p>
      <w:pPr>
        <w:spacing w:line="360" w:lineRule="auto"/>
        <w:ind w:firstLine="240" w:firstLineChars="100"/>
        <w:rPr>
          <w:rFonts w:ascii="Tahoma" w:hAnsi="Tahoma" w:cs="Tahoma"/>
          <w:szCs w:val="21"/>
        </w:rPr>
      </w:pPr>
      <w:r>
        <w:rPr>
          <w:rFonts w:ascii="Tahoma" w:hAnsi="Tahoma" w:cs="Tahoma"/>
          <w:szCs w:val="21"/>
        </w:rPr>
        <w:t>（8）报价超过招标文件中规定的预算金额或者最高限价的；或提供的报价是可供选择的（不是唯一报价）；</w:t>
      </w:r>
    </w:p>
    <w:p>
      <w:pPr>
        <w:spacing w:line="360" w:lineRule="auto"/>
        <w:ind w:firstLine="240" w:firstLineChars="100"/>
        <w:rPr>
          <w:rFonts w:ascii="Tahoma" w:hAnsi="Tahoma" w:cs="Tahoma"/>
          <w:szCs w:val="21"/>
        </w:rPr>
      </w:pPr>
      <w:r>
        <w:rPr>
          <w:rFonts w:ascii="Tahoma" w:hAnsi="Tahoma" w:cs="Tahoma"/>
          <w:szCs w:val="21"/>
        </w:rPr>
        <w:t>（9）</w:t>
      </w:r>
      <w:r>
        <w:rPr>
          <w:rFonts w:hint="eastAsia" w:ascii="Tahoma" w:hAnsi="Tahoma" w:cs="Tahoma"/>
          <w:szCs w:val="21"/>
          <w:lang w:eastAsia="zh-CN"/>
        </w:rPr>
        <w:t>供应商</w:t>
      </w:r>
      <w:r>
        <w:rPr>
          <w:rFonts w:ascii="Tahoma" w:hAnsi="Tahoma" w:cs="Tahoma"/>
          <w:szCs w:val="21"/>
        </w:rPr>
        <w:t>未进行分项报价或分项报价的构成未能准确全部反映产品价格组成或有所隐含，有可能致使在合同履行过程中引起纠纷（非正常追加或索赔等）或不能诚信履约的；</w:t>
      </w:r>
    </w:p>
    <w:p>
      <w:pPr>
        <w:spacing w:line="360" w:lineRule="auto"/>
        <w:ind w:firstLine="240" w:firstLineChars="100"/>
        <w:rPr>
          <w:rFonts w:ascii="Tahoma" w:hAnsi="Tahoma" w:cs="Tahoma"/>
          <w:szCs w:val="21"/>
        </w:rPr>
      </w:pPr>
      <w:r>
        <w:rPr>
          <w:rFonts w:ascii="Tahoma" w:hAnsi="Tahoma" w:cs="Tahoma"/>
          <w:szCs w:val="21"/>
        </w:rPr>
        <w:t>（10）</w:t>
      </w:r>
      <w:r>
        <w:rPr>
          <w:rFonts w:hint="eastAsia" w:ascii="Tahoma" w:hAnsi="Tahoma" w:cs="Tahoma"/>
          <w:szCs w:val="21"/>
          <w:lang w:eastAsia="zh-CN"/>
        </w:rPr>
        <w:t>响应文件</w:t>
      </w:r>
      <w:r>
        <w:rPr>
          <w:rFonts w:ascii="Tahoma" w:hAnsi="Tahoma" w:cs="Tahoma"/>
          <w:szCs w:val="21"/>
        </w:rPr>
        <w:t>的内容与采购内容及要求（质量要求、交货期、付款方式等）有重大偏离或保留的；</w:t>
      </w:r>
    </w:p>
    <w:p>
      <w:pPr>
        <w:spacing w:line="360" w:lineRule="auto"/>
        <w:ind w:firstLine="240" w:firstLineChars="100"/>
        <w:rPr>
          <w:rFonts w:ascii="Tahoma" w:hAnsi="Tahoma" w:cs="Tahoma"/>
          <w:szCs w:val="21"/>
        </w:rPr>
      </w:pPr>
      <w:r>
        <w:rPr>
          <w:rFonts w:ascii="Tahoma" w:hAnsi="Tahoma" w:cs="Tahoma"/>
          <w:szCs w:val="21"/>
        </w:rPr>
        <w:t>（11）存在财政部令第87号文第三十七条规定串通投标的情形之一的；</w:t>
      </w:r>
    </w:p>
    <w:p>
      <w:pPr>
        <w:spacing w:line="360" w:lineRule="auto"/>
        <w:ind w:firstLine="240" w:firstLineChars="100"/>
        <w:rPr>
          <w:rFonts w:ascii="Tahoma" w:hAnsi="Tahoma" w:cs="Tahoma"/>
          <w:szCs w:val="21"/>
        </w:rPr>
      </w:pPr>
      <w:r>
        <w:rPr>
          <w:rFonts w:ascii="Tahoma" w:hAnsi="Tahoma" w:cs="Tahoma"/>
          <w:szCs w:val="21"/>
        </w:rPr>
        <w:t>（12）</w:t>
      </w:r>
      <w:r>
        <w:rPr>
          <w:rFonts w:hint="eastAsia" w:ascii="Tahoma" w:hAnsi="Tahoma" w:cs="Tahoma"/>
          <w:szCs w:val="21"/>
          <w:lang w:eastAsia="zh-CN"/>
        </w:rPr>
        <w:t>响应文件</w:t>
      </w:r>
      <w:r>
        <w:rPr>
          <w:rFonts w:ascii="Tahoma" w:hAnsi="Tahoma" w:cs="Tahoma"/>
          <w:szCs w:val="21"/>
        </w:rPr>
        <w:t>的内容组成不符合招标文件要求的；</w:t>
      </w:r>
    </w:p>
    <w:p>
      <w:pPr>
        <w:spacing w:line="360" w:lineRule="auto"/>
        <w:ind w:firstLine="240" w:firstLineChars="100"/>
        <w:rPr>
          <w:rFonts w:ascii="Tahoma" w:hAnsi="Tahoma" w:cs="Tahoma"/>
          <w:szCs w:val="21"/>
        </w:rPr>
      </w:pPr>
      <w:r>
        <w:rPr>
          <w:rFonts w:ascii="Tahoma" w:hAnsi="Tahoma" w:cs="Tahoma"/>
          <w:szCs w:val="21"/>
        </w:rPr>
        <w:t>（13）</w:t>
      </w:r>
      <w:r>
        <w:rPr>
          <w:rFonts w:hint="eastAsia" w:ascii="Tahoma" w:hAnsi="Tahoma" w:cs="Tahoma"/>
          <w:szCs w:val="21"/>
          <w:lang w:eastAsia="zh-CN"/>
        </w:rPr>
        <w:t>响应文件</w:t>
      </w:r>
      <w:r>
        <w:rPr>
          <w:rFonts w:ascii="Tahoma" w:hAnsi="Tahoma" w:cs="Tahoma"/>
          <w:szCs w:val="21"/>
        </w:rPr>
        <w:t>中提供虚假或失实资料的，骗取中标的；</w:t>
      </w:r>
    </w:p>
    <w:p>
      <w:pPr>
        <w:spacing w:line="360" w:lineRule="auto"/>
        <w:ind w:firstLine="240" w:firstLineChars="100"/>
        <w:rPr>
          <w:rFonts w:ascii="Tahoma" w:hAnsi="Tahoma" w:cs="Tahoma"/>
          <w:szCs w:val="21"/>
        </w:rPr>
      </w:pPr>
      <w:r>
        <w:rPr>
          <w:rFonts w:ascii="Tahoma" w:hAnsi="Tahoma" w:cs="Tahoma"/>
          <w:szCs w:val="21"/>
        </w:rPr>
        <w:t>（14）法律、法规和招标文件规定的其他无效情形。</w:t>
      </w:r>
    </w:p>
    <w:bookmarkEnd w:id="30"/>
    <w:p>
      <w:pPr>
        <w:spacing w:line="360" w:lineRule="auto"/>
        <w:rPr>
          <w:rFonts w:ascii="Tahoma" w:hAnsi="Tahoma" w:cs="Tahoma"/>
          <w:szCs w:val="21"/>
        </w:rPr>
      </w:pPr>
      <w:r>
        <w:rPr>
          <w:rFonts w:ascii="Tahoma" w:hAnsi="Tahoma" w:cs="Tahoma"/>
          <w:szCs w:val="21"/>
        </w:rPr>
        <w:t>6.4.4评标委员会判断</w:t>
      </w:r>
      <w:r>
        <w:rPr>
          <w:rFonts w:hint="eastAsia" w:ascii="Tahoma" w:hAnsi="Tahoma" w:cs="Tahoma"/>
          <w:szCs w:val="21"/>
          <w:lang w:eastAsia="zh-CN"/>
        </w:rPr>
        <w:t>响应文件</w:t>
      </w:r>
      <w:r>
        <w:rPr>
          <w:rFonts w:ascii="Tahoma" w:hAnsi="Tahoma" w:cs="Tahoma"/>
          <w:szCs w:val="21"/>
        </w:rPr>
        <w:t>的响应性仅基于</w:t>
      </w:r>
      <w:r>
        <w:rPr>
          <w:rFonts w:hint="eastAsia" w:ascii="Tahoma" w:hAnsi="Tahoma" w:cs="Tahoma"/>
          <w:szCs w:val="21"/>
          <w:lang w:eastAsia="zh-CN"/>
        </w:rPr>
        <w:t>响应文件</w:t>
      </w:r>
      <w:r>
        <w:rPr>
          <w:rFonts w:ascii="Tahoma" w:hAnsi="Tahoma" w:cs="Tahoma"/>
          <w:szCs w:val="21"/>
        </w:rPr>
        <w:t>本身而不靠外部证据。</w:t>
      </w:r>
    </w:p>
    <w:p>
      <w:pPr>
        <w:spacing w:line="360" w:lineRule="auto"/>
        <w:rPr>
          <w:rFonts w:ascii="Tahoma" w:hAnsi="Tahoma" w:cs="Tahoma"/>
          <w:szCs w:val="21"/>
        </w:rPr>
      </w:pPr>
      <w:r>
        <w:rPr>
          <w:rFonts w:ascii="Tahoma" w:hAnsi="Tahoma" w:cs="Tahoma"/>
          <w:szCs w:val="21"/>
        </w:rPr>
        <w:t>6.4.5评标委员会将拒绝被确定为非实质性响应的投标，</w:t>
      </w:r>
      <w:r>
        <w:rPr>
          <w:rFonts w:hint="eastAsia" w:ascii="Tahoma" w:hAnsi="Tahoma" w:cs="Tahoma"/>
          <w:szCs w:val="21"/>
          <w:lang w:eastAsia="zh-CN"/>
        </w:rPr>
        <w:t>供应商</w:t>
      </w:r>
      <w:r>
        <w:rPr>
          <w:rFonts w:ascii="Tahoma" w:hAnsi="Tahoma" w:cs="Tahoma"/>
          <w:szCs w:val="21"/>
        </w:rPr>
        <w:t>不能通过修正或撤销不符之处而使其投标成为实质性响应的投标。</w:t>
      </w:r>
    </w:p>
    <w:p>
      <w:pPr>
        <w:spacing w:line="360" w:lineRule="auto"/>
        <w:rPr>
          <w:rFonts w:ascii="Tahoma" w:hAnsi="Tahoma" w:cs="Tahoma"/>
          <w:szCs w:val="21"/>
        </w:rPr>
      </w:pPr>
      <w:r>
        <w:rPr>
          <w:rFonts w:ascii="Tahoma" w:hAnsi="Tahoma" w:cs="Tahoma"/>
          <w:b/>
          <w:bCs/>
          <w:szCs w:val="21"/>
        </w:rPr>
        <w:t>6.5.</w:t>
      </w:r>
      <w:r>
        <w:rPr>
          <w:rFonts w:hint="eastAsia" w:ascii="Tahoma" w:hAnsi="Tahoma" w:cs="Tahoma"/>
          <w:b/>
          <w:bCs/>
          <w:szCs w:val="21"/>
          <w:lang w:eastAsia="zh-CN"/>
        </w:rPr>
        <w:t>响应文件</w:t>
      </w:r>
      <w:r>
        <w:rPr>
          <w:rFonts w:ascii="Tahoma" w:hAnsi="Tahoma" w:cs="Tahoma"/>
          <w:b/>
          <w:bCs/>
          <w:szCs w:val="21"/>
        </w:rPr>
        <w:t>的澄清</w:t>
      </w:r>
      <w:r>
        <w:rPr>
          <w:rFonts w:ascii="Tahoma" w:hAnsi="Tahoma" w:cs="Tahoma"/>
          <w:szCs w:val="21"/>
        </w:rPr>
        <w:t xml:space="preserve"> </w:t>
      </w:r>
    </w:p>
    <w:p>
      <w:pPr>
        <w:spacing w:line="360" w:lineRule="auto"/>
        <w:rPr>
          <w:rFonts w:ascii="Tahoma" w:hAnsi="Tahoma" w:cs="Tahoma"/>
          <w:szCs w:val="21"/>
        </w:rPr>
      </w:pPr>
      <w:r>
        <w:rPr>
          <w:rFonts w:ascii="Tahoma" w:hAnsi="Tahoma" w:cs="Tahoma"/>
          <w:szCs w:val="21"/>
        </w:rPr>
        <w:t>6.5.1评标委员会将允许</w:t>
      </w:r>
      <w:r>
        <w:rPr>
          <w:rFonts w:hint="eastAsia" w:ascii="Tahoma" w:hAnsi="Tahoma" w:cs="Tahoma"/>
          <w:szCs w:val="21"/>
          <w:lang w:eastAsia="zh-CN"/>
        </w:rPr>
        <w:t>供应商</w:t>
      </w:r>
      <w:r>
        <w:rPr>
          <w:rFonts w:ascii="Tahoma" w:hAnsi="Tahoma" w:cs="Tahoma"/>
          <w:szCs w:val="21"/>
        </w:rPr>
        <w:t>修改</w:t>
      </w:r>
      <w:r>
        <w:rPr>
          <w:rFonts w:hint="eastAsia" w:ascii="Tahoma" w:hAnsi="Tahoma" w:cs="Tahoma"/>
          <w:szCs w:val="21"/>
          <w:lang w:eastAsia="zh-CN"/>
        </w:rPr>
        <w:t>响应文件</w:t>
      </w:r>
      <w:r>
        <w:rPr>
          <w:rFonts w:ascii="Tahoma" w:hAnsi="Tahoma" w:cs="Tahoma"/>
          <w:szCs w:val="21"/>
        </w:rPr>
        <w:t>中不构成重大偏离的微小的、非正规、不一致或不规则地方，但这种允许不能损害或影响任何</w:t>
      </w:r>
      <w:r>
        <w:rPr>
          <w:rFonts w:hint="eastAsia" w:ascii="Tahoma" w:hAnsi="Tahoma" w:cs="Tahoma"/>
          <w:szCs w:val="21"/>
          <w:lang w:eastAsia="zh-CN"/>
        </w:rPr>
        <w:t>供应商</w:t>
      </w:r>
      <w:r>
        <w:rPr>
          <w:rFonts w:ascii="Tahoma" w:hAnsi="Tahoma" w:cs="Tahoma"/>
          <w:szCs w:val="21"/>
        </w:rPr>
        <w:t>的相对排序。</w:t>
      </w:r>
    </w:p>
    <w:p>
      <w:pPr>
        <w:spacing w:line="360" w:lineRule="auto"/>
        <w:rPr>
          <w:rFonts w:ascii="Tahoma" w:hAnsi="Tahoma" w:cs="Tahoma"/>
          <w:szCs w:val="21"/>
        </w:rPr>
      </w:pPr>
      <w:r>
        <w:rPr>
          <w:rFonts w:ascii="Tahoma" w:hAnsi="Tahoma" w:cs="Tahoma"/>
          <w:szCs w:val="21"/>
        </w:rPr>
        <w:t>6.5.2对于</w:t>
      </w:r>
      <w:r>
        <w:rPr>
          <w:rFonts w:hint="eastAsia" w:ascii="Tahoma" w:hAnsi="Tahoma" w:cs="Tahoma"/>
          <w:szCs w:val="21"/>
          <w:lang w:eastAsia="zh-CN"/>
        </w:rPr>
        <w:t>响应文件</w:t>
      </w:r>
      <w:r>
        <w:rPr>
          <w:rFonts w:ascii="Tahoma" w:hAnsi="Tahoma" w:cs="Tahoma"/>
          <w:szCs w:val="21"/>
        </w:rPr>
        <w:t>中含义不明确、同类问题表述不一致或者有明显文字和计算错误的内容，评标委员会应当以书面形式要求</w:t>
      </w:r>
      <w:r>
        <w:rPr>
          <w:rFonts w:hint="eastAsia" w:ascii="Tahoma" w:hAnsi="Tahoma" w:cs="Tahoma"/>
          <w:szCs w:val="21"/>
          <w:lang w:eastAsia="zh-CN"/>
        </w:rPr>
        <w:t>供应商</w:t>
      </w:r>
      <w:r>
        <w:rPr>
          <w:rFonts w:ascii="Tahoma" w:hAnsi="Tahoma" w:cs="Tahoma"/>
          <w:szCs w:val="21"/>
        </w:rPr>
        <w:t>作出必要的澄清、说明或者补正。</w:t>
      </w:r>
    </w:p>
    <w:p>
      <w:pPr>
        <w:spacing w:line="360" w:lineRule="auto"/>
        <w:rPr>
          <w:rFonts w:ascii="Tahoma" w:hAnsi="Tahoma" w:cs="Tahoma"/>
          <w:szCs w:val="21"/>
        </w:rPr>
      </w:pPr>
      <w:r>
        <w:rPr>
          <w:rFonts w:ascii="Tahoma" w:hAnsi="Tahoma" w:cs="Tahoma"/>
          <w:szCs w:val="21"/>
        </w:rPr>
        <w:t xml:space="preserve">　  </w:t>
      </w:r>
      <w:r>
        <w:rPr>
          <w:rFonts w:hint="eastAsia" w:ascii="Tahoma" w:hAnsi="Tahoma" w:cs="Tahoma"/>
          <w:szCs w:val="21"/>
          <w:lang w:eastAsia="zh-CN"/>
        </w:rPr>
        <w:t>供应商</w:t>
      </w:r>
      <w:r>
        <w:rPr>
          <w:rFonts w:ascii="Tahoma" w:hAnsi="Tahoma" w:cs="Tahoma"/>
          <w:szCs w:val="21"/>
        </w:rPr>
        <w:t>的澄清、说明或者补正应当采用书面形式，并加盖公章，或者由法定代表人或其授权的代表签字。</w:t>
      </w:r>
      <w:r>
        <w:rPr>
          <w:rFonts w:hint="eastAsia" w:ascii="Tahoma" w:hAnsi="Tahoma" w:cs="Tahoma"/>
          <w:szCs w:val="21"/>
          <w:lang w:eastAsia="zh-CN"/>
        </w:rPr>
        <w:t>供应商</w:t>
      </w:r>
      <w:r>
        <w:rPr>
          <w:rFonts w:ascii="Tahoma" w:hAnsi="Tahoma" w:cs="Tahoma"/>
          <w:szCs w:val="21"/>
        </w:rPr>
        <w:t>的澄清、说明或者补正不得超出</w:t>
      </w:r>
      <w:r>
        <w:rPr>
          <w:rFonts w:hint="eastAsia" w:ascii="Tahoma" w:hAnsi="Tahoma" w:cs="Tahoma"/>
          <w:szCs w:val="21"/>
          <w:lang w:eastAsia="zh-CN"/>
        </w:rPr>
        <w:t>响应文件</w:t>
      </w:r>
      <w:r>
        <w:rPr>
          <w:rFonts w:ascii="Tahoma" w:hAnsi="Tahoma" w:cs="Tahoma"/>
          <w:szCs w:val="21"/>
        </w:rPr>
        <w:t>的范围或者改变</w:t>
      </w:r>
      <w:r>
        <w:rPr>
          <w:rFonts w:hint="eastAsia" w:ascii="Tahoma" w:hAnsi="Tahoma" w:cs="Tahoma"/>
          <w:szCs w:val="21"/>
          <w:lang w:eastAsia="zh-CN"/>
        </w:rPr>
        <w:t>响应文件</w:t>
      </w:r>
      <w:r>
        <w:rPr>
          <w:rFonts w:ascii="Tahoma" w:hAnsi="Tahoma" w:cs="Tahoma"/>
          <w:szCs w:val="21"/>
        </w:rPr>
        <w:t>的实质性内容。</w:t>
      </w:r>
    </w:p>
    <w:p>
      <w:pPr>
        <w:spacing w:line="360" w:lineRule="auto"/>
        <w:rPr>
          <w:rFonts w:ascii="Tahoma" w:hAnsi="Tahoma" w:cs="Tahoma"/>
          <w:szCs w:val="21"/>
        </w:rPr>
      </w:pPr>
      <w:r>
        <w:rPr>
          <w:rFonts w:ascii="Tahoma" w:hAnsi="Tahoma" w:cs="Tahoma"/>
          <w:szCs w:val="21"/>
        </w:rPr>
        <w:t>6.5.3</w:t>
      </w:r>
      <w:r>
        <w:rPr>
          <w:rFonts w:hint="eastAsia" w:ascii="Tahoma" w:hAnsi="Tahoma" w:cs="Tahoma"/>
          <w:szCs w:val="21"/>
          <w:lang w:eastAsia="zh-CN"/>
        </w:rPr>
        <w:t>响应文件</w:t>
      </w:r>
      <w:r>
        <w:rPr>
          <w:rFonts w:ascii="Tahoma" w:hAnsi="Tahoma" w:cs="Tahoma"/>
          <w:szCs w:val="21"/>
        </w:rPr>
        <w:t>报价出现前后不一致的，除招标文件另有规定外，按照下列规定修正：</w:t>
      </w:r>
    </w:p>
    <w:p>
      <w:pPr>
        <w:spacing w:line="360" w:lineRule="auto"/>
        <w:ind w:left="160"/>
        <w:rPr>
          <w:rFonts w:ascii="Tahoma" w:hAnsi="Tahoma" w:cs="Tahoma"/>
          <w:szCs w:val="21"/>
        </w:rPr>
      </w:pPr>
      <w:r>
        <w:rPr>
          <w:rFonts w:ascii="Tahoma" w:hAnsi="Tahoma" w:cs="Tahoma"/>
          <w:szCs w:val="21"/>
        </w:rPr>
        <w:t>（一）</w:t>
      </w:r>
      <w:r>
        <w:rPr>
          <w:rFonts w:hint="eastAsia" w:ascii="Tahoma" w:hAnsi="Tahoma" w:cs="Tahoma"/>
          <w:szCs w:val="21"/>
          <w:lang w:eastAsia="zh-CN"/>
        </w:rPr>
        <w:t>响应文件</w:t>
      </w:r>
      <w:r>
        <w:rPr>
          <w:rFonts w:ascii="Tahoma" w:hAnsi="Tahoma" w:cs="Tahoma"/>
          <w:szCs w:val="21"/>
        </w:rPr>
        <w:t>中</w:t>
      </w:r>
      <w:r>
        <w:rPr>
          <w:rFonts w:hint="eastAsia" w:ascii="Tahoma" w:hAnsi="Tahoma" w:cs="Tahoma"/>
          <w:szCs w:val="21"/>
          <w:lang w:eastAsia="zh-CN"/>
        </w:rPr>
        <w:t>报价一览表</w:t>
      </w:r>
      <w:r>
        <w:rPr>
          <w:rFonts w:ascii="Tahoma" w:hAnsi="Tahoma" w:cs="Tahoma"/>
          <w:szCs w:val="21"/>
        </w:rPr>
        <w:t>（报价表）内容与</w:t>
      </w:r>
      <w:r>
        <w:rPr>
          <w:rFonts w:hint="eastAsia" w:ascii="Tahoma" w:hAnsi="Tahoma" w:cs="Tahoma"/>
          <w:szCs w:val="21"/>
          <w:lang w:eastAsia="zh-CN"/>
        </w:rPr>
        <w:t>响应文件</w:t>
      </w:r>
      <w:r>
        <w:rPr>
          <w:rFonts w:ascii="Tahoma" w:hAnsi="Tahoma" w:cs="Tahoma"/>
          <w:szCs w:val="21"/>
        </w:rPr>
        <w:t>中相应内容不一致的，以</w:t>
      </w:r>
      <w:r>
        <w:rPr>
          <w:rFonts w:hint="eastAsia" w:ascii="Tahoma" w:hAnsi="Tahoma" w:cs="Tahoma"/>
          <w:szCs w:val="21"/>
          <w:lang w:eastAsia="zh-CN"/>
        </w:rPr>
        <w:t>报价一览表</w:t>
      </w:r>
      <w:r>
        <w:rPr>
          <w:rFonts w:ascii="Tahoma" w:hAnsi="Tahoma" w:cs="Tahoma"/>
          <w:szCs w:val="21"/>
        </w:rPr>
        <w:t>（报价表）为准；</w:t>
      </w:r>
    </w:p>
    <w:p>
      <w:pPr>
        <w:spacing w:line="360" w:lineRule="auto"/>
        <w:ind w:left="160"/>
        <w:rPr>
          <w:rFonts w:ascii="Tahoma" w:hAnsi="Tahoma" w:cs="Tahoma"/>
          <w:szCs w:val="21"/>
        </w:rPr>
      </w:pPr>
      <w:r>
        <w:rPr>
          <w:rFonts w:ascii="Tahoma" w:hAnsi="Tahoma" w:cs="Tahoma"/>
          <w:szCs w:val="21"/>
        </w:rPr>
        <w:t>（二）大写金额和小写金额不一致的，以大写金额为准；</w:t>
      </w:r>
    </w:p>
    <w:p>
      <w:pPr>
        <w:spacing w:line="360" w:lineRule="auto"/>
        <w:ind w:left="160"/>
        <w:rPr>
          <w:rFonts w:ascii="Tahoma" w:hAnsi="Tahoma" w:cs="Tahoma"/>
          <w:szCs w:val="21"/>
        </w:rPr>
      </w:pPr>
      <w:r>
        <w:rPr>
          <w:rFonts w:ascii="Tahoma" w:hAnsi="Tahoma" w:cs="Tahoma"/>
          <w:szCs w:val="21"/>
        </w:rPr>
        <w:t>（三）单价金额小数点或者百分比有明显错位的，以</w:t>
      </w:r>
      <w:r>
        <w:rPr>
          <w:rFonts w:hint="eastAsia" w:ascii="Tahoma" w:hAnsi="Tahoma" w:cs="Tahoma"/>
          <w:szCs w:val="21"/>
          <w:lang w:eastAsia="zh-CN"/>
        </w:rPr>
        <w:t>报价一览表</w:t>
      </w:r>
      <w:r>
        <w:rPr>
          <w:rFonts w:ascii="Tahoma" w:hAnsi="Tahoma" w:cs="Tahoma"/>
          <w:szCs w:val="21"/>
        </w:rPr>
        <w:t>的总价为准，并修改单价；</w:t>
      </w:r>
    </w:p>
    <w:p>
      <w:pPr>
        <w:spacing w:line="360" w:lineRule="auto"/>
        <w:ind w:left="160"/>
        <w:rPr>
          <w:rFonts w:ascii="Tahoma" w:hAnsi="Tahoma" w:cs="Tahoma"/>
          <w:szCs w:val="21"/>
        </w:rPr>
      </w:pPr>
      <w:r>
        <w:rPr>
          <w:rFonts w:ascii="Tahoma" w:hAnsi="Tahoma" w:cs="Tahoma"/>
          <w:szCs w:val="21"/>
        </w:rPr>
        <w:t>（四）总价金额与按单价汇总金额不一致的，以单价金额计算结果为准。</w:t>
      </w:r>
    </w:p>
    <w:p>
      <w:pPr>
        <w:spacing w:line="360" w:lineRule="auto"/>
        <w:rPr>
          <w:rFonts w:ascii="Tahoma" w:hAnsi="Tahoma" w:cs="Tahoma"/>
          <w:szCs w:val="21"/>
        </w:rPr>
      </w:pPr>
      <w:r>
        <w:rPr>
          <w:rFonts w:ascii="Tahoma" w:hAnsi="Tahoma" w:cs="Tahoma"/>
          <w:szCs w:val="21"/>
        </w:rPr>
        <w:t>　　同时出现两种以上不一致的，按照前款规定的顺序修正。修正后的报价按照本章第6.5.2条第二款的规定经</w:t>
      </w:r>
      <w:r>
        <w:rPr>
          <w:rFonts w:hint="eastAsia" w:ascii="Tahoma" w:hAnsi="Tahoma" w:cs="Tahoma"/>
          <w:szCs w:val="21"/>
          <w:lang w:eastAsia="zh-CN"/>
        </w:rPr>
        <w:t>供应商</w:t>
      </w:r>
      <w:r>
        <w:rPr>
          <w:rFonts w:ascii="Tahoma" w:hAnsi="Tahoma" w:cs="Tahoma"/>
          <w:szCs w:val="21"/>
        </w:rPr>
        <w:t>确认后产生约束力，</w:t>
      </w:r>
      <w:r>
        <w:rPr>
          <w:rFonts w:hint="eastAsia" w:ascii="Tahoma" w:hAnsi="Tahoma" w:cs="Tahoma"/>
          <w:b/>
          <w:szCs w:val="21"/>
          <w:lang w:eastAsia="zh-CN"/>
        </w:rPr>
        <w:t>供应商</w:t>
      </w:r>
      <w:r>
        <w:rPr>
          <w:rFonts w:ascii="Tahoma" w:hAnsi="Tahoma" w:cs="Tahoma"/>
          <w:b/>
          <w:szCs w:val="21"/>
        </w:rPr>
        <w:t>不确认的，其投标无效。</w:t>
      </w:r>
    </w:p>
    <w:p>
      <w:pPr>
        <w:spacing w:line="360" w:lineRule="auto"/>
        <w:rPr>
          <w:rFonts w:ascii="Tahoma" w:hAnsi="Tahoma" w:cs="Tahoma"/>
          <w:szCs w:val="21"/>
        </w:rPr>
      </w:pPr>
      <w:r>
        <w:rPr>
          <w:rFonts w:ascii="Tahoma" w:hAnsi="Tahoma" w:cs="Tahoma"/>
          <w:b/>
          <w:bCs/>
          <w:szCs w:val="21"/>
        </w:rPr>
        <w:t>6.6. 比较与评价</w:t>
      </w:r>
    </w:p>
    <w:p>
      <w:pPr>
        <w:spacing w:line="360" w:lineRule="auto"/>
        <w:rPr>
          <w:rFonts w:ascii="Tahoma" w:hAnsi="Tahoma" w:cs="Tahoma"/>
          <w:szCs w:val="21"/>
        </w:rPr>
      </w:pPr>
      <w:r>
        <w:rPr>
          <w:rFonts w:ascii="Tahoma" w:hAnsi="Tahoma" w:cs="Tahoma"/>
          <w:szCs w:val="21"/>
        </w:rPr>
        <w:t>6.6.1评标委员会按招标文件中规定的评标方法和标准，对资格性检查和符合性检查合格的</w:t>
      </w:r>
      <w:r>
        <w:rPr>
          <w:rFonts w:hint="eastAsia" w:ascii="Tahoma" w:hAnsi="Tahoma" w:cs="Tahoma"/>
          <w:szCs w:val="21"/>
          <w:lang w:eastAsia="zh-CN"/>
        </w:rPr>
        <w:t>响应文件</w:t>
      </w:r>
      <w:r>
        <w:rPr>
          <w:rFonts w:ascii="Tahoma" w:hAnsi="Tahoma" w:cs="Tahoma"/>
          <w:szCs w:val="21"/>
        </w:rPr>
        <w:t>进行商务和技术评估，综合比较与评价</w:t>
      </w:r>
      <w:r>
        <w:rPr>
          <w:rFonts w:ascii="Tahoma" w:hAnsi="Tahoma" w:cs="Tahoma"/>
          <w:b/>
          <w:szCs w:val="21"/>
        </w:rPr>
        <w:t>。</w:t>
      </w:r>
    </w:p>
    <w:p>
      <w:pPr>
        <w:spacing w:line="360" w:lineRule="auto"/>
        <w:rPr>
          <w:rFonts w:ascii="Tahoma" w:hAnsi="Tahoma" w:cs="Tahoma"/>
          <w:szCs w:val="21"/>
        </w:rPr>
      </w:pPr>
      <w:r>
        <w:rPr>
          <w:rFonts w:ascii="Tahoma" w:hAnsi="Tahoma" w:cs="Tahoma"/>
          <w:szCs w:val="21"/>
        </w:rPr>
        <w:t>6.6.2</w:t>
      </w:r>
      <w:r>
        <w:rPr>
          <w:rFonts w:ascii="Tahoma" w:hAnsi="Tahoma" w:cs="Tahoma"/>
          <w:b/>
          <w:szCs w:val="21"/>
        </w:rPr>
        <w:t>评标委员会认为</w:t>
      </w:r>
      <w:r>
        <w:rPr>
          <w:rFonts w:hint="eastAsia" w:ascii="Tahoma" w:hAnsi="Tahoma" w:cs="Tahoma"/>
          <w:b/>
          <w:szCs w:val="21"/>
          <w:lang w:eastAsia="zh-CN"/>
        </w:rPr>
        <w:t>供应商</w:t>
      </w:r>
      <w:r>
        <w:rPr>
          <w:rFonts w:ascii="Tahoma" w:hAnsi="Tahoma" w:cs="Tahoma"/>
          <w:b/>
          <w:szCs w:val="21"/>
        </w:rPr>
        <w:t>的报价明显低于其他通过符合性审查</w:t>
      </w:r>
      <w:r>
        <w:rPr>
          <w:rFonts w:hint="eastAsia" w:ascii="Tahoma" w:hAnsi="Tahoma" w:cs="Tahoma"/>
          <w:b/>
          <w:szCs w:val="21"/>
          <w:lang w:eastAsia="zh-CN"/>
        </w:rPr>
        <w:t>供应商</w:t>
      </w:r>
      <w:r>
        <w:rPr>
          <w:rFonts w:ascii="Tahoma" w:hAnsi="Tahoma" w:cs="Tahoma"/>
          <w:b/>
          <w:szCs w:val="21"/>
        </w:rPr>
        <w:t>的报价，有可能影响产品质量或者不能诚信履约的，应当要求其在评标现场合理的时间内提供书面说明，必要时提交相关证明材料；</w:t>
      </w:r>
      <w:r>
        <w:rPr>
          <w:rFonts w:hint="eastAsia" w:ascii="Tahoma" w:hAnsi="Tahoma" w:cs="Tahoma"/>
          <w:b/>
          <w:szCs w:val="21"/>
          <w:lang w:eastAsia="zh-CN"/>
        </w:rPr>
        <w:t>供应商</w:t>
      </w:r>
      <w:r>
        <w:rPr>
          <w:rFonts w:ascii="Tahoma" w:hAnsi="Tahoma" w:cs="Tahoma"/>
          <w:b/>
          <w:szCs w:val="21"/>
        </w:rPr>
        <w:t>不能证明其报价合理性的，评标委员会应当将其作为无效投标处理</w:t>
      </w:r>
      <w:r>
        <w:rPr>
          <w:rFonts w:ascii="Tahoma" w:hAnsi="Tahoma" w:cs="Tahoma"/>
          <w:szCs w:val="21"/>
        </w:rPr>
        <w:t>。</w:t>
      </w:r>
    </w:p>
    <w:p>
      <w:pPr>
        <w:spacing w:line="360" w:lineRule="auto"/>
        <w:rPr>
          <w:rFonts w:ascii="Tahoma" w:hAnsi="Tahoma" w:cs="Tahoma"/>
          <w:szCs w:val="21"/>
        </w:rPr>
      </w:pPr>
      <w:r>
        <w:rPr>
          <w:rFonts w:ascii="Tahoma" w:hAnsi="Tahoma" w:cs="Tahoma"/>
          <w:szCs w:val="21"/>
        </w:rPr>
        <w:t>6.6.3 经评审后，若出现符合本须知规定的所有投标条件的</w:t>
      </w:r>
      <w:r>
        <w:rPr>
          <w:rFonts w:hint="eastAsia" w:ascii="Tahoma" w:hAnsi="Tahoma" w:cs="Tahoma"/>
          <w:szCs w:val="21"/>
          <w:lang w:eastAsia="zh-CN"/>
        </w:rPr>
        <w:t>供应商</w:t>
      </w:r>
      <w:r>
        <w:rPr>
          <w:rFonts w:ascii="Tahoma" w:hAnsi="Tahoma" w:cs="Tahoma"/>
          <w:szCs w:val="21"/>
        </w:rPr>
        <w:t>不足三家情形的，本次招标终止，除采购任务取消情形外，招标单位将依法重新组织招标或者采取其他方式采购。</w:t>
      </w:r>
    </w:p>
    <w:p>
      <w:pPr>
        <w:spacing w:line="360" w:lineRule="auto"/>
        <w:jc w:val="center"/>
        <w:rPr>
          <w:rFonts w:ascii="Tahoma" w:hAnsi="Tahoma" w:cs="Tahoma"/>
          <w:b/>
          <w:bCs/>
          <w:szCs w:val="21"/>
        </w:rPr>
      </w:pPr>
      <w:r>
        <w:rPr>
          <w:rFonts w:ascii="Tahoma" w:hAnsi="Tahoma" w:cs="Tahoma"/>
          <w:b/>
          <w:bCs/>
          <w:szCs w:val="21"/>
        </w:rPr>
        <w:t>7、定标与授予合同</w:t>
      </w:r>
    </w:p>
    <w:p>
      <w:pPr>
        <w:spacing w:line="360" w:lineRule="auto"/>
        <w:rPr>
          <w:rFonts w:ascii="Tahoma" w:hAnsi="Tahoma" w:cs="Tahoma"/>
          <w:b/>
          <w:bCs/>
          <w:szCs w:val="21"/>
        </w:rPr>
      </w:pPr>
      <w:r>
        <w:rPr>
          <w:rFonts w:ascii="Tahoma" w:hAnsi="Tahoma" w:cs="Tahoma"/>
          <w:b/>
          <w:bCs/>
          <w:szCs w:val="21"/>
        </w:rPr>
        <w:t>7.1. 定标准则</w:t>
      </w:r>
    </w:p>
    <w:p>
      <w:pPr>
        <w:spacing w:line="360" w:lineRule="auto"/>
        <w:rPr>
          <w:rFonts w:ascii="Tahoma" w:hAnsi="Tahoma" w:cs="Tahoma"/>
          <w:szCs w:val="21"/>
        </w:rPr>
      </w:pPr>
      <w:r>
        <w:rPr>
          <w:rFonts w:ascii="Tahoma" w:hAnsi="Tahoma" w:cs="Tahoma"/>
          <w:szCs w:val="21"/>
        </w:rPr>
        <w:t>7.1.1最低投标价不作为中标的保证。</w:t>
      </w:r>
    </w:p>
    <w:p>
      <w:pPr>
        <w:spacing w:line="360" w:lineRule="auto"/>
        <w:rPr>
          <w:rFonts w:ascii="Tahoma" w:hAnsi="Tahoma" w:cs="Tahoma"/>
          <w:szCs w:val="21"/>
        </w:rPr>
      </w:pPr>
      <w:r>
        <w:rPr>
          <w:rFonts w:ascii="Tahoma" w:hAnsi="Tahoma" w:cs="Tahoma"/>
          <w:szCs w:val="21"/>
        </w:rPr>
        <w:t>7.1.2</w:t>
      </w:r>
      <w:r>
        <w:rPr>
          <w:rFonts w:hint="eastAsia" w:ascii="Tahoma" w:hAnsi="Tahoma" w:cs="Tahoma"/>
          <w:szCs w:val="21"/>
          <w:lang w:eastAsia="zh-CN"/>
        </w:rPr>
        <w:t>响应文件</w:t>
      </w:r>
      <w:r>
        <w:rPr>
          <w:rFonts w:ascii="Tahoma" w:hAnsi="Tahoma" w:cs="Tahoma"/>
          <w:szCs w:val="21"/>
        </w:rPr>
        <w:t>满足招标文件全部实质性要求，且投标报价最低的</w:t>
      </w:r>
      <w:r>
        <w:rPr>
          <w:rFonts w:hint="eastAsia" w:ascii="Tahoma" w:hAnsi="Tahoma" w:cs="Tahoma"/>
          <w:szCs w:val="21"/>
          <w:lang w:eastAsia="zh-CN"/>
        </w:rPr>
        <w:t>供应商</w:t>
      </w:r>
      <w:r>
        <w:rPr>
          <w:rFonts w:ascii="Tahoma" w:hAnsi="Tahoma" w:cs="Tahoma"/>
          <w:szCs w:val="21"/>
        </w:rPr>
        <w:t>为</w:t>
      </w:r>
      <w:r>
        <w:rPr>
          <w:rFonts w:hint="eastAsia" w:ascii="Tahoma" w:hAnsi="Tahoma" w:cs="Tahoma"/>
          <w:szCs w:val="21"/>
          <w:lang w:eastAsia="zh-CN"/>
        </w:rPr>
        <w:t>成交候选人</w:t>
      </w:r>
      <w:r>
        <w:rPr>
          <w:rFonts w:ascii="Tahoma" w:hAnsi="Tahoma" w:cs="Tahoma"/>
          <w:szCs w:val="21"/>
        </w:rPr>
        <w:t>。</w:t>
      </w:r>
    </w:p>
    <w:p>
      <w:pPr>
        <w:spacing w:line="360" w:lineRule="auto"/>
        <w:rPr>
          <w:rFonts w:ascii="Tahoma" w:hAnsi="Tahoma" w:cs="Tahoma"/>
          <w:b/>
          <w:bCs/>
          <w:szCs w:val="21"/>
        </w:rPr>
      </w:pPr>
      <w:r>
        <w:rPr>
          <w:rFonts w:ascii="Tahoma" w:hAnsi="Tahoma" w:cs="Tahoma"/>
          <w:b/>
          <w:bCs/>
          <w:szCs w:val="21"/>
        </w:rPr>
        <w:t>7.2. 中标通知</w:t>
      </w:r>
    </w:p>
    <w:p>
      <w:pPr>
        <w:spacing w:line="360" w:lineRule="auto"/>
        <w:rPr>
          <w:rFonts w:ascii="Tahoma" w:hAnsi="Tahoma" w:cs="Tahoma"/>
          <w:szCs w:val="21"/>
        </w:rPr>
      </w:pPr>
      <w:r>
        <w:rPr>
          <w:rFonts w:ascii="Tahoma" w:hAnsi="Tahoma" w:cs="Tahoma"/>
          <w:szCs w:val="21"/>
        </w:rPr>
        <w:t>7.2.1 评标结束后，评标结果经</w:t>
      </w:r>
      <w:r>
        <w:rPr>
          <w:rFonts w:hint="eastAsia" w:ascii="Tahoma" w:hAnsi="Tahoma" w:cs="Tahoma"/>
          <w:szCs w:val="21"/>
          <w:lang w:eastAsia="zh-CN"/>
        </w:rPr>
        <w:t>采购人</w:t>
      </w:r>
      <w:r>
        <w:rPr>
          <w:rFonts w:ascii="Tahoma" w:hAnsi="Tahoma" w:cs="Tahoma"/>
          <w:szCs w:val="21"/>
        </w:rPr>
        <w:t>确认后，在刊登本采购项目招标公告的媒介上对中标结果进行公示，公示期为</w:t>
      </w:r>
      <w:r>
        <w:rPr>
          <w:rFonts w:ascii="Tahoma" w:hAnsi="Tahoma" w:cs="Tahoma"/>
          <w:b/>
          <w:bCs/>
          <w:szCs w:val="21"/>
        </w:rPr>
        <w:t>1个工作日</w:t>
      </w:r>
      <w:r>
        <w:rPr>
          <w:rFonts w:ascii="Tahoma" w:hAnsi="Tahoma" w:cs="Tahoma"/>
          <w:szCs w:val="21"/>
        </w:rPr>
        <w:t>；同时招标代理机构向中标人发出中标通知书。中标通知书对</w:t>
      </w:r>
      <w:r>
        <w:rPr>
          <w:rFonts w:hint="eastAsia" w:ascii="Tahoma" w:hAnsi="Tahoma" w:cs="Tahoma"/>
          <w:szCs w:val="21"/>
          <w:lang w:eastAsia="zh-CN"/>
        </w:rPr>
        <w:t>采购人</w:t>
      </w:r>
      <w:r>
        <w:rPr>
          <w:rFonts w:ascii="Tahoma" w:hAnsi="Tahoma" w:cs="Tahoma"/>
          <w:szCs w:val="21"/>
        </w:rPr>
        <w:t>和中标人具有同等法律效力。中标通知书发出后，</w:t>
      </w:r>
      <w:r>
        <w:rPr>
          <w:rFonts w:hint="eastAsia" w:ascii="Tahoma" w:hAnsi="Tahoma" w:cs="Tahoma"/>
          <w:szCs w:val="21"/>
          <w:lang w:eastAsia="zh-CN"/>
        </w:rPr>
        <w:t>采购人</w:t>
      </w:r>
      <w:r>
        <w:rPr>
          <w:rFonts w:ascii="Tahoma" w:hAnsi="Tahoma" w:cs="Tahoma"/>
          <w:szCs w:val="21"/>
        </w:rPr>
        <w:t>改变中标结果，或者中标人放弃中标，应按相关法律、规章、规范性文件的要求承担相应的法律责任。</w:t>
      </w:r>
      <w:r>
        <w:rPr>
          <w:rFonts w:hint="eastAsia" w:ascii="Tahoma" w:hAnsi="Tahoma" w:cs="Tahoma"/>
          <w:szCs w:val="21"/>
          <w:lang w:eastAsia="zh-CN"/>
        </w:rPr>
        <w:t>供应商</w:t>
      </w:r>
      <w:r>
        <w:rPr>
          <w:rFonts w:ascii="Tahoma" w:hAnsi="Tahoma" w:cs="Tahoma"/>
          <w:szCs w:val="21"/>
        </w:rPr>
        <w:t>对中标公告有异议的，应当在知道或应当知道其权益受到损害之日起7个工作日内，以书面形式向采购人或招标代理机构提出质疑。</w:t>
      </w:r>
    </w:p>
    <w:p>
      <w:pPr>
        <w:spacing w:line="360" w:lineRule="auto"/>
        <w:rPr>
          <w:rFonts w:ascii="Tahoma" w:hAnsi="Tahoma" w:cs="Tahoma"/>
          <w:szCs w:val="21"/>
        </w:rPr>
      </w:pPr>
      <w:r>
        <w:rPr>
          <w:rFonts w:ascii="Tahoma" w:hAnsi="Tahoma" w:cs="Tahoma"/>
          <w:szCs w:val="21"/>
        </w:rPr>
        <w:t>7.2.2 中标公告发出后将向未中标人发出《中标结果通知书》。</w:t>
      </w:r>
    </w:p>
    <w:p>
      <w:pPr>
        <w:spacing w:line="360" w:lineRule="auto"/>
        <w:rPr>
          <w:rFonts w:ascii="Tahoma" w:hAnsi="Tahoma" w:cs="Tahoma"/>
          <w:szCs w:val="21"/>
        </w:rPr>
      </w:pPr>
      <w:r>
        <w:rPr>
          <w:rFonts w:ascii="Tahoma" w:hAnsi="Tahoma" w:cs="Tahoma"/>
          <w:szCs w:val="21"/>
        </w:rPr>
        <w:t>7.2.3 《中标通知书》将作为签订合同的依据。《合同》签订后，《中标通知书》成为《合同》的一部分。</w:t>
      </w:r>
    </w:p>
    <w:p>
      <w:pPr>
        <w:spacing w:line="360" w:lineRule="auto"/>
        <w:rPr>
          <w:rFonts w:ascii="Tahoma" w:hAnsi="Tahoma" w:cs="Tahoma"/>
          <w:szCs w:val="21"/>
        </w:rPr>
      </w:pPr>
      <w:r>
        <w:rPr>
          <w:rFonts w:ascii="Tahoma" w:hAnsi="Tahoma" w:cs="Tahoma"/>
          <w:szCs w:val="21"/>
        </w:rPr>
        <w:t>7.2.4《中标通知书》发出后5个工作日内，招标代理机构将向未中标的</w:t>
      </w:r>
      <w:r>
        <w:rPr>
          <w:rFonts w:hint="eastAsia" w:ascii="Tahoma" w:hAnsi="Tahoma" w:cs="Tahoma"/>
          <w:szCs w:val="21"/>
          <w:lang w:eastAsia="zh-CN"/>
        </w:rPr>
        <w:t>供应商</w:t>
      </w:r>
      <w:r>
        <w:rPr>
          <w:rFonts w:ascii="Tahoma" w:hAnsi="Tahoma" w:cs="Tahoma"/>
          <w:szCs w:val="21"/>
        </w:rPr>
        <w:t>退还其投标保证金，具体退款手续详见本</w:t>
      </w:r>
      <w:r>
        <w:rPr>
          <w:rFonts w:hint="eastAsia" w:ascii="Tahoma" w:hAnsi="Tahoma" w:cs="Tahoma"/>
          <w:szCs w:val="21"/>
        </w:rPr>
        <w:t>章正文</w:t>
      </w:r>
      <w:r>
        <w:rPr>
          <w:rFonts w:ascii="Tahoma" w:hAnsi="Tahoma" w:cs="Tahoma"/>
          <w:szCs w:val="21"/>
        </w:rPr>
        <w:t>第3.6.6条。</w:t>
      </w:r>
    </w:p>
    <w:p>
      <w:pPr>
        <w:spacing w:line="360" w:lineRule="auto"/>
        <w:rPr>
          <w:rFonts w:ascii="Tahoma" w:hAnsi="Tahoma" w:cs="Tahoma"/>
          <w:szCs w:val="21"/>
        </w:rPr>
      </w:pPr>
      <w:r>
        <w:rPr>
          <w:rFonts w:ascii="Tahoma" w:hAnsi="Tahoma" w:cs="Tahoma"/>
          <w:szCs w:val="21"/>
        </w:rPr>
        <w:t>7.2.5在合同签订后5个工作日内，招标代理机构将向未中标的</w:t>
      </w:r>
      <w:r>
        <w:rPr>
          <w:rFonts w:hint="eastAsia" w:ascii="Tahoma" w:hAnsi="Tahoma" w:cs="Tahoma"/>
          <w:szCs w:val="21"/>
          <w:lang w:eastAsia="zh-CN"/>
        </w:rPr>
        <w:t>供应商</w:t>
      </w:r>
      <w:r>
        <w:rPr>
          <w:rFonts w:ascii="Tahoma" w:hAnsi="Tahoma" w:cs="Tahoma"/>
          <w:szCs w:val="21"/>
        </w:rPr>
        <w:t>退还其投标保证金，条件是已交纳的招标代理服务费，具体退款手续详见本</w:t>
      </w:r>
      <w:r>
        <w:rPr>
          <w:rFonts w:hint="eastAsia" w:ascii="Tahoma" w:hAnsi="Tahoma" w:cs="Tahoma"/>
          <w:szCs w:val="21"/>
        </w:rPr>
        <w:t>章正文</w:t>
      </w:r>
      <w:r>
        <w:rPr>
          <w:rFonts w:ascii="Tahoma" w:hAnsi="Tahoma" w:cs="Tahoma"/>
          <w:szCs w:val="21"/>
        </w:rPr>
        <w:t>第3.6.6条。</w:t>
      </w:r>
    </w:p>
    <w:p>
      <w:pPr>
        <w:spacing w:line="360" w:lineRule="auto"/>
        <w:rPr>
          <w:rFonts w:ascii="Tahoma" w:hAnsi="Tahoma" w:cs="Tahoma"/>
          <w:szCs w:val="21"/>
        </w:rPr>
      </w:pPr>
      <w:r>
        <w:rPr>
          <w:rFonts w:ascii="Tahoma" w:hAnsi="Tahoma" w:cs="Tahoma"/>
          <w:b/>
          <w:bCs/>
          <w:szCs w:val="21"/>
        </w:rPr>
        <w:t>7.3. 签订合同</w:t>
      </w:r>
    </w:p>
    <w:p>
      <w:pPr>
        <w:spacing w:line="360" w:lineRule="auto"/>
        <w:rPr>
          <w:rFonts w:ascii="Tahoma" w:hAnsi="Tahoma" w:cs="Tahoma"/>
          <w:szCs w:val="21"/>
        </w:rPr>
      </w:pPr>
      <w:r>
        <w:rPr>
          <w:rFonts w:ascii="Tahoma" w:hAnsi="Tahoma" w:cs="Tahoma"/>
          <w:szCs w:val="21"/>
        </w:rPr>
        <w:t>7.3.1采购人与成交供应商应当在成交通知书发出之日起30日内，按照招标文件确定的合同文本以及采购标的、规格型号、采购金额、采购数量、技术和服务要求等事项签订政府采购合同。采购人不得向成交供应商提出超出招标文件以外的任何要求作为签订合同的条件，不得与成交供应商订立背离招标文件确定的合同文本以及采购标的、规格型号、采购金额、采购数量、技术和服务要求等实质性内容的协议。供应商逾期未与采购人签订合同，将按照有关法律规定承担相应的法律责任，并没收投标保证金，以抵偿对采购人造成的损失。采购方逾期不与成交供应商签订合同的，按有关规定处理，并承担相应的法律责任。</w:t>
      </w:r>
    </w:p>
    <w:p>
      <w:pPr>
        <w:spacing w:line="360" w:lineRule="auto"/>
        <w:rPr>
          <w:rFonts w:ascii="Tahoma" w:hAnsi="Tahoma" w:cs="Tahoma"/>
          <w:szCs w:val="21"/>
        </w:rPr>
      </w:pPr>
      <w:r>
        <w:rPr>
          <w:rFonts w:ascii="Tahoma" w:hAnsi="Tahoma" w:cs="Tahoma"/>
          <w:szCs w:val="21"/>
        </w:rPr>
        <w:t>7.3.2招标文件、招标文件的修改文件、成交供应商的</w:t>
      </w:r>
      <w:r>
        <w:rPr>
          <w:rFonts w:hint="eastAsia" w:ascii="Tahoma" w:hAnsi="Tahoma" w:cs="Tahoma"/>
          <w:szCs w:val="21"/>
          <w:lang w:eastAsia="zh-CN"/>
        </w:rPr>
        <w:t>响应文件</w:t>
      </w:r>
      <w:r>
        <w:rPr>
          <w:rFonts w:ascii="Tahoma" w:hAnsi="Tahoma" w:cs="Tahoma"/>
          <w:szCs w:val="21"/>
        </w:rPr>
        <w:t>、补充或修改的文件及澄清或承诺文件等，均为双方签订《合同》的组成部分，并与《合同》一并作为本招标文件所列采购项目的互补性法律文件，与《合同》具有同等法律效力。</w:t>
      </w:r>
    </w:p>
    <w:p>
      <w:pPr>
        <w:spacing w:line="360" w:lineRule="auto"/>
        <w:rPr>
          <w:rFonts w:ascii="Tahoma" w:hAnsi="Tahoma" w:cs="Tahoma"/>
          <w:szCs w:val="21"/>
        </w:rPr>
      </w:pPr>
      <w:r>
        <w:rPr>
          <w:rFonts w:ascii="Tahoma" w:hAnsi="Tahoma" w:cs="Tahoma"/>
          <w:szCs w:val="21"/>
        </w:rPr>
        <w:t>7.3.3政府采购合同履行中，采购人需追加与合同标的相同的货物、工程或者服务的，在不改变合同其他条款的前提下，可与供应商协商签订补充合同，但所有补充合同的采购金额不得超过原合同采购金额的百分之十。</w:t>
      </w:r>
    </w:p>
    <w:p>
      <w:pPr>
        <w:spacing w:line="360" w:lineRule="auto"/>
        <w:rPr>
          <w:rFonts w:ascii="Tahoma" w:hAnsi="Tahoma" w:cs="Tahoma"/>
          <w:szCs w:val="21"/>
        </w:rPr>
      </w:pPr>
      <w:r>
        <w:rPr>
          <w:rFonts w:ascii="Tahoma" w:hAnsi="Tahoma" w:cs="Tahoma"/>
          <w:szCs w:val="21"/>
        </w:rPr>
        <w:t>7.3.4成交供应商因不可抗力或者自身原因不能履行合同的，</w:t>
      </w:r>
      <w:r>
        <w:rPr>
          <w:rFonts w:hint="eastAsia" w:ascii="Tahoma" w:hAnsi="Tahoma" w:cs="Tahoma"/>
          <w:szCs w:val="21"/>
          <w:lang w:eastAsia="zh-CN"/>
        </w:rPr>
        <w:t>采购人</w:t>
      </w:r>
      <w:r>
        <w:rPr>
          <w:rFonts w:ascii="Tahoma" w:hAnsi="Tahoma" w:cs="Tahoma"/>
          <w:szCs w:val="21"/>
        </w:rPr>
        <w:t>可以与排位在成交供应商之后第一位的成交候选供应商签订合同，以此类推。</w:t>
      </w:r>
    </w:p>
    <w:p>
      <w:pPr>
        <w:spacing w:line="360" w:lineRule="auto"/>
        <w:jc w:val="center"/>
        <w:rPr>
          <w:rFonts w:ascii="Tahoma" w:hAnsi="Tahoma" w:cs="Tahoma"/>
          <w:b/>
          <w:szCs w:val="21"/>
        </w:rPr>
      </w:pPr>
      <w:r>
        <w:rPr>
          <w:rFonts w:ascii="Tahoma" w:hAnsi="Tahoma" w:cs="Tahoma"/>
          <w:b/>
          <w:szCs w:val="21"/>
        </w:rPr>
        <w:t>8、重新招标和其他方式采购</w:t>
      </w:r>
    </w:p>
    <w:p>
      <w:pPr>
        <w:spacing w:line="360" w:lineRule="auto"/>
        <w:rPr>
          <w:rFonts w:ascii="Tahoma" w:hAnsi="Tahoma" w:cs="Tahoma"/>
          <w:b/>
          <w:szCs w:val="21"/>
        </w:rPr>
      </w:pPr>
      <w:r>
        <w:rPr>
          <w:rFonts w:ascii="Tahoma" w:hAnsi="Tahoma" w:cs="Tahoma"/>
          <w:b/>
          <w:szCs w:val="21"/>
        </w:rPr>
        <w:t>8.1重新招标</w:t>
      </w:r>
    </w:p>
    <w:p>
      <w:pPr>
        <w:spacing w:line="360" w:lineRule="auto"/>
        <w:rPr>
          <w:rFonts w:ascii="Tahoma" w:hAnsi="Tahoma" w:cs="Tahoma"/>
          <w:szCs w:val="21"/>
        </w:rPr>
      </w:pPr>
      <w:r>
        <w:rPr>
          <w:rFonts w:ascii="Tahoma" w:hAnsi="Tahoma" w:cs="Tahoma"/>
          <w:szCs w:val="21"/>
        </w:rPr>
        <w:t>8.1.1在招标采购中，出现下列情形之一的，应当在废标后重新招标：</w:t>
      </w:r>
    </w:p>
    <w:p>
      <w:pPr>
        <w:spacing w:line="360" w:lineRule="auto"/>
        <w:rPr>
          <w:rFonts w:ascii="Tahoma" w:hAnsi="Tahoma" w:cs="Tahoma"/>
          <w:szCs w:val="21"/>
        </w:rPr>
      </w:pPr>
      <w:r>
        <w:rPr>
          <w:rFonts w:ascii="Tahoma" w:hAnsi="Tahoma" w:cs="Tahoma"/>
          <w:szCs w:val="21"/>
        </w:rPr>
        <w:t>　（1）符合专业条件的供应商或者对招标文件作实质响应的供应商不足三家的；</w:t>
      </w:r>
    </w:p>
    <w:p>
      <w:pPr>
        <w:spacing w:line="360" w:lineRule="auto"/>
        <w:rPr>
          <w:rFonts w:ascii="Tahoma" w:hAnsi="Tahoma" w:cs="Tahoma"/>
          <w:szCs w:val="21"/>
        </w:rPr>
      </w:pPr>
      <w:r>
        <w:rPr>
          <w:rFonts w:ascii="Tahoma" w:hAnsi="Tahoma" w:cs="Tahoma"/>
          <w:szCs w:val="21"/>
        </w:rPr>
        <w:t>　（2）出现影响采购公正的违法、违规行为的；</w:t>
      </w:r>
    </w:p>
    <w:p>
      <w:pPr>
        <w:spacing w:line="360" w:lineRule="auto"/>
        <w:rPr>
          <w:rFonts w:ascii="Tahoma" w:hAnsi="Tahoma" w:cs="Tahoma"/>
          <w:szCs w:val="21"/>
        </w:rPr>
      </w:pPr>
      <w:r>
        <w:rPr>
          <w:rFonts w:ascii="Tahoma" w:hAnsi="Tahoma" w:cs="Tahoma"/>
          <w:szCs w:val="21"/>
        </w:rPr>
        <w:t>　（3）</w:t>
      </w:r>
      <w:r>
        <w:rPr>
          <w:rFonts w:hint="eastAsia" w:ascii="Tahoma" w:hAnsi="Tahoma" w:cs="Tahoma"/>
          <w:szCs w:val="21"/>
          <w:lang w:eastAsia="zh-CN"/>
        </w:rPr>
        <w:t>供应商</w:t>
      </w:r>
      <w:r>
        <w:rPr>
          <w:rFonts w:ascii="Tahoma" w:hAnsi="Tahoma" w:cs="Tahoma"/>
          <w:szCs w:val="21"/>
        </w:rPr>
        <w:t>的报价均超过了采购预算，采购人不能支付的；</w:t>
      </w:r>
    </w:p>
    <w:p>
      <w:pPr>
        <w:spacing w:line="360" w:lineRule="auto"/>
        <w:rPr>
          <w:rFonts w:ascii="Tahoma" w:hAnsi="Tahoma" w:cs="Tahoma"/>
          <w:szCs w:val="21"/>
        </w:rPr>
      </w:pPr>
      <w:r>
        <w:rPr>
          <w:rFonts w:ascii="Tahoma" w:hAnsi="Tahoma" w:cs="Tahoma"/>
          <w:szCs w:val="21"/>
        </w:rPr>
        <w:t>　（4）因重大变故，采购任务取消的。</w:t>
      </w:r>
    </w:p>
    <w:p>
      <w:pPr>
        <w:spacing w:line="360" w:lineRule="auto"/>
        <w:rPr>
          <w:rFonts w:ascii="Tahoma" w:hAnsi="Tahoma" w:cs="Tahoma"/>
          <w:szCs w:val="21"/>
        </w:rPr>
      </w:pPr>
      <w:r>
        <w:rPr>
          <w:rFonts w:ascii="Tahoma" w:hAnsi="Tahoma" w:cs="Tahoma"/>
          <w:szCs w:val="21"/>
        </w:rPr>
        <w:t>8.1.2如果排名第一、二的</w:t>
      </w:r>
      <w:r>
        <w:rPr>
          <w:rFonts w:hint="eastAsia" w:ascii="Tahoma" w:hAnsi="Tahoma" w:cs="Tahoma"/>
          <w:szCs w:val="21"/>
          <w:lang w:eastAsia="zh-CN"/>
        </w:rPr>
        <w:t>成交候选人</w:t>
      </w:r>
      <w:r>
        <w:rPr>
          <w:rFonts w:ascii="Tahoma" w:hAnsi="Tahoma" w:cs="Tahoma"/>
          <w:szCs w:val="21"/>
        </w:rPr>
        <w:t>，直至排名第三的</w:t>
      </w:r>
      <w:r>
        <w:rPr>
          <w:rFonts w:hint="eastAsia" w:ascii="Tahoma" w:hAnsi="Tahoma" w:cs="Tahoma"/>
          <w:szCs w:val="21"/>
          <w:lang w:eastAsia="zh-CN"/>
        </w:rPr>
        <w:t>成交候选人</w:t>
      </w:r>
      <w:r>
        <w:rPr>
          <w:rFonts w:ascii="Tahoma" w:hAnsi="Tahoma" w:cs="Tahoma"/>
          <w:szCs w:val="21"/>
        </w:rPr>
        <w:t>因不可抗力或自身原因放弃中标结果，本次招标宣布失败。</w:t>
      </w:r>
      <w:r>
        <w:rPr>
          <w:rFonts w:hint="eastAsia" w:ascii="Tahoma" w:hAnsi="Tahoma" w:cs="Tahoma"/>
          <w:szCs w:val="21"/>
          <w:lang w:eastAsia="zh-CN"/>
        </w:rPr>
        <w:t>采购人</w:t>
      </w:r>
      <w:r>
        <w:rPr>
          <w:rFonts w:ascii="Tahoma" w:hAnsi="Tahoma" w:cs="Tahoma"/>
          <w:szCs w:val="21"/>
        </w:rPr>
        <w:t>应重新组织招标。</w:t>
      </w:r>
    </w:p>
    <w:p>
      <w:pPr>
        <w:spacing w:line="360" w:lineRule="auto"/>
        <w:rPr>
          <w:rFonts w:ascii="Tahoma" w:hAnsi="Tahoma" w:cs="Tahoma"/>
          <w:b/>
          <w:szCs w:val="21"/>
        </w:rPr>
      </w:pPr>
      <w:r>
        <w:rPr>
          <w:rFonts w:ascii="Tahoma" w:hAnsi="Tahoma" w:cs="Tahoma"/>
          <w:b/>
          <w:szCs w:val="21"/>
        </w:rPr>
        <w:t>8.2其他方式采购</w:t>
      </w:r>
    </w:p>
    <w:p>
      <w:pPr>
        <w:spacing w:line="360" w:lineRule="auto"/>
        <w:rPr>
          <w:rFonts w:ascii="Tahoma" w:hAnsi="Tahoma" w:cs="Tahoma"/>
          <w:szCs w:val="21"/>
        </w:rPr>
      </w:pPr>
      <w:r>
        <w:rPr>
          <w:rFonts w:ascii="Tahoma" w:hAnsi="Tahoma" w:cs="Tahoma"/>
          <w:szCs w:val="21"/>
        </w:rPr>
        <w:t>8.2.1需要采取其他方式采购的，应当在采购活动开始前获得设区的市、自治州以上人民政府采购监督管理部门或者政府有关部门批准。</w:t>
      </w:r>
    </w:p>
    <w:p>
      <w:pPr>
        <w:spacing w:line="360" w:lineRule="auto"/>
        <w:jc w:val="center"/>
        <w:rPr>
          <w:rFonts w:ascii="Tahoma" w:hAnsi="Tahoma" w:cs="Tahoma"/>
          <w:b/>
          <w:szCs w:val="21"/>
        </w:rPr>
      </w:pPr>
      <w:r>
        <w:rPr>
          <w:rFonts w:ascii="Tahoma" w:hAnsi="Tahoma" w:cs="Tahoma"/>
          <w:b/>
          <w:szCs w:val="21"/>
        </w:rPr>
        <w:t>9、纪律和监督</w:t>
      </w:r>
    </w:p>
    <w:p>
      <w:pPr>
        <w:spacing w:line="360" w:lineRule="auto"/>
        <w:rPr>
          <w:rFonts w:ascii="Tahoma" w:hAnsi="Tahoma" w:cs="Tahoma"/>
          <w:b/>
          <w:szCs w:val="21"/>
        </w:rPr>
      </w:pPr>
      <w:r>
        <w:rPr>
          <w:rFonts w:ascii="Tahoma" w:hAnsi="Tahoma" w:cs="Tahoma"/>
          <w:b/>
          <w:szCs w:val="21"/>
        </w:rPr>
        <w:t>9.1 对</w:t>
      </w:r>
      <w:r>
        <w:rPr>
          <w:rFonts w:hint="eastAsia" w:ascii="Tahoma" w:hAnsi="Tahoma" w:cs="Tahoma"/>
          <w:b/>
          <w:szCs w:val="21"/>
          <w:lang w:eastAsia="zh-CN"/>
        </w:rPr>
        <w:t>采购人</w:t>
      </w:r>
      <w:r>
        <w:rPr>
          <w:rFonts w:ascii="Tahoma" w:hAnsi="Tahoma" w:cs="Tahoma"/>
          <w:b/>
          <w:szCs w:val="21"/>
        </w:rPr>
        <w:t>的纪律要求</w:t>
      </w:r>
    </w:p>
    <w:p>
      <w:pPr>
        <w:spacing w:line="360" w:lineRule="auto"/>
        <w:rPr>
          <w:rFonts w:ascii="Tahoma" w:hAnsi="Tahoma" w:cs="Tahoma"/>
          <w:b/>
          <w:szCs w:val="21"/>
        </w:rPr>
      </w:pPr>
      <w:r>
        <w:rPr>
          <w:rFonts w:ascii="Tahoma" w:hAnsi="Tahoma" w:cs="Tahoma"/>
          <w:szCs w:val="21"/>
        </w:rPr>
        <w:t xml:space="preserve">    </w:t>
      </w:r>
      <w:r>
        <w:rPr>
          <w:rFonts w:hint="eastAsia" w:ascii="Tahoma" w:hAnsi="Tahoma" w:cs="Tahoma"/>
          <w:szCs w:val="21"/>
          <w:lang w:eastAsia="zh-CN"/>
        </w:rPr>
        <w:t>采购人</w:t>
      </w:r>
      <w:r>
        <w:rPr>
          <w:rFonts w:ascii="Tahoma" w:hAnsi="Tahoma" w:cs="Tahoma"/>
          <w:szCs w:val="21"/>
        </w:rPr>
        <w:t>不得泄露招标投标活动中应当保密的情况和资料，不得与</w:t>
      </w:r>
      <w:r>
        <w:rPr>
          <w:rFonts w:hint="eastAsia" w:ascii="Tahoma" w:hAnsi="Tahoma" w:cs="Tahoma"/>
          <w:szCs w:val="21"/>
          <w:lang w:eastAsia="zh-CN"/>
        </w:rPr>
        <w:t>供应商</w:t>
      </w:r>
      <w:r>
        <w:rPr>
          <w:rFonts w:ascii="Tahoma" w:hAnsi="Tahoma" w:cs="Tahoma"/>
          <w:szCs w:val="21"/>
        </w:rPr>
        <w:t>串通损害国家利益、社会公共利益或者他人合法利益。</w:t>
      </w:r>
      <w:r>
        <w:rPr>
          <w:rFonts w:hint="eastAsia" w:ascii="Tahoma" w:hAnsi="Tahoma" w:cs="Tahoma"/>
          <w:szCs w:val="21"/>
          <w:lang w:eastAsia="zh-CN"/>
        </w:rPr>
        <w:t>采购人</w:t>
      </w:r>
      <w:r>
        <w:rPr>
          <w:rFonts w:ascii="Tahoma" w:hAnsi="Tahoma" w:cs="Tahoma"/>
          <w:szCs w:val="21"/>
        </w:rPr>
        <w:t>不得有下列行为之一：</w:t>
      </w:r>
    </w:p>
    <w:p>
      <w:pPr>
        <w:spacing w:line="360" w:lineRule="auto"/>
        <w:ind w:firstLine="240" w:firstLineChars="100"/>
        <w:rPr>
          <w:rFonts w:ascii="Tahoma" w:hAnsi="Tahoma" w:cs="Tahoma"/>
          <w:szCs w:val="21"/>
        </w:rPr>
      </w:pPr>
      <w:r>
        <w:rPr>
          <w:rFonts w:ascii="Tahoma" w:hAnsi="Tahoma" w:cs="Tahoma"/>
          <w:szCs w:val="21"/>
        </w:rPr>
        <w:t>（1）与</w:t>
      </w:r>
      <w:r>
        <w:rPr>
          <w:rFonts w:hint="eastAsia" w:ascii="Tahoma" w:hAnsi="Tahoma" w:cs="Tahoma"/>
          <w:szCs w:val="21"/>
          <w:lang w:eastAsia="zh-CN"/>
        </w:rPr>
        <w:t>供应商</w:t>
      </w:r>
      <w:r>
        <w:rPr>
          <w:rFonts w:ascii="Tahoma" w:hAnsi="Tahoma" w:cs="Tahoma"/>
          <w:szCs w:val="21"/>
        </w:rPr>
        <w:t xml:space="preserve">恶意串通的； </w:t>
      </w:r>
    </w:p>
    <w:p>
      <w:pPr>
        <w:spacing w:line="360" w:lineRule="auto"/>
        <w:rPr>
          <w:rFonts w:ascii="Tahoma" w:hAnsi="Tahoma" w:cs="Tahoma"/>
          <w:szCs w:val="21"/>
        </w:rPr>
      </w:pPr>
      <w:r>
        <w:rPr>
          <w:rFonts w:ascii="Tahoma" w:hAnsi="Tahoma" w:cs="Tahoma"/>
          <w:szCs w:val="21"/>
        </w:rPr>
        <w:t xml:space="preserve">　（2）在采购过程中接受贿赂或者获取其他不正当利益的； </w:t>
      </w:r>
    </w:p>
    <w:p>
      <w:pPr>
        <w:spacing w:line="360" w:lineRule="auto"/>
        <w:rPr>
          <w:rFonts w:ascii="Tahoma" w:hAnsi="Tahoma" w:cs="Tahoma"/>
          <w:szCs w:val="21"/>
        </w:rPr>
      </w:pPr>
      <w:r>
        <w:rPr>
          <w:rFonts w:ascii="Tahoma" w:hAnsi="Tahoma" w:cs="Tahoma"/>
          <w:szCs w:val="21"/>
        </w:rPr>
        <w:t xml:space="preserve">　（3）在有关部门依法实施的监督检查中提供虚假情况的； </w:t>
      </w:r>
    </w:p>
    <w:p>
      <w:pPr>
        <w:spacing w:line="360" w:lineRule="auto"/>
        <w:rPr>
          <w:rFonts w:ascii="Tahoma" w:hAnsi="Tahoma" w:cs="Tahoma"/>
          <w:szCs w:val="21"/>
        </w:rPr>
      </w:pPr>
      <w:r>
        <w:rPr>
          <w:rFonts w:ascii="Tahoma" w:hAnsi="Tahoma" w:cs="Tahoma"/>
          <w:szCs w:val="21"/>
        </w:rPr>
        <w:t>　（4）开标前泄露已获取招标文件的潜在</w:t>
      </w:r>
      <w:r>
        <w:rPr>
          <w:rFonts w:hint="eastAsia" w:ascii="Tahoma" w:hAnsi="Tahoma" w:cs="Tahoma"/>
          <w:szCs w:val="21"/>
          <w:lang w:eastAsia="zh-CN"/>
        </w:rPr>
        <w:t>供应商</w:t>
      </w:r>
      <w:r>
        <w:rPr>
          <w:rFonts w:ascii="Tahoma" w:hAnsi="Tahoma" w:cs="Tahoma"/>
          <w:szCs w:val="21"/>
        </w:rPr>
        <w:t xml:space="preserve">的名称、数量、标底或者其他可能影响公平竞争的有关招标投标情况的。 </w:t>
      </w:r>
    </w:p>
    <w:p>
      <w:pPr>
        <w:spacing w:line="360" w:lineRule="auto"/>
        <w:ind w:firstLine="240" w:firstLineChars="100"/>
        <w:rPr>
          <w:rFonts w:ascii="Tahoma" w:hAnsi="Tahoma" w:cs="Tahoma"/>
          <w:szCs w:val="21"/>
        </w:rPr>
      </w:pPr>
      <w:r>
        <w:rPr>
          <w:rFonts w:ascii="Tahoma" w:hAnsi="Tahoma" w:cs="Tahoma"/>
          <w:szCs w:val="21"/>
        </w:rPr>
        <w:t>（5）法律、法规规定的其他违法、违规情形。</w:t>
      </w:r>
    </w:p>
    <w:p>
      <w:pPr>
        <w:spacing w:line="360" w:lineRule="auto"/>
        <w:rPr>
          <w:rFonts w:ascii="Tahoma" w:hAnsi="Tahoma" w:cs="Tahoma"/>
          <w:b/>
          <w:szCs w:val="21"/>
        </w:rPr>
      </w:pPr>
      <w:r>
        <w:rPr>
          <w:rFonts w:ascii="Tahoma" w:hAnsi="Tahoma" w:cs="Tahoma"/>
          <w:b/>
          <w:szCs w:val="21"/>
        </w:rPr>
        <w:t>9.2 对</w:t>
      </w:r>
      <w:r>
        <w:rPr>
          <w:rFonts w:hint="eastAsia" w:ascii="Tahoma" w:hAnsi="Tahoma" w:cs="Tahoma"/>
          <w:b/>
          <w:szCs w:val="21"/>
          <w:lang w:eastAsia="zh-CN"/>
        </w:rPr>
        <w:t>供应商</w:t>
      </w:r>
      <w:r>
        <w:rPr>
          <w:rFonts w:ascii="Tahoma" w:hAnsi="Tahoma" w:cs="Tahoma"/>
          <w:b/>
          <w:szCs w:val="21"/>
        </w:rPr>
        <w:t>的纪律要求</w:t>
      </w:r>
    </w:p>
    <w:p>
      <w:pPr>
        <w:spacing w:line="360" w:lineRule="auto"/>
        <w:ind w:right="248"/>
        <w:rPr>
          <w:rFonts w:ascii="Tahoma" w:hAnsi="Tahoma" w:cs="Tahoma"/>
          <w:szCs w:val="21"/>
        </w:rPr>
      </w:pPr>
      <w:r>
        <w:rPr>
          <w:rFonts w:ascii="Tahoma" w:hAnsi="Tahoma" w:cs="Tahoma"/>
          <w:szCs w:val="21"/>
        </w:rPr>
        <w:t>9.2.1</w:t>
      </w:r>
      <w:r>
        <w:rPr>
          <w:rFonts w:hint="eastAsia" w:ascii="Tahoma" w:hAnsi="Tahoma" w:cs="Tahoma"/>
          <w:szCs w:val="21"/>
          <w:lang w:eastAsia="zh-CN"/>
        </w:rPr>
        <w:t>供应商</w:t>
      </w:r>
      <w:r>
        <w:rPr>
          <w:rFonts w:ascii="Tahoma" w:hAnsi="Tahoma" w:cs="Tahoma"/>
          <w:szCs w:val="21"/>
        </w:rPr>
        <w:t>不得相互串通投标或者与</w:t>
      </w:r>
      <w:r>
        <w:rPr>
          <w:rFonts w:hint="eastAsia" w:ascii="Tahoma" w:hAnsi="Tahoma" w:cs="Tahoma"/>
          <w:szCs w:val="21"/>
          <w:lang w:eastAsia="zh-CN"/>
        </w:rPr>
        <w:t>采购人</w:t>
      </w:r>
      <w:r>
        <w:rPr>
          <w:rFonts w:ascii="Tahoma" w:hAnsi="Tahoma" w:cs="Tahoma"/>
          <w:szCs w:val="21"/>
        </w:rPr>
        <w:t>串通投标，不得向</w:t>
      </w:r>
      <w:r>
        <w:rPr>
          <w:rFonts w:hint="eastAsia" w:ascii="Tahoma" w:hAnsi="Tahoma" w:cs="Tahoma"/>
          <w:szCs w:val="21"/>
          <w:lang w:eastAsia="zh-CN"/>
        </w:rPr>
        <w:t>采购人</w:t>
      </w:r>
      <w:r>
        <w:rPr>
          <w:rFonts w:ascii="Tahoma" w:hAnsi="Tahoma" w:cs="Tahoma"/>
          <w:szCs w:val="21"/>
        </w:rPr>
        <w:t>或者评标委员会成员行贿谋取中标，不得以其它方式弄虚作假骗取中标；</w:t>
      </w:r>
      <w:r>
        <w:rPr>
          <w:rFonts w:hint="eastAsia" w:ascii="Tahoma" w:hAnsi="Tahoma" w:cs="Tahoma"/>
          <w:szCs w:val="21"/>
          <w:lang w:eastAsia="zh-CN"/>
        </w:rPr>
        <w:t>供应商</w:t>
      </w:r>
      <w:r>
        <w:rPr>
          <w:rFonts w:ascii="Tahoma" w:hAnsi="Tahoma" w:cs="Tahoma"/>
          <w:szCs w:val="21"/>
        </w:rPr>
        <w:t>不得以任何方式干扰、影响评标工作。</w:t>
      </w:r>
      <w:bookmarkStart w:id="31" w:name="_Toc221950237"/>
      <w:r>
        <w:rPr>
          <w:rFonts w:hint="eastAsia" w:ascii="Tahoma" w:hAnsi="Tahoma" w:cs="Tahoma"/>
          <w:szCs w:val="21"/>
          <w:lang w:eastAsia="zh-CN"/>
        </w:rPr>
        <w:t>供应商</w:t>
      </w:r>
      <w:r>
        <w:rPr>
          <w:rFonts w:ascii="Tahoma" w:hAnsi="Tahoma" w:cs="Tahoma"/>
          <w:szCs w:val="21"/>
        </w:rPr>
        <w:t>不得有下列行为之一：</w:t>
      </w:r>
    </w:p>
    <w:bookmarkEnd w:id="31"/>
    <w:p>
      <w:pPr>
        <w:spacing w:line="360" w:lineRule="auto"/>
        <w:ind w:firstLine="240" w:firstLineChars="100"/>
        <w:rPr>
          <w:rFonts w:ascii="Tahoma" w:hAnsi="Tahoma" w:cs="Tahoma"/>
          <w:szCs w:val="21"/>
        </w:rPr>
      </w:pPr>
      <w:bookmarkStart w:id="32" w:name="_Toc221950238"/>
      <w:r>
        <w:rPr>
          <w:rFonts w:ascii="Tahoma" w:hAnsi="Tahoma" w:cs="Tahoma"/>
          <w:szCs w:val="21"/>
        </w:rPr>
        <w:t xml:space="preserve">（1）提供虚假材料谋取中标的； </w:t>
      </w:r>
    </w:p>
    <w:p>
      <w:pPr>
        <w:spacing w:line="360" w:lineRule="auto"/>
        <w:rPr>
          <w:rFonts w:ascii="Tahoma" w:hAnsi="Tahoma" w:cs="Tahoma"/>
          <w:szCs w:val="21"/>
        </w:rPr>
      </w:pPr>
      <w:r>
        <w:rPr>
          <w:rFonts w:ascii="Tahoma" w:hAnsi="Tahoma" w:cs="Tahoma"/>
          <w:szCs w:val="21"/>
        </w:rPr>
        <w:t>　（2）采取不正当手段诋毁、排挤其他</w:t>
      </w:r>
      <w:r>
        <w:rPr>
          <w:rFonts w:hint="eastAsia" w:ascii="Tahoma" w:hAnsi="Tahoma" w:cs="Tahoma"/>
          <w:szCs w:val="21"/>
          <w:lang w:eastAsia="zh-CN"/>
        </w:rPr>
        <w:t>供应商</w:t>
      </w:r>
      <w:r>
        <w:rPr>
          <w:rFonts w:ascii="Tahoma" w:hAnsi="Tahoma" w:cs="Tahoma"/>
          <w:szCs w:val="21"/>
        </w:rPr>
        <w:t xml:space="preserve">的； </w:t>
      </w:r>
    </w:p>
    <w:p>
      <w:pPr>
        <w:spacing w:line="360" w:lineRule="auto"/>
        <w:rPr>
          <w:rFonts w:ascii="Tahoma" w:hAnsi="Tahoma" w:cs="Tahoma"/>
          <w:szCs w:val="21"/>
        </w:rPr>
      </w:pPr>
      <w:r>
        <w:rPr>
          <w:rFonts w:ascii="Tahoma" w:hAnsi="Tahoma" w:cs="Tahoma"/>
          <w:szCs w:val="21"/>
        </w:rPr>
        <w:t>　（3）与招标采购单位、其他</w:t>
      </w:r>
      <w:r>
        <w:rPr>
          <w:rFonts w:hint="eastAsia" w:ascii="Tahoma" w:hAnsi="Tahoma" w:cs="Tahoma"/>
          <w:szCs w:val="21"/>
          <w:lang w:eastAsia="zh-CN"/>
        </w:rPr>
        <w:t>供应商</w:t>
      </w:r>
      <w:r>
        <w:rPr>
          <w:rFonts w:ascii="Tahoma" w:hAnsi="Tahoma" w:cs="Tahoma"/>
          <w:szCs w:val="21"/>
        </w:rPr>
        <w:t xml:space="preserve">恶意串通的； </w:t>
      </w:r>
    </w:p>
    <w:p>
      <w:pPr>
        <w:spacing w:line="360" w:lineRule="auto"/>
        <w:rPr>
          <w:rFonts w:ascii="Tahoma" w:hAnsi="Tahoma" w:cs="Tahoma"/>
          <w:szCs w:val="21"/>
        </w:rPr>
      </w:pPr>
      <w:r>
        <w:rPr>
          <w:rFonts w:ascii="Tahoma" w:hAnsi="Tahoma" w:cs="Tahoma"/>
          <w:szCs w:val="21"/>
        </w:rPr>
        <w:t xml:space="preserve">　（4）向招标采购单位行贿或者提供其他不正当利益的； </w:t>
      </w:r>
    </w:p>
    <w:p>
      <w:pPr>
        <w:spacing w:line="360" w:lineRule="auto"/>
        <w:rPr>
          <w:rFonts w:ascii="Tahoma" w:hAnsi="Tahoma" w:cs="Tahoma"/>
          <w:szCs w:val="21"/>
        </w:rPr>
      </w:pPr>
      <w:r>
        <w:rPr>
          <w:rFonts w:ascii="Tahoma" w:hAnsi="Tahoma" w:cs="Tahoma"/>
          <w:szCs w:val="21"/>
        </w:rPr>
        <w:t>　（5）在招标过程中与招标采购单位进行协商谈判、不按照招标文件和中标供应商的</w:t>
      </w:r>
      <w:r>
        <w:rPr>
          <w:rFonts w:hint="eastAsia" w:ascii="Tahoma" w:hAnsi="Tahoma" w:cs="Tahoma"/>
          <w:szCs w:val="21"/>
          <w:lang w:eastAsia="zh-CN"/>
        </w:rPr>
        <w:t>响应文件</w:t>
      </w:r>
      <w:r>
        <w:rPr>
          <w:rFonts w:ascii="Tahoma" w:hAnsi="Tahoma" w:cs="Tahoma"/>
          <w:szCs w:val="21"/>
        </w:rPr>
        <w:t xml:space="preserve">订立合同，或者与采购人另行订立背离合同实质性内容的协议的； </w:t>
      </w:r>
    </w:p>
    <w:p>
      <w:pPr>
        <w:spacing w:line="360" w:lineRule="auto"/>
        <w:rPr>
          <w:rFonts w:ascii="Tahoma" w:hAnsi="Tahoma" w:cs="Tahoma"/>
          <w:szCs w:val="21"/>
        </w:rPr>
      </w:pPr>
      <w:r>
        <w:rPr>
          <w:rFonts w:ascii="Tahoma" w:hAnsi="Tahoma" w:cs="Tahoma"/>
          <w:szCs w:val="21"/>
        </w:rPr>
        <w:t xml:space="preserve">　（6）拒绝有关部门监督检查或者提供虚假情况的； </w:t>
      </w:r>
    </w:p>
    <w:p>
      <w:pPr>
        <w:spacing w:line="360" w:lineRule="auto"/>
        <w:ind w:firstLine="240" w:firstLineChars="100"/>
        <w:rPr>
          <w:rFonts w:ascii="Tahoma" w:hAnsi="Tahoma" w:cs="Tahoma"/>
          <w:szCs w:val="21"/>
        </w:rPr>
      </w:pPr>
      <w:r>
        <w:rPr>
          <w:rFonts w:ascii="Tahoma" w:hAnsi="Tahoma" w:cs="Tahoma"/>
          <w:szCs w:val="21"/>
        </w:rPr>
        <w:t>（7）法律、法规规定的其他违法、违规情形。</w:t>
      </w:r>
    </w:p>
    <w:bookmarkEnd w:id="32"/>
    <w:p>
      <w:pPr>
        <w:spacing w:line="360" w:lineRule="auto"/>
        <w:rPr>
          <w:rFonts w:ascii="Tahoma" w:hAnsi="Tahoma" w:cs="Tahoma"/>
          <w:b/>
          <w:szCs w:val="21"/>
        </w:rPr>
      </w:pPr>
      <w:r>
        <w:rPr>
          <w:rFonts w:ascii="Tahoma" w:hAnsi="Tahoma" w:cs="Tahoma"/>
          <w:b/>
          <w:szCs w:val="21"/>
        </w:rPr>
        <w:t>9.3 对评标委员会成员的纪律要求</w:t>
      </w:r>
    </w:p>
    <w:p>
      <w:pPr>
        <w:spacing w:line="360" w:lineRule="auto"/>
        <w:ind w:firstLine="480" w:firstLineChars="200"/>
        <w:rPr>
          <w:rFonts w:ascii="Tahoma" w:hAnsi="Tahoma" w:cs="Tahoma"/>
          <w:szCs w:val="21"/>
        </w:rPr>
      </w:pPr>
      <w:r>
        <w:rPr>
          <w:rFonts w:ascii="Tahoma" w:hAnsi="Tahoma" w:cs="Tahoma"/>
          <w:szCs w:val="21"/>
        </w:rPr>
        <w:t>评标委员会成员不得收受他人的财物或者其他好处，不得向他人透漏对</w:t>
      </w:r>
      <w:r>
        <w:rPr>
          <w:rFonts w:hint="eastAsia" w:ascii="Tahoma" w:hAnsi="Tahoma" w:cs="Tahoma"/>
          <w:szCs w:val="21"/>
          <w:lang w:eastAsia="zh-CN"/>
        </w:rPr>
        <w:t>响应文件</w:t>
      </w:r>
      <w:r>
        <w:rPr>
          <w:rFonts w:ascii="Tahoma" w:hAnsi="Tahoma" w:cs="Tahoma"/>
          <w:szCs w:val="21"/>
        </w:rPr>
        <w:t>的评审和比较、</w:t>
      </w:r>
      <w:r>
        <w:rPr>
          <w:rFonts w:hint="eastAsia" w:ascii="Tahoma" w:hAnsi="Tahoma" w:cs="Tahoma"/>
          <w:szCs w:val="21"/>
          <w:lang w:eastAsia="zh-CN"/>
        </w:rPr>
        <w:t>成交候选人</w:t>
      </w:r>
      <w:r>
        <w:rPr>
          <w:rFonts w:ascii="Tahoma" w:hAnsi="Tahoma" w:cs="Tahoma"/>
          <w:szCs w:val="21"/>
        </w:rPr>
        <w:t xml:space="preserve">的推荐情况以及评标有关的其他情况。在评标活动中，评标委员会成员不得擅离职守，影响评标程序正常进行。评标委员不得有下列行为之一： </w:t>
      </w:r>
    </w:p>
    <w:p>
      <w:pPr>
        <w:spacing w:line="360" w:lineRule="auto"/>
        <w:ind w:firstLine="240" w:firstLineChars="100"/>
        <w:rPr>
          <w:rFonts w:ascii="Tahoma" w:hAnsi="Tahoma" w:cs="Tahoma"/>
          <w:szCs w:val="21"/>
        </w:rPr>
      </w:pPr>
      <w:r>
        <w:rPr>
          <w:rFonts w:ascii="Tahoma" w:hAnsi="Tahoma" w:cs="Tahoma"/>
          <w:szCs w:val="21"/>
        </w:rPr>
        <w:t xml:space="preserve">（1）明知应当回避而未主动回避的； </w:t>
      </w:r>
    </w:p>
    <w:p>
      <w:pPr>
        <w:spacing w:line="360" w:lineRule="auto"/>
        <w:ind w:firstLine="240" w:firstLineChars="100"/>
        <w:rPr>
          <w:rFonts w:ascii="Tahoma" w:hAnsi="Tahoma" w:cs="Tahoma"/>
          <w:szCs w:val="21"/>
        </w:rPr>
      </w:pPr>
      <w:r>
        <w:rPr>
          <w:rFonts w:ascii="Tahoma" w:hAnsi="Tahoma" w:cs="Tahoma"/>
          <w:szCs w:val="21"/>
        </w:rPr>
        <w:t>（2）在知道自己为评委会成员身份后至评标结束前的时段内私下接触投标供应商的；</w:t>
      </w:r>
    </w:p>
    <w:p>
      <w:pPr>
        <w:spacing w:line="360" w:lineRule="auto"/>
        <w:ind w:firstLine="240" w:firstLineChars="100"/>
        <w:rPr>
          <w:rFonts w:ascii="Tahoma" w:hAnsi="Tahoma" w:cs="Tahoma"/>
          <w:szCs w:val="21"/>
        </w:rPr>
      </w:pPr>
      <w:r>
        <w:rPr>
          <w:rFonts w:ascii="Tahoma" w:hAnsi="Tahoma" w:cs="Tahoma"/>
          <w:szCs w:val="21"/>
        </w:rPr>
        <w:t xml:space="preserve">（3）在评标过程中擅离职守，影响评标程序正常进行的； </w:t>
      </w:r>
    </w:p>
    <w:p>
      <w:pPr>
        <w:spacing w:line="360" w:lineRule="auto"/>
        <w:ind w:firstLine="240" w:firstLineChars="100"/>
        <w:rPr>
          <w:rFonts w:ascii="Tahoma" w:hAnsi="Tahoma" w:cs="Tahoma"/>
          <w:szCs w:val="21"/>
        </w:rPr>
      </w:pPr>
      <w:r>
        <w:rPr>
          <w:rFonts w:ascii="Tahoma" w:hAnsi="Tahoma" w:cs="Tahoma"/>
          <w:szCs w:val="21"/>
        </w:rPr>
        <w:t xml:space="preserve">（4）在评标过程中有明显不合理或者不正当倾向性的； </w:t>
      </w:r>
    </w:p>
    <w:p>
      <w:pPr>
        <w:spacing w:line="360" w:lineRule="auto"/>
        <w:rPr>
          <w:rFonts w:ascii="Tahoma" w:hAnsi="Tahoma" w:cs="Tahoma"/>
          <w:szCs w:val="21"/>
        </w:rPr>
      </w:pPr>
      <w:r>
        <w:rPr>
          <w:rFonts w:ascii="Tahoma" w:hAnsi="Tahoma" w:cs="Tahoma"/>
          <w:szCs w:val="21"/>
        </w:rPr>
        <w:t>　（5）未按招标文件规定的评标方法和标准进行评标的。</w:t>
      </w:r>
    </w:p>
    <w:p>
      <w:pPr>
        <w:spacing w:line="360" w:lineRule="auto"/>
        <w:ind w:firstLine="240" w:firstLineChars="100"/>
        <w:rPr>
          <w:rFonts w:ascii="Tahoma" w:hAnsi="Tahoma" w:cs="Tahoma"/>
          <w:szCs w:val="21"/>
        </w:rPr>
      </w:pPr>
      <w:r>
        <w:rPr>
          <w:rFonts w:ascii="Tahoma" w:hAnsi="Tahoma" w:cs="Tahoma"/>
          <w:szCs w:val="21"/>
        </w:rPr>
        <w:t xml:space="preserve">（6）法律、法规规定的其他违法、违规情形。 </w:t>
      </w:r>
    </w:p>
    <w:p>
      <w:pPr>
        <w:spacing w:line="360" w:lineRule="auto"/>
        <w:rPr>
          <w:rFonts w:ascii="Tahoma" w:hAnsi="Tahoma" w:cs="Tahoma"/>
          <w:b/>
          <w:szCs w:val="21"/>
        </w:rPr>
      </w:pPr>
      <w:r>
        <w:rPr>
          <w:rFonts w:ascii="Tahoma" w:hAnsi="Tahoma" w:cs="Tahoma"/>
          <w:b/>
          <w:szCs w:val="21"/>
        </w:rPr>
        <w:t>9.4 对与评标活动有关的工作人员的纪律要求</w:t>
      </w:r>
    </w:p>
    <w:p>
      <w:pPr>
        <w:spacing w:line="360" w:lineRule="auto"/>
        <w:rPr>
          <w:rFonts w:ascii="Tahoma" w:hAnsi="Tahoma" w:cs="Tahoma"/>
          <w:szCs w:val="21"/>
        </w:rPr>
      </w:pPr>
      <w:r>
        <w:rPr>
          <w:rFonts w:ascii="Tahoma" w:hAnsi="Tahoma" w:cs="Tahoma"/>
          <w:szCs w:val="21"/>
        </w:rPr>
        <w:t xml:space="preserve">   与评标活动有关的工作人员不得收受他人的财物或者其他好处，不得向他人透漏对投</w:t>
      </w:r>
    </w:p>
    <w:p>
      <w:pPr>
        <w:spacing w:line="360" w:lineRule="auto"/>
        <w:rPr>
          <w:rFonts w:ascii="Tahoma" w:hAnsi="Tahoma" w:cs="Tahoma"/>
          <w:szCs w:val="21"/>
        </w:rPr>
      </w:pPr>
      <w:r>
        <w:rPr>
          <w:rFonts w:ascii="Tahoma" w:hAnsi="Tahoma" w:cs="Tahoma"/>
          <w:szCs w:val="21"/>
        </w:rPr>
        <w:t xml:space="preserve"> 标文件的评审和比较、</w:t>
      </w:r>
      <w:r>
        <w:rPr>
          <w:rFonts w:hint="eastAsia" w:ascii="Tahoma" w:hAnsi="Tahoma" w:cs="Tahoma"/>
          <w:szCs w:val="21"/>
          <w:lang w:eastAsia="zh-CN"/>
        </w:rPr>
        <w:t>成交候选人</w:t>
      </w:r>
      <w:r>
        <w:rPr>
          <w:rFonts w:ascii="Tahoma" w:hAnsi="Tahoma" w:cs="Tahoma"/>
          <w:szCs w:val="21"/>
        </w:rPr>
        <w:t>的推荐情况以及评标有关的其他情况。在评标活动中，与评标活动有关的工作人员不得擅离职守，影响评标程序正常进行。</w:t>
      </w:r>
    </w:p>
    <w:p>
      <w:pPr>
        <w:spacing w:line="360" w:lineRule="auto"/>
        <w:rPr>
          <w:rFonts w:ascii="Tahoma" w:hAnsi="Tahoma" w:cs="Tahoma"/>
          <w:b/>
          <w:szCs w:val="21"/>
        </w:rPr>
      </w:pPr>
      <w:r>
        <w:rPr>
          <w:rFonts w:ascii="Tahoma" w:hAnsi="Tahoma" w:cs="Tahoma"/>
          <w:b/>
          <w:szCs w:val="21"/>
        </w:rPr>
        <w:t>9.5 监督检查</w:t>
      </w:r>
    </w:p>
    <w:p>
      <w:pPr>
        <w:spacing w:line="360" w:lineRule="auto"/>
        <w:rPr>
          <w:rFonts w:ascii="Tahoma" w:hAnsi="Tahoma" w:cs="Tahoma"/>
          <w:szCs w:val="21"/>
        </w:rPr>
      </w:pPr>
      <w:r>
        <w:rPr>
          <w:rFonts w:ascii="Tahoma" w:hAnsi="Tahoma" w:cs="Tahoma"/>
          <w:szCs w:val="21"/>
        </w:rPr>
        <w:t>9.5.1政府采购监督管理部门应对在政府采购活动中的当事人有关政府采购的法律、行政法规和规章的执行情况和采购范围、采购方式和采购程序的执行等情况进行监督检查。</w:t>
      </w:r>
    </w:p>
    <w:p>
      <w:pPr>
        <w:spacing w:line="360" w:lineRule="auto"/>
        <w:rPr>
          <w:rFonts w:ascii="Tahoma" w:hAnsi="Tahoma" w:cs="Tahoma"/>
          <w:szCs w:val="21"/>
        </w:rPr>
      </w:pPr>
      <w:r>
        <w:rPr>
          <w:rFonts w:ascii="Tahoma" w:hAnsi="Tahoma" w:cs="Tahoma"/>
          <w:szCs w:val="21"/>
        </w:rPr>
        <w:t>9.5.2招标项目行政监督部门可视情依法派员对招标活动的全程进行监督。</w:t>
      </w:r>
    </w:p>
    <w:p>
      <w:pPr>
        <w:spacing w:line="360" w:lineRule="auto"/>
        <w:jc w:val="center"/>
        <w:rPr>
          <w:rFonts w:ascii="Tahoma" w:hAnsi="Tahoma" w:cs="Tahoma"/>
          <w:b/>
          <w:szCs w:val="21"/>
        </w:rPr>
      </w:pPr>
      <w:r>
        <w:rPr>
          <w:rFonts w:ascii="Tahoma" w:hAnsi="Tahoma" w:cs="Tahoma"/>
          <w:b/>
          <w:szCs w:val="21"/>
        </w:rPr>
        <w:t>10、需要补充的其他内容</w:t>
      </w:r>
    </w:p>
    <w:p>
      <w:pPr>
        <w:spacing w:line="360" w:lineRule="auto"/>
        <w:rPr>
          <w:rFonts w:ascii="Tahoma" w:hAnsi="Tahoma" w:cs="Tahoma"/>
          <w:b/>
          <w:szCs w:val="21"/>
        </w:rPr>
      </w:pPr>
      <w:r>
        <w:rPr>
          <w:rFonts w:ascii="Tahoma" w:hAnsi="Tahoma" w:cs="Tahoma"/>
          <w:b/>
          <w:szCs w:val="21"/>
        </w:rPr>
        <w:t>10.1质疑</w:t>
      </w:r>
    </w:p>
    <w:p>
      <w:pPr>
        <w:spacing w:line="360" w:lineRule="auto"/>
        <w:rPr>
          <w:rFonts w:ascii="Tahoma" w:hAnsi="Tahoma" w:cs="Tahoma"/>
          <w:szCs w:val="21"/>
        </w:rPr>
      </w:pPr>
      <w:r>
        <w:rPr>
          <w:rFonts w:ascii="Tahoma" w:hAnsi="Tahoma" w:cs="Tahoma"/>
          <w:szCs w:val="21"/>
        </w:rPr>
        <w:t>10.1.1供应商对政府采购活动事项有疑问的，可以向采购人提出询问，采购人应当及时作出答复，但答复的内容不得涉及商业秘密。</w:t>
      </w:r>
    </w:p>
    <w:p>
      <w:pPr>
        <w:spacing w:line="360" w:lineRule="auto"/>
        <w:rPr>
          <w:rFonts w:ascii="Tahoma" w:hAnsi="Tahoma" w:cs="Tahoma"/>
          <w:szCs w:val="21"/>
        </w:rPr>
      </w:pPr>
      <w:r>
        <w:rPr>
          <w:rFonts w:ascii="Tahoma" w:hAnsi="Tahoma" w:cs="Tahoma"/>
          <w:szCs w:val="21"/>
        </w:rPr>
        <w:t>10.1.2供应商认为采购文件、采购过程和成交结果使自己的权益受到损害的，可以在知道或者应知其权益受到损害之日起七个工作日内，以书面形式向采购人提出质疑。</w:t>
      </w:r>
    </w:p>
    <w:p>
      <w:pPr>
        <w:spacing w:line="360" w:lineRule="auto"/>
        <w:rPr>
          <w:rFonts w:ascii="Tahoma" w:hAnsi="Tahoma" w:cs="Tahoma"/>
          <w:szCs w:val="21"/>
        </w:rPr>
      </w:pPr>
      <w:r>
        <w:rPr>
          <w:rFonts w:ascii="Tahoma" w:hAnsi="Tahoma" w:cs="Tahoma"/>
          <w:szCs w:val="21"/>
        </w:rPr>
        <w:t>10.1.3采购人应当在收到供应商的书面质疑后七个工作日内作出答复，并以书面形式通知质疑供应商和其他有关供应商，但答复的内容不得涉及商业秘密。</w:t>
      </w:r>
    </w:p>
    <w:p>
      <w:pPr>
        <w:spacing w:line="360" w:lineRule="auto"/>
        <w:rPr>
          <w:rFonts w:ascii="Tahoma" w:hAnsi="Tahoma" w:cs="Tahoma"/>
          <w:szCs w:val="21"/>
        </w:rPr>
      </w:pPr>
      <w:r>
        <w:rPr>
          <w:rFonts w:ascii="Tahoma" w:hAnsi="Tahoma" w:cs="Tahoma"/>
          <w:szCs w:val="21"/>
        </w:rPr>
        <w:t>10.1.4采购人委托采购代理机构采购的，供应商可以向采购代理机构提出询问或者质疑，采购代理机构应当依照本法第10.1.1条、第10.1.3条的规定就采购人委托授权范围内的事项作出答复。</w:t>
      </w:r>
    </w:p>
    <w:p>
      <w:pPr>
        <w:spacing w:line="360" w:lineRule="auto"/>
        <w:rPr>
          <w:rFonts w:ascii="Tahoma" w:hAnsi="Tahoma" w:cs="Tahoma"/>
          <w:b/>
          <w:szCs w:val="21"/>
        </w:rPr>
      </w:pPr>
      <w:r>
        <w:rPr>
          <w:rFonts w:ascii="Tahoma" w:hAnsi="Tahoma" w:cs="Tahoma"/>
          <w:b/>
          <w:szCs w:val="21"/>
        </w:rPr>
        <w:t>10.2投诉</w:t>
      </w:r>
    </w:p>
    <w:p>
      <w:pPr>
        <w:spacing w:line="360" w:lineRule="auto"/>
        <w:rPr>
          <w:rFonts w:ascii="Tahoma" w:hAnsi="Tahoma" w:cs="Tahoma"/>
          <w:szCs w:val="21"/>
        </w:rPr>
      </w:pPr>
      <w:r>
        <w:rPr>
          <w:rFonts w:ascii="Tahoma" w:hAnsi="Tahoma" w:cs="Tahoma"/>
          <w:szCs w:val="21"/>
        </w:rPr>
        <w:t>10.2.1质疑供应商对采购人、采购代理机构的答复不满意或者采购人、采购代理机构未在规定的时间内作出答复的，可以在答复期满后十五个工作日内向同级政府采购监督管理部门投诉。</w:t>
      </w:r>
    </w:p>
    <w:p>
      <w:pPr>
        <w:spacing w:line="360" w:lineRule="auto"/>
        <w:rPr>
          <w:rFonts w:ascii="Tahoma" w:hAnsi="Tahoma" w:cs="Tahoma"/>
          <w:szCs w:val="21"/>
        </w:rPr>
      </w:pPr>
      <w:r>
        <w:rPr>
          <w:rFonts w:ascii="Tahoma" w:hAnsi="Tahoma" w:cs="Tahoma"/>
          <w:szCs w:val="21"/>
        </w:rPr>
        <w:t>10.2.2政府采购监督管理部门应当在收到投诉后三十个工作日内，对投诉事项作出处理决定，并以书面形式通知投诉人和与投诉事项有关的当事人。</w:t>
      </w:r>
    </w:p>
    <w:p>
      <w:pPr>
        <w:spacing w:line="360" w:lineRule="auto"/>
        <w:rPr>
          <w:rFonts w:ascii="Tahoma" w:hAnsi="Tahoma" w:cs="Tahoma"/>
          <w:szCs w:val="21"/>
        </w:rPr>
      </w:pPr>
      <w:r>
        <w:rPr>
          <w:rFonts w:ascii="Tahoma" w:hAnsi="Tahoma" w:cs="Tahoma"/>
          <w:szCs w:val="21"/>
        </w:rPr>
        <w:t>10.2.3政府采购监督管理部门在处理投诉事项期间，可以视具体情况书面通知采购人暂停采购活动，但暂停时间最长不得超过三十日。</w:t>
      </w:r>
    </w:p>
    <w:p>
      <w:pPr>
        <w:spacing w:line="360" w:lineRule="auto"/>
        <w:rPr>
          <w:rFonts w:ascii="Tahoma" w:hAnsi="Tahoma" w:cs="Tahoma"/>
          <w:szCs w:val="21"/>
        </w:rPr>
      </w:pPr>
      <w:r>
        <w:rPr>
          <w:rFonts w:ascii="Tahoma" w:hAnsi="Tahoma" w:cs="Tahoma"/>
          <w:szCs w:val="21"/>
        </w:rPr>
        <w:t>10.2.4投诉人对政府采购监督管理部门的投诉处理决定不服或者政府采购监督管理部门逾期未作处理的，可以依法申请行政复议或者向人民法院提起行政诉讼。</w:t>
      </w:r>
    </w:p>
    <w:p>
      <w:pPr>
        <w:spacing w:line="360" w:lineRule="auto"/>
        <w:rPr>
          <w:rFonts w:ascii="Tahoma" w:hAnsi="Tahoma" w:cs="Tahoma"/>
          <w:b/>
          <w:szCs w:val="21"/>
        </w:rPr>
      </w:pPr>
      <w:r>
        <w:rPr>
          <w:rFonts w:ascii="Tahoma" w:hAnsi="Tahoma" w:cs="Tahoma"/>
          <w:b/>
          <w:szCs w:val="21"/>
        </w:rPr>
        <w:t>10.3其他</w:t>
      </w:r>
    </w:p>
    <w:p>
      <w:pPr>
        <w:spacing w:line="360" w:lineRule="auto"/>
        <w:rPr>
          <w:rFonts w:ascii="Tahoma" w:hAnsi="Tahoma" w:cs="Tahoma"/>
          <w:b/>
          <w:szCs w:val="21"/>
        </w:rPr>
      </w:pPr>
      <w:r>
        <w:rPr>
          <w:rFonts w:ascii="Tahoma" w:hAnsi="Tahoma" w:cs="Tahoma"/>
          <w:szCs w:val="21"/>
        </w:rPr>
        <w:t>10.3.1</w:t>
      </w:r>
      <w:r>
        <w:rPr>
          <w:rFonts w:hint="eastAsia" w:ascii="Tahoma" w:hAnsi="Tahoma" w:cs="Tahoma"/>
          <w:szCs w:val="21"/>
          <w:lang w:eastAsia="zh-CN"/>
        </w:rPr>
        <w:t>供应商</w:t>
      </w:r>
      <w:r>
        <w:rPr>
          <w:rFonts w:ascii="Tahoma" w:hAnsi="Tahoma" w:cs="Tahoma"/>
          <w:szCs w:val="21"/>
        </w:rPr>
        <w:t>出席开标会，详见</w:t>
      </w:r>
      <w:r>
        <w:rPr>
          <w:rFonts w:hint="eastAsia" w:ascii="Tahoma" w:hAnsi="Tahoma" w:cs="Tahoma"/>
          <w:szCs w:val="21"/>
          <w:lang w:eastAsia="zh-CN"/>
        </w:rPr>
        <w:t>供应商</w:t>
      </w:r>
      <w:r>
        <w:rPr>
          <w:rFonts w:ascii="Tahoma" w:hAnsi="Tahoma" w:cs="Tahoma"/>
          <w:szCs w:val="21"/>
        </w:rPr>
        <w:t>须知前附表。</w:t>
      </w:r>
    </w:p>
    <w:p>
      <w:pPr>
        <w:spacing w:line="360" w:lineRule="auto"/>
      </w:pPr>
      <w:r>
        <w:rPr>
          <w:rFonts w:ascii="Tahoma" w:hAnsi="Tahoma" w:cs="Tahoma"/>
          <w:szCs w:val="21"/>
        </w:rPr>
        <w:t>10.3.2通讯联系，详见</w:t>
      </w:r>
      <w:r>
        <w:rPr>
          <w:rFonts w:hint="eastAsia" w:ascii="Tahoma" w:hAnsi="Tahoma" w:cs="Tahoma"/>
          <w:szCs w:val="21"/>
          <w:lang w:eastAsia="zh-CN"/>
        </w:rPr>
        <w:t>供应商</w:t>
      </w:r>
      <w:r>
        <w:rPr>
          <w:rFonts w:ascii="Tahoma" w:hAnsi="Tahoma" w:cs="Tahoma"/>
          <w:szCs w:val="21"/>
        </w:rPr>
        <w:t>须知前附表。</w:t>
      </w:r>
      <w:r>
        <w:br w:type="page"/>
      </w:r>
    </w:p>
    <w:p>
      <w:pPr>
        <w:spacing w:line="360" w:lineRule="auto"/>
        <w:jc w:val="center"/>
        <w:outlineLvl w:val="0"/>
        <w:rPr>
          <w:b/>
          <w:sz w:val="28"/>
        </w:rPr>
      </w:pPr>
      <w:bookmarkStart w:id="33" w:name="_Toc92733675"/>
      <w:r>
        <w:rPr>
          <w:rFonts w:hint="eastAsia"/>
          <w:b/>
          <w:sz w:val="28"/>
        </w:rPr>
        <w:t>第三章  评标方法和标准（综合评分法）</w:t>
      </w:r>
      <w:bookmarkEnd w:id="33"/>
    </w:p>
    <w:p>
      <w:pPr>
        <w:shd w:val="clear" w:color="auto" w:fill="FFFFFF"/>
        <w:snapToGrid w:val="0"/>
        <w:spacing w:line="360" w:lineRule="auto"/>
        <w:jc w:val="center"/>
        <w:outlineLvl w:val="3"/>
        <w:rPr>
          <w:rFonts w:ascii="Tahoma" w:hAnsi="Tahoma" w:cs="Tahoma"/>
          <w:b/>
          <w:bCs/>
        </w:rPr>
      </w:pPr>
      <w:r>
        <w:rPr>
          <w:rFonts w:ascii="Tahoma" w:hAnsi="Tahoma" w:cs="Tahoma"/>
          <w:b/>
          <w:bCs/>
        </w:rPr>
        <w:t>1、</w:t>
      </w:r>
      <w:r>
        <w:rPr>
          <w:rFonts w:ascii="Tahoma" w:hAnsi="Tahoma" w:eastAsia="黑体" w:cs="Tahoma"/>
          <w:b/>
          <w:bCs/>
        </w:rPr>
        <w:t>评标办法</w:t>
      </w:r>
    </w:p>
    <w:p>
      <w:pPr>
        <w:spacing w:line="360" w:lineRule="auto"/>
        <w:ind w:firstLine="480"/>
        <w:rPr>
          <w:rFonts w:ascii="Tahoma" w:hAnsi="Tahoma" w:cs="Tahoma"/>
          <w:szCs w:val="21"/>
        </w:rPr>
      </w:pPr>
      <w:r>
        <w:rPr>
          <w:rFonts w:ascii="Tahoma" w:hAnsi="Tahoma" w:cs="Tahoma"/>
          <w:szCs w:val="21"/>
        </w:rPr>
        <w:t>本次评标</w:t>
      </w:r>
      <w:r>
        <w:rPr>
          <w:rFonts w:ascii="Tahoma" w:hAnsi="Tahoma" w:cs="Tahoma"/>
          <w:b/>
          <w:szCs w:val="21"/>
        </w:rPr>
        <w:t>按照《政府采购货物和服务招标投标管理办法》（中华人民共和国财政部令第87号）规定的评审标准，采用综合评分法</w:t>
      </w:r>
      <w:r>
        <w:rPr>
          <w:rFonts w:ascii="Tahoma" w:hAnsi="Tahoma" w:cs="Tahoma"/>
          <w:szCs w:val="21"/>
        </w:rPr>
        <w:t>。评标委员会对全部满足招标文件实质性要求前提下，按照招标文件中规定的各项因素进行综合评审后，按评审后的综合得分由高到低顺序排列，以评标总得分最高的</w:t>
      </w:r>
      <w:r>
        <w:rPr>
          <w:rFonts w:hint="eastAsia" w:ascii="Tahoma" w:hAnsi="Tahoma" w:cs="Tahoma"/>
          <w:szCs w:val="21"/>
          <w:lang w:eastAsia="zh-CN"/>
        </w:rPr>
        <w:t>供应商</w:t>
      </w:r>
      <w:r>
        <w:rPr>
          <w:rFonts w:ascii="Tahoma" w:hAnsi="Tahoma" w:cs="Tahoma"/>
          <w:szCs w:val="21"/>
        </w:rPr>
        <w:t>作为</w:t>
      </w:r>
      <w:r>
        <w:rPr>
          <w:rFonts w:hint="eastAsia" w:ascii="Tahoma" w:hAnsi="Tahoma" w:cs="Tahoma"/>
          <w:szCs w:val="21"/>
          <w:lang w:eastAsia="zh-CN"/>
        </w:rPr>
        <w:t>成交候选人</w:t>
      </w:r>
      <w:r>
        <w:rPr>
          <w:rFonts w:ascii="Tahoma" w:hAnsi="Tahoma" w:cs="Tahoma"/>
          <w:szCs w:val="21"/>
        </w:rPr>
        <w:t>。得分相同的，按投标报价由低到高顺序排列。得分且投标报价相同的，按技术指标优劣顺序排列。</w:t>
      </w:r>
    </w:p>
    <w:p>
      <w:pPr>
        <w:shd w:val="clear" w:color="auto" w:fill="FFFFFF"/>
        <w:snapToGrid w:val="0"/>
        <w:spacing w:line="360" w:lineRule="auto"/>
        <w:jc w:val="center"/>
        <w:outlineLvl w:val="3"/>
        <w:rPr>
          <w:rFonts w:ascii="Tahoma" w:hAnsi="Tahoma" w:cs="Tahoma"/>
          <w:b/>
          <w:bCs/>
        </w:rPr>
      </w:pPr>
      <w:r>
        <w:rPr>
          <w:rFonts w:ascii="Tahoma" w:hAnsi="Tahoma" w:cs="Tahoma"/>
          <w:b/>
          <w:bCs/>
        </w:rPr>
        <w:t>2、评审标准</w:t>
      </w:r>
    </w:p>
    <w:p>
      <w:pPr>
        <w:spacing w:line="360" w:lineRule="auto"/>
        <w:rPr>
          <w:rFonts w:ascii="Tahoma" w:hAnsi="Tahoma" w:cs="Tahoma"/>
          <w:b/>
          <w:bCs/>
          <w:szCs w:val="21"/>
        </w:rPr>
      </w:pPr>
      <w:r>
        <w:rPr>
          <w:rFonts w:ascii="Tahoma" w:hAnsi="Tahoma" w:cs="Tahoma"/>
          <w:b/>
          <w:bCs/>
          <w:szCs w:val="21"/>
        </w:rPr>
        <w:t>2.1 初步评审标准</w:t>
      </w:r>
    </w:p>
    <w:p>
      <w:pPr>
        <w:spacing w:line="360" w:lineRule="auto"/>
        <w:rPr>
          <w:rFonts w:ascii="Tahoma" w:hAnsi="Tahoma" w:cs="Tahoma"/>
          <w:szCs w:val="21"/>
        </w:rPr>
      </w:pPr>
      <w:r>
        <w:rPr>
          <w:rFonts w:ascii="Tahoma" w:hAnsi="Tahoma" w:cs="Tahoma"/>
          <w:szCs w:val="21"/>
        </w:rPr>
        <w:t>2.1.1</w:t>
      </w:r>
      <w:r>
        <w:rPr>
          <w:rFonts w:hint="eastAsia" w:ascii="Tahoma" w:hAnsi="Tahoma" w:cs="Tahoma"/>
          <w:szCs w:val="21"/>
          <w:lang w:eastAsia="zh-CN"/>
        </w:rPr>
        <w:t>响应文件</w:t>
      </w:r>
      <w:r>
        <w:rPr>
          <w:rFonts w:ascii="Tahoma" w:hAnsi="Tahoma" w:cs="Tahoma"/>
          <w:szCs w:val="21"/>
        </w:rPr>
        <w:t xml:space="preserve">的初审分为资格性检查和符合性检查。 </w:t>
      </w:r>
    </w:p>
    <w:p>
      <w:pPr>
        <w:spacing w:line="360" w:lineRule="auto"/>
        <w:ind w:firstLine="240" w:firstLineChars="100"/>
        <w:rPr>
          <w:rFonts w:ascii="Tahoma" w:hAnsi="Tahoma" w:cs="Tahoma"/>
          <w:szCs w:val="21"/>
        </w:rPr>
      </w:pPr>
      <w:r>
        <w:rPr>
          <w:rFonts w:ascii="Tahoma" w:hAnsi="Tahoma" w:cs="Tahoma"/>
          <w:szCs w:val="21"/>
        </w:rPr>
        <w:t>（1）资格性检查：依据法律法规和招标文件的规定，在对</w:t>
      </w:r>
      <w:r>
        <w:rPr>
          <w:rFonts w:hint="eastAsia" w:ascii="Tahoma" w:hAnsi="Tahoma" w:cs="Tahoma"/>
          <w:szCs w:val="21"/>
          <w:lang w:eastAsia="zh-CN"/>
        </w:rPr>
        <w:t>响应文件</w:t>
      </w:r>
      <w:r>
        <w:rPr>
          <w:rFonts w:ascii="Tahoma" w:hAnsi="Tahoma" w:cs="Tahoma"/>
          <w:szCs w:val="21"/>
        </w:rPr>
        <w:t>详细评估之前，评标委员会将依据</w:t>
      </w:r>
      <w:r>
        <w:rPr>
          <w:rFonts w:hint="eastAsia" w:ascii="Tahoma" w:hAnsi="Tahoma" w:cs="Tahoma"/>
          <w:szCs w:val="21"/>
          <w:lang w:eastAsia="zh-CN"/>
        </w:rPr>
        <w:t>供应商</w:t>
      </w:r>
      <w:r>
        <w:rPr>
          <w:rFonts w:ascii="Tahoma" w:hAnsi="Tahoma" w:cs="Tahoma"/>
          <w:szCs w:val="21"/>
        </w:rPr>
        <w:t>提交的</w:t>
      </w:r>
      <w:r>
        <w:rPr>
          <w:rFonts w:hint="eastAsia" w:ascii="Tahoma" w:hAnsi="Tahoma" w:cs="Tahoma"/>
          <w:szCs w:val="21"/>
          <w:lang w:eastAsia="zh-CN"/>
        </w:rPr>
        <w:t>响应文件</w:t>
      </w:r>
      <w:r>
        <w:rPr>
          <w:rFonts w:ascii="Tahoma" w:hAnsi="Tahoma" w:cs="Tahoma"/>
          <w:szCs w:val="21"/>
        </w:rPr>
        <w:t>按</w:t>
      </w:r>
      <w:r>
        <w:rPr>
          <w:rFonts w:hint="eastAsia" w:ascii="Tahoma" w:hAnsi="Tahoma" w:cs="Tahoma"/>
          <w:szCs w:val="21"/>
          <w:lang w:eastAsia="zh-CN"/>
        </w:rPr>
        <w:t>供应商</w:t>
      </w:r>
      <w:r>
        <w:rPr>
          <w:rFonts w:ascii="Tahoma" w:hAnsi="Tahoma" w:cs="Tahoma"/>
          <w:szCs w:val="21"/>
        </w:rPr>
        <w:t>须知前附表所述的资格标准对</w:t>
      </w:r>
      <w:r>
        <w:rPr>
          <w:rFonts w:hint="eastAsia" w:ascii="Tahoma" w:hAnsi="Tahoma" w:cs="Tahoma"/>
          <w:szCs w:val="21"/>
          <w:lang w:eastAsia="zh-CN"/>
        </w:rPr>
        <w:t>供应商</w:t>
      </w:r>
      <w:r>
        <w:rPr>
          <w:rFonts w:ascii="Tahoma" w:hAnsi="Tahoma" w:cs="Tahoma"/>
          <w:szCs w:val="21"/>
        </w:rPr>
        <w:t>进行资格审查，以确定其是否具备投标资格。</w:t>
      </w:r>
      <w:r>
        <w:rPr>
          <w:rFonts w:ascii="Tahoma" w:hAnsi="Tahoma" w:cs="Tahoma"/>
          <w:b/>
          <w:szCs w:val="21"/>
        </w:rPr>
        <w:t>如果</w:t>
      </w:r>
      <w:r>
        <w:rPr>
          <w:rFonts w:hint="eastAsia" w:ascii="Tahoma" w:hAnsi="Tahoma" w:cs="Tahoma"/>
          <w:b/>
          <w:szCs w:val="21"/>
          <w:lang w:eastAsia="zh-CN"/>
        </w:rPr>
        <w:t>供应商</w:t>
      </w:r>
      <w:r>
        <w:rPr>
          <w:rFonts w:ascii="Tahoma" w:hAnsi="Tahoma" w:cs="Tahoma"/>
          <w:b/>
          <w:szCs w:val="21"/>
        </w:rPr>
        <w:t>不具备投标资格，不满足招标文件所规定的资格标准或提供资格证明文件不全的，其投标无效。</w:t>
      </w:r>
    </w:p>
    <w:p>
      <w:pPr>
        <w:spacing w:line="360" w:lineRule="auto"/>
        <w:ind w:firstLine="240" w:firstLineChars="100"/>
        <w:rPr>
          <w:rFonts w:ascii="Tahoma" w:hAnsi="Tahoma" w:cs="Tahoma"/>
          <w:szCs w:val="21"/>
        </w:rPr>
      </w:pPr>
      <w:r>
        <w:rPr>
          <w:rFonts w:ascii="Tahoma" w:hAnsi="Tahoma" w:cs="Tahoma"/>
          <w:szCs w:val="21"/>
        </w:rPr>
        <w:t>（2）符合性检查：由评标委员会依据有关法律、法规及招标文件的要求，对对符合资格的</w:t>
      </w:r>
      <w:r>
        <w:rPr>
          <w:rFonts w:hint="eastAsia" w:ascii="Tahoma" w:hAnsi="Tahoma" w:cs="Tahoma"/>
          <w:szCs w:val="21"/>
          <w:lang w:eastAsia="zh-CN"/>
        </w:rPr>
        <w:t>供应商</w:t>
      </w:r>
      <w:r>
        <w:rPr>
          <w:rFonts w:ascii="Tahoma" w:hAnsi="Tahoma" w:cs="Tahoma"/>
          <w:szCs w:val="21"/>
        </w:rPr>
        <w:t>的</w:t>
      </w:r>
      <w:r>
        <w:rPr>
          <w:rFonts w:hint="eastAsia" w:ascii="Tahoma" w:hAnsi="Tahoma" w:cs="Tahoma"/>
          <w:szCs w:val="21"/>
          <w:lang w:eastAsia="zh-CN"/>
        </w:rPr>
        <w:t>响应文件</w:t>
      </w:r>
      <w:r>
        <w:rPr>
          <w:rFonts w:ascii="Tahoma" w:hAnsi="Tahoma" w:cs="Tahoma"/>
          <w:szCs w:val="21"/>
        </w:rPr>
        <w:t>进行符合性审查，以确定是否对招标文件的实质性要求做出响应。只有通过符合性审查的</w:t>
      </w:r>
      <w:r>
        <w:rPr>
          <w:rFonts w:hint="eastAsia" w:ascii="Tahoma" w:hAnsi="Tahoma" w:cs="Tahoma"/>
          <w:szCs w:val="21"/>
          <w:lang w:eastAsia="zh-CN"/>
        </w:rPr>
        <w:t>供应商</w:t>
      </w:r>
      <w:r>
        <w:rPr>
          <w:rFonts w:ascii="Tahoma" w:hAnsi="Tahoma" w:cs="Tahoma"/>
          <w:szCs w:val="21"/>
        </w:rPr>
        <w:t>的</w:t>
      </w:r>
      <w:r>
        <w:rPr>
          <w:rFonts w:hint="eastAsia" w:ascii="Tahoma" w:hAnsi="Tahoma" w:cs="Tahoma"/>
          <w:szCs w:val="21"/>
          <w:lang w:eastAsia="zh-CN"/>
        </w:rPr>
        <w:t>响应文件</w:t>
      </w:r>
      <w:r>
        <w:rPr>
          <w:rFonts w:ascii="Tahoma" w:hAnsi="Tahoma" w:cs="Tahoma"/>
          <w:szCs w:val="21"/>
        </w:rPr>
        <w:t>才能进入下一阶段的评审！</w:t>
      </w:r>
    </w:p>
    <w:p>
      <w:pPr>
        <w:spacing w:line="360" w:lineRule="auto"/>
        <w:rPr>
          <w:rFonts w:ascii="Tahoma" w:hAnsi="Tahoma" w:cs="Tahoma"/>
          <w:b/>
          <w:bCs/>
          <w:szCs w:val="21"/>
        </w:rPr>
      </w:pPr>
      <w:r>
        <w:rPr>
          <w:rFonts w:ascii="Tahoma" w:hAnsi="Tahoma" w:cs="Tahoma"/>
          <w:b/>
          <w:bCs/>
          <w:szCs w:val="21"/>
        </w:rPr>
        <w:t>2.2 比较与评价</w:t>
      </w:r>
    </w:p>
    <w:p>
      <w:pPr>
        <w:spacing w:line="360" w:lineRule="auto"/>
        <w:rPr>
          <w:rFonts w:ascii="Tahoma" w:hAnsi="Tahoma" w:cs="Tahoma"/>
          <w:szCs w:val="21"/>
        </w:rPr>
      </w:pPr>
      <w:r>
        <w:rPr>
          <w:rFonts w:ascii="Tahoma" w:hAnsi="Tahoma" w:cs="Tahoma"/>
          <w:szCs w:val="21"/>
        </w:rPr>
        <w:t xml:space="preserve">    评标委员会对通过资格性检查和符合性审查的每个</w:t>
      </w:r>
      <w:r>
        <w:rPr>
          <w:rFonts w:hint="eastAsia" w:ascii="Tahoma" w:hAnsi="Tahoma" w:cs="Tahoma"/>
          <w:szCs w:val="21"/>
          <w:lang w:eastAsia="zh-CN"/>
        </w:rPr>
        <w:t>供应商</w:t>
      </w:r>
      <w:r>
        <w:rPr>
          <w:rFonts w:ascii="Tahoma" w:hAnsi="Tahoma" w:cs="Tahoma"/>
          <w:szCs w:val="21"/>
        </w:rPr>
        <w:t>的</w:t>
      </w:r>
      <w:r>
        <w:rPr>
          <w:rFonts w:hint="eastAsia" w:ascii="Tahoma" w:hAnsi="Tahoma" w:cs="Tahoma"/>
          <w:szCs w:val="21"/>
          <w:lang w:eastAsia="zh-CN"/>
        </w:rPr>
        <w:t>响应文件</w:t>
      </w:r>
      <w:r>
        <w:rPr>
          <w:rFonts w:ascii="Tahoma" w:hAnsi="Tahoma" w:cs="Tahoma"/>
          <w:szCs w:val="21"/>
        </w:rPr>
        <w:t>，按照招标文件中规定的评审标准</w:t>
      </w:r>
      <w:r>
        <w:rPr>
          <w:rFonts w:ascii="Tahoma" w:hAnsi="Tahoma" w:cs="Tahoma"/>
        </w:rPr>
        <w:t>审查、评价</w:t>
      </w:r>
      <w:r>
        <w:rPr>
          <w:rFonts w:hint="eastAsia" w:ascii="Tahoma" w:hAnsi="Tahoma" w:cs="Tahoma"/>
          <w:lang w:eastAsia="zh-CN"/>
        </w:rPr>
        <w:t>响应文件</w:t>
      </w:r>
      <w:r>
        <w:rPr>
          <w:rFonts w:ascii="Tahoma" w:hAnsi="Tahoma" w:cs="Tahoma"/>
        </w:rPr>
        <w:t>是否符合招标文件的商务、技术等实质性要求，并</w:t>
      </w:r>
      <w:r>
        <w:rPr>
          <w:rFonts w:ascii="Tahoma" w:hAnsi="Tahoma" w:cs="Tahoma"/>
          <w:szCs w:val="21"/>
        </w:rPr>
        <w:t>对</w:t>
      </w:r>
      <w:r>
        <w:rPr>
          <w:rFonts w:hint="eastAsia" w:ascii="Tahoma" w:hAnsi="Tahoma" w:cs="Tahoma"/>
          <w:szCs w:val="21"/>
          <w:lang w:eastAsia="zh-CN"/>
        </w:rPr>
        <w:t>响应文件</w:t>
      </w:r>
      <w:r>
        <w:rPr>
          <w:rFonts w:ascii="Tahoma" w:hAnsi="Tahoma" w:cs="Tahoma"/>
          <w:szCs w:val="21"/>
        </w:rPr>
        <w:t>的投标价格作进一步综合比较与评价。</w:t>
      </w:r>
    </w:p>
    <w:p>
      <w:pPr>
        <w:spacing w:line="360" w:lineRule="auto"/>
        <w:rPr>
          <w:rFonts w:ascii="Tahoma" w:hAnsi="Tahoma" w:cs="Tahoma"/>
          <w:szCs w:val="21"/>
        </w:rPr>
      </w:pPr>
      <w:r>
        <w:rPr>
          <w:rFonts w:ascii="Tahoma" w:hAnsi="Tahoma" w:cs="Tahoma"/>
          <w:b/>
          <w:bCs/>
          <w:szCs w:val="21"/>
        </w:rPr>
        <w:t>2.3评审因素</w:t>
      </w:r>
    </w:p>
    <w:p>
      <w:pPr>
        <w:spacing w:line="360" w:lineRule="auto"/>
        <w:rPr>
          <w:rFonts w:ascii="Tahoma" w:hAnsi="Tahoma" w:cs="Tahoma"/>
          <w:szCs w:val="21"/>
        </w:rPr>
      </w:pPr>
      <w:r>
        <w:rPr>
          <w:rFonts w:ascii="Tahoma" w:hAnsi="Tahoma" w:cs="Tahoma"/>
          <w:szCs w:val="21"/>
        </w:rPr>
        <w:t>2.3.1评标委员会对全部满足招标文件实质性要求前提下，按照招标文件中规定的各项因素进行综合评审后，并以记名方式进行评分。在评标中，不得改变招标文件中规定的评标标准、方法和中标条件。</w:t>
      </w:r>
    </w:p>
    <w:p>
      <w:pPr>
        <w:spacing w:line="360" w:lineRule="auto"/>
        <w:rPr>
          <w:rFonts w:ascii="Tahoma" w:hAnsi="Tahoma" w:cs="Tahoma"/>
          <w:szCs w:val="21"/>
        </w:rPr>
      </w:pPr>
      <w:r>
        <w:rPr>
          <w:rFonts w:ascii="Tahoma" w:hAnsi="Tahoma" w:cs="Tahoma"/>
          <w:szCs w:val="21"/>
        </w:rPr>
        <w:t>2.3.2在评标中，不得改变招标文件中规定的评标标准、方法和中标条件。不得将</w:t>
      </w:r>
      <w:r>
        <w:rPr>
          <w:rFonts w:hint="eastAsia" w:ascii="Tahoma" w:hAnsi="Tahoma" w:cs="Tahoma"/>
          <w:szCs w:val="21"/>
          <w:lang w:eastAsia="zh-CN"/>
        </w:rPr>
        <w:t>供应商</w:t>
      </w:r>
      <w:r>
        <w:rPr>
          <w:rFonts w:ascii="Tahoma" w:hAnsi="Tahoma" w:cs="Tahoma"/>
          <w:szCs w:val="21"/>
        </w:rPr>
        <w:t>的注册资本、资产总额、营业收入、从业人员、利润、纳税额等规模条件作为资格要求或者评审因素，也不得通过将除进口货物以外的生产厂家授权、承诺、证明、背书等作为资格要求，对</w:t>
      </w:r>
      <w:r>
        <w:rPr>
          <w:rFonts w:hint="eastAsia" w:ascii="Tahoma" w:hAnsi="Tahoma" w:cs="Tahoma"/>
          <w:szCs w:val="21"/>
          <w:lang w:eastAsia="zh-CN"/>
        </w:rPr>
        <w:t>供应商</w:t>
      </w:r>
      <w:r>
        <w:rPr>
          <w:rFonts w:ascii="Tahoma" w:hAnsi="Tahoma" w:cs="Tahoma"/>
          <w:szCs w:val="21"/>
        </w:rPr>
        <w:t>实行差别待遇或者歧视待遇。</w:t>
      </w:r>
    </w:p>
    <w:p>
      <w:pPr>
        <w:shd w:val="clear" w:color="auto" w:fill="FFFFFF"/>
        <w:snapToGrid w:val="0"/>
        <w:spacing w:line="360" w:lineRule="auto"/>
        <w:jc w:val="center"/>
        <w:outlineLvl w:val="3"/>
        <w:rPr>
          <w:rFonts w:ascii="Tahoma" w:hAnsi="Tahoma" w:cs="Tahoma"/>
          <w:b/>
          <w:bCs/>
        </w:rPr>
      </w:pPr>
      <w:r>
        <w:rPr>
          <w:rFonts w:ascii="Tahoma" w:hAnsi="Tahoma" w:cs="Tahoma"/>
          <w:b/>
          <w:bCs/>
        </w:rPr>
        <w:t>3、</w:t>
      </w:r>
      <w:r>
        <w:rPr>
          <w:rFonts w:ascii="Tahoma" w:hAnsi="Tahoma" w:eastAsia="黑体" w:cs="Tahoma"/>
          <w:b/>
          <w:bCs/>
        </w:rPr>
        <w:t>评标程序</w:t>
      </w:r>
    </w:p>
    <w:p>
      <w:pPr>
        <w:spacing w:line="360" w:lineRule="auto"/>
        <w:rPr>
          <w:rFonts w:ascii="Tahoma" w:hAnsi="Tahoma" w:cs="Tahoma"/>
          <w:b/>
          <w:szCs w:val="21"/>
        </w:rPr>
      </w:pPr>
      <w:r>
        <w:rPr>
          <w:rFonts w:ascii="Tahoma" w:hAnsi="Tahoma" w:cs="Tahoma"/>
          <w:b/>
          <w:szCs w:val="21"/>
        </w:rPr>
        <w:t>3.1 初步评审</w:t>
      </w:r>
    </w:p>
    <w:p>
      <w:pPr>
        <w:spacing w:line="360" w:lineRule="auto"/>
        <w:rPr>
          <w:rFonts w:ascii="Tahoma" w:hAnsi="Tahoma" w:cs="Tahoma"/>
          <w:szCs w:val="21"/>
        </w:rPr>
      </w:pPr>
      <w:r>
        <w:rPr>
          <w:rFonts w:ascii="Tahoma" w:hAnsi="Tahoma" w:cs="Tahoma"/>
          <w:szCs w:val="21"/>
        </w:rPr>
        <w:t>3.1.1 评标委员会依据本章下列3.1.2、3.1.3所述规定的标准对</w:t>
      </w:r>
      <w:r>
        <w:rPr>
          <w:rFonts w:hint="eastAsia" w:ascii="Tahoma" w:hAnsi="Tahoma" w:cs="Tahoma"/>
          <w:szCs w:val="21"/>
          <w:lang w:eastAsia="zh-CN"/>
        </w:rPr>
        <w:t>响应文件</w:t>
      </w:r>
      <w:r>
        <w:rPr>
          <w:rFonts w:ascii="Tahoma" w:hAnsi="Tahoma" w:cs="Tahoma"/>
          <w:szCs w:val="21"/>
        </w:rPr>
        <w:t>进行初步评审。有一项不符合评审标准的，</w:t>
      </w:r>
      <w:r>
        <w:rPr>
          <w:rFonts w:ascii="Tahoma" w:hAnsi="Tahoma" w:cs="Tahoma"/>
          <w:b/>
          <w:szCs w:val="21"/>
        </w:rPr>
        <w:t>其投标无效。</w:t>
      </w:r>
    </w:p>
    <w:p>
      <w:pPr>
        <w:spacing w:line="360" w:lineRule="auto"/>
        <w:rPr>
          <w:rFonts w:ascii="Tahoma" w:hAnsi="Tahoma" w:cs="Tahoma"/>
        </w:rPr>
      </w:pPr>
      <w:r>
        <w:rPr>
          <w:rFonts w:ascii="Tahoma" w:hAnsi="Tahoma" w:cs="Tahoma"/>
        </w:rPr>
        <w:t xml:space="preserve">3.1.2 </w:t>
      </w:r>
      <w:r>
        <w:rPr>
          <w:rFonts w:hint="eastAsia" w:ascii="Tahoma" w:hAnsi="Tahoma" w:cs="Tahoma"/>
          <w:lang w:eastAsia="zh-CN"/>
        </w:rPr>
        <w:t>供应商</w:t>
      </w:r>
      <w:r>
        <w:rPr>
          <w:rFonts w:ascii="Tahoma" w:hAnsi="Tahoma" w:cs="Tahoma"/>
        </w:rPr>
        <w:t>有以下情形之一的，</w:t>
      </w:r>
      <w:r>
        <w:rPr>
          <w:rFonts w:ascii="Tahoma" w:hAnsi="Tahoma" w:cs="Tahoma"/>
          <w:b/>
        </w:rPr>
        <w:t>其投标作无效处理：</w:t>
      </w:r>
    </w:p>
    <w:p>
      <w:pPr>
        <w:spacing w:line="360" w:lineRule="auto"/>
        <w:ind w:firstLine="240" w:firstLineChars="100"/>
        <w:rPr>
          <w:rFonts w:ascii="Tahoma" w:hAnsi="Tahoma" w:cs="Tahoma"/>
        </w:rPr>
      </w:pPr>
      <w:r>
        <w:rPr>
          <w:rFonts w:ascii="Tahoma" w:hAnsi="Tahoma" w:cs="Tahoma"/>
        </w:rPr>
        <w:t>（1）第二章</w:t>
      </w:r>
      <w:r>
        <w:rPr>
          <w:rFonts w:hint="eastAsia"/>
        </w:rPr>
        <w:t>“</w:t>
      </w:r>
      <w:r>
        <w:rPr>
          <w:rFonts w:hint="eastAsia"/>
          <w:lang w:eastAsia="zh-CN"/>
        </w:rPr>
        <w:t>供应商</w:t>
      </w:r>
      <w:r>
        <w:rPr>
          <w:rFonts w:hint="eastAsia"/>
        </w:rPr>
        <w:t>须知”</w:t>
      </w:r>
      <w:r>
        <w:rPr>
          <w:rFonts w:ascii="Tahoma" w:hAnsi="Tahoma" w:cs="Tahoma"/>
        </w:rPr>
        <w:t>第1.3.4项规定的任何一种情形的：</w:t>
      </w:r>
    </w:p>
    <w:p>
      <w:pPr>
        <w:spacing w:line="360" w:lineRule="auto"/>
        <w:ind w:firstLine="240" w:firstLineChars="100"/>
        <w:rPr>
          <w:rFonts w:ascii="Tahoma" w:hAnsi="Tahoma" w:cs="Tahoma"/>
        </w:rPr>
      </w:pPr>
      <w:r>
        <w:rPr>
          <w:rFonts w:ascii="Tahoma" w:hAnsi="Tahoma" w:cs="Tahoma"/>
        </w:rPr>
        <w:t>（2）串通投标或弄虚作假或有其他违法行为的；</w:t>
      </w:r>
    </w:p>
    <w:p>
      <w:pPr>
        <w:spacing w:line="360" w:lineRule="auto"/>
        <w:ind w:firstLine="240" w:firstLineChars="100"/>
        <w:rPr>
          <w:rFonts w:ascii="Tahoma" w:hAnsi="Tahoma" w:cs="Tahoma"/>
        </w:rPr>
      </w:pPr>
      <w:r>
        <w:rPr>
          <w:rFonts w:ascii="Tahoma" w:hAnsi="Tahoma" w:cs="Tahoma"/>
        </w:rPr>
        <w:t>（3）不按评标委员会要求澄清、说明或补正的。</w:t>
      </w:r>
    </w:p>
    <w:p>
      <w:pPr>
        <w:spacing w:line="360" w:lineRule="auto"/>
        <w:rPr>
          <w:rFonts w:ascii="Tahoma" w:hAnsi="Tahoma" w:cs="Tahoma"/>
          <w:b/>
          <w:bCs/>
        </w:rPr>
      </w:pPr>
      <w:r>
        <w:rPr>
          <w:rFonts w:ascii="Tahoma" w:hAnsi="Tahoma" w:cs="Tahoma"/>
        </w:rPr>
        <w:t>3.1.3评标委员会应根据招标文件的规定，对</w:t>
      </w:r>
      <w:r>
        <w:rPr>
          <w:rFonts w:hint="eastAsia" w:ascii="Tahoma" w:hAnsi="Tahoma" w:cs="Tahoma"/>
          <w:lang w:eastAsia="zh-CN"/>
        </w:rPr>
        <w:t>响应文件</w:t>
      </w:r>
      <w:r>
        <w:rPr>
          <w:rFonts w:ascii="Tahoma" w:hAnsi="Tahoma" w:cs="Tahoma"/>
        </w:rPr>
        <w:t>进行系统地评审和比较，</w:t>
      </w:r>
      <w:r>
        <w:rPr>
          <w:rFonts w:hint="eastAsia" w:ascii="Tahoma" w:hAnsi="Tahoma" w:cs="Tahoma"/>
          <w:b/>
          <w:lang w:eastAsia="zh-CN"/>
        </w:rPr>
        <w:t>响应文件</w:t>
      </w:r>
      <w:r>
        <w:rPr>
          <w:rFonts w:ascii="Tahoma" w:hAnsi="Tahoma" w:cs="Tahoma"/>
          <w:b/>
        </w:rPr>
        <w:t>属下列情况之</w:t>
      </w:r>
      <w:r>
        <w:rPr>
          <w:rFonts w:ascii="Tahoma" w:hAnsi="Tahoma" w:cs="Tahoma"/>
          <w:b/>
          <w:bCs/>
        </w:rPr>
        <w:t>一的，应当在资格性、符合性审查时按照无效投标处理：</w:t>
      </w:r>
    </w:p>
    <w:p>
      <w:pPr>
        <w:spacing w:line="360" w:lineRule="auto"/>
        <w:ind w:firstLine="480" w:firstLineChars="200"/>
        <w:rPr>
          <w:rFonts w:ascii="Tahoma" w:hAnsi="Tahoma" w:cs="Tahoma"/>
        </w:rPr>
      </w:pPr>
      <w:r>
        <w:rPr>
          <w:rFonts w:ascii="Tahoma" w:hAnsi="Tahoma" w:cs="Tahoma"/>
        </w:rPr>
        <w:t>（1）不具备招标文件中规定的资格要求的，或</w:t>
      </w:r>
      <w:r>
        <w:rPr>
          <w:rFonts w:hint="eastAsia" w:ascii="Tahoma" w:hAnsi="Tahoma" w:cs="Tahoma"/>
          <w:lang w:eastAsia="zh-CN"/>
        </w:rPr>
        <w:t>响应文件</w:t>
      </w:r>
      <w:r>
        <w:rPr>
          <w:rFonts w:ascii="Tahoma" w:hAnsi="Tahoma" w:cs="Tahoma"/>
        </w:rPr>
        <w:t>中提供的资格证明文件与原件不一致的；</w:t>
      </w:r>
    </w:p>
    <w:p>
      <w:pPr>
        <w:spacing w:line="360" w:lineRule="auto"/>
        <w:ind w:firstLine="480" w:firstLineChars="200"/>
        <w:rPr>
          <w:rFonts w:ascii="Tahoma" w:hAnsi="Tahoma" w:cs="Tahoma"/>
        </w:rPr>
      </w:pPr>
      <w:r>
        <w:rPr>
          <w:rFonts w:ascii="Tahoma" w:hAnsi="Tahoma" w:cs="Tahoma"/>
        </w:rPr>
        <w:t>（2）</w:t>
      </w:r>
      <w:r>
        <w:rPr>
          <w:rFonts w:hint="eastAsia" w:ascii="Tahoma" w:hAnsi="Tahoma" w:cs="Tahoma"/>
          <w:lang w:eastAsia="zh-CN"/>
        </w:rPr>
        <w:t>响应文件</w:t>
      </w:r>
      <w:r>
        <w:rPr>
          <w:rFonts w:ascii="Tahoma" w:hAnsi="Tahoma" w:cs="Tahoma"/>
        </w:rPr>
        <w:t>未按招标文件规定进行装订、密封、标记的；</w:t>
      </w:r>
    </w:p>
    <w:p>
      <w:pPr>
        <w:spacing w:line="360" w:lineRule="auto"/>
        <w:ind w:firstLine="480" w:firstLineChars="200"/>
        <w:rPr>
          <w:rFonts w:ascii="Tahoma" w:hAnsi="Tahoma" w:cs="Tahoma"/>
        </w:rPr>
      </w:pPr>
      <w:r>
        <w:rPr>
          <w:rFonts w:ascii="Tahoma" w:hAnsi="Tahoma" w:cs="Tahoma"/>
        </w:rPr>
        <w:t>（3）</w:t>
      </w:r>
      <w:r>
        <w:rPr>
          <w:rFonts w:hint="eastAsia" w:ascii="Tahoma" w:hAnsi="Tahoma" w:cs="Tahoma"/>
          <w:lang w:eastAsia="zh-CN"/>
        </w:rPr>
        <w:t>响应文件</w:t>
      </w:r>
      <w:r>
        <w:rPr>
          <w:rFonts w:ascii="Tahoma" w:hAnsi="Tahoma" w:cs="Tahoma"/>
        </w:rPr>
        <w:t>未按招标文件要求签署、盖章的；</w:t>
      </w:r>
    </w:p>
    <w:p>
      <w:pPr>
        <w:spacing w:line="360" w:lineRule="auto"/>
        <w:ind w:firstLine="480" w:firstLineChars="200"/>
        <w:rPr>
          <w:rFonts w:ascii="Tahoma" w:hAnsi="Tahoma" w:cs="Tahoma"/>
        </w:rPr>
      </w:pPr>
      <w:r>
        <w:rPr>
          <w:rFonts w:ascii="Tahoma" w:hAnsi="Tahoma" w:cs="Tahoma"/>
        </w:rPr>
        <w:t>（4）未按照招标文件的规定提交投标保证金的；</w:t>
      </w:r>
    </w:p>
    <w:p>
      <w:pPr>
        <w:spacing w:line="360" w:lineRule="auto"/>
        <w:ind w:firstLine="480" w:firstLineChars="200"/>
        <w:rPr>
          <w:rFonts w:ascii="Tahoma" w:hAnsi="Tahoma" w:cs="Tahoma"/>
        </w:rPr>
      </w:pPr>
      <w:r>
        <w:rPr>
          <w:rFonts w:ascii="Tahoma" w:hAnsi="Tahoma" w:cs="Tahoma"/>
        </w:rPr>
        <w:t>（5）</w:t>
      </w:r>
      <w:r>
        <w:rPr>
          <w:rFonts w:hint="eastAsia" w:ascii="Tahoma" w:hAnsi="Tahoma" w:cs="Tahoma"/>
          <w:lang w:eastAsia="zh-CN"/>
        </w:rPr>
        <w:t>响应文件</w:t>
      </w:r>
      <w:r>
        <w:rPr>
          <w:rFonts w:ascii="Tahoma" w:hAnsi="Tahoma" w:cs="Tahoma"/>
        </w:rPr>
        <w:t>含有采购人不能接受的附加条件的；</w:t>
      </w:r>
    </w:p>
    <w:p>
      <w:pPr>
        <w:spacing w:line="360" w:lineRule="auto"/>
        <w:ind w:firstLine="480" w:firstLineChars="200"/>
        <w:rPr>
          <w:rFonts w:ascii="Tahoma" w:hAnsi="Tahoma" w:cs="Tahoma"/>
        </w:rPr>
      </w:pPr>
      <w:r>
        <w:rPr>
          <w:rFonts w:ascii="Tahoma" w:hAnsi="Tahoma" w:cs="Tahoma"/>
        </w:rPr>
        <w:t>（6）投标有效期不满足招标文件要求的；</w:t>
      </w:r>
    </w:p>
    <w:p>
      <w:pPr>
        <w:spacing w:line="360" w:lineRule="auto"/>
        <w:ind w:firstLine="480" w:firstLineChars="200"/>
        <w:rPr>
          <w:rFonts w:ascii="Tahoma" w:hAnsi="Tahoma" w:cs="Tahoma"/>
        </w:rPr>
      </w:pPr>
      <w:r>
        <w:rPr>
          <w:rFonts w:ascii="Tahoma" w:hAnsi="Tahoma" w:cs="Tahoma"/>
        </w:rPr>
        <w:t>（7）报价超过招标文件中规定的预算金额或者最高限价的；或提供的报价是可供选择的（不是唯一报价）；</w:t>
      </w:r>
    </w:p>
    <w:p>
      <w:pPr>
        <w:spacing w:line="360" w:lineRule="auto"/>
        <w:ind w:firstLine="480" w:firstLineChars="200"/>
        <w:rPr>
          <w:rFonts w:ascii="Tahoma" w:hAnsi="Tahoma" w:cs="Tahoma"/>
        </w:rPr>
      </w:pPr>
      <w:r>
        <w:rPr>
          <w:rFonts w:ascii="Tahoma" w:hAnsi="Tahoma" w:cs="Tahoma"/>
        </w:rPr>
        <w:t>（8）供应商未进行分项报价或分项报价的构成未能准确全部反映产品价格组成或有所隐含，有可能致使在合同履行过程中引起纠纷（非正常的追加或索赔等）或不能诚信履约的；</w:t>
      </w:r>
    </w:p>
    <w:p>
      <w:pPr>
        <w:spacing w:line="360" w:lineRule="auto"/>
        <w:ind w:firstLine="480" w:firstLineChars="200"/>
        <w:rPr>
          <w:rFonts w:ascii="Tahoma" w:hAnsi="Tahoma" w:cs="Tahoma"/>
        </w:rPr>
      </w:pPr>
      <w:r>
        <w:rPr>
          <w:rFonts w:ascii="Tahoma" w:hAnsi="Tahoma" w:cs="Tahoma"/>
        </w:rPr>
        <w:t>（9）</w:t>
      </w:r>
      <w:r>
        <w:rPr>
          <w:rFonts w:hint="eastAsia" w:ascii="Tahoma" w:hAnsi="Tahoma" w:cs="Tahoma"/>
          <w:lang w:eastAsia="zh-CN"/>
        </w:rPr>
        <w:t>响应文件</w:t>
      </w:r>
      <w:r>
        <w:rPr>
          <w:rFonts w:ascii="Tahoma" w:hAnsi="Tahoma" w:cs="Tahoma"/>
        </w:rPr>
        <w:t>的内容与采购内容（质量要求、交货期、付款方式等）及要求有重大偏离或保留的；</w:t>
      </w:r>
    </w:p>
    <w:p>
      <w:pPr>
        <w:spacing w:line="360" w:lineRule="auto"/>
        <w:ind w:firstLine="480" w:firstLineChars="200"/>
        <w:rPr>
          <w:rFonts w:ascii="Tahoma" w:hAnsi="Tahoma" w:cs="Tahoma"/>
        </w:rPr>
      </w:pPr>
      <w:r>
        <w:rPr>
          <w:rFonts w:ascii="Tahoma" w:hAnsi="Tahoma" w:cs="Tahoma"/>
        </w:rPr>
        <w:t>（10）存在财政部令第87号文第三十七条规定串通投标的情形之一的；</w:t>
      </w:r>
    </w:p>
    <w:p>
      <w:pPr>
        <w:spacing w:line="360" w:lineRule="auto"/>
        <w:ind w:firstLine="480" w:firstLineChars="200"/>
        <w:rPr>
          <w:rFonts w:ascii="Tahoma" w:hAnsi="Tahoma" w:cs="Tahoma"/>
        </w:rPr>
      </w:pPr>
      <w:r>
        <w:rPr>
          <w:rFonts w:ascii="Tahoma" w:hAnsi="Tahoma" w:cs="Tahoma"/>
        </w:rPr>
        <w:t>（11）</w:t>
      </w:r>
      <w:r>
        <w:rPr>
          <w:rFonts w:hint="eastAsia" w:ascii="Tahoma" w:hAnsi="Tahoma" w:cs="Tahoma"/>
          <w:lang w:eastAsia="zh-CN"/>
        </w:rPr>
        <w:t>响应文件</w:t>
      </w:r>
      <w:r>
        <w:rPr>
          <w:rFonts w:ascii="Tahoma" w:hAnsi="Tahoma" w:cs="Tahoma"/>
        </w:rPr>
        <w:t>的内容组成不符合招标文件要求的；</w:t>
      </w:r>
    </w:p>
    <w:p>
      <w:pPr>
        <w:spacing w:line="360" w:lineRule="auto"/>
        <w:ind w:firstLine="480" w:firstLineChars="200"/>
        <w:rPr>
          <w:rFonts w:ascii="Tahoma" w:hAnsi="Tahoma" w:cs="Tahoma"/>
        </w:rPr>
      </w:pPr>
      <w:r>
        <w:rPr>
          <w:rFonts w:ascii="Tahoma" w:hAnsi="Tahoma" w:cs="Tahoma"/>
        </w:rPr>
        <w:t>（12）</w:t>
      </w:r>
      <w:r>
        <w:rPr>
          <w:rFonts w:hint="eastAsia" w:ascii="Tahoma" w:hAnsi="Tahoma" w:cs="Tahoma"/>
          <w:lang w:eastAsia="zh-CN"/>
        </w:rPr>
        <w:t>响应文件</w:t>
      </w:r>
      <w:r>
        <w:rPr>
          <w:rFonts w:ascii="Tahoma" w:hAnsi="Tahoma" w:cs="Tahoma"/>
        </w:rPr>
        <w:t>中提供虚假或失实资料的；</w:t>
      </w:r>
    </w:p>
    <w:p>
      <w:pPr>
        <w:spacing w:line="360" w:lineRule="auto"/>
        <w:ind w:firstLine="480" w:firstLineChars="200"/>
        <w:rPr>
          <w:rFonts w:ascii="Tahoma" w:hAnsi="Tahoma" w:cs="Tahoma"/>
        </w:rPr>
      </w:pPr>
      <w:r>
        <w:rPr>
          <w:rFonts w:ascii="Tahoma" w:hAnsi="Tahoma" w:cs="Tahoma"/>
        </w:rPr>
        <w:t>（13）法律、法规和招标文件规定的其他无效情形。</w:t>
      </w:r>
    </w:p>
    <w:p>
      <w:pPr>
        <w:spacing w:line="360" w:lineRule="auto"/>
        <w:rPr>
          <w:rFonts w:ascii="Tahoma" w:hAnsi="Tahoma" w:cs="Tahoma"/>
        </w:rPr>
      </w:pPr>
      <w:r>
        <w:rPr>
          <w:rFonts w:ascii="Tahoma" w:hAnsi="Tahoma" w:cs="Tahoma"/>
        </w:rPr>
        <w:t>3.1.4评标委员会判断</w:t>
      </w:r>
      <w:r>
        <w:rPr>
          <w:rFonts w:hint="eastAsia" w:ascii="Tahoma" w:hAnsi="Tahoma" w:cs="Tahoma"/>
          <w:lang w:eastAsia="zh-CN"/>
        </w:rPr>
        <w:t>响应文件</w:t>
      </w:r>
      <w:r>
        <w:rPr>
          <w:rFonts w:ascii="Tahoma" w:hAnsi="Tahoma" w:cs="Tahoma"/>
        </w:rPr>
        <w:t>的响应性仅基于</w:t>
      </w:r>
      <w:r>
        <w:rPr>
          <w:rFonts w:hint="eastAsia" w:ascii="Tahoma" w:hAnsi="Tahoma" w:cs="Tahoma"/>
          <w:lang w:eastAsia="zh-CN"/>
        </w:rPr>
        <w:t>响应文件</w:t>
      </w:r>
      <w:r>
        <w:rPr>
          <w:rFonts w:ascii="Tahoma" w:hAnsi="Tahoma" w:cs="Tahoma"/>
        </w:rPr>
        <w:t>本身而不靠外部证据。</w:t>
      </w:r>
    </w:p>
    <w:p>
      <w:pPr>
        <w:spacing w:line="360" w:lineRule="auto"/>
        <w:rPr>
          <w:rFonts w:ascii="Tahoma" w:hAnsi="Tahoma" w:cs="Tahoma"/>
        </w:rPr>
      </w:pPr>
      <w:r>
        <w:rPr>
          <w:rFonts w:ascii="Tahoma" w:hAnsi="Tahoma" w:cs="Tahoma"/>
        </w:rPr>
        <w:t>3.1.5评标委员会将拒绝被确定为非实质性响应的投标，</w:t>
      </w:r>
      <w:r>
        <w:rPr>
          <w:rFonts w:hint="eastAsia" w:ascii="Tahoma" w:hAnsi="Tahoma" w:cs="Tahoma"/>
          <w:lang w:eastAsia="zh-CN"/>
        </w:rPr>
        <w:t>供应商</w:t>
      </w:r>
      <w:r>
        <w:rPr>
          <w:rFonts w:ascii="Tahoma" w:hAnsi="Tahoma" w:cs="Tahoma"/>
        </w:rPr>
        <w:t>不能通过修正或撤销不符之处而使其投标成为实质性响应的投标。</w:t>
      </w:r>
    </w:p>
    <w:tbl>
      <w:tblPr>
        <w:tblStyle w:val="32"/>
        <w:tblW w:w="910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78"/>
        <w:gridCol w:w="822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9100" w:type="dxa"/>
            <w:gridSpan w:val="2"/>
          </w:tcPr>
          <w:p>
            <w:pPr>
              <w:spacing w:line="440" w:lineRule="exact"/>
              <w:jc w:val="center"/>
              <w:rPr>
                <w:bCs/>
              </w:rPr>
            </w:pPr>
            <w:r>
              <w:rPr>
                <w:rFonts w:hint="eastAsia"/>
              </w:rPr>
              <w:t>符合性审查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 w:type="dxa"/>
          </w:tcPr>
          <w:p>
            <w:pPr>
              <w:spacing w:line="440" w:lineRule="exact"/>
              <w:jc w:val="center"/>
              <w:rPr>
                <w:bCs/>
              </w:rPr>
            </w:pPr>
            <w:r>
              <w:rPr>
                <w:rFonts w:hint="eastAsia"/>
                <w:bCs/>
              </w:rPr>
              <w:t>序号</w:t>
            </w:r>
          </w:p>
        </w:tc>
        <w:tc>
          <w:tcPr>
            <w:tcW w:w="8222" w:type="dxa"/>
            <w:vAlign w:val="center"/>
          </w:tcPr>
          <w:p>
            <w:pPr>
              <w:spacing w:line="440" w:lineRule="exact"/>
              <w:jc w:val="center"/>
              <w:rPr>
                <w:bCs/>
              </w:rPr>
            </w:pPr>
            <w:r>
              <w:rPr>
                <w:rFonts w:hint="eastAsia"/>
                <w:bCs/>
              </w:rPr>
              <w:t>标准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 w:type="dxa"/>
            <w:vAlign w:val="center"/>
          </w:tcPr>
          <w:p>
            <w:pPr>
              <w:spacing w:line="440" w:lineRule="exact"/>
              <w:jc w:val="center"/>
              <w:rPr>
                <w:bCs/>
              </w:rPr>
            </w:pPr>
            <w:r>
              <w:rPr>
                <w:rFonts w:hint="eastAsia"/>
                <w:bCs/>
              </w:rPr>
              <w:t>1</w:t>
            </w:r>
          </w:p>
        </w:tc>
        <w:tc>
          <w:tcPr>
            <w:tcW w:w="8222" w:type="dxa"/>
            <w:vAlign w:val="center"/>
          </w:tcPr>
          <w:p>
            <w:pPr>
              <w:pStyle w:val="77"/>
              <w:rPr>
                <w:rFonts w:hAnsi="宋体"/>
              </w:rPr>
            </w:pPr>
            <w:r>
              <w:rPr>
                <w:rFonts w:hint="eastAsia" w:hAnsi="宋体"/>
              </w:rPr>
              <w:t>满足《中华人民共和国政府采购法》第二十二条规定：</w:t>
            </w:r>
          </w:p>
          <w:p>
            <w:pPr>
              <w:pStyle w:val="77"/>
              <w:rPr>
                <w:rFonts w:hAnsi="宋体"/>
              </w:rPr>
            </w:pPr>
            <w:r>
              <w:rPr>
                <w:rFonts w:hint="eastAsia" w:hAnsi="宋体"/>
              </w:rPr>
              <w:t>（一）具有独立承担民事责任的能力；提供营业执照或其他证明材料</w:t>
            </w:r>
          </w:p>
          <w:p>
            <w:pPr>
              <w:pStyle w:val="77"/>
              <w:rPr>
                <w:rFonts w:hAnsi="宋体"/>
              </w:rPr>
            </w:pPr>
            <w:r>
              <w:rPr>
                <w:rFonts w:hint="eastAsia" w:hAnsi="宋体"/>
              </w:rPr>
              <w:t>（二）具有良好的商业信誉和健全的财务会计制度；提供承诺书</w:t>
            </w:r>
          </w:p>
          <w:p>
            <w:pPr>
              <w:pStyle w:val="77"/>
              <w:rPr>
                <w:rFonts w:hAnsi="宋体"/>
              </w:rPr>
            </w:pPr>
            <w:r>
              <w:rPr>
                <w:rFonts w:hint="eastAsia" w:hAnsi="宋体"/>
              </w:rPr>
              <w:t>（三）具有履行合同所必需的设备和专业技术能力；提供承诺书</w:t>
            </w:r>
          </w:p>
          <w:p>
            <w:pPr>
              <w:pStyle w:val="77"/>
              <w:rPr>
                <w:rFonts w:hAnsi="宋体"/>
              </w:rPr>
            </w:pPr>
            <w:r>
              <w:rPr>
                <w:rFonts w:hint="eastAsia" w:hAnsi="宋体"/>
              </w:rPr>
              <w:t>（四）有依法缴纳税收和社会保障资金的良好记录；提供近202</w:t>
            </w:r>
            <w:r>
              <w:rPr>
                <w:rFonts w:hAnsi="宋体"/>
              </w:rPr>
              <w:t>1</w:t>
            </w:r>
            <w:r>
              <w:rPr>
                <w:rFonts w:hint="eastAsia" w:hAnsi="宋体"/>
              </w:rPr>
              <w:t>年6月1日以来任意一个月的缴纳税收和社会保障资金</w:t>
            </w:r>
          </w:p>
          <w:p>
            <w:pPr>
              <w:pStyle w:val="77"/>
              <w:rPr>
                <w:rFonts w:hAnsi="宋体"/>
              </w:rPr>
            </w:pPr>
            <w:r>
              <w:rPr>
                <w:rFonts w:hint="eastAsia" w:hAnsi="宋体"/>
              </w:rPr>
              <w:t>（五）参加政府采购活动前三年内，在经营活动中没有重大违法记录；提供承诺书</w:t>
            </w:r>
          </w:p>
          <w:p>
            <w:pPr>
              <w:pStyle w:val="77"/>
              <w:rPr>
                <w:bCs/>
              </w:rPr>
            </w:pPr>
            <w:r>
              <w:rPr>
                <w:rFonts w:hint="eastAsia" w:hAnsi="宋体"/>
              </w:rPr>
              <w:t>（六）法律、行政法规规定的其他条件；提供承诺书。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Align w:val="center"/>
          </w:tcPr>
          <w:p>
            <w:pPr>
              <w:spacing w:line="440" w:lineRule="exact"/>
              <w:jc w:val="center"/>
            </w:pPr>
            <w:r>
              <w:rPr>
                <w:bCs/>
              </w:rPr>
              <w:t>2</w:t>
            </w:r>
          </w:p>
        </w:tc>
        <w:tc>
          <w:tcPr>
            <w:tcW w:w="8222" w:type="dxa"/>
            <w:vAlign w:val="center"/>
          </w:tcPr>
          <w:p>
            <w:pPr>
              <w:spacing w:line="440" w:lineRule="exact"/>
            </w:pPr>
            <w:r>
              <w:rPr>
                <w:rFonts w:hint="eastAsia"/>
                <w:bCs/>
                <w:lang w:eastAsia="zh-CN"/>
              </w:rPr>
              <w:t>响应文件</w:t>
            </w:r>
            <w:r>
              <w:rPr>
                <w:rFonts w:hint="eastAsia"/>
                <w:bCs/>
              </w:rPr>
              <w:t>中所报交货期、交货地点及服务期限必须要满足招标文件规定。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78" w:type="dxa"/>
            <w:vAlign w:val="center"/>
          </w:tcPr>
          <w:p>
            <w:pPr>
              <w:spacing w:line="440" w:lineRule="exact"/>
              <w:jc w:val="center"/>
              <w:rPr>
                <w:bCs/>
              </w:rPr>
            </w:pPr>
            <w:r>
              <w:rPr>
                <w:rFonts w:hint="eastAsia"/>
                <w:bCs/>
              </w:rPr>
              <w:t>3</w:t>
            </w:r>
          </w:p>
        </w:tc>
        <w:tc>
          <w:tcPr>
            <w:tcW w:w="8222" w:type="dxa"/>
            <w:vAlign w:val="center"/>
          </w:tcPr>
          <w:p>
            <w:pPr>
              <w:spacing w:line="440" w:lineRule="exact"/>
              <w:rPr>
                <w:bCs/>
              </w:rPr>
            </w:pPr>
            <w:r>
              <w:rPr>
                <w:rFonts w:hint="eastAsia"/>
                <w:bCs/>
                <w:lang w:eastAsia="zh-CN"/>
              </w:rPr>
              <w:t>响应文件</w:t>
            </w:r>
            <w:r>
              <w:rPr>
                <w:rFonts w:hint="eastAsia"/>
                <w:bCs/>
              </w:rPr>
              <w:t>必须按招标文件规定格式完整提供，并要盖供应商章、法定代表人或授权委托人签字或盖章。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878" w:type="dxa"/>
            <w:vAlign w:val="center"/>
          </w:tcPr>
          <w:p>
            <w:pPr>
              <w:spacing w:line="440" w:lineRule="exact"/>
              <w:jc w:val="center"/>
              <w:rPr>
                <w:bCs/>
              </w:rPr>
            </w:pPr>
            <w:r>
              <w:rPr>
                <w:bCs/>
              </w:rPr>
              <w:t>4</w:t>
            </w:r>
          </w:p>
        </w:tc>
        <w:tc>
          <w:tcPr>
            <w:tcW w:w="8222" w:type="dxa"/>
            <w:vAlign w:val="center"/>
          </w:tcPr>
          <w:p>
            <w:pPr>
              <w:spacing w:line="440" w:lineRule="exact"/>
              <w:rPr>
                <w:bCs/>
              </w:rPr>
            </w:pPr>
            <w:r>
              <w:rPr>
                <w:rFonts w:hint="eastAsia"/>
                <w:bCs/>
              </w:rPr>
              <w:t>法定代表人身份证明书必须按招标文件规定格式完整提供，并要盖供应商章。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878" w:type="dxa"/>
            <w:vAlign w:val="center"/>
          </w:tcPr>
          <w:p>
            <w:pPr>
              <w:spacing w:line="440" w:lineRule="exact"/>
              <w:jc w:val="center"/>
              <w:rPr>
                <w:bCs/>
              </w:rPr>
            </w:pPr>
            <w:r>
              <w:rPr>
                <w:bCs/>
              </w:rPr>
              <w:t>5</w:t>
            </w:r>
          </w:p>
        </w:tc>
        <w:tc>
          <w:tcPr>
            <w:tcW w:w="8222" w:type="dxa"/>
            <w:vAlign w:val="center"/>
          </w:tcPr>
          <w:p>
            <w:pPr>
              <w:spacing w:line="440" w:lineRule="exact"/>
              <w:rPr>
                <w:bCs/>
              </w:rPr>
            </w:pPr>
            <w:r>
              <w:rPr>
                <w:rFonts w:hint="eastAsia"/>
                <w:bCs/>
              </w:rPr>
              <w:t>法定代表人授权委托书必须按招标文件规定格式完整提供，并要盖供应商章、法定代表人章。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 w:type="dxa"/>
            <w:vAlign w:val="center"/>
          </w:tcPr>
          <w:p>
            <w:pPr>
              <w:spacing w:line="440" w:lineRule="exact"/>
              <w:jc w:val="center"/>
              <w:rPr>
                <w:bCs/>
              </w:rPr>
            </w:pPr>
            <w:r>
              <w:rPr>
                <w:bCs/>
              </w:rPr>
              <w:t>6</w:t>
            </w:r>
          </w:p>
        </w:tc>
        <w:tc>
          <w:tcPr>
            <w:tcW w:w="8222" w:type="dxa"/>
            <w:vAlign w:val="center"/>
          </w:tcPr>
          <w:p>
            <w:pPr>
              <w:spacing w:line="440" w:lineRule="exact"/>
            </w:pPr>
            <w:r>
              <w:rPr>
                <w:rFonts w:hint="eastAsia"/>
                <w:lang w:eastAsia="zh-CN"/>
              </w:rPr>
              <w:t>响应文件</w:t>
            </w:r>
            <w:r>
              <w:rPr>
                <w:rFonts w:hint="eastAsia"/>
              </w:rPr>
              <w:t>封面右上角必须注明“正本”或“副本”字样。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 w:type="dxa"/>
            <w:vAlign w:val="center"/>
          </w:tcPr>
          <w:p>
            <w:pPr>
              <w:spacing w:line="440" w:lineRule="exact"/>
              <w:jc w:val="center"/>
              <w:rPr>
                <w:bCs/>
              </w:rPr>
            </w:pPr>
            <w:r>
              <w:rPr>
                <w:bCs/>
              </w:rPr>
              <w:t>7</w:t>
            </w:r>
          </w:p>
        </w:tc>
        <w:tc>
          <w:tcPr>
            <w:tcW w:w="8222" w:type="dxa"/>
            <w:vAlign w:val="center"/>
          </w:tcPr>
          <w:p>
            <w:pPr>
              <w:spacing w:line="440" w:lineRule="exact"/>
            </w:pPr>
            <w:r>
              <w:rPr>
                <w:rFonts w:hint="eastAsia"/>
                <w:lang w:eastAsia="zh-CN"/>
              </w:rPr>
              <w:t>响应文件</w:t>
            </w:r>
            <w:r>
              <w:rPr>
                <w:rFonts w:hint="eastAsia"/>
              </w:rPr>
              <w:t>份数必须按招标文件要求提供。</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493" w:hRule="atLeast"/>
        </w:trPr>
        <w:tc>
          <w:tcPr>
            <w:tcW w:w="878" w:type="dxa"/>
            <w:vAlign w:val="center"/>
          </w:tcPr>
          <w:p>
            <w:pPr>
              <w:spacing w:line="440" w:lineRule="exact"/>
              <w:jc w:val="center"/>
              <w:rPr>
                <w:bCs/>
              </w:rPr>
            </w:pPr>
            <w:r>
              <w:rPr>
                <w:rFonts w:hint="eastAsia"/>
                <w:bCs/>
              </w:rPr>
              <w:t>8</w:t>
            </w:r>
          </w:p>
        </w:tc>
        <w:tc>
          <w:tcPr>
            <w:tcW w:w="8222" w:type="dxa"/>
            <w:vAlign w:val="center"/>
          </w:tcPr>
          <w:p>
            <w:pPr>
              <w:spacing w:line="440" w:lineRule="exact"/>
            </w:pPr>
            <w:r>
              <w:rPr>
                <w:rFonts w:hint="eastAsia"/>
              </w:rPr>
              <w:t>按照招标文件要求缴纳投标保证金。</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 w:type="dxa"/>
            <w:vAlign w:val="center"/>
          </w:tcPr>
          <w:p>
            <w:pPr>
              <w:spacing w:line="440" w:lineRule="exact"/>
              <w:jc w:val="center"/>
              <w:rPr>
                <w:bCs/>
              </w:rPr>
            </w:pPr>
            <w:r>
              <w:rPr>
                <w:rFonts w:hint="eastAsia"/>
                <w:bCs/>
              </w:rPr>
              <w:t>9</w:t>
            </w:r>
          </w:p>
        </w:tc>
        <w:tc>
          <w:tcPr>
            <w:tcW w:w="8222" w:type="dxa"/>
            <w:vAlign w:val="center"/>
          </w:tcPr>
          <w:p>
            <w:pPr>
              <w:spacing w:line="440" w:lineRule="exact"/>
            </w:pPr>
            <w:r>
              <w:rPr>
                <w:rFonts w:hint="eastAsia"/>
                <w:lang w:eastAsia="zh-CN"/>
              </w:rPr>
              <w:t>响应文件</w:t>
            </w:r>
            <w:r>
              <w:rPr>
                <w:rFonts w:hint="eastAsia"/>
              </w:rPr>
              <w:t>中所报投标有效期满足招标文件规定。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878" w:type="dxa"/>
            <w:vAlign w:val="center"/>
          </w:tcPr>
          <w:p>
            <w:pPr>
              <w:spacing w:line="440" w:lineRule="exact"/>
              <w:jc w:val="center"/>
              <w:rPr>
                <w:bCs/>
              </w:rPr>
            </w:pPr>
            <w:r>
              <w:rPr>
                <w:rFonts w:hint="eastAsia"/>
                <w:bCs/>
              </w:rPr>
              <w:t>10</w:t>
            </w:r>
          </w:p>
        </w:tc>
        <w:tc>
          <w:tcPr>
            <w:tcW w:w="8222" w:type="dxa"/>
            <w:vAlign w:val="center"/>
          </w:tcPr>
          <w:p>
            <w:pPr>
              <w:spacing w:line="440" w:lineRule="exact"/>
            </w:pPr>
            <w:r>
              <w:rPr>
                <w:rFonts w:hint="eastAsia"/>
              </w:rPr>
              <w:t>一份</w:t>
            </w:r>
            <w:r>
              <w:rPr>
                <w:rFonts w:hint="eastAsia"/>
                <w:lang w:eastAsia="zh-CN"/>
              </w:rPr>
              <w:t>响应文件</w:t>
            </w:r>
            <w:r>
              <w:rPr>
                <w:rFonts w:hint="eastAsia"/>
              </w:rPr>
              <w:t>只有一个投标报价，在招标文件没有规定的情况下，未提交选择性的报价；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878" w:type="dxa"/>
            <w:vAlign w:val="center"/>
          </w:tcPr>
          <w:p>
            <w:pPr>
              <w:spacing w:line="440" w:lineRule="exact"/>
              <w:jc w:val="center"/>
              <w:rPr>
                <w:bCs/>
              </w:rPr>
            </w:pPr>
            <w:r>
              <w:rPr>
                <w:rFonts w:hint="eastAsia"/>
                <w:bCs/>
              </w:rPr>
              <w:t>1</w:t>
            </w:r>
            <w:r>
              <w:rPr>
                <w:bCs/>
              </w:rPr>
              <w:t>1</w:t>
            </w:r>
          </w:p>
        </w:tc>
        <w:tc>
          <w:tcPr>
            <w:tcW w:w="8222" w:type="dxa"/>
            <w:vAlign w:val="center"/>
          </w:tcPr>
          <w:p>
            <w:pPr>
              <w:spacing w:line="440" w:lineRule="exact"/>
            </w:pPr>
            <w:r>
              <w:rPr>
                <w:rFonts w:hint="eastAsia"/>
              </w:rPr>
              <w:t>投标所报货物必须能完全响应招标要求并能满足采购人需求。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69" w:hRule="atLeast"/>
        </w:trPr>
        <w:tc>
          <w:tcPr>
            <w:tcW w:w="9100" w:type="dxa"/>
            <w:gridSpan w:val="2"/>
          </w:tcPr>
          <w:p>
            <w:pPr>
              <w:spacing w:line="440" w:lineRule="exact"/>
              <w:rPr>
                <w:bCs/>
              </w:rPr>
            </w:pPr>
            <w:r>
              <w:rPr>
                <w:rFonts w:hint="eastAsia"/>
                <w:bCs/>
              </w:rPr>
              <w:t>备注：如果</w:t>
            </w:r>
            <w:r>
              <w:rPr>
                <w:rFonts w:hint="eastAsia"/>
                <w:bCs/>
                <w:lang w:eastAsia="zh-CN"/>
              </w:rPr>
              <w:t>响应文件</w:t>
            </w:r>
            <w:r>
              <w:rPr>
                <w:rFonts w:hint="eastAsia"/>
                <w:bCs/>
              </w:rPr>
              <w:t>中有一项未通过上述审查标准，评标委员会将认定整个</w:t>
            </w:r>
            <w:r>
              <w:rPr>
                <w:rFonts w:hint="eastAsia"/>
                <w:bCs/>
                <w:lang w:eastAsia="zh-CN"/>
              </w:rPr>
              <w:t>响应文件</w:t>
            </w:r>
            <w:r>
              <w:rPr>
                <w:rFonts w:hint="eastAsia"/>
                <w:bCs/>
              </w:rPr>
              <w:t>不响应招标文件而予以无效标处理，并且不允许供应商通过修改或撤销其不符合要求的差异或保留，使之成为具有响应性的投标。</w:t>
            </w:r>
          </w:p>
        </w:tc>
      </w:tr>
    </w:tbl>
    <w:p>
      <w:pPr>
        <w:rPr>
          <w:rFonts w:ascii="Tahoma" w:hAnsi="Tahoma" w:cs="Tahoma"/>
          <w:b/>
          <w:bCs/>
          <w:szCs w:val="21"/>
        </w:rPr>
      </w:pPr>
      <w:r>
        <w:rPr>
          <w:rFonts w:ascii="Tahoma" w:hAnsi="Tahoma" w:cs="Tahoma"/>
          <w:b/>
          <w:bCs/>
          <w:szCs w:val="21"/>
        </w:rPr>
        <w:br w:type="page"/>
      </w:r>
    </w:p>
    <w:p>
      <w:pPr>
        <w:spacing w:line="360" w:lineRule="auto"/>
        <w:rPr>
          <w:rFonts w:ascii="Tahoma" w:hAnsi="Tahoma" w:cs="Tahoma"/>
          <w:szCs w:val="21"/>
        </w:rPr>
      </w:pPr>
      <w:r>
        <w:rPr>
          <w:rFonts w:ascii="Tahoma" w:hAnsi="Tahoma" w:cs="Tahoma"/>
          <w:b/>
          <w:bCs/>
          <w:szCs w:val="21"/>
        </w:rPr>
        <w:t xml:space="preserve">3.2 </w:t>
      </w:r>
      <w:r>
        <w:rPr>
          <w:rFonts w:hint="eastAsia" w:ascii="Tahoma" w:hAnsi="Tahoma" w:cs="Tahoma"/>
          <w:b/>
          <w:bCs/>
          <w:szCs w:val="21"/>
          <w:lang w:eastAsia="zh-CN"/>
        </w:rPr>
        <w:t>响应文件</w:t>
      </w:r>
      <w:r>
        <w:rPr>
          <w:rFonts w:ascii="Tahoma" w:hAnsi="Tahoma" w:cs="Tahoma"/>
          <w:b/>
          <w:bCs/>
          <w:szCs w:val="21"/>
        </w:rPr>
        <w:t>澄清</w:t>
      </w:r>
    </w:p>
    <w:p>
      <w:pPr>
        <w:spacing w:line="360" w:lineRule="auto"/>
        <w:rPr>
          <w:rFonts w:ascii="Tahoma" w:hAnsi="Tahoma" w:cs="Tahoma"/>
          <w:szCs w:val="21"/>
        </w:rPr>
      </w:pPr>
      <w:r>
        <w:rPr>
          <w:rFonts w:ascii="Tahoma" w:hAnsi="Tahoma" w:cs="Tahoma"/>
          <w:szCs w:val="21"/>
        </w:rPr>
        <w:t>3.2.1评标委员会将允许</w:t>
      </w:r>
      <w:r>
        <w:rPr>
          <w:rFonts w:hint="eastAsia" w:ascii="Tahoma" w:hAnsi="Tahoma" w:cs="Tahoma"/>
          <w:szCs w:val="21"/>
          <w:lang w:eastAsia="zh-CN"/>
        </w:rPr>
        <w:t>供应商</w:t>
      </w:r>
      <w:r>
        <w:rPr>
          <w:rFonts w:ascii="Tahoma" w:hAnsi="Tahoma" w:cs="Tahoma"/>
          <w:szCs w:val="21"/>
        </w:rPr>
        <w:t>修改</w:t>
      </w:r>
      <w:r>
        <w:rPr>
          <w:rFonts w:hint="eastAsia" w:ascii="Tahoma" w:hAnsi="Tahoma" w:cs="Tahoma"/>
          <w:szCs w:val="21"/>
          <w:lang w:eastAsia="zh-CN"/>
        </w:rPr>
        <w:t>响应文件</w:t>
      </w:r>
      <w:r>
        <w:rPr>
          <w:rFonts w:ascii="Tahoma" w:hAnsi="Tahoma" w:cs="Tahoma"/>
          <w:szCs w:val="21"/>
        </w:rPr>
        <w:t>中不构成重大偏离的微小的、非正规、不一致或不规则地方，但这种允许不能损害或影响任何</w:t>
      </w:r>
      <w:r>
        <w:rPr>
          <w:rFonts w:hint="eastAsia" w:ascii="Tahoma" w:hAnsi="Tahoma" w:cs="Tahoma"/>
          <w:szCs w:val="21"/>
          <w:lang w:eastAsia="zh-CN"/>
        </w:rPr>
        <w:t>供应商</w:t>
      </w:r>
      <w:r>
        <w:rPr>
          <w:rFonts w:ascii="Tahoma" w:hAnsi="Tahoma" w:cs="Tahoma"/>
          <w:szCs w:val="21"/>
        </w:rPr>
        <w:t>的相对排序。</w:t>
      </w:r>
    </w:p>
    <w:p>
      <w:pPr>
        <w:spacing w:line="360" w:lineRule="auto"/>
        <w:rPr>
          <w:rFonts w:ascii="Tahoma" w:hAnsi="Tahoma" w:cs="Tahoma"/>
          <w:szCs w:val="21"/>
        </w:rPr>
      </w:pPr>
      <w:r>
        <w:rPr>
          <w:rFonts w:ascii="Tahoma" w:hAnsi="Tahoma" w:cs="Tahoma"/>
          <w:szCs w:val="21"/>
        </w:rPr>
        <w:t>3.2.2对于</w:t>
      </w:r>
      <w:r>
        <w:rPr>
          <w:rFonts w:hint="eastAsia" w:ascii="Tahoma" w:hAnsi="Tahoma" w:cs="Tahoma"/>
          <w:szCs w:val="21"/>
          <w:lang w:eastAsia="zh-CN"/>
        </w:rPr>
        <w:t>响应文件</w:t>
      </w:r>
      <w:r>
        <w:rPr>
          <w:rFonts w:ascii="Tahoma" w:hAnsi="Tahoma" w:cs="Tahoma"/>
          <w:szCs w:val="21"/>
        </w:rPr>
        <w:t>中含义不明确、同类问题表述不一致或者有明显文字和计算错误的内容，评标委员会应当以书面形式要求</w:t>
      </w:r>
      <w:r>
        <w:rPr>
          <w:rFonts w:hint="eastAsia" w:ascii="Tahoma" w:hAnsi="Tahoma" w:cs="Tahoma"/>
          <w:szCs w:val="21"/>
          <w:lang w:eastAsia="zh-CN"/>
        </w:rPr>
        <w:t>供应商</w:t>
      </w:r>
      <w:r>
        <w:rPr>
          <w:rFonts w:ascii="Tahoma" w:hAnsi="Tahoma" w:cs="Tahoma"/>
          <w:szCs w:val="21"/>
        </w:rPr>
        <w:t>作出必要的澄清、说明或者补正。</w:t>
      </w:r>
    </w:p>
    <w:p>
      <w:pPr>
        <w:spacing w:line="360" w:lineRule="auto"/>
        <w:rPr>
          <w:rFonts w:ascii="Tahoma" w:hAnsi="Tahoma" w:cs="Tahoma"/>
          <w:szCs w:val="21"/>
        </w:rPr>
      </w:pPr>
      <w:r>
        <w:rPr>
          <w:rFonts w:ascii="Tahoma" w:hAnsi="Tahoma" w:cs="Tahoma"/>
          <w:szCs w:val="21"/>
        </w:rPr>
        <w:t>　</w:t>
      </w:r>
      <w:r>
        <w:rPr>
          <w:rFonts w:hint="eastAsia" w:ascii="Tahoma" w:hAnsi="Tahoma" w:cs="Tahoma"/>
          <w:szCs w:val="21"/>
        </w:rPr>
        <w:t xml:space="preserve"> </w:t>
      </w:r>
      <w:r>
        <w:rPr>
          <w:rFonts w:hint="eastAsia" w:ascii="Tahoma" w:hAnsi="Tahoma" w:cs="Tahoma"/>
          <w:szCs w:val="21"/>
          <w:lang w:eastAsia="zh-CN"/>
        </w:rPr>
        <w:t>供应商</w:t>
      </w:r>
      <w:r>
        <w:rPr>
          <w:rFonts w:ascii="Tahoma" w:hAnsi="Tahoma" w:cs="Tahoma"/>
          <w:szCs w:val="21"/>
        </w:rPr>
        <w:t>的澄清、说明或者补正应当采用书面形式，并加盖公章，或者由法定代表人或其授权的代表签字。</w:t>
      </w:r>
      <w:r>
        <w:rPr>
          <w:rFonts w:hint="eastAsia" w:ascii="Tahoma" w:hAnsi="Tahoma" w:cs="Tahoma"/>
          <w:szCs w:val="21"/>
          <w:lang w:eastAsia="zh-CN"/>
        </w:rPr>
        <w:t>供应商</w:t>
      </w:r>
      <w:r>
        <w:rPr>
          <w:rFonts w:ascii="Tahoma" w:hAnsi="Tahoma" w:cs="Tahoma"/>
          <w:szCs w:val="21"/>
        </w:rPr>
        <w:t>的澄清、说明或者补正不得超出</w:t>
      </w:r>
      <w:r>
        <w:rPr>
          <w:rFonts w:hint="eastAsia" w:ascii="Tahoma" w:hAnsi="Tahoma" w:cs="Tahoma"/>
          <w:szCs w:val="21"/>
          <w:lang w:eastAsia="zh-CN"/>
        </w:rPr>
        <w:t>响应文件</w:t>
      </w:r>
      <w:r>
        <w:rPr>
          <w:rFonts w:ascii="Tahoma" w:hAnsi="Tahoma" w:cs="Tahoma"/>
          <w:szCs w:val="21"/>
        </w:rPr>
        <w:t>的范围或者改变</w:t>
      </w:r>
      <w:r>
        <w:rPr>
          <w:rFonts w:hint="eastAsia" w:ascii="Tahoma" w:hAnsi="Tahoma" w:cs="Tahoma"/>
          <w:szCs w:val="21"/>
          <w:lang w:eastAsia="zh-CN"/>
        </w:rPr>
        <w:t>响应文件</w:t>
      </w:r>
      <w:r>
        <w:rPr>
          <w:rFonts w:ascii="Tahoma" w:hAnsi="Tahoma" w:cs="Tahoma"/>
          <w:szCs w:val="21"/>
        </w:rPr>
        <w:t>的实质性内容。</w:t>
      </w:r>
    </w:p>
    <w:p>
      <w:pPr>
        <w:spacing w:line="360" w:lineRule="auto"/>
        <w:rPr>
          <w:rFonts w:ascii="Tahoma" w:hAnsi="Tahoma" w:cs="Tahoma"/>
          <w:szCs w:val="21"/>
        </w:rPr>
      </w:pPr>
      <w:r>
        <w:rPr>
          <w:rFonts w:ascii="Tahoma" w:hAnsi="Tahoma" w:cs="Tahoma"/>
          <w:szCs w:val="21"/>
        </w:rPr>
        <w:t>3.2.3</w:t>
      </w:r>
      <w:r>
        <w:rPr>
          <w:rFonts w:hint="eastAsia" w:ascii="Tahoma" w:hAnsi="Tahoma" w:cs="Tahoma"/>
          <w:szCs w:val="21"/>
          <w:lang w:eastAsia="zh-CN"/>
        </w:rPr>
        <w:t>响应文件</w:t>
      </w:r>
      <w:r>
        <w:rPr>
          <w:rFonts w:ascii="Tahoma" w:hAnsi="Tahoma" w:cs="Tahoma"/>
          <w:szCs w:val="21"/>
        </w:rPr>
        <w:t>报价出现前后不一致的，除招标文件另有规定外，按照下列规定修正：</w:t>
      </w:r>
    </w:p>
    <w:p>
      <w:pPr>
        <w:spacing w:line="360" w:lineRule="auto"/>
        <w:ind w:firstLine="240" w:firstLineChars="100"/>
        <w:rPr>
          <w:rFonts w:ascii="Tahoma" w:hAnsi="Tahoma" w:cs="Tahoma"/>
          <w:szCs w:val="21"/>
        </w:rPr>
      </w:pPr>
      <w:r>
        <w:rPr>
          <w:rFonts w:ascii="Tahoma" w:hAnsi="Tahoma" w:cs="Tahoma"/>
          <w:szCs w:val="21"/>
        </w:rPr>
        <w:t>（一）</w:t>
      </w:r>
      <w:r>
        <w:rPr>
          <w:rFonts w:hint="eastAsia" w:ascii="Tahoma" w:hAnsi="Tahoma" w:cs="Tahoma"/>
          <w:szCs w:val="21"/>
          <w:lang w:eastAsia="zh-CN"/>
        </w:rPr>
        <w:t>响应文件</w:t>
      </w:r>
      <w:r>
        <w:rPr>
          <w:rFonts w:ascii="Tahoma" w:hAnsi="Tahoma" w:cs="Tahoma"/>
          <w:szCs w:val="21"/>
        </w:rPr>
        <w:t>中</w:t>
      </w:r>
      <w:r>
        <w:rPr>
          <w:rFonts w:hint="eastAsia" w:ascii="Tahoma" w:hAnsi="Tahoma" w:cs="Tahoma"/>
          <w:szCs w:val="21"/>
          <w:lang w:eastAsia="zh-CN"/>
        </w:rPr>
        <w:t>报价一览表</w:t>
      </w:r>
      <w:r>
        <w:rPr>
          <w:rFonts w:ascii="Tahoma" w:hAnsi="Tahoma" w:cs="Tahoma"/>
          <w:szCs w:val="21"/>
        </w:rPr>
        <w:t>（报价表）内容与</w:t>
      </w:r>
      <w:r>
        <w:rPr>
          <w:rFonts w:hint="eastAsia" w:ascii="Tahoma" w:hAnsi="Tahoma" w:cs="Tahoma"/>
          <w:szCs w:val="21"/>
          <w:lang w:eastAsia="zh-CN"/>
        </w:rPr>
        <w:t>响应文件</w:t>
      </w:r>
      <w:r>
        <w:rPr>
          <w:rFonts w:ascii="Tahoma" w:hAnsi="Tahoma" w:cs="Tahoma"/>
          <w:szCs w:val="21"/>
        </w:rPr>
        <w:t>中相应内容不一致的，以</w:t>
      </w:r>
      <w:r>
        <w:rPr>
          <w:rFonts w:hint="eastAsia" w:ascii="Tahoma" w:hAnsi="Tahoma" w:cs="Tahoma"/>
          <w:szCs w:val="21"/>
          <w:lang w:eastAsia="zh-CN"/>
        </w:rPr>
        <w:t>报价一览表</w:t>
      </w:r>
      <w:r>
        <w:rPr>
          <w:rFonts w:ascii="Tahoma" w:hAnsi="Tahoma" w:cs="Tahoma"/>
          <w:szCs w:val="21"/>
        </w:rPr>
        <w:t>（报价表）为准；</w:t>
      </w:r>
    </w:p>
    <w:p>
      <w:pPr>
        <w:spacing w:line="360" w:lineRule="auto"/>
        <w:ind w:firstLine="240" w:firstLineChars="100"/>
        <w:rPr>
          <w:rFonts w:ascii="Tahoma" w:hAnsi="Tahoma" w:cs="Tahoma"/>
          <w:szCs w:val="21"/>
        </w:rPr>
      </w:pPr>
      <w:r>
        <w:rPr>
          <w:rFonts w:ascii="Tahoma" w:hAnsi="Tahoma" w:cs="Tahoma"/>
          <w:szCs w:val="21"/>
        </w:rPr>
        <w:t>（二）大写金额和小写金额不一致的，以大写金额为准；</w:t>
      </w:r>
    </w:p>
    <w:p>
      <w:pPr>
        <w:spacing w:line="360" w:lineRule="auto"/>
        <w:ind w:firstLine="240" w:firstLineChars="100"/>
        <w:rPr>
          <w:rFonts w:ascii="Tahoma" w:hAnsi="Tahoma" w:cs="Tahoma"/>
          <w:szCs w:val="21"/>
        </w:rPr>
      </w:pPr>
      <w:r>
        <w:rPr>
          <w:rFonts w:ascii="Tahoma" w:hAnsi="Tahoma" w:cs="Tahoma"/>
          <w:szCs w:val="21"/>
        </w:rPr>
        <w:t>（三）单价金额小数点或者百分比有明显错位的，以</w:t>
      </w:r>
      <w:r>
        <w:rPr>
          <w:rFonts w:hint="eastAsia" w:ascii="Tahoma" w:hAnsi="Tahoma" w:cs="Tahoma"/>
          <w:szCs w:val="21"/>
          <w:lang w:eastAsia="zh-CN"/>
        </w:rPr>
        <w:t>报价一览表</w:t>
      </w:r>
      <w:r>
        <w:rPr>
          <w:rFonts w:ascii="Tahoma" w:hAnsi="Tahoma" w:cs="Tahoma"/>
          <w:szCs w:val="21"/>
        </w:rPr>
        <w:t>的总价为准，并修改单价；</w:t>
      </w:r>
    </w:p>
    <w:p>
      <w:pPr>
        <w:spacing w:line="360" w:lineRule="auto"/>
        <w:ind w:firstLine="240" w:firstLineChars="100"/>
        <w:rPr>
          <w:rFonts w:ascii="Tahoma" w:hAnsi="Tahoma" w:cs="Tahoma"/>
          <w:szCs w:val="21"/>
        </w:rPr>
      </w:pPr>
      <w:r>
        <w:rPr>
          <w:rFonts w:ascii="Tahoma" w:hAnsi="Tahoma" w:cs="Tahoma"/>
          <w:szCs w:val="21"/>
        </w:rPr>
        <w:t>（四）总价金额与按</w:t>
      </w:r>
      <w:r>
        <w:rPr>
          <w:rFonts w:hint="eastAsia" w:ascii="Tahoma" w:hAnsi="Tahoma" w:cs="Tahoma"/>
          <w:szCs w:val="21"/>
          <w:lang w:val="en-US" w:eastAsia="zh-CN"/>
        </w:rPr>
        <w:t>含税</w:t>
      </w:r>
      <w:r>
        <w:rPr>
          <w:rFonts w:ascii="Tahoma" w:hAnsi="Tahoma" w:cs="Tahoma"/>
          <w:szCs w:val="21"/>
        </w:rPr>
        <w:t>单价汇总金额不一致的，以</w:t>
      </w:r>
      <w:r>
        <w:rPr>
          <w:rFonts w:hint="eastAsia" w:ascii="Tahoma" w:hAnsi="Tahoma" w:cs="Tahoma"/>
          <w:szCs w:val="21"/>
          <w:lang w:val="en-US" w:eastAsia="zh-CN"/>
        </w:rPr>
        <w:t>含税</w:t>
      </w:r>
      <w:r>
        <w:rPr>
          <w:rFonts w:ascii="Tahoma" w:hAnsi="Tahoma" w:cs="Tahoma"/>
          <w:szCs w:val="21"/>
        </w:rPr>
        <w:t>单价金额计算结果为准。</w:t>
      </w:r>
    </w:p>
    <w:p>
      <w:pPr>
        <w:spacing w:line="360" w:lineRule="auto"/>
        <w:ind w:firstLine="420"/>
        <w:rPr>
          <w:rFonts w:ascii="Tahoma" w:hAnsi="Tahoma" w:cs="Tahoma"/>
          <w:szCs w:val="21"/>
        </w:rPr>
      </w:pPr>
      <w:r>
        <w:rPr>
          <w:rFonts w:ascii="Tahoma" w:hAnsi="Tahoma" w:cs="Tahoma"/>
          <w:szCs w:val="21"/>
        </w:rPr>
        <w:t>同时出现两种以上不一致的，按照前款规定的顺序修正。</w:t>
      </w:r>
    </w:p>
    <w:p>
      <w:pPr>
        <w:spacing w:line="360" w:lineRule="auto"/>
        <w:rPr>
          <w:rFonts w:ascii="Tahoma" w:hAnsi="Tahoma" w:cs="Tahoma"/>
          <w:b/>
        </w:rPr>
      </w:pPr>
      <w:r>
        <w:rPr>
          <w:rFonts w:ascii="Tahoma" w:hAnsi="Tahoma" w:cs="Tahoma"/>
          <w:szCs w:val="21"/>
        </w:rPr>
        <w:t>3.3</w:t>
      </w:r>
      <w:r>
        <w:rPr>
          <w:rFonts w:ascii="Tahoma" w:hAnsi="Tahoma" w:cs="Tahoma"/>
          <w:b/>
        </w:rPr>
        <w:t xml:space="preserve"> 比较与评价</w:t>
      </w:r>
    </w:p>
    <w:p>
      <w:pPr>
        <w:spacing w:line="360" w:lineRule="auto"/>
        <w:rPr>
          <w:rFonts w:ascii="Tahoma" w:hAnsi="Tahoma" w:cs="Tahoma"/>
          <w:szCs w:val="21"/>
        </w:rPr>
      </w:pPr>
      <w:r>
        <w:rPr>
          <w:rFonts w:ascii="Tahoma" w:hAnsi="Tahoma" w:cs="Tahoma"/>
          <w:szCs w:val="21"/>
        </w:rPr>
        <w:t>3.3.1评标委员会按招标文件中规定的评标方法和标准，对资格性检查和符合性检查合格的</w:t>
      </w:r>
      <w:r>
        <w:rPr>
          <w:rFonts w:hint="eastAsia" w:ascii="Tahoma" w:hAnsi="Tahoma" w:cs="Tahoma"/>
          <w:szCs w:val="21"/>
          <w:lang w:eastAsia="zh-CN"/>
        </w:rPr>
        <w:t>响应文件</w:t>
      </w:r>
      <w:r>
        <w:rPr>
          <w:rFonts w:ascii="Tahoma" w:hAnsi="Tahoma" w:cs="Tahoma"/>
          <w:szCs w:val="21"/>
        </w:rPr>
        <w:t>进行商务和技术评估，综合比较与评价。</w:t>
      </w:r>
    </w:p>
    <w:p>
      <w:pPr>
        <w:spacing w:line="360" w:lineRule="auto"/>
        <w:rPr>
          <w:rFonts w:ascii="Tahoma" w:hAnsi="Tahoma" w:cs="Tahoma"/>
          <w:szCs w:val="21"/>
        </w:rPr>
      </w:pPr>
      <w:r>
        <w:rPr>
          <w:rFonts w:ascii="Tahoma" w:hAnsi="Tahoma" w:cs="Tahoma"/>
          <w:szCs w:val="21"/>
        </w:rPr>
        <w:t>3.3.2评标委员会按本章第2.3 款规定的量化因素进行评审。</w:t>
      </w:r>
    </w:p>
    <w:p>
      <w:pPr>
        <w:spacing w:line="360" w:lineRule="auto"/>
        <w:ind w:firstLine="240" w:firstLineChars="100"/>
        <w:rPr>
          <w:rFonts w:ascii="Tahoma" w:hAnsi="Tahoma" w:cs="Tahoma"/>
          <w:szCs w:val="21"/>
        </w:rPr>
      </w:pPr>
      <w:r>
        <w:rPr>
          <w:rFonts w:ascii="Tahoma" w:hAnsi="Tahoma" w:cs="Tahoma"/>
          <w:szCs w:val="21"/>
        </w:rPr>
        <w:t>（1）按本章评标办法规定的评审因素对商务、技术和投标价格进行评审；</w:t>
      </w:r>
    </w:p>
    <w:p>
      <w:pPr>
        <w:spacing w:line="360" w:lineRule="auto"/>
        <w:rPr>
          <w:rFonts w:ascii="Tahoma" w:hAnsi="Tahoma" w:cs="Tahoma"/>
        </w:rPr>
      </w:pPr>
      <w:r>
        <w:rPr>
          <w:rFonts w:ascii="Tahoma" w:hAnsi="Tahoma" w:cs="Tahoma"/>
          <w:szCs w:val="21"/>
        </w:rPr>
        <w:t>（2）按本章评标办法规定，评标委员会对全部满足招标文件实质性要求前提下，按照招标文件中规定的各项因素进行综合评审后，按评审后的综合得分由高到低顺序排列，以评标总得分最高的</w:t>
      </w:r>
      <w:r>
        <w:rPr>
          <w:rFonts w:hint="eastAsia" w:ascii="Tahoma" w:hAnsi="Tahoma" w:cs="Tahoma"/>
          <w:szCs w:val="21"/>
          <w:lang w:eastAsia="zh-CN"/>
        </w:rPr>
        <w:t>供应商</w:t>
      </w:r>
      <w:r>
        <w:rPr>
          <w:rFonts w:ascii="Tahoma" w:hAnsi="Tahoma" w:cs="Tahoma"/>
          <w:szCs w:val="21"/>
        </w:rPr>
        <w:t>作为</w:t>
      </w:r>
      <w:r>
        <w:rPr>
          <w:rFonts w:hint="eastAsia" w:ascii="Tahoma" w:hAnsi="Tahoma" w:cs="Tahoma"/>
          <w:szCs w:val="21"/>
          <w:lang w:eastAsia="zh-CN"/>
        </w:rPr>
        <w:t>成交候选人</w:t>
      </w:r>
      <w:r>
        <w:rPr>
          <w:rFonts w:ascii="Tahoma" w:hAnsi="Tahoma" w:cs="Tahoma"/>
          <w:szCs w:val="21"/>
        </w:rPr>
        <w:t>。得分相同的，按投标报价由低到高顺序排列。得分且投标报价相同的，按技术指标优劣顺序排列</w:t>
      </w:r>
      <w:r>
        <w:rPr>
          <w:rFonts w:ascii="Tahoma" w:hAnsi="Tahoma" w:cs="Tahoma"/>
        </w:rPr>
        <w:t>。</w:t>
      </w:r>
    </w:p>
    <w:p>
      <w:pPr>
        <w:spacing w:line="360" w:lineRule="auto"/>
        <w:rPr>
          <w:rFonts w:ascii="Tahoma" w:hAnsi="Tahoma" w:cs="Tahoma"/>
        </w:rPr>
      </w:pPr>
      <w:r>
        <w:rPr>
          <w:rFonts w:ascii="Tahoma" w:hAnsi="Tahoma" w:cs="Tahoma"/>
        </w:rPr>
        <w:t>3.3.3对于非专门面向中小企业的项目，对小型和微型企业产品的价格扣除，按“投标须知前附表”中的第10.3.2款的规定，用扣除后的价格参与评审。</w:t>
      </w:r>
    </w:p>
    <w:p>
      <w:pPr>
        <w:spacing w:line="360" w:lineRule="auto"/>
        <w:rPr>
          <w:rFonts w:ascii="Tahoma" w:hAnsi="Tahoma" w:cs="Tahoma"/>
        </w:rPr>
      </w:pPr>
      <w:r>
        <w:rPr>
          <w:rFonts w:ascii="Tahoma" w:hAnsi="Tahoma" w:cs="Tahoma"/>
        </w:rPr>
        <w:t>3.3.4对于非专门面向中小企业的项目，采用联合体投标的，符合“</w:t>
      </w:r>
      <w:r>
        <w:rPr>
          <w:rFonts w:hint="eastAsia" w:ascii="Tahoma" w:hAnsi="Tahoma" w:cs="Tahoma"/>
          <w:lang w:eastAsia="zh-CN"/>
        </w:rPr>
        <w:t>供应商</w:t>
      </w:r>
      <w:r>
        <w:rPr>
          <w:rFonts w:ascii="Tahoma" w:hAnsi="Tahoma" w:cs="Tahoma"/>
        </w:rPr>
        <w:t>须知”正文第1.4.4条规定的</w:t>
      </w:r>
      <w:r>
        <w:rPr>
          <w:rFonts w:hint="eastAsia" w:ascii="Tahoma" w:hAnsi="Tahoma" w:cs="Tahoma"/>
          <w:lang w:eastAsia="zh-CN"/>
        </w:rPr>
        <w:t>供应商</w:t>
      </w:r>
      <w:r>
        <w:rPr>
          <w:rFonts w:ascii="Tahoma" w:hAnsi="Tahoma" w:cs="Tahoma"/>
        </w:rPr>
        <w:t>产品的价格扣除按1.4.4条的规定，用扣除后的价格参与评审。</w:t>
      </w:r>
    </w:p>
    <w:p>
      <w:pPr>
        <w:spacing w:line="360" w:lineRule="auto"/>
        <w:rPr>
          <w:rFonts w:ascii="Tahoma" w:hAnsi="Tahoma" w:cs="Tahoma"/>
        </w:rPr>
      </w:pPr>
      <w:r>
        <w:rPr>
          <w:rFonts w:ascii="Tahoma" w:hAnsi="Tahoma" w:cs="Tahoma"/>
        </w:rPr>
        <w:t>3.3.5评标委员会认为</w:t>
      </w:r>
      <w:r>
        <w:rPr>
          <w:rFonts w:hint="eastAsia" w:ascii="Tahoma" w:hAnsi="Tahoma" w:cs="Tahoma"/>
          <w:lang w:eastAsia="zh-CN"/>
        </w:rPr>
        <w:t>供应商</w:t>
      </w:r>
      <w:r>
        <w:rPr>
          <w:rFonts w:ascii="Tahoma" w:hAnsi="Tahoma" w:cs="Tahoma"/>
        </w:rPr>
        <w:t>的报价明显低于其他通过符合性审查</w:t>
      </w:r>
      <w:r>
        <w:rPr>
          <w:rFonts w:hint="eastAsia" w:ascii="Tahoma" w:hAnsi="Tahoma" w:cs="Tahoma"/>
          <w:lang w:eastAsia="zh-CN"/>
        </w:rPr>
        <w:t>供应商</w:t>
      </w:r>
      <w:r>
        <w:rPr>
          <w:rFonts w:ascii="Tahoma" w:hAnsi="Tahoma" w:cs="Tahoma"/>
        </w:rPr>
        <w:t>的报价，有可能影响产品质量或者不能诚信履约的，应当要求其在评标现场合理的时间内提供书面说明，必要时提交相关证明材料；</w:t>
      </w:r>
      <w:r>
        <w:rPr>
          <w:rFonts w:hint="eastAsia" w:ascii="Tahoma" w:hAnsi="Tahoma" w:cs="Tahoma"/>
          <w:lang w:eastAsia="zh-CN"/>
        </w:rPr>
        <w:t>供应商</w:t>
      </w:r>
      <w:r>
        <w:rPr>
          <w:rFonts w:ascii="Tahoma" w:hAnsi="Tahoma" w:cs="Tahoma"/>
        </w:rPr>
        <w:t>不能证明其报价合理性的，评标委员会应当将其作为</w:t>
      </w:r>
      <w:r>
        <w:rPr>
          <w:rFonts w:ascii="Tahoma" w:hAnsi="Tahoma" w:cs="Tahoma"/>
          <w:b/>
        </w:rPr>
        <w:t>无效投标处理</w:t>
      </w:r>
      <w:r>
        <w:rPr>
          <w:rFonts w:ascii="Tahoma" w:hAnsi="Tahoma" w:cs="Tahoma"/>
        </w:rPr>
        <w:t>。</w:t>
      </w:r>
    </w:p>
    <w:p>
      <w:pPr>
        <w:spacing w:line="360" w:lineRule="auto"/>
        <w:rPr>
          <w:rFonts w:ascii="Tahoma" w:hAnsi="Tahoma" w:cs="Tahoma"/>
          <w:szCs w:val="21"/>
        </w:rPr>
      </w:pPr>
      <w:r>
        <w:rPr>
          <w:rFonts w:ascii="Tahoma" w:hAnsi="Tahoma" w:cs="Tahoma"/>
          <w:szCs w:val="21"/>
        </w:rPr>
        <w:t>3.3.6经评审后，若出现符合本须知规定的所有投标条件的</w:t>
      </w:r>
      <w:r>
        <w:rPr>
          <w:rFonts w:hint="eastAsia" w:ascii="Tahoma" w:hAnsi="Tahoma" w:cs="Tahoma"/>
          <w:szCs w:val="21"/>
          <w:lang w:eastAsia="zh-CN"/>
        </w:rPr>
        <w:t>供应商</w:t>
      </w:r>
      <w:r>
        <w:rPr>
          <w:rFonts w:ascii="Tahoma" w:hAnsi="Tahoma" w:cs="Tahoma"/>
          <w:szCs w:val="21"/>
        </w:rPr>
        <w:t>不足三家情形的，本次招标终止，除采购任务取消情形外，招标单位将依法重新组织招标或者采取其他方式采购。</w:t>
      </w:r>
    </w:p>
    <w:p>
      <w:pPr>
        <w:spacing w:line="360" w:lineRule="auto"/>
        <w:rPr>
          <w:rFonts w:ascii="Tahoma" w:hAnsi="Tahoma" w:cs="Tahoma"/>
          <w:b/>
          <w:szCs w:val="21"/>
        </w:rPr>
      </w:pPr>
      <w:r>
        <w:rPr>
          <w:rFonts w:ascii="Tahoma" w:hAnsi="Tahoma" w:cs="Tahoma"/>
          <w:b/>
          <w:szCs w:val="21"/>
        </w:rPr>
        <w:t>3.4评分标准与分值构成</w:t>
      </w:r>
    </w:p>
    <w:p>
      <w:pPr>
        <w:adjustRightInd w:val="0"/>
        <w:snapToGrid w:val="0"/>
        <w:spacing w:line="360" w:lineRule="auto"/>
        <w:ind w:firstLine="480" w:firstLineChars="200"/>
        <w:rPr>
          <w:rFonts w:ascii="Tahoma" w:hAnsi="Tahoma" w:cs="Tahoma"/>
          <w:szCs w:val="21"/>
        </w:rPr>
      </w:pPr>
      <w:r>
        <w:rPr>
          <w:rFonts w:ascii="Tahoma" w:hAnsi="Tahoma" w:cs="Tahoma"/>
          <w:szCs w:val="21"/>
        </w:rPr>
        <w:t>综合评分法将按商务、技术和投标价格三个部分分别进行评分，商务部分满分为6分、技术部分满分为6</w:t>
      </w:r>
      <w:r>
        <w:rPr>
          <w:rFonts w:hint="eastAsia" w:ascii="Tahoma" w:hAnsi="Tahoma" w:cs="Tahoma"/>
          <w:szCs w:val="21"/>
          <w:lang w:val="en-US" w:eastAsia="zh-CN"/>
        </w:rPr>
        <w:t>4</w:t>
      </w:r>
      <w:r>
        <w:rPr>
          <w:rFonts w:ascii="Tahoma" w:hAnsi="Tahoma" w:cs="Tahoma"/>
          <w:szCs w:val="21"/>
        </w:rPr>
        <w:t>分，价格部分满分为</w:t>
      </w:r>
      <w:r>
        <w:rPr>
          <w:rFonts w:hint="eastAsia" w:ascii="Tahoma" w:hAnsi="Tahoma" w:cs="Tahoma"/>
          <w:szCs w:val="21"/>
        </w:rPr>
        <w:t>30</w:t>
      </w:r>
      <w:r>
        <w:rPr>
          <w:rFonts w:ascii="Tahoma" w:hAnsi="Tahoma" w:cs="Tahoma"/>
          <w:szCs w:val="21"/>
        </w:rPr>
        <w:t>分，合计总分100分。</w:t>
      </w:r>
    </w:p>
    <w:p>
      <w:pPr>
        <w:adjustRightInd w:val="0"/>
        <w:snapToGrid w:val="0"/>
        <w:spacing w:line="360" w:lineRule="auto"/>
        <w:rPr>
          <w:rFonts w:ascii="Tahoma" w:hAnsi="Tahoma" w:cs="Tahoma"/>
          <w:szCs w:val="21"/>
        </w:rPr>
      </w:pPr>
      <w:r>
        <w:rPr>
          <w:rFonts w:ascii="Tahoma" w:hAnsi="Tahoma" w:cs="Tahoma"/>
          <w:b/>
          <w:bCs/>
          <w:szCs w:val="21"/>
        </w:rPr>
        <w:t>3.4.1商务部分</w:t>
      </w:r>
    </w:p>
    <w:p>
      <w:pPr>
        <w:adjustRightInd w:val="0"/>
        <w:snapToGrid w:val="0"/>
        <w:spacing w:line="360" w:lineRule="auto"/>
        <w:ind w:right="313"/>
        <w:rPr>
          <w:rFonts w:ascii="Tahoma" w:hAnsi="Tahoma" w:cs="Tahoma"/>
          <w:b/>
          <w:bCs/>
          <w:szCs w:val="21"/>
        </w:rPr>
      </w:pPr>
      <w:r>
        <w:rPr>
          <w:rFonts w:hint="eastAsia" w:ascii="Tahoma" w:hAnsi="Tahoma" w:cs="Tahoma"/>
          <w:b/>
          <w:bCs/>
          <w:szCs w:val="21"/>
        </w:rPr>
        <w:t>A、</w:t>
      </w:r>
      <w:r>
        <w:rPr>
          <w:rFonts w:ascii="Tahoma" w:hAnsi="Tahoma" w:cs="Tahoma"/>
          <w:b/>
          <w:bCs/>
          <w:szCs w:val="21"/>
        </w:rPr>
        <w:t>商务部分评分标准（6分）</w:t>
      </w:r>
    </w:p>
    <w:tbl>
      <w:tblPr>
        <w:tblStyle w:val="32"/>
        <w:tblW w:w="9114"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662"/>
        <w:gridCol w:w="2073"/>
        <w:gridCol w:w="851"/>
        <w:gridCol w:w="5528"/>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66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
                <w:szCs w:val="21"/>
              </w:rPr>
            </w:pPr>
            <w:r>
              <w:rPr>
                <w:rFonts w:hint="eastAsia" w:cs="Times New Roman"/>
                <w:b/>
                <w:szCs w:val="21"/>
              </w:rPr>
              <w:t>序号</w:t>
            </w:r>
          </w:p>
        </w:tc>
        <w:tc>
          <w:tcPr>
            <w:tcW w:w="2073"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
                <w:szCs w:val="21"/>
              </w:rPr>
            </w:pPr>
            <w:r>
              <w:rPr>
                <w:rFonts w:hint="eastAsia" w:cs="Times New Roman"/>
                <w:b/>
                <w:szCs w:val="21"/>
              </w:rPr>
              <w:t>评审项目</w:t>
            </w:r>
          </w:p>
        </w:tc>
        <w:tc>
          <w:tcPr>
            <w:tcW w:w="85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
                <w:szCs w:val="21"/>
              </w:rPr>
            </w:pPr>
            <w:r>
              <w:rPr>
                <w:rFonts w:hint="eastAsia" w:cs="Times New Roman"/>
                <w:b/>
                <w:szCs w:val="21"/>
              </w:rPr>
              <w:t>分值</w:t>
            </w:r>
          </w:p>
        </w:tc>
        <w:tc>
          <w:tcPr>
            <w:tcW w:w="552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
                <w:szCs w:val="21"/>
              </w:rPr>
            </w:pPr>
            <w:r>
              <w:rPr>
                <w:rFonts w:hint="eastAsia" w:cs="Times New Roman"/>
                <w:b/>
                <w:szCs w:val="21"/>
              </w:rPr>
              <w:t>评审内容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673" w:hRule="atLeast"/>
          <w:jc w:val="center"/>
        </w:trPr>
        <w:tc>
          <w:tcPr>
            <w:tcW w:w="662" w:type="dxa"/>
            <w:tcBorders>
              <w:top w:val="single" w:color="auto" w:sz="4" w:space="0"/>
              <w:left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cs="Times New Roman"/>
                <w:b/>
                <w:szCs w:val="21"/>
              </w:rPr>
            </w:pPr>
            <w:r>
              <w:rPr>
                <w:rFonts w:hint="eastAsia" w:cs="Times New Roman"/>
                <w:b/>
                <w:szCs w:val="21"/>
              </w:rPr>
              <w:t>1</w:t>
            </w:r>
          </w:p>
        </w:tc>
        <w:tc>
          <w:tcPr>
            <w:tcW w:w="2073" w:type="dxa"/>
            <w:tcBorders>
              <w:top w:val="single" w:color="auto" w:sz="4" w:space="0"/>
              <w:left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szCs w:val="21"/>
              </w:rPr>
            </w:pPr>
            <w:r>
              <w:rPr>
                <w:rFonts w:hint="eastAsia"/>
                <w:szCs w:val="21"/>
              </w:rPr>
              <w:t>同类项目经验</w:t>
            </w:r>
          </w:p>
        </w:tc>
        <w:tc>
          <w:tcPr>
            <w:tcW w:w="851"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cs="Times New Roman"/>
                <w:bCs/>
                <w:szCs w:val="21"/>
              </w:rPr>
            </w:pPr>
            <w:r>
              <w:rPr>
                <w:rFonts w:cs="Times New Roman"/>
                <w:bCs/>
                <w:szCs w:val="21"/>
              </w:rPr>
              <w:t>6</w:t>
            </w:r>
          </w:p>
        </w:tc>
        <w:tc>
          <w:tcPr>
            <w:tcW w:w="552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20" w:lineRule="exact"/>
              <w:textAlignment w:val="baseline"/>
              <w:rPr>
                <w:szCs w:val="21"/>
              </w:rPr>
            </w:pPr>
            <w:r>
              <w:rPr>
                <w:rFonts w:hint="eastAsia"/>
                <w:szCs w:val="21"/>
                <w:lang w:eastAsia="zh-CN"/>
              </w:rPr>
              <w:t>供应商</w:t>
            </w:r>
            <w:r>
              <w:rPr>
                <w:szCs w:val="21"/>
              </w:rPr>
              <w:t>提供近3年（</w:t>
            </w:r>
            <w:r>
              <w:rPr>
                <w:rFonts w:hint="eastAsia"/>
                <w:szCs w:val="21"/>
              </w:rPr>
              <w:t>2</w:t>
            </w:r>
            <w:r>
              <w:rPr>
                <w:szCs w:val="21"/>
              </w:rPr>
              <w:t>019年1月1日至今）每提供一个同类项目业绩得2分。</w:t>
            </w:r>
          </w:p>
          <w:p>
            <w:pPr>
              <w:adjustRightInd w:val="0"/>
              <w:spacing w:line="320" w:lineRule="exact"/>
              <w:textAlignment w:val="baseline"/>
              <w:rPr>
                <w:rFonts w:hint="eastAsia"/>
                <w:szCs w:val="21"/>
              </w:rPr>
            </w:pPr>
            <w:r>
              <w:rPr>
                <w:szCs w:val="21"/>
              </w:rPr>
              <w:t>须提供合同关键页（金额页、内容页、盖章页</w:t>
            </w:r>
            <w:r>
              <w:rPr>
                <w:rFonts w:hint="eastAsia"/>
                <w:szCs w:val="21"/>
                <w:lang w:eastAsia="zh-CN"/>
              </w:rPr>
              <w:t>、</w:t>
            </w:r>
            <w:r>
              <w:rPr>
                <w:rFonts w:hint="eastAsia"/>
                <w:szCs w:val="21"/>
                <w:lang w:val="en-US" w:eastAsia="zh-CN"/>
              </w:rPr>
              <w:t>日期页</w:t>
            </w:r>
            <w:r>
              <w:rPr>
                <w:szCs w:val="21"/>
              </w:rPr>
              <w:t>等，合同未能体现金额的提供合同期内实际开具的发票扫描件</w:t>
            </w:r>
            <w:r>
              <w:rPr>
                <w:rFonts w:hint="eastAsia"/>
                <w:szCs w:val="21"/>
                <w:lang w:val="en-US" w:eastAsia="zh-CN"/>
              </w:rPr>
              <w:t>且完整清晰及具有电子二维码</w:t>
            </w:r>
            <w:r>
              <w:rPr>
                <w:szCs w:val="21"/>
              </w:rPr>
              <w:t>）或其他有效证明材料（如中</w:t>
            </w:r>
            <w:r>
              <w:rPr>
                <w:rFonts w:hint="eastAsia"/>
                <w:szCs w:val="21"/>
              </w:rPr>
              <w:t>标</w:t>
            </w:r>
            <w:r>
              <w:rPr>
                <w:szCs w:val="21"/>
              </w:rPr>
              <w:t>通知书等）扫描件，否则不得分</w:t>
            </w:r>
            <w:r>
              <w:rPr>
                <w:rFonts w:hint="eastAsia"/>
                <w:szCs w:val="21"/>
              </w:rPr>
              <w:t>。</w:t>
            </w:r>
          </w:p>
          <w:p>
            <w:pPr>
              <w:adjustRightInd w:val="0"/>
              <w:spacing w:line="320" w:lineRule="exact"/>
              <w:textAlignment w:val="baseline"/>
            </w:pPr>
            <w:r>
              <w:rPr>
                <w:rFonts w:hint="eastAsia"/>
                <w:szCs w:val="21"/>
              </w:rPr>
              <w:t>注：未提供或内容模糊不清的，其业绩不予认定。</w:t>
            </w:r>
          </w:p>
        </w:tc>
      </w:tr>
    </w:tbl>
    <w:p>
      <w:pPr>
        <w:spacing w:line="360" w:lineRule="auto"/>
        <w:rPr>
          <w:rFonts w:ascii="Tahoma" w:hAnsi="Tahoma" w:cs="Tahoma"/>
          <w:b/>
          <w:bCs/>
          <w:szCs w:val="21"/>
        </w:rPr>
      </w:pPr>
      <w:r>
        <w:rPr>
          <w:rFonts w:ascii="Tahoma" w:hAnsi="Tahoma" w:cs="Tahoma"/>
          <w:b/>
          <w:bCs/>
          <w:szCs w:val="21"/>
        </w:rPr>
        <w:t>3.4.2技术部分</w:t>
      </w:r>
    </w:p>
    <w:p>
      <w:pPr>
        <w:adjustRightInd w:val="0"/>
        <w:snapToGrid w:val="0"/>
        <w:spacing w:line="360" w:lineRule="auto"/>
        <w:ind w:right="312"/>
        <w:rPr>
          <w:rFonts w:ascii="Tahoma" w:hAnsi="Tahoma" w:cs="Tahoma"/>
          <w:b/>
          <w:bCs/>
          <w:szCs w:val="21"/>
        </w:rPr>
      </w:pPr>
      <w:r>
        <w:rPr>
          <w:rFonts w:hint="eastAsia" w:ascii="Tahoma" w:hAnsi="Tahoma" w:cs="Tahoma"/>
          <w:b/>
          <w:bCs/>
          <w:szCs w:val="21"/>
        </w:rPr>
        <w:t>B、</w:t>
      </w:r>
      <w:r>
        <w:rPr>
          <w:rFonts w:ascii="Tahoma" w:hAnsi="Tahoma" w:cs="Tahoma"/>
          <w:b/>
          <w:bCs/>
          <w:szCs w:val="21"/>
        </w:rPr>
        <w:t>技术部分评分标准（满分64分）</w:t>
      </w:r>
    </w:p>
    <w:tbl>
      <w:tblPr>
        <w:tblStyle w:val="32"/>
        <w:tblpPr w:leftFromText="180" w:rightFromText="180" w:vertAnchor="text" w:horzAnchor="page" w:tblpX="1537" w:tblpY="548"/>
        <w:tblOverlap w:val="never"/>
        <w:tblW w:w="9039" w:type="dxa"/>
        <w:tblInd w:w="0" w:type="dxa"/>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817"/>
        <w:gridCol w:w="1418"/>
        <w:gridCol w:w="850"/>
        <w:gridCol w:w="5954"/>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17"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textAlignment w:val="baseline"/>
              <w:rPr>
                <w:rFonts w:cs="Times New Roman"/>
                <w:b/>
              </w:rPr>
            </w:pPr>
            <w:r>
              <w:rPr>
                <w:rFonts w:hint="eastAsia" w:cs="Times New Roman"/>
                <w:b/>
              </w:rPr>
              <w:t>序号</w:t>
            </w:r>
          </w:p>
        </w:tc>
        <w:tc>
          <w:tcPr>
            <w:tcW w:w="1418"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textAlignment w:val="baseline"/>
              <w:rPr>
                <w:rFonts w:cs="Times New Roman"/>
                <w:b/>
              </w:rPr>
            </w:pPr>
            <w:r>
              <w:rPr>
                <w:rFonts w:hint="eastAsia" w:cs="Times New Roman"/>
                <w:b/>
              </w:rPr>
              <w:t>评审项目</w:t>
            </w:r>
          </w:p>
        </w:tc>
        <w:tc>
          <w:tcPr>
            <w:tcW w:w="850"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textAlignment w:val="baseline"/>
              <w:rPr>
                <w:rFonts w:cs="Times New Roman"/>
                <w:b/>
              </w:rPr>
            </w:pPr>
            <w:r>
              <w:rPr>
                <w:rFonts w:hint="eastAsia" w:cs="Times New Roman"/>
                <w:b/>
              </w:rPr>
              <w:t>分值</w:t>
            </w:r>
          </w:p>
        </w:tc>
        <w:tc>
          <w:tcPr>
            <w:tcW w:w="5954" w:type="dxa"/>
            <w:tcBorders>
              <w:top w:val="single" w:color="auto" w:sz="4" w:space="0"/>
              <w:left w:val="single" w:color="auto" w:sz="4" w:space="0"/>
              <w:bottom w:val="single" w:color="auto" w:sz="4" w:space="0"/>
              <w:right w:val="single" w:color="auto" w:sz="4" w:space="0"/>
            </w:tcBorders>
          </w:tcPr>
          <w:p>
            <w:pPr>
              <w:adjustRightInd w:val="0"/>
              <w:spacing w:line="360" w:lineRule="auto"/>
              <w:jc w:val="center"/>
              <w:textAlignment w:val="baseline"/>
              <w:rPr>
                <w:rFonts w:cs="Times New Roman"/>
                <w:b/>
              </w:rPr>
            </w:pPr>
            <w:r>
              <w:rPr>
                <w:rFonts w:hint="eastAsia" w:cs="Times New Roman"/>
                <w:b/>
              </w:rPr>
              <w:t>评审内容</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793"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Cs/>
              </w:rPr>
            </w:pPr>
            <w:r>
              <w:rPr>
                <w:rFonts w:hint="eastAsia" w:cs="Times New Roman"/>
                <w:bCs/>
              </w:rPr>
              <w:t>1</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pPr>
            <w:r>
              <w:rPr>
                <w:rFonts w:hint="eastAsia" w:cs="Times New Roman"/>
              </w:rPr>
              <w:t>配送车辆</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Cs/>
              </w:rPr>
            </w:pPr>
            <w:r>
              <w:rPr>
                <w:rFonts w:cs="Times New Roman"/>
                <w:bCs/>
              </w:rPr>
              <w:t>6</w:t>
            </w:r>
          </w:p>
        </w:tc>
        <w:tc>
          <w:tcPr>
            <w:tcW w:w="5954" w:type="dxa"/>
            <w:tcBorders>
              <w:top w:val="single" w:color="auto" w:sz="4" w:space="0"/>
              <w:left w:val="single" w:color="auto" w:sz="4" w:space="0"/>
              <w:bottom w:val="single" w:color="auto" w:sz="4" w:space="0"/>
              <w:right w:val="single" w:color="auto" w:sz="4" w:space="0"/>
            </w:tcBorders>
          </w:tcPr>
          <w:p>
            <w:pPr>
              <w:adjustRightInd w:val="0"/>
              <w:spacing w:line="360" w:lineRule="auto"/>
              <w:textAlignment w:val="baseline"/>
              <w:rPr>
                <w:rFonts w:cs="Times New Roman"/>
              </w:rPr>
            </w:pPr>
            <w:r>
              <w:rPr>
                <w:rFonts w:hint="eastAsia" w:cs="Times New Roman"/>
              </w:rPr>
              <w:t>根据</w:t>
            </w:r>
            <w:r>
              <w:rPr>
                <w:rFonts w:hint="eastAsia" w:cs="Times New Roman"/>
                <w:lang w:eastAsia="zh-CN"/>
              </w:rPr>
              <w:t>供应商</w:t>
            </w:r>
            <w:r>
              <w:rPr>
                <w:rFonts w:hint="eastAsia" w:cs="Times New Roman"/>
              </w:rPr>
              <w:t>拟用于本项目的配送车辆（</w:t>
            </w:r>
            <w:r>
              <w:rPr>
                <w:rFonts w:hint="eastAsia" w:cs="Times New Roman"/>
                <w:lang w:val="en-US" w:eastAsia="zh-CN"/>
              </w:rPr>
              <w:t>第六包肉类：</w:t>
            </w:r>
            <w:r>
              <w:rPr>
                <w:rFonts w:hint="eastAsia" w:cs="Times New Roman"/>
              </w:rPr>
              <w:t>冷藏车）进行评分：有一辆的得</w:t>
            </w:r>
            <w:r>
              <w:rPr>
                <w:rFonts w:cs="Times New Roman"/>
              </w:rPr>
              <w:t>2</w:t>
            </w:r>
            <w:r>
              <w:rPr>
                <w:rFonts w:hint="eastAsia" w:cs="Times New Roman"/>
              </w:rPr>
              <w:t>分；每增加1辆加2分，满分6分；</w:t>
            </w:r>
          </w:p>
          <w:p>
            <w:pPr>
              <w:adjustRightInd w:val="0"/>
              <w:spacing w:line="360" w:lineRule="auto"/>
              <w:textAlignment w:val="baseline"/>
            </w:pPr>
            <w:r>
              <w:rPr>
                <w:rFonts w:hint="eastAsia" w:cs="Times New Roman"/>
              </w:rPr>
              <w:t>评分认定标准：</w:t>
            </w:r>
            <w:r>
              <w:rPr>
                <w:rFonts w:hint="eastAsia" w:cs="Times New Roman"/>
                <w:lang w:eastAsia="zh-CN"/>
              </w:rPr>
              <w:t>（</w:t>
            </w:r>
            <w:r>
              <w:rPr>
                <w:rFonts w:cs="Times New Roman"/>
              </w:rPr>
              <w:t>1</w:t>
            </w:r>
            <w:r>
              <w:rPr>
                <w:rFonts w:hint="eastAsia" w:cs="Times New Roman"/>
                <w:lang w:eastAsia="zh-CN"/>
              </w:rPr>
              <w:t>）</w:t>
            </w:r>
            <w:r>
              <w:rPr>
                <w:rFonts w:hint="eastAsia" w:cs="Times New Roman"/>
              </w:rPr>
              <w:t>提供机动车行驶证及车辆登记证复印件才可得分；</w:t>
            </w:r>
            <w:r>
              <w:rPr>
                <w:rFonts w:hint="eastAsia" w:cs="Times New Roman"/>
                <w:lang w:eastAsia="zh-CN"/>
              </w:rPr>
              <w:t>（</w:t>
            </w:r>
            <w:r>
              <w:rPr>
                <w:rFonts w:hint="eastAsia" w:cs="Times New Roman"/>
                <w:lang w:val="en-US" w:eastAsia="zh-CN"/>
              </w:rPr>
              <w:t>2</w:t>
            </w:r>
            <w:r>
              <w:rPr>
                <w:rFonts w:hint="eastAsia" w:cs="Times New Roman"/>
                <w:lang w:eastAsia="zh-CN"/>
              </w:rPr>
              <w:t>）</w:t>
            </w:r>
            <w:r>
              <w:rPr>
                <w:rFonts w:hint="eastAsia" w:cs="Times New Roman"/>
              </w:rPr>
              <w:t>配送车辆如为租赁的，须提供租赁合同，不提供者</w:t>
            </w:r>
            <w:r>
              <w:rPr>
                <w:rFonts w:hint="eastAsia" w:cs="Times New Roman"/>
                <w:lang w:val="en-US" w:eastAsia="zh-CN"/>
              </w:rPr>
              <w:t>或者</w:t>
            </w:r>
            <w:r>
              <w:rPr>
                <w:rFonts w:hint="eastAsia" w:cs="Times New Roman"/>
              </w:rPr>
              <w:t>上述材料</w:t>
            </w:r>
            <w:r>
              <w:rPr>
                <w:rFonts w:hint="eastAsia" w:cs="Times New Roman"/>
                <w:lang w:val="en-US" w:eastAsia="zh-CN"/>
              </w:rPr>
              <w:t>不清晰不完整无法辨识的</w:t>
            </w:r>
            <w:r>
              <w:rPr>
                <w:rFonts w:hint="eastAsia" w:cs="Times New Roman"/>
              </w:rPr>
              <w:t>本项不得分。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1518"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Cs/>
              </w:rPr>
            </w:pPr>
            <w:r>
              <w:rPr>
                <w:rFonts w:hint="eastAsia" w:cs="Times New Roman"/>
                <w:bCs/>
              </w:rPr>
              <w:t>2</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rPr>
            </w:pPr>
            <w:r>
              <w:rPr>
                <w:rFonts w:hint="eastAsia" w:cs="Times New Roman"/>
              </w:rPr>
              <w:t>配送人员</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Cs/>
              </w:rPr>
            </w:pPr>
            <w:r>
              <w:rPr>
                <w:rFonts w:cs="Times New Roman"/>
                <w:bCs/>
              </w:rPr>
              <w:t>6</w:t>
            </w:r>
          </w:p>
        </w:tc>
        <w:tc>
          <w:tcPr>
            <w:tcW w:w="5954" w:type="dxa"/>
            <w:tcBorders>
              <w:top w:val="single" w:color="auto" w:sz="4" w:space="0"/>
              <w:left w:val="single" w:color="auto" w:sz="4" w:space="0"/>
              <w:bottom w:val="single" w:color="auto" w:sz="4" w:space="0"/>
              <w:right w:val="single" w:color="auto" w:sz="4" w:space="0"/>
            </w:tcBorders>
          </w:tcPr>
          <w:p>
            <w:pPr>
              <w:adjustRightInd w:val="0"/>
              <w:spacing w:line="360" w:lineRule="auto"/>
              <w:textAlignment w:val="baseline"/>
              <w:rPr>
                <w:rFonts w:cs="Times New Roman"/>
              </w:rPr>
            </w:pPr>
            <w:r>
              <w:rPr>
                <w:rFonts w:hint="eastAsia" w:cs="Times New Roman"/>
                <w:lang w:eastAsia="zh-CN"/>
              </w:rPr>
              <w:t>供应商</w:t>
            </w:r>
            <w:r>
              <w:rPr>
                <w:rFonts w:hint="eastAsia" w:cs="Times New Roman"/>
              </w:rPr>
              <w:t>拟投入本项目的配送人员，5人及以上得</w:t>
            </w:r>
            <w:r>
              <w:rPr>
                <w:rFonts w:cs="Times New Roman"/>
              </w:rPr>
              <w:t>6</w:t>
            </w:r>
            <w:r>
              <w:rPr>
                <w:rFonts w:hint="eastAsia" w:cs="Times New Roman"/>
              </w:rPr>
              <w:t>分，</w:t>
            </w:r>
            <w:r>
              <w:rPr>
                <w:rFonts w:cs="Times New Roman"/>
              </w:rPr>
              <w:t>3-4</w:t>
            </w:r>
            <w:r>
              <w:rPr>
                <w:rFonts w:hint="eastAsia" w:cs="Times New Roman"/>
              </w:rPr>
              <w:t>人得</w:t>
            </w:r>
            <w:r>
              <w:rPr>
                <w:rFonts w:cs="Times New Roman"/>
              </w:rPr>
              <w:t>4</w:t>
            </w:r>
            <w:r>
              <w:rPr>
                <w:rFonts w:hint="eastAsia" w:cs="Times New Roman"/>
              </w:rPr>
              <w:t>分，1</w:t>
            </w:r>
            <w:r>
              <w:rPr>
                <w:rFonts w:cs="Times New Roman"/>
              </w:rPr>
              <w:t>-2</w:t>
            </w:r>
            <w:r>
              <w:rPr>
                <w:rFonts w:hint="eastAsia" w:cs="Times New Roman"/>
              </w:rPr>
              <w:t>人得</w:t>
            </w:r>
            <w:r>
              <w:rPr>
                <w:rFonts w:cs="Times New Roman"/>
              </w:rPr>
              <w:t>2</w:t>
            </w:r>
            <w:r>
              <w:rPr>
                <w:rFonts w:hint="eastAsia" w:cs="Times New Roman"/>
              </w:rPr>
              <w:t>分，1人以下不得分，未提供或者证明资料不全不得分。</w:t>
            </w:r>
          </w:p>
          <w:p>
            <w:pPr>
              <w:adjustRightInd w:val="0"/>
              <w:spacing w:line="360" w:lineRule="auto"/>
              <w:textAlignment w:val="baseline"/>
              <w:rPr>
                <w:rFonts w:cs="Times New Roman"/>
              </w:rPr>
            </w:pPr>
            <w:r>
              <w:rPr>
                <w:rFonts w:hint="eastAsia" w:cs="Times New Roman"/>
              </w:rPr>
              <w:t>须提供以上人员的健康证、劳动合同（或者2</w:t>
            </w:r>
            <w:r>
              <w:rPr>
                <w:rFonts w:cs="Times New Roman"/>
              </w:rPr>
              <w:t>021</w:t>
            </w:r>
            <w:r>
              <w:rPr>
                <w:rFonts w:hint="eastAsia" w:cs="Times New Roman"/>
              </w:rPr>
              <w:t>年</w:t>
            </w:r>
            <w:r>
              <w:rPr>
                <w:rFonts w:hint="eastAsia" w:cs="Times New Roman"/>
                <w:lang w:val="en-US" w:eastAsia="zh-CN"/>
              </w:rPr>
              <w:t>10月至今连续</w:t>
            </w:r>
            <w:r>
              <w:rPr>
                <w:rFonts w:hint="eastAsia" w:cs="Times New Roman"/>
              </w:rPr>
              <w:t>3个月的社保</w:t>
            </w:r>
            <w:r>
              <w:rPr>
                <w:rFonts w:hint="eastAsia" w:cs="Times New Roman"/>
                <w:lang w:val="en-US" w:eastAsia="zh-CN"/>
              </w:rPr>
              <w:t>缴纳</w:t>
            </w:r>
            <w:r>
              <w:rPr>
                <w:rFonts w:hint="eastAsia" w:cs="Times New Roman"/>
              </w:rPr>
              <w:t>证明</w:t>
            </w:r>
            <w:r>
              <w:rPr>
                <w:rFonts w:hint="eastAsia" w:cs="Times New Roman"/>
                <w:lang w:val="en-US" w:eastAsia="zh-CN"/>
              </w:rPr>
              <w:t>材料</w:t>
            </w:r>
            <w:r>
              <w:rPr>
                <w:rFonts w:hint="eastAsia" w:cs="Times New Roman"/>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trPr>
        <w:tc>
          <w:tcPr>
            <w:tcW w:w="81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Cs/>
              </w:rPr>
            </w:pPr>
            <w:r>
              <w:rPr>
                <w:rFonts w:hint="eastAsia" w:cs="Times New Roman"/>
                <w:bCs/>
              </w:rPr>
              <w:t>3</w:t>
            </w:r>
          </w:p>
        </w:tc>
        <w:tc>
          <w:tcPr>
            <w:tcW w:w="1418"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rPr>
            </w:pPr>
            <w:r>
              <w:rPr>
                <w:rFonts w:hint="eastAsia" w:cs="Times New Roman"/>
              </w:rPr>
              <w:t>仓储能力</w:t>
            </w:r>
          </w:p>
        </w:tc>
        <w:tc>
          <w:tcPr>
            <w:tcW w:w="850"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Cs/>
              </w:rPr>
            </w:pPr>
            <w:r>
              <w:rPr>
                <w:rFonts w:cs="Times New Roman"/>
                <w:bCs/>
              </w:rPr>
              <w:t>5</w:t>
            </w:r>
          </w:p>
        </w:tc>
        <w:tc>
          <w:tcPr>
            <w:tcW w:w="5954" w:type="dxa"/>
            <w:tcBorders>
              <w:top w:val="single" w:color="auto" w:sz="4" w:space="0"/>
              <w:left w:val="single" w:color="auto" w:sz="4" w:space="0"/>
              <w:bottom w:val="single" w:color="auto" w:sz="4" w:space="0"/>
              <w:right w:val="single" w:color="auto" w:sz="4" w:space="0"/>
            </w:tcBorders>
          </w:tcPr>
          <w:p>
            <w:pPr>
              <w:adjustRightInd w:val="0"/>
              <w:spacing w:line="360" w:lineRule="auto"/>
              <w:textAlignment w:val="baseline"/>
              <w:rPr>
                <w:bCs/>
              </w:rPr>
            </w:pPr>
            <w:r>
              <w:rPr>
                <w:rFonts w:hint="eastAsia"/>
                <w:bCs/>
                <w:lang w:eastAsia="zh-CN"/>
              </w:rPr>
              <w:t>供应商</w:t>
            </w:r>
            <w:r>
              <w:rPr>
                <w:rFonts w:hint="eastAsia" w:cs="Times New Roman"/>
              </w:rPr>
              <w:t>在项目实施地点</w:t>
            </w:r>
            <w:r>
              <w:rPr>
                <w:rFonts w:hint="eastAsia"/>
                <w:bCs/>
              </w:rPr>
              <w:t>的仓储能力，</w:t>
            </w:r>
            <w:bookmarkStart w:id="34" w:name="_Hlk87864939"/>
            <w:r>
              <w:rPr>
                <w:rFonts w:hint="eastAsia"/>
                <w:bCs/>
              </w:rPr>
              <w:t>配备仓库</w:t>
            </w:r>
            <w:bookmarkEnd w:id="34"/>
            <w:r>
              <w:rPr>
                <w:rFonts w:hint="eastAsia"/>
                <w:bCs/>
              </w:rPr>
              <w:t>具备冷藏、冷冻条件得满分，否则不得分。自有仓库库须提供产权证明，如是租赁仓储，则提供租赁合同复印件，不提供不得分。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cs="Times New Roman"/>
                <w:bCs/>
              </w:rPr>
            </w:pPr>
            <w:r>
              <w:rPr>
                <w:rFonts w:cs="Times New Roman"/>
                <w:bCs/>
              </w:rPr>
              <w:t>4</w:t>
            </w: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cs="Times New Roman"/>
              </w:rPr>
            </w:pPr>
            <w:r>
              <w:rPr>
                <w:rFonts w:cs="Tahoma"/>
                <w:bCs/>
              </w:rPr>
              <w:t>货物</w:t>
            </w:r>
            <w:r>
              <w:rPr>
                <w:rFonts w:hint="eastAsia" w:cs="Tahoma"/>
                <w:bCs/>
              </w:rPr>
              <w:t>配送方案</w:t>
            </w: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cs="Times New Roman"/>
              </w:rPr>
            </w:pPr>
            <w:r>
              <w:rPr>
                <w:rFonts w:cs="Times New Roman"/>
              </w:rPr>
              <w:t>9</w:t>
            </w:r>
          </w:p>
        </w:tc>
        <w:tc>
          <w:tcPr>
            <w:tcW w:w="595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adjustRightInd w:val="0"/>
              <w:spacing w:line="360" w:lineRule="exact"/>
              <w:textAlignment w:val="baseline"/>
              <w:rPr>
                <w:rFonts w:cs="Tahoma"/>
                <w:bCs/>
              </w:rPr>
            </w:pPr>
            <w:r>
              <w:rPr>
                <w:rFonts w:cs="Tahoma"/>
                <w:bCs/>
              </w:rPr>
              <w:t>货物</w:t>
            </w:r>
            <w:r>
              <w:rPr>
                <w:rFonts w:hint="eastAsia" w:cs="Tahoma"/>
                <w:bCs/>
              </w:rPr>
              <w:t>配送方案：</w:t>
            </w:r>
          </w:p>
          <w:p>
            <w:pPr>
              <w:adjustRightInd w:val="0"/>
              <w:spacing w:line="360" w:lineRule="exact"/>
              <w:textAlignment w:val="baseline"/>
              <w:rPr>
                <w:rFonts w:cs="Tahoma"/>
                <w:bCs/>
              </w:rPr>
            </w:pPr>
            <w:r>
              <w:rPr>
                <w:rFonts w:hint="eastAsia" w:cs="Tahoma"/>
                <w:bCs/>
              </w:rPr>
              <w:t>（1）</w:t>
            </w:r>
            <w:r>
              <w:rPr>
                <w:rFonts w:hint="eastAsia" w:cs="Tahoma"/>
                <w:bCs/>
                <w:lang w:eastAsia="zh-CN"/>
              </w:rPr>
              <w:t>供应商</w:t>
            </w:r>
            <w:r>
              <w:rPr>
                <w:rFonts w:hint="eastAsia" w:cs="Tahoma"/>
                <w:bCs/>
              </w:rPr>
              <w:t>对货物的运输的具体方案；</w:t>
            </w:r>
          </w:p>
          <w:p>
            <w:pPr>
              <w:adjustRightInd w:val="0"/>
              <w:spacing w:line="360" w:lineRule="exact"/>
              <w:textAlignment w:val="baseline"/>
              <w:rPr>
                <w:rFonts w:cs="Tahoma"/>
                <w:bCs/>
              </w:rPr>
            </w:pPr>
            <w:r>
              <w:rPr>
                <w:rFonts w:cs="Tahoma"/>
                <w:bCs/>
              </w:rPr>
              <w:t>方案思路清晰、措施全面、合理性强、可执行性强的</w:t>
            </w:r>
            <w:r>
              <w:rPr>
                <w:rFonts w:hint="eastAsia" w:cs="Tahoma"/>
                <w:bCs/>
              </w:rPr>
              <w:t>，得3分；</w:t>
            </w:r>
            <w:r>
              <w:rPr>
                <w:rFonts w:cs="Tahoma"/>
                <w:bCs/>
              </w:rPr>
              <w:t>方案思路较为清晰、措施较为全面、合理性较强、可执行性较强的，得2分；方案思路不够清晰、措施不全面、合理性差、可执行性低的，得1分</w:t>
            </w:r>
            <w:r>
              <w:rPr>
                <w:rFonts w:hint="eastAsia" w:cs="Tahoma"/>
                <w:bCs/>
              </w:rPr>
              <w:t>；</w:t>
            </w:r>
            <w:r>
              <w:rPr>
                <w:rFonts w:cs="Tahoma"/>
                <w:bCs/>
              </w:rPr>
              <w:t>未提供方案或提供的方案内容与本项目无针对性关系的，不得分。</w:t>
            </w:r>
          </w:p>
          <w:p>
            <w:pPr>
              <w:adjustRightInd w:val="0"/>
              <w:spacing w:line="360" w:lineRule="exact"/>
              <w:textAlignment w:val="baseline"/>
              <w:rPr>
                <w:rFonts w:cs="Tahoma"/>
                <w:bCs/>
              </w:rPr>
            </w:pPr>
            <w:r>
              <w:rPr>
                <w:rFonts w:hint="eastAsia" w:cs="Tahoma"/>
                <w:bCs/>
              </w:rPr>
              <w:t>（2）</w:t>
            </w:r>
            <w:r>
              <w:rPr>
                <w:rFonts w:hint="eastAsia" w:cs="Tahoma"/>
                <w:bCs/>
                <w:lang w:eastAsia="zh-CN"/>
              </w:rPr>
              <w:t>供应商</w:t>
            </w:r>
            <w:r>
              <w:rPr>
                <w:rFonts w:hint="eastAsia" w:cs="Tahoma"/>
                <w:bCs/>
              </w:rPr>
              <w:t>对货物配送的具体方案；</w:t>
            </w:r>
          </w:p>
          <w:p>
            <w:pPr>
              <w:adjustRightInd w:val="0"/>
              <w:spacing w:line="360" w:lineRule="exact"/>
              <w:textAlignment w:val="baseline"/>
              <w:rPr>
                <w:rFonts w:cs="Tahoma"/>
                <w:bCs/>
              </w:rPr>
            </w:pPr>
            <w:r>
              <w:rPr>
                <w:rFonts w:cs="Tahoma"/>
                <w:bCs/>
              </w:rPr>
              <w:t>方案思路清晰、措施全面、合理性强、可执行性强的</w:t>
            </w:r>
            <w:r>
              <w:rPr>
                <w:rFonts w:hint="eastAsia" w:cs="Tahoma"/>
                <w:bCs/>
              </w:rPr>
              <w:t>，得3分；</w:t>
            </w:r>
            <w:r>
              <w:rPr>
                <w:rFonts w:cs="Tahoma"/>
                <w:bCs/>
              </w:rPr>
              <w:t>方案思路较为清晰、措施较为全面、合理性较强、可执行性较强的，得2分；方案思路不够清晰、措施不全面、合理性差、可执行性低的，得1分</w:t>
            </w:r>
            <w:r>
              <w:rPr>
                <w:rFonts w:hint="eastAsia" w:cs="Tahoma"/>
                <w:bCs/>
              </w:rPr>
              <w:t>；</w:t>
            </w:r>
            <w:r>
              <w:rPr>
                <w:rFonts w:cs="Tahoma"/>
                <w:bCs/>
              </w:rPr>
              <w:t>未提供方案或提供的方案内容与本项目无针对性关系的，不得分。</w:t>
            </w:r>
          </w:p>
          <w:p>
            <w:pPr>
              <w:adjustRightInd w:val="0"/>
              <w:spacing w:line="360" w:lineRule="exact"/>
              <w:textAlignment w:val="baseline"/>
              <w:rPr>
                <w:rFonts w:cs="Tahoma"/>
                <w:bCs/>
              </w:rPr>
            </w:pPr>
            <w:r>
              <w:rPr>
                <w:rFonts w:hint="eastAsia" w:cs="Tahoma"/>
                <w:bCs/>
              </w:rPr>
              <w:t>（3）</w:t>
            </w:r>
            <w:r>
              <w:rPr>
                <w:rFonts w:hint="eastAsia" w:cs="Tahoma"/>
                <w:bCs/>
                <w:lang w:eastAsia="zh-CN"/>
              </w:rPr>
              <w:t>供应商</w:t>
            </w:r>
            <w:r>
              <w:rPr>
                <w:rFonts w:hint="eastAsia" w:cs="Tahoma"/>
                <w:bCs/>
              </w:rPr>
              <w:t>对货物装卸的具体方案；</w:t>
            </w:r>
          </w:p>
          <w:p>
            <w:pPr>
              <w:adjustRightInd w:val="0"/>
              <w:spacing w:line="360" w:lineRule="exact"/>
              <w:textAlignment w:val="baseline"/>
              <w:rPr>
                <w:rFonts w:cs="Tahoma"/>
                <w:bCs/>
              </w:rPr>
            </w:pPr>
            <w:r>
              <w:rPr>
                <w:rFonts w:cs="Tahoma"/>
                <w:bCs/>
              </w:rPr>
              <w:t>方案思路清晰、措施全面、合理性强、可执行性强的</w:t>
            </w:r>
            <w:r>
              <w:rPr>
                <w:rFonts w:hint="eastAsia" w:cs="Tahoma"/>
                <w:bCs/>
              </w:rPr>
              <w:t>，得3分；</w:t>
            </w:r>
            <w:r>
              <w:rPr>
                <w:rFonts w:cs="Tahoma"/>
                <w:bCs/>
              </w:rPr>
              <w:t>方案思路较为清晰、措施较为全面、合理性较强、可执行性较强的，得2分；方案思路不够清晰、措施不全面、合理性差、可执行性低的，得1分</w:t>
            </w:r>
            <w:r>
              <w:rPr>
                <w:rFonts w:hint="eastAsia" w:cs="Tahoma"/>
                <w:bCs/>
              </w:rPr>
              <w:t>；</w:t>
            </w:r>
            <w:r>
              <w:rPr>
                <w:rFonts w:cs="Tahoma"/>
                <w:bCs/>
              </w:rPr>
              <w:t>未提供方案或提供的方案内容与本项目无针对性关系的，不得分。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cs="Times New Roman"/>
                <w:bCs/>
              </w:rPr>
            </w:pPr>
            <w:r>
              <w:rPr>
                <w:rFonts w:cs="Times New Roman"/>
                <w:bCs/>
              </w:rPr>
              <w:t>5</w:t>
            </w: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cs="Tahoma"/>
                <w:bCs/>
              </w:rPr>
            </w:pPr>
            <w:r>
              <w:rPr>
                <w:rFonts w:hint="eastAsia" w:cs="Times New Roman"/>
              </w:rPr>
              <w:t>安全质量</w:t>
            </w: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cs="Times New Roman"/>
              </w:rPr>
            </w:pPr>
            <w:r>
              <w:rPr>
                <w:rFonts w:cs="Times New Roman"/>
              </w:rPr>
              <w:t>10</w:t>
            </w:r>
          </w:p>
        </w:tc>
        <w:tc>
          <w:tcPr>
            <w:tcW w:w="595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adjustRightInd w:val="0"/>
              <w:spacing w:line="360" w:lineRule="exact"/>
              <w:textAlignment w:val="baseline"/>
              <w:rPr>
                <w:rFonts w:hint="eastAsia" w:cs="Times New Roman"/>
              </w:rPr>
            </w:pPr>
            <w:r>
              <w:rPr>
                <w:rFonts w:hint="eastAsia" w:cs="Times New Roman"/>
              </w:rPr>
              <w:t>（1）针对质量安全控制的操作流程、下游控制流程的方案介绍。</w:t>
            </w:r>
          </w:p>
          <w:p>
            <w:pPr>
              <w:adjustRightInd w:val="0"/>
              <w:spacing w:line="360" w:lineRule="exact"/>
              <w:textAlignment w:val="baseline"/>
              <w:rPr>
                <w:rFonts w:cs="Times New Roman"/>
              </w:rPr>
            </w:pPr>
            <w:r>
              <w:rPr>
                <w:rFonts w:cs="Tahoma"/>
                <w:bCs/>
              </w:rPr>
              <w:t>方案思路清晰、措施全面、合理性强、可执行性强</w:t>
            </w:r>
            <w:r>
              <w:rPr>
                <w:rFonts w:hint="eastAsia" w:cs="Tahoma"/>
                <w:bCs/>
              </w:rPr>
              <w:t>，</w:t>
            </w:r>
            <w:r>
              <w:rPr>
                <w:rFonts w:hint="eastAsia" w:cs="Times New Roman"/>
              </w:rPr>
              <w:t>项目整体执行过程的安全较高效，对场地、物料、人员、运输等环节的协调能力较强，具有较为明确的可量化的目标，</w:t>
            </w:r>
          </w:p>
          <w:p>
            <w:pPr>
              <w:adjustRightInd w:val="0"/>
              <w:spacing w:line="360" w:lineRule="exact"/>
              <w:textAlignment w:val="baseline"/>
              <w:rPr>
                <w:rFonts w:hint="eastAsia" w:cs="Times New Roman"/>
              </w:rPr>
            </w:pPr>
            <w:r>
              <w:rPr>
                <w:rFonts w:hint="eastAsia" w:cs="Cambria"/>
              </w:rPr>
              <w:t>得5分；</w:t>
            </w:r>
          </w:p>
          <w:p>
            <w:pPr>
              <w:adjustRightInd w:val="0"/>
              <w:spacing w:line="360" w:lineRule="exact"/>
              <w:textAlignment w:val="baseline"/>
              <w:rPr>
                <w:rFonts w:cs="Times New Roman"/>
              </w:rPr>
            </w:pPr>
            <w:r>
              <w:rPr>
                <w:rFonts w:cs="Tahoma"/>
                <w:bCs/>
              </w:rPr>
              <w:t>方案思路较为清晰、措施较为全面、合理性较强、可执行性较强的</w:t>
            </w:r>
            <w:r>
              <w:rPr>
                <w:rFonts w:hint="eastAsia" w:cs="Tahoma"/>
                <w:bCs/>
              </w:rPr>
              <w:t>，</w:t>
            </w:r>
            <w:r>
              <w:rPr>
                <w:rFonts w:hint="eastAsia" w:cs="Times New Roman"/>
              </w:rPr>
              <w:t>项目整体执行过程的安全满足要求，对场地、物料、人员、运输等环节的协调一般，目标基本可量化，得3分；</w:t>
            </w:r>
          </w:p>
          <w:p>
            <w:pPr>
              <w:adjustRightInd w:val="0"/>
              <w:spacing w:line="360" w:lineRule="exact"/>
              <w:textAlignment w:val="baseline"/>
              <w:rPr>
                <w:rFonts w:cs="Times New Roman"/>
              </w:rPr>
            </w:pPr>
            <w:r>
              <w:rPr>
                <w:rFonts w:cs="Tahoma"/>
                <w:bCs/>
              </w:rPr>
              <w:t>方案思路不够清晰、措施不全面、合理性差、可执行性低的</w:t>
            </w:r>
            <w:r>
              <w:rPr>
                <w:rFonts w:hint="eastAsia" w:cs="Tahoma"/>
                <w:bCs/>
              </w:rPr>
              <w:t>，</w:t>
            </w:r>
            <w:r>
              <w:rPr>
                <w:rFonts w:hint="eastAsia" w:cs="Times New Roman"/>
              </w:rPr>
              <w:t>项目整体执行过程的安全基本满足要求，对场地、物料、人员、运输等环节的协调较差，目标基本可量化，得</w:t>
            </w:r>
            <w:r>
              <w:rPr>
                <w:rFonts w:cs="Times New Roman"/>
              </w:rPr>
              <w:t>1</w:t>
            </w:r>
            <w:r>
              <w:rPr>
                <w:rFonts w:hint="eastAsia" w:cs="Times New Roman"/>
              </w:rPr>
              <w:t>分；</w:t>
            </w:r>
          </w:p>
          <w:p>
            <w:pPr>
              <w:adjustRightInd w:val="0"/>
              <w:spacing w:line="360" w:lineRule="exact"/>
              <w:textAlignment w:val="baseline"/>
              <w:rPr>
                <w:rFonts w:cs="仿宋_GB2312"/>
              </w:rPr>
            </w:pPr>
            <w:r>
              <w:rPr>
                <w:rFonts w:hint="eastAsia" w:cs="Times New Roman"/>
              </w:rPr>
              <w:t>（2）针对安全控制的安全举措，</w:t>
            </w:r>
            <w:r>
              <w:rPr>
                <w:rFonts w:hint="eastAsia" w:cs="仿宋_GB2312"/>
              </w:rPr>
              <w:t>包括但不限于食品可追溯性、各类产品检测结果</w:t>
            </w:r>
            <w:r>
              <w:rPr>
                <w:rFonts w:hint="eastAsia"/>
                <w:bCs/>
                <w:szCs w:val="21"/>
              </w:rPr>
              <w:t>（例如农残、水份、重</w:t>
            </w:r>
            <w:r>
              <w:rPr>
                <w:rFonts w:hint="eastAsia"/>
                <w:szCs w:val="21"/>
              </w:rPr>
              <w:t>金属、非法添加剂、非转基因成分等等</w:t>
            </w:r>
            <w:r>
              <w:rPr>
                <w:rFonts w:hint="eastAsia" w:cs="仿宋_GB2312"/>
              </w:rPr>
              <w:t>）。</w:t>
            </w:r>
          </w:p>
          <w:p>
            <w:pPr>
              <w:adjustRightInd w:val="0"/>
              <w:spacing w:line="360" w:lineRule="exact"/>
              <w:textAlignment w:val="baseline"/>
              <w:rPr>
                <w:rFonts w:cs="Times New Roman"/>
              </w:rPr>
            </w:pPr>
            <w:r>
              <w:rPr>
                <w:rFonts w:cs="Tahoma"/>
                <w:bCs/>
              </w:rPr>
              <w:t>方案思路清晰、措施全面、合理性强、可执行性强</w:t>
            </w:r>
            <w:r>
              <w:rPr>
                <w:rFonts w:hint="eastAsia" w:cs="Tahoma"/>
                <w:bCs/>
              </w:rPr>
              <w:t>，</w:t>
            </w:r>
            <w:r>
              <w:rPr>
                <w:rFonts w:hint="eastAsia" w:cs="Times New Roman"/>
              </w:rPr>
              <w:t>以安全导向、体现较高的执行效率、产品检测齐全、产品安全系数高得</w:t>
            </w:r>
            <w:r>
              <w:rPr>
                <w:rFonts w:cs="Times New Roman"/>
              </w:rPr>
              <w:t>5</w:t>
            </w:r>
            <w:r>
              <w:rPr>
                <w:rFonts w:hint="eastAsia" w:cs="Times New Roman"/>
              </w:rPr>
              <w:t>分；</w:t>
            </w:r>
          </w:p>
          <w:p>
            <w:pPr>
              <w:adjustRightInd w:val="0"/>
              <w:spacing w:line="360" w:lineRule="exact"/>
              <w:textAlignment w:val="baseline"/>
              <w:rPr>
                <w:rFonts w:cs="Times New Roman"/>
              </w:rPr>
            </w:pPr>
            <w:r>
              <w:rPr>
                <w:rFonts w:cs="Tahoma"/>
                <w:bCs/>
              </w:rPr>
              <w:t>方案思路较为清晰、措施较为全面、合理性较强、可执行性较强的</w:t>
            </w:r>
            <w:r>
              <w:rPr>
                <w:rFonts w:hint="eastAsia" w:cs="Tahoma"/>
                <w:bCs/>
              </w:rPr>
              <w:t>，</w:t>
            </w:r>
            <w:r>
              <w:rPr>
                <w:rFonts w:hint="eastAsia" w:cs="Times New Roman"/>
              </w:rPr>
              <w:t>且以安全导向、执行效率符合项目要求，产品检测基本齐全、产品安全系数较高得</w:t>
            </w:r>
            <w:r>
              <w:rPr>
                <w:rFonts w:cs="Times New Roman"/>
              </w:rPr>
              <w:t>3</w:t>
            </w:r>
            <w:r>
              <w:rPr>
                <w:rFonts w:hint="eastAsia" w:cs="Times New Roman"/>
              </w:rPr>
              <w:t>分；</w:t>
            </w:r>
          </w:p>
          <w:p>
            <w:pPr>
              <w:adjustRightInd w:val="0"/>
              <w:spacing w:line="360" w:lineRule="exact"/>
              <w:textAlignment w:val="baseline"/>
              <w:rPr>
                <w:rFonts w:cs="Times New Roman"/>
              </w:rPr>
            </w:pPr>
            <w:r>
              <w:rPr>
                <w:rFonts w:cs="Tahoma"/>
                <w:bCs/>
              </w:rPr>
              <w:t>方案思路不够清晰、措施不全面、合理性差、可执行性低的</w:t>
            </w:r>
            <w:r>
              <w:rPr>
                <w:rFonts w:hint="eastAsia" w:cs="Times New Roman"/>
              </w:rPr>
              <w:t>，且以安全导向、执行效率较低，有产品检测、产品安全得</w:t>
            </w:r>
            <w:r>
              <w:rPr>
                <w:rFonts w:cs="Times New Roman"/>
              </w:rPr>
              <w:t>1</w:t>
            </w:r>
            <w:r>
              <w:rPr>
                <w:rFonts w:hint="eastAsia" w:cs="Times New Roman"/>
              </w:rPr>
              <w:t>分；</w:t>
            </w:r>
          </w:p>
          <w:p>
            <w:pPr>
              <w:adjustRightInd w:val="0"/>
              <w:spacing w:line="360" w:lineRule="exact"/>
              <w:textAlignment w:val="baseline"/>
              <w:rPr>
                <w:rFonts w:cs="Times New Roman"/>
              </w:rPr>
            </w:pPr>
            <w:r>
              <w:rPr>
                <w:rFonts w:cs="Times New Roman"/>
              </w:rPr>
              <w:t>提供方案或提供的方案内容与本项目无关系的，不得分。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8" w:hRule="atLeast"/>
        </w:trPr>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cs="Times New Roman"/>
                <w:bCs/>
              </w:rPr>
            </w:pPr>
            <w:r>
              <w:rPr>
                <w:rFonts w:cs="Times New Roman"/>
                <w:bCs/>
              </w:rPr>
              <w:t>6</w:t>
            </w: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cs="Times New Roman"/>
              </w:rPr>
            </w:pPr>
            <w:r>
              <w:rPr>
                <w:rFonts w:hint="eastAsia" w:cs="Times New Roman"/>
              </w:rPr>
              <w:t>服务管控</w:t>
            </w: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cs="Times New Roman"/>
              </w:rPr>
            </w:pPr>
            <w:r>
              <w:rPr>
                <w:rFonts w:cs="Times New Roman"/>
              </w:rPr>
              <w:t>6</w:t>
            </w:r>
          </w:p>
        </w:tc>
        <w:tc>
          <w:tcPr>
            <w:tcW w:w="595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adjustRightInd w:val="0"/>
              <w:spacing w:line="360" w:lineRule="exact"/>
              <w:textAlignment w:val="baseline"/>
              <w:rPr>
                <w:rFonts w:cs="Times New Roman"/>
              </w:rPr>
            </w:pPr>
            <w:r>
              <w:rPr>
                <w:rFonts w:hint="eastAsia" w:cs="Times New Roman"/>
                <w:lang w:eastAsia="zh-CN"/>
              </w:rPr>
              <w:t>供应商</w:t>
            </w:r>
            <w:r>
              <w:rPr>
                <w:rFonts w:hint="eastAsia" w:cs="Times New Roman"/>
              </w:rPr>
              <w:t>按项目理解制定详细服务方案，如每个环节合理安排专职人员推进各项工作有序开展，保证项目按计划交付的基本承诺内容，包括不限于：订单、到货、退换、报账。</w:t>
            </w:r>
          </w:p>
          <w:p>
            <w:pPr>
              <w:adjustRightInd w:val="0"/>
              <w:spacing w:line="360" w:lineRule="exact"/>
              <w:textAlignment w:val="baseline"/>
              <w:rPr>
                <w:rFonts w:cs="Times New Roman"/>
              </w:rPr>
            </w:pPr>
            <w:r>
              <w:rPr>
                <w:rFonts w:hint="eastAsia" w:cs="Times New Roman"/>
              </w:rPr>
              <w:t>（1）订单环节</w:t>
            </w:r>
          </w:p>
          <w:p>
            <w:pPr>
              <w:adjustRightInd w:val="0"/>
              <w:spacing w:line="360" w:lineRule="exact"/>
              <w:textAlignment w:val="baseline"/>
              <w:rPr>
                <w:rFonts w:hint="eastAsia" w:cs="Times New Roman"/>
              </w:rPr>
            </w:pPr>
            <w:r>
              <w:rPr>
                <w:rFonts w:cs="Times New Roman"/>
              </w:rPr>
              <w:t>提供的方案思路清晰、措施全面、合理性强、可执行性强的，得1.5分；提供的方案思路较为清晰、措施较为全面、合理性较强、可执行性较强的，得1分；提供的方案思路不够清晰、措施不全面、合理性差、可执行性低的，得0.5分。未提供方案或提供的方案内容与本项目无针对性关系的，不得分。</w:t>
            </w:r>
          </w:p>
          <w:p>
            <w:pPr>
              <w:adjustRightInd w:val="0"/>
              <w:spacing w:line="360" w:lineRule="exact"/>
              <w:textAlignment w:val="baseline"/>
              <w:rPr>
                <w:rFonts w:cs="Times New Roman"/>
              </w:rPr>
            </w:pPr>
            <w:r>
              <w:rPr>
                <w:rFonts w:hint="eastAsia" w:cs="Times New Roman"/>
              </w:rPr>
              <w:t>（2）到货环节</w:t>
            </w:r>
          </w:p>
          <w:p>
            <w:pPr>
              <w:adjustRightInd w:val="0"/>
              <w:spacing w:line="360" w:lineRule="exact"/>
              <w:textAlignment w:val="baseline"/>
              <w:rPr>
                <w:rFonts w:hint="eastAsia" w:cs="Times New Roman"/>
              </w:rPr>
            </w:pPr>
            <w:r>
              <w:rPr>
                <w:rFonts w:cs="Times New Roman"/>
              </w:rPr>
              <w:t>提供的方案思路清晰、措施全面、合理性强、可执行性强的，得1.5分；提供的方案思路较为清晰、措施较为全面、合理性较强、可执行性较强的，得1分；提供的方案思路不够清晰、措施不全面、合理性差、可执行性低的，得0.5分。未提供方案或提供的方案内容与本项目无针对性关系的，不得分。</w:t>
            </w:r>
          </w:p>
          <w:p>
            <w:pPr>
              <w:adjustRightInd w:val="0"/>
              <w:spacing w:line="360" w:lineRule="exact"/>
              <w:textAlignment w:val="baseline"/>
              <w:rPr>
                <w:rFonts w:cs="Times New Roman"/>
              </w:rPr>
            </w:pPr>
            <w:r>
              <w:rPr>
                <w:rFonts w:hint="eastAsia" w:cs="Times New Roman"/>
              </w:rPr>
              <w:t>（3）退还环节</w:t>
            </w:r>
          </w:p>
          <w:p>
            <w:pPr>
              <w:adjustRightInd w:val="0"/>
              <w:spacing w:line="360" w:lineRule="exact"/>
              <w:textAlignment w:val="baseline"/>
              <w:rPr>
                <w:rFonts w:hint="eastAsia" w:cs="Times New Roman"/>
              </w:rPr>
            </w:pPr>
            <w:r>
              <w:rPr>
                <w:rFonts w:cs="Times New Roman"/>
              </w:rPr>
              <w:t>提供的方案思路清晰、措施全面、合理性强、可执行性强的，得1.5分；提供的方案思路较为清晰、措施较为全面、合理性较强、可执行性较强的，得1分；提供的方案思路不够清晰、措施不全面、合理性差、可执行性低的，得0.5分。未提供方案或提供的方案内容与本项目无针对性关系的，不得分。</w:t>
            </w:r>
          </w:p>
          <w:p>
            <w:pPr>
              <w:adjustRightInd w:val="0"/>
              <w:spacing w:line="360" w:lineRule="exact"/>
              <w:textAlignment w:val="baseline"/>
              <w:rPr>
                <w:rFonts w:hint="eastAsia" w:cs="Times New Roman"/>
              </w:rPr>
            </w:pPr>
            <w:r>
              <w:rPr>
                <w:rFonts w:hint="eastAsia" w:cs="Times New Roman"/>
              </w:rPr>
              <w:t>（4）报账环节</w:t>
            </w:r>
          </w:p>
          <w:p>
            <w:pPr>
              <w:adjustRightInd w:val="0"/>
              <w:spacing w:line="360" w:lineRule="exact"/>
              <w:textAlignment w:val="baseline"/>
              <w:rPr>
                <w:rFonts w:cs="Times New Roman"/>
              </w:rPr>
            </w:pPr>
            <w:r>
              <w:rPr>
                <w:rFonts w:cs="Times New Roman"/>
              </w:rPr>
              <w:t>提供的方案思路清晰、措施全面、合理性强、可执行性强的，得1.5分；提供的方案思路较为清晰、措施较为全面、合理性较强、可执行性较强的，得1分；提供的方案思路不够清晰、措施不全面、合理性差、可执行性低的，得0.5分。未提供方案或提供的方案内容与本项目无针对性关系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376" w:hRule="atLeast"/>
        </w:trPr>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cs="Times New Roman"/>
                <w:bCs/>
              </w:rPr>
            </w:pPr>
            <w:r>
              <w:rPr>
                <w:rFonts w:cs="Times New Roman"/>
                <w:bCs/>
              </w:rPr>
              <w:t>7</w:t>
            </w: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cs="Tahoma"/>
              </w:rPr>
            </w:pPr>
            <w:r>
              <w:rPr>
                <w:rFonts w:hint="eastAsia"/>
                <w:bCs/>
                <w:szCs w:val="21"/>
              </w:rPr>
              <w:t>特殊情况应急方案</w:t>
            </w: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cs="Times New Roman"/>
              </w:rPr>
            </w:pPr>
            <w:r>
              <w:rPr>
                <w:rFonts w:cs="Times New Roman"/>
              </w:rPr>
              <w:t>10</w:t>
            </w:r>
          </w:p>
        </w:tc>
        <w:tc>
          <w:tcPr>
            <w:tcW w:w="595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spacing w:line="360" w:lineRule="auto"/>
              <w:rPr>
                <w:rFonts w:cs="仿宋_GB2312"/>
              </w:rPr>
            </w:pPr>
            <w:r>
              <w:rPr>
                <w:rFonts w:hint="eastAsia"/>
                <w:bCs/>
                <w:szCs w:val="21"/>
              </w:rPr>
              <w:t>（1）应急采购措施方案包括</w:t>
            </w:r>
            <w:r>
              <w:rPr>
                <w:rFonts w:hint="eastAsia" w:cs="仿宋_GB2312"/>
              </w:rPr>
              <w:t>在自然灾害、公共卫生事件、停水、停电等情况下供应物资应急方案。</w:t>
            </w:r>
          </w:p>
          <w:p>
            <w:pPr>
              <w:spacing w:line="360" w:lineRule="auto"/>
              <w:rPr>
                <w:rFonts w:hint="eastAsia"/>
                <w:bCs/>
                <w:szCs w:val="21"/>
              </w:rPr>
            </w:pPr>
            <w:r>
              <w:rPr>
                <w:bCs/>
                <w:szCs w:val="21"/>
              </w:rPr>
              <w:t>提供的</w:t>
            </w:r>
            <w:r>
              <w:rPr>
                <w:rFonts w:hint="eastAsia"/>
                <w:bCs/>
                <w:szCs w:val="21"/>
              </w:rPr>
              <w:t>应急采购措施方案</w:t>
            </w:r>
            <w:r>
              <w:rPr>
                <w:bCs/>
                <w:szCs w:val="21"/>
              </w:rPr>
              <w:t>思路清晰、措施全面、合理性强、可执行性强的，得5分；提供的方案思路较为清晰、措施较为全面、合理性较强、可执行性较强的，得3分；提供的方案思路不够清晰、措施不全面、合理性差、可执行性低的，得1分。未提供方案或提供的方案内容与本项目无针对性关系的，不得分。</w:t>
            </w:r>
          </w:p>
          <w:p>
            <w:pPr>
              <w:spacing w:line="360" w:lineRule="auto"/>
              <w:rPr>
                <w:bCs/>
                <w:szCs w:val="21"/>
              </w:rPr>
            </w:pPr>
            <w:r>
              <w:rPr>
                <w:rFonts w:hint="eastAsia"/>
                <w:bCs/>
                <w:szCs w:val="21"/>
              </w:rPr>
              <w:t>（2）后期提供持续的零星增补供应保障方案。</w:t>
            </w:r>
          </w:p>
          <w:p>
            <w:pPr>
              <w:spacing w:line="360" w:lineRule="auto"/>
              <w:rPr>
                <w:bCs/>
                <w:szCs w:val="21"/>
              </w:rPr>
            </w:pPr>
            <w:r>
              <w:rPr>
                <w:bCs/>
                <w:szCs w:val="21"/>
              </w:rPr>
              <w:t>提供的零星增补供应保障方案思路清晰、措施全面、合理性强、可执行性强的，得5分；提供的方案思路较为清晰、措施较为全面、合理性较强、可执行性较强的，得3分；提供的方案思路不够清晰、措施不全面、合理性差、可执行性低的，得1分。未提供方案或提供的方案内容与本项目无针对性关系的，不得分。</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959" w:hRule="atLeast"/>
        </w:trPr>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cs="Times New Roman"/>
                <w:bCs/>
              </w:rPr>
            </w:pPr>
            <w:r>
              <w:rPr>
                <w:rFonts w:cs="Times New Roman"/>
                <w:bCs/>
              </w:rPr>
              <w:t>8</w:t>
            </w: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cs="Tahoma"/>
              </w:rPr>
            </w:pPr>
            <w:r>
              <w:rPr>
                <w:rFonts w:hint="eastAsia"/>
                <w:szCs w:val="21"/>
              </w:rPr>
              <w:t>售后服务</w:t>
            </w: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cs="Times New Roman"/>
              </w:rPr>
            </w:pPr>
            <w:r>
              <w:rPr>
                <w:rFonts w:cs="Times New Roman"/>
              </w:rPr>
              <w:t>8</w:t>
            </w:r>
          </w:p>
        </w:tc>
        <w:tc>
          <w:tcPr>
            <w:tcW w:w="595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adjustRightInd w:val="0"/>
              <w:spacing w:line="360" w:lineRule="exact"/>
              <w:textAlignment w:val="baseline"/>
              <w:rPr>
                <w:bCs/>
                <w:szCs w:val="21"/>
              </w:rPr>
            </w:pPr>
            <w:r>
              <w:rPr>
                <w:rFonts w:hint="eastAsia"/>
                <w:bCs/>
                <w:szCs w:val="21"/>
              </w:rPr>
              <w:t>根据</w:t>
            </w:r>
            <w:r>
              <w:rPr>
                <w:rFonts w:hint="eastAsia"/>
                <w:bCs/>
                <w:szCs w:val="21"/>
                <w:lang w:eastAsia="zh-CN"/>
              </w:rPr>
              <w:t>供应商</w:t>
            </w:r>
            <w:r>
              <w:rPr>
                <w:rFonts w:hint="eastAsia"/>
                <w:bCs/>
                <w:szCs w:val="21"/>
              </w:rPr>
              <w:t>售后服务方案和管理水平和服务响应时间。</w:t>
            </w:r>
          </w:p>
          <w:p>
            <w:pPr>
              <w:adjustRightInd w:val="0"/>
              <w:spacing w:line="360" w:lineRule="exact"/>
              <w:textAlignment w:val="baseline"/>
              <w:rPr>
                <w:bCs/>
                <w:szCs w:val="21"/>
              </w:rPr>
            </w:pPr>
            <w:r>
              <w:rPr>
                <w:rFonts w:hint="eastAsia"/>
                <w:bCs/>
                <w:szCs w:val="21"/>
              </w:rPr>
              <w:t>（1）售后服务方案</w:t>
            </w:r>
          </w:p>
          <w:p>
            <w:pPr>
              <w:adjustRightInd w:val="0"/>
              <w:spacing w:line="360" w:lineRule="exact"/>
              <w:textAlignment w:val="baseline"/>
              <w:rPr>
                <w:bCs/>
                <w:szCs w:val="21"/>
              </w:rPr>
            </w:pPr>
            <w:r>
              <w:rPr>
                <w:rFonts w:hint="eastAsia"/>
                <w:bCs/>
                <w:szCs w:val="21"/>
              </w:rPr>
              <w:t>项目</w:t>
            </w:r>
            <w:r>
              <w:rPr>
                <w:rFonts w:cs="Tahoma"/>
              </w:rPr>
              <w:t>售后服务组织措施完善、可靠、全面周到</w:t>
            </w:r>
            <w:r>
              <w:rPr>
                <w:rFonts w:hint="eastAsia" w:cs="Tahoma"/>
              </w:rPr>
              <w:t>，</w:t>
            </w:r>
            <w:r>
              <w:rPr>
                <w:rFonts w:hint="eastAsia"/>
                <w:bCs/>
                <w:szCs w:val="21"/>
              </w:rPr>
              <w:t>出现产品各项问题的解决办法</w:t>
            </w:r>
            <w:r>
              <w:rPr>
                <w:bCs/>
                <w:szCs w:val="21"/>
              </w:rPr>
              <w:t>合理性强、可执行性强</w:t>
            </w:r>
            <w:r>
              <w:rPr>
                <w:rFonts w:hint="eastAsia"/>
                <w:bCs/>
                <w:szCs w:val="21"/>
              </w:rPr>
              <w:t>得3分；</w:t>
            </w:r>
          </w:p>
          <w:p>
            <w:pPr>
              <w:adjustRightInd w:val="0"/>
              <w:spacing w:line="360" w:lineRule="exact"/>
              <w:textAlignment w:val="baseline"/>
              <w:rPr>
                <w:bCs/>
                <w:szCs w:val="21"/>
              </w:rPr>
            </w:pPr>
            <w:r>
              <w:rPr>
                <w:rFonts w:hint="eastAsia"/>
                <w:bCs/>
                <w:szCs w:val="21"/>
              </w:rPr>
              <w:t>项目</w:t>
            </w:r>
            <w:r>
              <w:rPr>
                <w:rFonts w:cs="Tahoma"/>
              </w:rPr>
              <w:t>售后服务组织措施</w:t>
            </w:r>
            <w:r>
              <w:rPr>
                <w:rFonts w:hint="eastAsia" w:cs="Tahoma"/>
              </w:rPr>
              <w:t>较</w:t>
            </w:r>
            <w:r>
              <w:rPr>
                <w:rFonts w:cs="Tahoma"/>
              </w:rPr>
              <w:t>完善、可靠、周到</w:t>
            </w:r>
            <w:r>
              <w:rPr>
                <w:rFonts w:hint="eastAsia" w:cs="Tahoma"/>
              </w:rPr>
              <w:t>，</w:t>
            </w:r>
            <w:r>
              <w:rPr>
                <w:rFonts w:hint="eastAsia"/>
                <w:bCs/>
                <w:szCs w:val="21"/>
              </w:rPr>
              <w:t>出现产品各项问题的解决办法较为合</w:t>
            </w:r>
            <w:r>
              <w:rPr>
                <w:bCs/>
                <w:szCs w:val="21"/>
              </w:rPr>
              <w:t>理、可执行性</w:t>
            </w:r>
            <w:r>
              <w:rPr>
                <w:rFonts w:hint="eastAsia"/>
                <w:bCs/>
                <w:szCs w:val="21"/>
              </w:rPr>
              <w:t>较</w:t>
            </w:r>
            <w:r>
              <w:rPr>
                <w:bCs/>
                <w:szCs w:val="21"/>
              </w:rPr>
              <w:t>强</w:t>
            </w:r>
            <w:r>
              <w:rPr>
                <w:rFonts w:hint="eastAsia"/>
                <w:bCs/>
                <w:szCs w:val="21"/>
              </w:rPr>
              <w:t>得2分；</w:t>
            </w:r>
          </w:p>
          <w:p>
            <w:pPr>
              <w:adjustRightInd w:val="0"/>
              <w:spacing w:line="360" w:lineRule="exact"/>
              <w:textAlignment w:val="baseline"/>
              <w:rPr>
                <w:bCs/>
                <w:szCs w:val="21"/>
              </w:rPr>
            </w:pPr>
            <w:r>
              <w:rPr>
                <w:rFonts w:hint="eastAsia"/>
                <w:bCs/>
                <w:szCs w:val="21"/>
              </w:rPr>
              <w:t>项目</w:t>
            </w:r>
            <w:r>
              <w:rPr>
                <w:rFonts w:cs="Tahoma"/>
              </w:rPr>
              <w:t>售后服务组织措施</w:t>
            </w:r>
            <w:r>
              <w:rPr>
                <w:rFonts w:hint="eastAsia" w:cs="Tahoma"/>
              </w:rPr>
              <w:t>一般，</w:t>
            </w:r>
            <w:r>
              <w:rPr>
                <w:rFonts w:hint="eastAsia"/>
                <w:bCs/>
                <w:szCs w:val="21"/>
              </w:rPr>
              <w:t>出现产品各项问题的解决办法基本合</w:t>
            </w:r>
            <w:r>
              <w:rPr>
                <w:bCs/>
                <w:szCs w:val="21"/>
              </w:rPr>
              <w:t>理、可执行</w:t>
            </w:r>
            <w:r>
              <w:rPr>
                <w:rFonts w:hint="eastAsia"/>
                <w:bCs/>
                <w:szCs w:val="21"/>
              </w:rPr>
              <w:t>得1分；</w:t>
            </w:r>
          </w:p>
          <w:p>
            <w:pPr>
              <w:adjustRightInd w:val="0"/>
              <w:spacing w:line="360" w:lineRule="exact"/>
              <w:textAlignment w:val="baseline"/>
              <w:rPr>
                <w:rFonts w:hint="eastAsia"/>
                <w:bCs/>
                <w:szCs w:val="21"/>
              </w:rPr>
            </w:pPr>
            <w:r>
              <w:rPr>
                <w:rFonts w:cs="Times New Roman"/>
              </w:rPr>
              <w:t>提供方案或提供的方案内容与本项目无关系的，不得分。</w:t>
            </w:r>
          </w:p>
          <w:p>
            <w:pPr>
              <w:adjustRightInd w:val="0"/>
              <w:spacing w:line="360" w:lineRule="exact"/>
              <w:textAlignment w:val="baseline"/>
              <w:rPr>
                <w:bCs/>
                <w:szCs w:val="21"/>
              </w:rPr>
            </w:pPr>
            <w:r>
              <w:rPr>
                <w:rFonts w:hint="eastAsia"/>
                <w:bCs/>
                <w:szCs w:val="21"/>
              </w:rPr>
              <w:t>（2）管理水平</w:t>
            </w:r>
          </w:p>
          <w:p>
            <w:pPr>
              <w:adjustRightInd w:val="0"/>
              <w:spacing w:line="360" w:lineRule="exact"/>
              <w:textAlignment w:val="baseline"/>
              <w:rPr>
                <w:bCs/>
                <w:szCs w:val="21"/>
              </w:rPr>
            </w:pPr>
            <w:r>
              <w:rPr>
                <w:rFonts w:hint="eastAsia" w:cs="Tahoma"/>
              </w:rPr>
              <w:t>服务</w:t>
            </w:r>
            <w:r>
              <w:rPr>
                <w:rFonts w:cs="Tahoma"/>
              </w:rPr>
              <w:t>术人员齐全的</w:t>
            </w:r>
            <w:r>
              <w:rPr>
                <w:rFonts w:hint="eastAsia" w:cs="Tahoma"/>
              </w:rPr>
              <w:t>，</w:t>
            </w:r>
            <w:r>
              <w:rPr>
                <w:rFonts w:hint="eastAsia"/>
                <w:bCs/>
                <w:szCs w:val="21"/>
              </w:rPr>
              <w:t>有专人负责，</w:t>
            </w:r>
            <w:r>
              <w:rPr>
                <w:rFonts w:hint="eastAsia"/>
                <w:bCs/>
                <w:szCs w:val="21"/>
                <w:lang w:val="en-US" w:eastAsia="zh-CN"/>
              </w:rPr>
              <w:t>具有丰富的工作经验</w:t>
            </w:r>
            <w:r>
              <w:rPr>
                <w:rFonts w:hint="eastAsia"/>
                <w:bCs/>
                <w:szCs w:val="21"/>
              </w:rPr>
              <w:t>，对业务熟悉，具备良好的沟通能力得3分；</w:t>
            </w:r>
          </w:p>
          <w:p>
            <w:pPr>
              <w:adjustRightInd w:val="0"/>
              <w:spacing w:line="360" w:lineRule="exact"/>
              <w:textAlignment w:val="baseline"/>
              <w:rPr>
                <w:bCs/>
                <w:sz w:val="21"/>
                <w:szCs w:val="21"/>
              </w:rPr>
            </w:pPr>
            <w:r>
              <w:rPr>
                <w:rFonts w:hint="eastAsia" w:cs="Tahoma"/>
              </w:rPr>
              <w:t>服务</w:t>
            </w:r>
            <w:r>
              <w:rPr>
                <w:rFonts w:cs="Tahoma"/>
              </w:rPr>
              <w:t>术人员齐全的</w:t>
            </w:r>
            <w:r>
              <w:rPr>
                <w:rFonts w:hint="eastAsia" w:cs="Tahoma"/>
              </w:rPr>
              <w:t>，</w:t>
            </w:r>
            <w:r>
              <w:rPr>
                <w:rFonts w:hint="eastAsia"/>
                <w:bCs/>
                <w:szCs w:val="21"/>
              </w:rPr>
              <w:t>有专人负责，对业务较熟悉，具备好的沟通能力2分；</w:t>
            </w:r>
          </w:p>
          <w:p>
            <w:pPr>
              <w:adjustRightInd w:val="0"/>
              <w:spacing w:line="360" w:lineRule="exact"/>
              <w:textAlignment w:val="baseline"/>
              <w:rPr>
                <w:rFonts w:cs="Cambria"/>
                <w:bCs/>
                <w:szCs w:val="21"/>
              </w:rPr>
            </w:pPr>
            <w:r>
              <w:rPr>
                <w:rFonts w:hint="eastAsia" w:cs="Tahoma"/>
              </w:rPr>
              <w:t>服务</w:t>
            </w:r>
            <w:r>
              <w:rPr>
                <w:rFonts w:cs="Tahoma"/>
              </w:rPr>
              <w:t>术人员齐全的</w:t>
            </w:r>
            <w:r>
              <w:rPr>
                <w:rFonts w:hint="eastAsia"/>
                <w:bCs/>
                <w:szCs w:val="21"/>
              </w:rPr>
              <w:t>，对业务较了解，沟通能力一般</w:t>
            </w:r>
            <w:r>
              <w:rPr>
                <w:rFonts w:hint="eastAsia" w:cs="Cambria"/>
                <w:bCs/>
                <w:szCs w:val="21"/>
              </w:rPr>
              <w:t>得1分；</w:t>
            </w:r>
          </w:p>
          <w:p>
            <w:pPr>
              <w:adjustRightInd w:val="0"/>
              <w:spacing w:line="360" w:lineRule="exact"/>
              <w:textAlignment w:val="baseline"/>
              <w:rPr>
                <w:rFonts w:hint="eastAsia"/>
                <w:bCs/>
                <w:szCs w:val="21"/>
              </w:rPr>
            </w:pPr>
            <w:r>
              <w:rPr>
                <w:rFonts w:cs="Times New Roman"/>
              </w:rPr>
              <w:t>提供方案或提供的方案内容与本项目无关系的，不得分。</w:t>
            </w:r>
          </w:p>
          <w:p>
            <w:pPr>
              <w:adjustRightInd w:val="0"/>
              <w:spacing w:line="360" w:lineRule="exact"/>
              <w:textAlignment w:val="baseline"/>
              <w:rPr>
                <w:bCs/>
                <w:szCs w:val="21"/>
              </w:rPr>
            </w:pPr>
            <w:r>
              <w:rPr>
                <w:rFonts w:hint="eastAsia"/>
                <w:bCs/>
                <w:szCs w:val="21"/>
              </w:rPr>
              <w:t>（3）服务响应时间</w:t>
            </w:r>
          </w:p>
          <w:p>
            <w:pPr>
              <w:adjustRightInd w:val="0"/>
              <w:spacing w:line="360" w:lineRule="exact"/>
              <w:textAlignment w:val="baseline"/>
              <w:rPr>
                <w:bCs/>
                <w:szCs w:val="21"/>
              </w:rPr>
            </w:pPr>
            <w:r>
              <w:rPr>
                <w:rFonts w:hint="eastAsia"/>
                <w:bCs/>
                <w:szCs w:val="21"/>
              </w:rPr>
              <w:t>针对本项目的服务响应时间进行应答，</w:t>
            </w:r>
            <w:r>
              <w:rPr>
                <w:bCs/>
                <w:szCs w:val="21"/>
              </w:rPr>
              <w:t>阐述内容流程清晰、合理，得2分；阐述内容流程较清晰、合理，得1分；阐述内容流程论述简单，合理性差，得0分</w:t>
            </w:r>
            <w:r>
              <w:rPr>
                <w:rFonts w:hint="eastAsia"/>
                <w:bCs/>
                <w:szCs w:val="21"/>
              </w:rPr>
              <w:t>。</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39" w:hRule="atLeast"/>
        </w:trPr>
        <w:tc>
          <w:tcPr>
            <w:tcW w:w="817"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cs="Times New Roman"/>
                <w:bCs/>
              </w:rPr>
            </w:pPr>
            <w:r>
              <w:rPr>
                <w:rFonts w:cs="Times New Roman"/>
                <w:bCs/>
              </w:rPr>
              <w:t>9</w:t>
            </w:r>
          </w:p>
        </w:tc>
        <w:tc>
          <w:tcPr>
            <w:tcW w:w="1418"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cs="Times New Roman"/>
              </w:rPr>
            </w:pPr>
            <w:r>
              <w:rPr>
                <w:rFonts w:hint="eastAsia" w:cs="Times New Roman"/>
                <w:lang w:val="en-US" w:eastAsia="zh-CN"/>
              </w:rPr>
              <w:t>优惠</w:t>
            </w:r>
            <w:r>
              <w:rPr>
                <w:rFonts w:hint="eastAsia" w:cs="Times New Roman"/>
              </w:rPr>
              <w:t>承诺</w:t>
            </w:r>
          </w:p>
        </w:tc>
        <w:tc>
          <w:tcPr>
            <w:tcW w:w="850"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60" w:lineRule="exact"/>
              <w:jc w:val="center"/>
              <w:textAlignment w:val="baseline"/>
              <w:rPr>
                <w:rFonts w:cs="Times New Roman"/>
              </w:rPr>
            </w:pPr>
            <w:r>
              <w:rPr>
                <w:rFonts w:hint="eastAsia" w:cs="Times New Roman"/>
              </w:rPr>
              <w:t>4</w:t>
            </w:r>
          </w:p>
        </w:tc>
        <w:tc>
          <w:tcPr>
            <w:tcW w:w="5954"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tcPr>
          <w:p>
            <w:pPr>
              <w:adjustRightInd w:val="0"/>
              <w:spacing w:line="360" w:lineRule="exact"/>
              <w:textAlignment w:val="baseline"/>
              <w:rPr>
                <w:rFonts w:cs="Times New Roman"/>
              </w:rPr>
            </w:pPr>
            <w:r>
              <w:rPr>
                <w:rFonts w:hint="eastAsia" w:cs="Times New Roman"/>
              </w:rPr>
              <w:t>项目基本服务要求以外的，对项目开展有利的资源、技术支撑手段或服务等，提供额外的增值服务承诺。每提供1条有价值的服务承诺加2分，满分4分。未提供不得分。</w:t>
            </w:r>
          </w:p>
        </w:tc>
      </w:tr>
    </w:tbl>
    <w:p>
      <w:pPr>
        <w:adjustRightInd w:val="0"/>
        <w:snapToGrid w:val="0"/>
        <w:spacing w:line="360" w:lineRule="auto"/>
        <w:ind w:left="-2" w:leftChars="-1" w:right="313"/>
        <w:rPr>
          <w:rFonts w:ascii="Tahoma" w:hAnsi="Tahoma" w:cs="Tahoma"/>
          <w:b/>
          <w:szCs w:val="21"/>
        </w:rPr>
      </w:pPr>
      <w:r>
        <w:rPr>
          <w:rFonts w:ascii="Tahoma" w:hAnsi="Tahoma" w:cs="Tahoma"/>
          <w:b/>
          <w:bCs/>
          <w:szCs w:val="21"/>
        </w:rPr>
        <w:t>3.4.3商务部分、技术部分得分计算方法</w:t>
      </w:r>
      <w:r>
        <w:rPr>
          <w:rFonts w:ascii="Tahoma" w:hAnsi="Tahoma" w:cs="Tahoma"/>
          <w:b/>
          <w:szCs w:val="21"/>
        </w:rPr>
        <w:t>：</w:t>
      </w:r>
    </w:p>
    <w:p>
      <w:pPr>
        <w:adjustRightInd w:val="0"/>
        <w:snapToGrid w:val="0"/>
        <w:spacing w:line="360" w:lineRule="auto"/>
        <w:ind w:left="-2" w:leftChars="-1" w:right="313" w:firstLine="420"/>
        <w:rPr>
          <w:rFonts w:ascii="Tahoma" w:hAnsi="Tahoma" w:cs="Tahoma"/>
          <w:b/>
          <w:bCs/>
          <w:szCs w:val="21"/>
        </w:rPr>
      </w:pPr>
      <w:r>
        <w:rPr>
          <w:rFonts w:ascii="Tahoma" w:hAnsi="Tahoma" w:cs="Tahoma"/>
          <w:szCs w:val="21"/>
        </w:rPr>
        <w:t>先将评标委员会对商务部分、技术部分每个项目</w:t>
      </w:r>
      <w:r>
        <w:rPr>
          <w:rFonts w:hint="eastAsia" w:ascii="Tahoma" w:hAnsi="Tahoma" w:cs="Tahoma"/>
          <w:szCs w:val="21"/>
        </w:rPr>
        <w:t>各评委的</w:t>
      </w:r>
      <w:r>
        <w:rPr>
          <w:rFonts w:ascii="Tahoma" w:hAnsi="Tahoma" w:cs="Tahoma"/>
          <w:szCs w:val="21"/>
        </w:rPr>
        <w:t>评分算术平均方法分别计算有效</w:t>
      </w:r>
      <w:r>
        <w:rPr>
          <w:rFonts w:hint="eastAsia" w:ascii="Tahoma" w:hAnsi="Tahoma" w:cs="Tahoma"/>
          <w:szCs w:val="21"/>
          <w:lang w:eastAsia="zh-CN"/>
        </w:rPr>
        <w:t>供应商</w:t>
      </w:r>
      <w:r>
        <w:rPr>
          <w:rFonts w:ascii="Tahoma" w:hAnsi="Tahoma" w:cs="Tahoma"/>
          <w:szCs w:val="21"/>
        </w:rPr>
        <w:t>在商务、技术两个部分的各自最终得分。</w:t>
      </w:r>
    </w:p>
    <w:p>
      <w:pPr>
        <w:adjustRightInd w:val="0"/>
        <w:snapToGrid w:val="0"/>
        <w:spacing w:line="360" w:lineRule="auto"/>
        <w:ind w:right="82" w:rightChars="34"/>
        <w:rPr>
          <w:rFonts w:ascii="Tahoma" w:hAnsi="Tahoma" w:cs="Tahoma"/>
          <w:b/>
          <w:bCs/>
          <w:szCs w:val="21"/>
        </w:rPr>
      </w:pPr>
      <w:r>
        <w:rPr>
          <w:rFonts w:ascii="Tahoma" w:hAnsi="Tahoma" w:cs="Tahoma"/>
          <w:b/>
          <w:bCs/>
          <w:szCs w:val="21"/>
        </w:rPr>
        <w:t>3.4.4投标价格部分</w:t>
      </w:r>
    </w:p>
    <w:p>
      <w:pPr>
        <w:adjustRightInd w:val="0"/>
        <w:snapToGrid w:val="0"/>
        <w:spacing w:line="360" w:lineRule="auto"/>
        <w:ind w:left="-2" w:leftChars="-1" w:right="391" w:rightChars="163" w:firstLine="111" w:firstLineChars="46"/>
        <w:rPr>
          <w:rFonts w:ascii="Tahoma" w:hAnsi="Tahoma" w:cs="Tahoma"/>
          <w:b/>
          <w:bCs/>
          <w:szCs w:val="21"/>
        </w:rPr>
      </w:pPr>
      <w:r>
        <w:rPr>
          <w:rFonts w:ascii="Tahoma" w:hAnsi="Tahoma" w:cs="Tahoma"/>
          <w:b/>
          <w:bCs/>
          <w:szCs w:val="21"/>
        </w:rPr>
        <w:t>C、投标价格部分评分标准（满分</w:t>
      </w:r>
      <w:r>
        <w:rPr>
          <w:rFonts w:hint="eastAsia" w:ascii="Tahoma" w:hAnsi="Tahoma" w:cs="Tahoma"/>
          <w:b/>
          <w:bCs/>
          <w:szCs w:val="21"/>
        </w:rPr>
        <w:t>30</w:t>
      </w:r>
      <w:r>
        <w:rPr>
          <w:rFonts w:ascii="Tahoma" w:hAnsi="Tahoma" w:cs="Tahoma"/>
          <w:b/>
          <w:bCs/>
          <w:szCs w:val="21"/>
        </w:rPr>
        <w:t>分）</w:t>
      </w:r>
    </w:p>
    <w:tbl>
      <w:tblPr>
        <w:tblStyle w:val="32"/>
        <w:tblW w:w="918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547"/>
        <w:gridCol w:w="1027"/>
        <w:gridCol w:w="6798"/>
        <w:gridCol w:w="80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8" w:hRule="atLeast"/>
          <w:jc w:val="center"/>
        </w:trPr>
        <w:tc>
          <w:tcPr>
            <w:tcW w:w="0" w:type="auto"/>
            <w:vAlign w:val="center"/>
          </w:tcPr>
          <w:p>
            <w:pPr>
              <w:adjustRightInd w:val="0"/>
              <w:spacing w:before="60" w:after="60"/>
              <w:jc w:val="center"/>
              <w:textAlignment w:val="baseline"/>
              <w:rPr>
                <w:rFonts w:cs="Times New Roman"/>
                <w:szCs w:val="21"/>
              </w:rPr>
            </w:pPr>
            <w:r>
              <w:rPr>
                <w:rFonts w:hint="eastAsia" w:cs="Times New Roman"/>
                <w:szCs w:val="21"/>
              </w:rPr>
              <w:t>序号</w:t>
            </w:r>
          </w:p>
        </w:tc>
        <w:tc>
          <w:tcPr>
            <w:tcW w:w="0" w:type="auto"/>
            <w:vAlign w:val="center"/>
          </w:tcPr>
          <w:p>
            <w:pPr>
              <w:adjustRightInd w:val="0"/>
              <w:spacing w:line="320" w:lineRule="exact"/>
              <w:jc w:val="center"/>
              <w:textAlignment w:val="baseline"/>
              <w:rPr>
                <w:rFonts w:cs="Times New Roman"/>
                <w:szCs w:val="21"/>
              </w:rPr>
            </w:pPr>
            <w:r>
              <w:rPr>
                <w:rFonts w:hint="eastAsia" w:cs="Times New Roman"/>
                <w:szCs w:val="21"/>
              </w:rPr>
              <w:t>评审项目</w:t>
            </w:r>
          </w:p>
        </w:tc>
        <w:tc>
          <w:tcPr>
            <w:tcW w:w="6799" w:type="dxa"/>
            <w:vAlign w:val="center"/>
          </w:tcPr>
          <w:p>
            <w:pPr>
              <w:adjustRightInd w:val="0"/>
              <w:spacing w:line="320" w:lineRule="exact"/>
              <w:jc w:val="center"/>
              <w:textAlignment w:val="baseline"/>
              <w:rPr>
                <w:rFonts w:cs="Times New Roman"/>
                <w:szCs w:val="21"/>
              </w:rPr>
            </w:pPr>
            <w:r>
              <w:rPr>
                <w:rFonts w:hint="eastAsia" w:cs="Times New Roman"/>
                <w:szCs w:val="21"/>
              </w:rPr>
              <w:t>评分标准</w:t>
            </w:r>
          </w:p>
        </w:tc>
        <w:tc>
          <w:tcPr>
            <w:tcW w:w="808" w:type="dxa"/>
            <w:vAlign w:val="center"/>
          </w:tcPr>
          <w:p>
            <w:pPr>
              <w:adjustRightInd w:val="0"/>
              <w:spacing w:line="320" w:lineRule="exact"/>
              <w:jc w:val="center"/>
              <w:textAlignment w:val="baseline"/>
              <w:rPr>
                <w:rFonts w:cs="Times New Roman"/>
                <w:szCs w:val="21"/>
              </w:rPr>
            </w:pPr>
            <w:r>
              <w:rPr>
                <w:rFonts w:hint="eastAsia" w:cs="Times New Roman"/>
                <w:szCs w:val="21"/>
              </w:rPr>
              <w:t>分值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99" w:hRule="atLeast"/>
          <w:jc w:val="center"/>
        </w:trPr>
        <w:tc>
          <w:tcPr>
            <w:tcW w:w="0" w:type="auto"/>
            <w:vAlign w:val="center"/>
          </w:tcPr>
          <w:p>
            <w:pPr>
              <w:adjustRightInd w:val="0"/>
              <w:snapToGrid w:val="0"/>
              <w:jc w:val="center"/>
              <w:textAlignment w:val="baseline"/>
              <w:rPr>
                <w:rFonts w:cs="Times New Roman"/>
              </w:rPr>
            </w:pPr>
            <w:r>
              <w:rPr>
                <w:rFonts w:hint="eastAsia" w:cs="Times New Roman"/>
              </w:rPr>
              <w:t>1</w:t>
            </w:r>
          </w:p>
        </w:tc>
        <w:tc>
          <w:tcPr>
            <w:tcW w:w="0" w:type="auto"/>
            <w:vAlign w:val="center"/>
          </w:tcPr>
          <w:p>
            <w:pPr>
              <w:adjustRightInd w:val="0"/>
              <w:snapToGrid w:val="0"/>
              <w:spacing w:line="360" w:lineRule="exact"/>
              <w:jc w:val="center"/>
              <w:textAlignment w:val="baseline"/>
              <w:rPr>
                <w:rFonts w:cs="Times New Roman"/>
              </w:rPr>
            </w:pPr>
            <w:r>
              <w:rPr>
                <w:rFonts w:hint="eastAsia" w:cs="Times New Roman"/>
              </w:rPr>
              <w:t>价格部分</w:t>
            </w:r>
          </w:p>
          <w:p>
            <w:pPr>
              <w:adjustRightInd w:val="0"/>
              <w:snapToGrid w:val="0"/>
              <w:spacing w:line="360" w:lineRule="exact"/>
              <w:jc w:val="center"/>
              <w:textAlignment w:val="baseline"/>
              <w:rPr>
                <w:rFonts w:cs="Times New Roman"/>
              </w:rPr>
            </w:pPr>
            <w:r>
              <w:rPr>
                <w:rFonts w:hint="eastAsia" w:cs="Times New Roman"/>
              </w:rPr>
              <w:t>（30）</w:t>
            </w:r>
          </w:p>
        </w:tc>
        <w:tc>
          <w:tcPr>
            <w:tcW w:w="6799" w:type="dxa"/>
            <w:vAlign w:val="center"/>
          </w:tcPr>
          <w:p>
            <w:pPr>
              <w:tabs>
                <w:tab w:val="left" w:pos="1722"/>
              </w:tabs>
              <w:adjustRightInd w:val="0"/>
              <w:snapToGrid w:val="0"/>
              <w:spacing w:line="440" w:lineRule="exact"/>
              <w:rPr>
                <w:rFonts w:cs="仿宋_GB2312"/>
                <w:b/>
                <w:bCs/>
              </w:rPr>
            </w:pPr>
            <w:r>
              <w:rPr>
                <w:rFonts w:hint="eastAsia" w:cs="仿宋_GB2312"/>
                <w:b/>
                <w:bCs/>
              </w:rPr>
              <w:t>第</w:t>
            </w:r>
            <w:r>
              <w:rPr>
                <w:rFonts w:hint="eastAsia" w:cs="仿宋_GB2312"/>
                <w:b/>
                <w:bCs/>
                <w:lang w:val="en-US" w:eastAsia="zh-CN"/>
              </w:rPr>
              <w:t>六</w:t>
            </w:r>
            <w:r>
              <w:rPr>
                <w:rFonts w:hint="eastAsia" w:cs="仿宋_GB2312"/>
                <w:b/>
                <w:bCs/>
              </w:rPr>
              <w:t>包</w:t>
            </w:r>
            <w:r>
              <w:rPr>
                <w:rFonts w:hint="eastAsia" w:cs="仿宋_GB2312"/>
                <w:b/>
                <w:bCs/>
                <w:lang w:eastAsia="zh-CN"/>
              </w:rPr>
              <w:t>（</w:t>
            </w:r>
            <w:r>
              <w:rPr>
                <w:rFonts w:hint="eastAsia" w:cs="仿宋_GB2312"/>
                <w:b/>
                <w:bCs/>
                <w:lang w:val="en-US" w:eastAsia="zh-CN"/>
              </w:rPr>
              <w:t>肉类</w:t>
            </w:r>
            <w:r>
              <w:rPr>
                <w:rFonts w:hint="eastAsia" w:cs="仿宋_GB2312"/>
                <w:b/>
                <w:bCs/>
                <w:lang w:eastAsia="zh-CN"/>
              </w:rPr>
              <w:t>）</w:t>
            </w:r>
            <w:r>
              <w:rPr>
                <w:rFonts w:hint="eastAsia" w:cs="仿宋_GB2312"/>
                <w:b/>
                <w:bCs/>
              </w:rPr>
              <w:t>投标报价计算方式：</w:t>
            </w:r>
          </w:p>
          <w:p>
            <w:pPr>
              <w:tabs>
                <w:tab w:val="left" w:pos="1722"/>
              </w:tabs>
              <w:adjustRightInd w:val="0"/>
              <w:snapToGrid w:val="0"/>
              <w:spacing w:line="440" w:lineRule="exact"/>
              <w:ind w:firstLine="480" w:firstLineChars="200"/>
              <w:rPr>
                <w:rFonts w:cs="仿宋_GB2312"/>
              </w:rPr>
            </w:pPr>
            <w:r>
              <w:rPr>
                <w:rFonts w:hint="eastAsia" w:cs="仿宋_GB2312"/>
              </w:rPr>
              <w:t>价格分统一采用低价优先法计算，即满足招标文件要求且最后报价最低的供应商的价格为评标基准价，其价格分为满分。其他供应商的价格分统一按照下列公式计算：</w:t>
            </w:r>
          </w:p>
          <w:p>
            <w:pPr>
              <w:tabs>
                <w:tab w:val="left" w:pos="1722"/>
              </w:tabs>
              <w:adjustRightInd w:val="0"/>
              <w:snapToGrid w:val="0"/>
              <w:spacing w:line="440" w:lineRule="exact"/>
              <w:rPr>
                <w:rFonts w:hint="default" w:eastAsia="宋体" w:cs="仿宋_GB2312"/>
                <w:lang w:val="en-US" w:eastAsia="zh-CN"/>
              </w:rPr>
            </w:pPr>
            <w:r>
              <w:rPr>
                <w:rFonts w:hint="eastAsia" w:cs="仿宋_GB2312"/>
              </w:rPr>
              <w:t>（1-12）</w:t>
            </w:r>
            <w:r>
              <w:rPr>
                <w:rFonts w:hint="eastAsia" w:cs="仿宋_GB2312"/>
                <w:lang w:val="en-US" w:eastAsia="zh-CN"/>
              </w:rPr>
              <w:t>项</w:t>
            </w:r>
            <w:r>
              <w:rPr>
                <w:rFonts w:hint="eastAsia" w:cs="仿宋_GB2312"/>
              </w:rPr>
              <w:t>报价经济部分得分=</w:t>
            </w:r>
            <w:r>
              <w:rPr>
                <w:rFonts w:cs="仿宋_GB2312"/>
              </w:rPr>
              <w:t>{</w:t>
            </w:r>
            <w:r>
              <w:rPr>
                <w:rFonts w:hint="eastAsia" w:cs="仿宋_GB2312"/>
              </w:rPr>
              <w:t>(1-评标基准价)/(1-投标下浮)</w:t>
            </w:r>
            <w:r>
              <w:rPr>
                <w:rFonts w:cs="仿宋_GB2312"/>
              </w:rPr>
              <w:t>}</w:t>
            </w:r>
            <w:r>
              <w:rPr>
                <w:rFonts w:hint="eastAsia" w:cs="仿宋_GB2312"/>
              </w:rPr>
              <w:t>×</w:t>
            </w:r>
            <w:r>
              <w:rPr>
                <w:rFonts w:hint="eastAsia" w:cs="仿宋_GB2312"/>
                <w:lang w:val="en-US" w:eastAsia="zh-CN"/>
              </w:rPr>
              <w:t>25；</w:t>
            </w:r>
          </w:p>
          <w:p>
            <w:pPr>
              <w:tabs>
                <w:tab w:val="left" w:pos="1722"/>
              </w:tabs>
              <w:adjustRightInd w:val="0"/>
              <w:snapToGrid w:val="0"/>
              <w:spacing w:line="440" w:lineRule="exact"/>
              <w:rPr>
                <w:rFonts w:hint="eastAsia" w:eastAsia="宋体" w:cs="仿宋_GB2312"/>
                <w:lang w:eastAsia="zh-CN"/>
              </w:rPr>
            </w:pPr>
            <w:r>
              <w:rPr>
                <w:rFonts w:hint="eastAsia"/>
                <w:color w:val="000000"/>
                <w:lang w:eastAsia="zh-CN"/>
              </w:rPr>
              <w:t>（</w:t>
            </w:r>
            <w:r>
              <w:rPr>
                <w:rFonts w:hint="eastAsia"/>
                <w:color w:val="000000"/>
                <w:lang w:val="en-US" w:eastAsia="zh-CN"/>
              </w:rPr>
              <w:t>13-19</w:t>
            </w:r>
            <w:r>
              <w:rPr>
                <w:rFonts w:hint="eastAsia"/>
                <w:color w:val="000000"/>
                <w:lang w:eastAsia="zh-CN"/>
              </w:rPr>
              <w:t>）</w:t>
            </w:r>
            <w:r>
              <w:rPr>
                <w:rFonts w:hint="eastAsia"/>
                <w:color w:val="000000"/>
                <w:lang w:val="en-US" w:eastAsia="zh-CN"/>
              </w:rPr>
              <w:t>项</w:t>
            </w:r>
            <w:r>
              <w:rPr>
                <w:rFonts w:hint="eastAsia" w:cs="仿宋_GB2312"/>
                <w:lang w:val="en-US" w:eastAsia="zh-CN"/>
              </w:rPr>
              <w:t>报价经济</w:t>
            </w:r>
            <w:r>
              <w:rPr>
                <w:rFonts w:hint="eastAsia" w:cs="仿宋_GB2312"/>
              </w:rPr>
              <w:t>部分得分=</w:t>
            </w:r>
            <w:r>
              <w:rPr>
                <w:rFonts w:cs="仿宋_GB2312"/>
              </w:rPr>
              <w:t>{</w:t>
            </w:r>
            <w:r>
              <w:rPr>
                <w:rFonts w:hint="eastAsia" w:cs="仿宋_GB2312"/>
              </w:rPr>
              <w:t>(1-评标基准价)/(1-投标下浮)</w:t>
            </w:r>
            <w:r>
              <w:rPr>
                <w:rFonts w:cs="仿宋_GB2312"/>
              </w:rPr>
              <w:t>}</w:t>
            </w:r>
            <w:r>
              <w:rPr>
                <w:rFonts w:hint="eastAsia" w:cs="仿宋_GB2312"/>
              </w:rPr>
              <w:t>×</w:t>
            </w:r>
            <w:r>
              <w:rPr>
                <w:rFonts w:hint="eastAsia" w:cs="仿宋_GB2312"/>
                <w:lang w:val="en-US" w:eastAsia="zh-CN"/>
              </w:rPr>
              <w:t>5；</w:t>
            </w:r>
          </w:p>
          <w:p>
            <w:pPr>
              <w:adjustRightInd w:val="0"/>
              <w:snapToGrid w:val="0"/>
              <w:spacing w:line="360" w:lineRule="exact"/>
              <w:textAlignment w:val="baseline"/>
              <w:rPr>
                <w:rFonts w:hint="eastAsia"/>
                <w:color w:val="000000"/>
                <w:lang w:eastAsia="zh-CN"/>
              </w:rPr>
            </w:pPr>
            <w:r>
              <w:rPr>
                <w:rFonts w:hint="eastAsia" w:cs="仿宋_GB2312"/>
              </w:rPr>
              <w:t>最终报价得分=（1-12）项报价经济部分得分+</w:t>
            </w:r>
            <w:r>
              <w:rPr>
                <w:rFonts w:hint="eastAsia"/>
                <w:color w:val="000000"/>
              </w:rPr>
              <w:t>（13-19）项报价经济部分得分</w:t>
            </w:r>
            <w:r>
              <w:rPr>
                <w:rFonts w:hint="eastAsia"/>
                <w:color w:val="000000"/>
                <w:lang w:eastAsia="zh-CN"/>
              </w:rPr>
              <w:t>；</w:t>
            </w:r>
          </w:p>
          <w:p>
            <w:pPr>
              <w:tabs>
                <w:tab w:val="left" w:pos="1722"/>
              </w:tabs>
              <w:adjustRightInd w:val="0"/>
              <w:snapToGrid w:val="0"/>
              <w:spacing w:line="440" w:lineRule="exact"/>
              <w:rPr>
                <w:rFonts w:cs="仿宋_GB2312"/>
                <w:b/>
                <w:bCs/>
              </w:rPr>
            </w:pPr>
            <w:r>
              <w:rPr>
                <w:rFonts w:hint="eastAsia" w:cs="仿宋_GB2312"/>
                <w:b/>
                <w:bCs/>
              </w:rPr>
              <w:t>第</w:t>
            </w:r>
            <w:r>
              <w:rPr>
                <w:rFonts w:hint="eastAsia" w:cs="仿宋_GB2312"/>
                <w:b/>
                <w:bCs/>
                <w:lang w:val="en-US" w:eastAsia="zh-CN"/>
              </w:rPr>
              <w:t>七</w:t>
            </w:r>
            <w:r>
              <w:rPr>
                <w:rFonts w:hint="eastAsia" w:cs="仿宋_GB2312"/>
                <w:b/>
                <w:bCs/>
              </w:rPr>
              <w:t>包</w:t>
            </w:r>
            <w:r>
              <w:rPr>
                <w:rFonts w:hint="eastAsia" w:cs="仿宋_GB2312"/>
                <w:b/>
                <w:bCs/>
                <w:lang w:eastAsia="zh-CN"/>
              </w:rPr>
              <w:t>（</w:t>
            </w:r>
            <w:r>
              <w:rPr>
                <w:rFonts w:hint="eastAsia" w:cs="仿宋_GB2312"/>
                <w:b/>
                <w:bCs/>
                <w:lang w:val="en-US" w:eastAsia="zh-CN"/>
              </w:rPr>
              <w:t>面粉</w:t>
            </w:r>
            <w:r>
              <w:rPr>
                <w:rFonts w:hint="eastAsia" w:cs="仿宋_GB2312"/>
                <w:b/>
                <w:bCs/>
                <w:lang w:eastAsia="zh-CN"/>
              </w:rPr>
              <w:t>）</w:t>
            </w:r>
            <w:r>
              <w:rPr>
                <w:rFonts w:hint="eastAsia" w:cs="仿宋_GB2312"/>
                <w:b/>
                <w:bCs/>
              </w:rPr>
              <w:t>投标报价计算方式：</w:t>
            </w:r>
          </w:p>
          <w:p>
            <w:pPr>
              <w:tabs>
                <w:tab w:val="left" w:pos="1722"/>
              </w:tabs>
              <w:adjustRightInd w:val="0"/>
              <w:snapToGrid w:val="0"/>
              <w:spacing w:line="440" w:lineRule="exact"/>
              <w:ind w:firstLine="480" w:firstLineChars="200"/>
              <w:rPr>
                <w:rFonts w:hint="eastAsia" w:eastAsia="宋体" w:cs="仿宋_GB2312"/>
                <w:lang w:eastAsia="zh-CN"/>
              </w:rPr>
            </w:pPr>
            <w:r>
              <w:rPr>
                <w:rFonts w:hint="eastAsia" w:cs="仿宋_GB2312"/>
              </w:rPr>
              <w:t>价格分统一采用低价优先法计算，即满足招标文件要求且最后报价最低的供应商的价格为评标基准价，其价格分为满分。其他供应商的价格分统一按照下列公式计算：报价得分=评标基准价/投标报价×30</w:t>
            </w:r>
            <w:r>
              <w:rPr>
                <w:rFonts w:hint="eastAsia" w:cs="仿宋_GB2312"/>
                <w:lang w:eastAsia="zh-CN"/>
              </w:rPr>
              <w:t>；</w:t>
            </w:r>
          </w:p>
          <w:p>
            <w:pPr>
              <w:tabs>
                <w:tab w:val="left" w:pos="1722"/>
              </w:tabs>
              <w:adjustRightInd w:val="0"/>
              <w:snapToGrid w:val="0"/>
              <w:spacing w:line="440" w:lineRule="exact"/>
              <w:rPr>
                <w:rFonts w:cs="仿宋_GB2312"/>
                <w:b/>
                <w:bCs/>
              </w:rPr>
            </w:pPr>
            <w:r>
              <w:rPr>
                <w:rFonts w:hint="eastAsia" w:cs="仿宋_GB2312"/>
                <w:b/>
                <w:bCs/>
              </w:rPr>
              <w:t>第</w:t>
            </w:r>
            <w:r>
              <w:rPr>
                <w:rFonts w:hint="eastAsia" w:cs="仿宋_GB2312"/>
                <w:b/>
                <w:bCs/>
                <w:lang w:val="en-US" w:eastAsia="zh-CN"/>
              </w:rPr>
              <w:t>八</w:t>
            </w:r>
            <w:r>
              <w:rPr>
                <w:rFonts w:hint="eastAsia" w:cs="仿宋_GB2312"/>
                <w:b/>
                <w:bCs/>
              </w:rPr>
              <w:t>包</w:t>
            </w:r>
            <w:r>
              <w:rPr>
                <w:rFonts w:hint="eastAsia" w:cs="仿宋_GB2312"/>
                <w:b/>
                <w:bCs/>
                <w:lang w:eastAsia="zh-CN"/>
              </w:rPr>
              <w:t>（</w:t>
            </w:r>
            <w:r>
              <w:rPr>
                <w:rFonts w:hint="eastAsia" w:cs="仿宋_GB2312"/>
                <w:b/>
                <w:bCs/>
                <w:lang w:val="en-US" w:eastAsia="zh-CN"/>
              </w:rPr>
              <w:t>副食品</w:t>
            </w:r>
            <w:r>
              <w:rPr>
                <w:rFonts w:hint="eastAsia" w:cs="仿宋_GB2312"/>
                <w:b/>
                <w:bCs/>
                <w:lang w:eastAsia="zh-CN"/>
              </w:rPr>
              <w:t>）</w:t>
            </w:r>
            <w:r>
              <w:rPr>
                <w:rFonts w:hint="eastAsia" w:cs="仿宋_GB2312"/>
                <w:b/>
                <w:bCs/>
              </w:rPr>
              <w:t>投标报价计算方式：</w:t>
            </w:r>
          </w:p>
          <w:p>
            <w:pPr>
              <w:tabs>
                <w:tab w:val="left" w:pos="1722"/>
              </w:tabs>
              <w:adjustRightInd w:val="0"/>
              <w:snapToGrid w:val="0"/>
              <w:spacing w:line="440" w:lineRule="exact"/>
              <w:ind w:firstLine="480" w:firstLineChars="200"/>
              <w:rPr>
                <w:rFonts w:hint="eastAsia" w:eastAsia="宋体" w:cs="仿宋_GB2312"/>
                <w:lang w:eastAsia="zh-CN"/>
              </w:rPr>
            </w:pPr>
            <w:r>
              <w:rPr>
                <w:rFonts w:hint="eastAsia" w:cs="仿宋_GB2312"/>
              </w:rPr>
              <w:t>价格分统一采用低价优先法计算，即满足招标文件要求且最后报价最低的供应商的价格为评标基准价，其价格分为满分。其他供应商的价格分统一按照下列公式计算：报价得分=评标基准价/投标报价×30</w:t>
            </w:r>
            <w:r>
              <w:rPr>
                <w:rFonts w:hint="eastAsia" w:cs="仿宋_GB2312"/>
                <w:lang w:eastAsia="zh-CN"/>
              </w:rPr>
              <w:t>；</w:t>
            </w:r>
          </w:p>
          <w:p>
            <w:pPr>
              <w:tabs>
                <w:tab w:val="left" w:pos="1722"/>
              </w:tabs>
              <w:adjustRightInd w:val="0"/>
              <w:snapToGrid w:val="0"/>
              <w:spacing w:line="440" w:lineRule="exact"/>
              <w:rPr>
                <w:rFonts w:cs="仿宋_GB2312"/>
                <w:b/>
                <w:bCs/>
              </w:rPr>
            </w:pPr>
            <w:r>
              <w:rPr>
                <w:rFonts w:hint="eastAsia" w:cs="仿宋_GB2312"/>
                <w:b/>
                <w:bCs/>
              </w:rPr>
              <w:t>第</w:t>
            </w:r>
            <w:r>
              <w:rPr>
                <w:rFonts w:hint="eastAsia" w:cs="仿宋_GB2312"/>
                <w:b/>
                <w:bCs/>
                <w:lang w:val="en-US" w:eastAsia="zh-CN"/>
              </w:rPr>
              <w:t>九</w:t>
            </w:r>
            <w:r>
              <w:rPr>
                <w:rFonts w:hint="eastAsia" w:cs="仿宋_GB2312"/>
                <w:b/>
                <w:bCs/>
              </w:rPr>
              <w:t>包</w:t>
            </w:r>
            <w:r>
              <w:rPr>
                <w:rFonts w:hint="eastAsia" w:cs="仿宋_GB2312"/>
                <w:b/>
                <w:bCs/>
                <w:lang w:eastAsia="zh-CN"/>
              </w:rPr>
              <w:t>（</w:t>
            </w:r>
            <w:r>
              <w:rPr>
                <w:rFonts w:hint="eastAsia" w:cs="仿宋_GB2312"/>
                <w:b/>
                <w:bCs/>
                <w:lang w:val="en-US" w:eastAsia="zh-CN"/>
              </w:rPr>
              <w:t>日用品</w:t>
            </w:r>
            <w:r>
              <w:rPr>
                <w:rFonts w:hint="eastAsia" w:cs="仿宋_GB2312"/>
                <w:b/>
                <w:bCs/>
                <w:lang w:eastAsia="zh-CN"/>
              </w:rPr>
              <w:t>）</w:t>
            </w:r>
            <w:r>
              <w:rPr>
                <w:rFonts w:hint="eastAsia" w:cs="仿宋_GB2312"/>
                <w:b/>
                <w:bCs/>
              </w:rPr>
              <w:t>投标报价计算方式：</w:t>
            </w:r>
          </w:p>
          <w:p>
            <w:pPr>
              <w:tabs>
                <w:tab w:val="left" w:pos="1722"/>
              </w:tabs>
              <w:adjustRightInd w:val="0"/>
              <w:snapToGrid w:val="0"/>
              <w:spacing w:line="440" w:lineRule="exact"/>
              <w:ind w:firstLine="480" w:firstLineChars="200"/>
              <w:rPr>
                <w:rFonts w:hint="eastAsia" w:eastAsia="宋体" w:cs="仿宋_GB2312"/>
                <w:lang w:eastAsia="zh-CN"/>
              </w:rPr>
            </w:pPr>
            <w:r>
              <w:rPr>
                <w:rFonts w:hint="eastAsia" w:cs="仿宋_GB2312"/>
              </w:rPr>
              <w:t>价格分统一采用低价优先法计算，即满足招标文件要求且最后报价最低的供应商的价格为评标基准价，其价格分为满分。其他供应商的价格分统一按照下列公式计算：报价得分=评标基准价/投标报价×30</w:t>
            </w:r>
            <w:r>
              <w:rPr>
                <w:rFonts w:hint="eastAsia" w:cs="仿宋_GB2312"/>
                <w:lang w:eastAsia="zh-CN"/>
              </w:rPr>
              <w:t>；</w:t>
            </w:r>
          </w:p>
          <w:p>
            <w:pPr>
              <w:adjustRightInd w:val="0"/>
              <w:snapToGrid w:val="0"/>
              <w:spacing w:line="360" w:lineRule="exact"/>
              <w:textAlignment w:val="baseline"/>
              <w:rPr>
                <w:rFonts w:cs="Times New Roman"/>
                <w:b/>
                <w:bCs/>
              </w:rPr>
            </w:pPr>
            <w:r>
              <w:rPr>
                <w:rFonts w:hint="eastAsia" w:cs="仿宋_GB2312"/>
                <w:b/>
                <w:bCs/>
              </w:rPr>
              <w:t>以上所有报价得分小数点后保留两位，报价得负分时按0分计取。</w:t>
            </w:r>
          </w:p>
          <w:p>
            <w:pPr>
              <w:adjustRightInd w:val="0"/>
              <w:snapToGrid w:val="0"/>
              <w:spacing w:line="360" w:lineRule="exact"/>
              <w:textAlignment w:val="baseline"/>
              <w:rPr>
                <w:b/>
                <w:bCs/>
              </w:rPr>
            </w:pPr>
            <w:r>
              <w:rPr>
                <w:rFonts w:hint="eastAsia"/>
                <w:b/>
                <w:bCs/>
              </w:rPr>
              <w:t>评标委员会认为</w:t>
            </w:r>
            <w:r>
              <w:rPr>
                <w:rFonts w:hint="eastAsia"/>
                <w:b/>
                <w:bCs/>
                <w:lang w:eastAsia="zh-CN"/>
              </w:rPr>
              <w:t>供应商</w:t>
            </w:r>
            <w:r>
              <w:rPr>
                <w:rFonts w:hint="eastAsia"/>
                <w:b/>
                <w:bCs/>
              </w:rPr>
              <w:t>的报价明显低于其他通过符合性审查</w:t>
            </w:r>
            <w:r>
              <w:rPr>
                <w:rFonts w:hint="eastAsia"/>
                <w:b/>
                <w:bCs/>
                <w:lang w:eastAsia="zh-CN"/>
              </w:rPr>
              <w:t>供应商</w:t>
            </w:r>
            <w:r>
              <w:rPr>
                <w:rFonts w:hint="eastAsia"/>
                <w:b/>
                <w:bCs/>
              </w:rPr>
              <w:t>的报价，有可能影响产品质量或者不能诚信履约的，应当要求其在评标现场合理的时间内提供书面说明，必要时提交相关证明材料；</w:t>
            </w:r>
            <w:r>
              <w:rPr>
                <w:rFonts w:hint="eastAsia"/>
                <w:b/>
                <w:bCs/>
                <w:lang w:eastAsia="zh-CN"/>
              </w:rPr>
              <w:t>供应商</w:t>
            </w:r>
            <w:r>
              <w:rPr>
                <w:rFonts w:hint="eastAsia"/>
                <w:b/>
                <w:bCs/>
              </w:rPr>
              <w:t>不能证明其报价合理性的（特别是对于投入人员及相关设备等成本合理性的说明），其投标将被作为无效投标。</w:t>
            </w:r>
          </w:p>
          <w:p>
            <w:pPr>
              <w:adjustRightInd w:val="0"/>
              <w:snapToGrid w:val="0"/>
              <w:spacing w:line="360" w:lineRule="exact"/>
              <w:textAlignment w:val="baseline"/>
              <w:rPr>
                <w:rFonts w:cs="Times New Roman"/>
              </w:rPr>
            </w:pPr>
            <w:r>
              <w:rPr>
                <w:rFonts w:hint="eastAsia" w:cs="Times New Roman"/>
                <w:b/>
                <w:bCs/>
              </w:rPr>
              <w:t>本项目的价格权重为30%。</w:t>
            </w:r>
          </w:p>
        </w:tc>
        <w:tc>
          <w:tcPr>
            <w:tcW w:w="808" w:type="dxa"/>
            <w:vAlign w:val="center"/>
          </w:tcPr>
          <w:p>
            <w:pPr>
              <w:adjustRightInd w:val="0"/>
              <w:snapToGrid w:val="0"/>
              <w:spacing w:line="360" w:lineRule="exact"/>
              <w:textAlignment w:val="baseline"/>
              <w:rPr>
                <w:rFonts w:cs="Times New Roman"/>
              </w:rPr>
            </w:pPr>
            <w:r>
              <w:rPr>
                <w:rFonts w:hint="eastAsia" w:cs="Times New Roman"/>
              </w:rPr>
              <w:t>0-30分</w:t>
            </w:r>
          </w:p>
        </w:tc>
      </w:tr>
    </w:tbl>
    <w:p>
      <w:pPr>
        <w:spacing w:line="360" w:lineRule="auto"/>
        <w:rPr>
          <w:rFonts w:ascii="Tahoma" w:hAnsi="Tahoma" w:cs="Tahoma"/>
          <w:b/>
          <w:szCs w:val="21"/>
        </w:rPr>
      </w:pPr>
      <w:r>
        <w:rPr>
          <w:rFonts w:ascii="Tahoma" w:hAnsi="Tahoma" w:cs="Tahoma"/>
          <w:b/>
          <w:szCs w:val="21"/>
        </w:rPr>
        <w:t>3.4.6</w:t>
      </w:r>
      <w:r>
        <w:rPr>
          <w:rFonts w:hint="eastAsia" w:ascii="Tahoma" w:hAnsi="Tahoma" w:cs="Tahoma"/>
          <w:b/>
          <w:szCs w:val="21"/>
          <w:lang w:eastAsia="zh-CN"/>
        </w:rPr>
        <w:t>供应商</w:t>
      </w:r>
      <w:r>
        <w:rPr>
          <w:rFonts w:ascii="Tahoma" w:hAnsi="Tahoma" w:cs="Tahoma"/>
          <w:b/>
          <w:szCs w:val="21"/>
        </w:rPr>
        <w:t>得分</w:t>
      </w:r>
    </w:p>
    <w:p>
      <w:pPr>
        <w:spacing w:line="360" w:lineRule="auto"/>
        <w:rPr>
          <w:rFonts w:ascii="Tahoma" w:hAnsi="Tahoma" w:cs="Tahoma"/>
          <w:b/>
          <w:szCs w:val="21"/>
        </w:rPr>
      </w:pPr>
      <w:r>
        <w:rPr>
          <w:rFonts w:ascii="Tahoma" w:hAnsi="Tahoma" w:cs="Tahoma"/>
          <w:b/>
          <w:szCs w:val="21"/>
        </w:rPr>
        <w:t xml:space="preserve">   </w:t>
      </w:r>
      <w:r>
        <w:rPr>
          <w:rFonts w:hint="eastAsia" w:ascii="Tahoma" w:hAnsi="Tahoma" w:cs="Tahoma"/>
          <w:b/>
          <w:szCs w:val="21"/>
          <w:lang w:eastAsia="zh-CN"/>
        </w:rPr>
        <w:t>供应商</w:t>
      </w:r>
      <w:r>
        <w:rPr>
          <w:rFonts w:ascii="Tahoma" w:hAnsi="Tahoma" w:cs="Tahoma"/>
          <w:b/>
          <w:szCs w:val="21"/>
        </w:rPr>
        <w:t>总分＝A+B+C=</w:t>
      </w:r>
      <w:r>
        <w:rPr>
          <w:rFonts w:hint="eastAsia" w:ascii="Tahoma" w:hAnsi="Tahoma" w:cs="Tahoma"/>
          <w:b/>
          <w:szCs w:val="21"/>
        </w:rPr>
        <w:t xml:space="preserve">商务得分+技术得分+价格得分 </w:t>
      </w:r>
      <w:r>
        <w:rPr>
          <w:rFonts w:ascii="Tahoma" w:hAnsi="Tahoma" w:cs="Tahoma"/>
          <w:b/>
          <w:szCs w:val="21"/>
        </w:rPr>
        <w:t>注：以上计算分数时四舍五入取小数点后两位。</w:t>
      </w:r>
    </w:p>
    <w:p>
      <w:pPr>
        <w:spacing w:line="360" w:lineRule="auto"/>
        <w:rPr>
          <w:rFonts w:ascii="Tahoma" w:hAnsi="Tahoma" w:cs="Tahoma"/>
          <w:b/>
          <w:szCs w:val="21"/>
        </w:rPr>
      </w:pPr>
      <w:r>
        <w:rPr>
          <w:rFonts w:ascii="Tahoma" w:hAnsi="Tahoma" w:cs="Tahoma"/>
          <w:b/>
          <w:szCs w:val="21"/>
        </w:rPr>
        <w:t>3.5推荐中标候选供应商名单</w:t>
      </w:r>
    </w:p>
    <w:p>
      <w:pPr>
        <w:spacing w:line="360" w:lineRule="auto"/>
        <w:rPr>
          <w:rFonts w:ascii="Tahoma" w:hAnsi="Tahoma" w:cs="Tahoma"/>
          <w:szCs w:val="21"/>
        </w:rPr>
      </w:pPr>
      <w:r>
        <w:rPr>
          <w:rFonts w:ascii="Tahoma" w:hAnsi="Tahoma" w:cs="Tahoma"/>
          <w:szCs w:val="21"/>
        </w:rPr>
        <w:t xml:space="preserve">3.5.1中标候选供应商数量为3人，但必须按顺序排列中标候选供应商。 </w:t>
      </w:r>
    </w:p>
    <w:p>
      <w:pPr>
        <w:spacing w:line="360" w:lineRule="auto"/>
        <w:rPr>
          <w:rFonts w:ascii="Tahoma" w:hAnsi="Tahoma" w:cs="Tahoma"/>
          <w:szCs w:val="21"/>
        </w:rPr>
      </w:pPr>
      <w:r>
        <w:rPr>
          <w:rFonts w:ascii="Tahoma" w:hAnsi="Tahoma" w:cs="Tahoma"/>
          <w:szCs w:val="21"/>
        </w:rPr>
        <w:t>3.5.2评标委员会对全部满足招标文件实质性要求前提下，按照招标文件中规定的各项因素进行综合评审后，按评审后的综合得分由高到低顺序排列，以评标总得分最高的</w:t>
      </w:r>
      <w:r>
        <w:rPr>
          <w:rFonts w:hint="eastAsia" w:ascii="Tahoma" w:hAnsi="Tahoma" w:cs="Tahoma"/>
          <w:szCs w:val="21"/>
          <w:lang w:eastAsia="zh-CN"/>
        </w:rPr>
        <w:t>供应商</w:t>
      </w:r>
      <w:r>
        <w:rPr>
          <w:rFonts w:ascii="Tahoma" w:hAnsi="Tahoma" w:cs="Tahoma"/>
          <w:szCs w:val="21"/>
        </w:rPr>
        <w:t>作为</w:t>
      </w:r>
      <w:r>
        <w:rPr>
          <w:rFonts w:hint="eastAsia" w:ascii="Tahoma" w:hAnsi="Tahoma" w:cs="Tahoma"/>
          <w:szCs w:val="21"/>
          <w:lang w:eastAsia="zh-CN"/>
        </w:rPr>
        <w:t>成交候选人</w:t>
      </w:r>
      <w:r>
        <w:rPr>
          <w:rFonts w:ascii="Tahoma" w:hAnsi="Tahoma" w:cs="Tahoma"/>
          <w:szCs w:val="21"/>
        </w:rPr>
        <w:t>。得分相同的，按投标报价由低到高顺序排列。得分且投标报价相同的，按技术指标优劣顺序排列。</w:t>
      </w:r>
    </w:p>
    <w:p>
      <w:pPr>
        <w:spacing w:line="360" w:lineRule="auto"/>
        <w:rPr>
          <w:rFonts w:ascii="Tahoma" w:hAnsi="Tahoma" w:cs="Tahoma"/>
          <w:b/>
          <w:bCs/>
          <w:szCs w:val="21"/>
        </w:rPr>
      </w:pPr>
      <w:r>
        <w:rPr>
          <w:rFonts w:ascii="Tahoma" w:hAnsi="Tahoma" w:cs="Tahoma"/>
          <w:b/>
          <w:bCs/>
          <w:szCs w:val="21"/>
        </w:rPr>
        <w:t>3.6编写评标报告</w:t>
      </w:r>
    </w:p>
    <w:p>
      <w:pPr>
        <w:spacing w:line="360" w:lineRule="auto"/>
        <w:rPr>
          <w:rFonts w:ascii="Tahoma" w:hAnsi="Tahoma" w:cs="Tahoma"/>
          <w:szCs w:val="21"/>
        </w:rPr>
      </w:pPr>
      <w:r>
        <w:rPr>
          <w:rFonts w:ascii="Tahoma" w:hAnsi="Tahoma" w:cs="Tahoma"/>
          <w:szCs w:val="21"/>
        </w:rPr>
        <w:t xml:space="preserve">3.6.1评标委员会完成评标后，根据全体评标成员签字的原始评标记录和评标结果编写的报告，其主要内容包括： </w:t>
      </w:r>
    </w:p>
    <w:p>
      <w:pPr>
        <w:spacing w:line="360" w:lineRule="auto"/>
        <w:ind w:firstLine="240" w:firstLineChars="100"/>
        <w:rPr>
          <w:rFonts w:ascii="Tahoma" w:hAnsi="Tahoma" w:cs="Tahoma"/>
          <w:szCs w:val="21"/>
        </w:rPr>
      </w:pPr>
      <w:r>
        <w:rPr>
          <w:rFonts w:ascii="Tahoma" w:hAnsi="Tahoma" w:cs="Tahoma"/>
          <w:szCs w:val="21"/>
        </w:rPr>
        <w:t xml:space="preserve">（1）招标公告刊登的媒体名称、开标日期和地点； </w:t>
      </w:r>
    </w:p>
    <w:p>
      <w:pPr>
        <w:spacing w:line="360" w:lineRule="auto"/>
        <w:ind w:firstLine="240" w:firstLineChars="100"/>
        <w:rPr>
          <w:rFonts w:ascii="Tahoma" w:hAnsi="Tahoma" w:cs="Tahoma"/>
          <w:szCs w:val="21"/>
        </w:rPr>
      </w:pPr>
      <w:r>
        <w:rPr>
          <w:rFonts w:ascii="Tahoma" w:hAnsi="Tahoma" w:cs="Tahoma"/>
          <w:szCs w:val="21"/>
        </w:rPr>
        <w:t>（2）购买招标文件的</w:t>
      </w:r>
      <w:r>
        <w:rPr>
          <w:rFonts w:hint="eastAsia" w:ascii="Tahoma" w:hAnsi="Tahoma" w:cs="Tahoma"/>
          <w:szCs w:val="21"/>
          <w:lang w:eastAsia="zh-CN"/>
        </w:rPr>
        <w:t>供应商</w:t>
      </w:r>
      <w:r>
        <w:rPr>
          <w:rFonts w:ascii="Tahoma" w:hAnsi="Tahoma" w:cs="Tahoma"/>
          <w:szCs w:val="21"/>
        </w:rPr>
        <w:t xml:space="preserve">名单和评标委员会成员名单； </w:t>
      </w:r>
    </w:p>
    <w:p>
      <w:pPr>
        <w:spacing w:line="360" w:lineRule="auto"/>
        <w:ind w:firstLine="240" w:firstLineChars="100"/>
        <w:rPr>
          <w:rFonts w:ascii="Tahoma" w:hAnsi="Tahoma" w:cs="Tahoma"/>
          <w:szCs w:val="21"/>
        </w:rPr>
      </w:pPr>
      <w:r>
        <w:rPr>
          <w:rFonts w:ascii="Tahoma" w:hAnsi="Tahoma" w:cs="Tahoma"/>
          <w:szCs w:val="21"/>
        </w:rPr>
        <w:t xml:space="preserve">（3）评标方法和标准； </w:t>
      </w:r>
    </w:p>
    <w:p>
      <w:pPr>
        <w:spacing w:line="360" w:lineRule="auto"/>
        <w:ind w:firstLine="240" w:firstLineChars="100"/>
        <w:rPr>
          <w:rFonts w:ascii="Tahoma" w:hAnsi="Tahoma" w:cs="Tahoma"/>
          <w:szCs w:val="21"/>
        </w:rPr>
      </w:pPr>
      <w:r>
        <w:rPr>
          <w:rFonts w:ascii="Tahoma" w:hAnsi="Tahoma" w:cs="Tahoma"/>
          <w:szCs w:val="21"/>
        </w:rPr>
        <w:t>（4）开标记录和评标情况及说明，包括投标无效</w:t>
      </w:r>
      <w:r>
        <w:rPr>
          <w:rFonts w:hint="eastAsia" w:ascii="Tahoma" w:hAnsi="Tahoma" w:cs="Tahoma"/>
          <w:szCs w:val="21"/>
          <w:lang w:eastAsia="zh-CN"/>
        </w:rPr>
        <w:t>供应商</w:t>
      </w:r>
      <w:r>
        <w:rPr>
          <w:rFonts w:ascii="Tahoma" w:hAnsi="Tahoma" w:cs="Tahoma"/>
          <w:szCs w:val="21"/>
        </w:rPr>
        <w:t xml:space="preserve">名单及原因； </w:t>
      </w:r>
    </w:p>
    <w:p>
      <w:pPr>
        <w:spacing w:line="360" w:lineRule="auto"/>
        <w:ind w:firstLine="240" w:firstLineChars="100"/>
        <w:rPr>
          <w:rFonts w:ascii="Tahoma" w:hAnsi="Tahoma" w:cs="Tahoma"/>
          <w:szCs w:val="21"/>
        </w:rPr>
      </w:pPr>
      <w:r>
        <w:rPr>
          <w:rFonts w:ascii="Tahoma" w:hAnsi="Tahoma" w:cs="Tahoma"/>
          <w:szCs w:val="21"/>
        </w:rPr>
        <w:t xml:space="preserve">（5）评标结果和中标候人排序表； </w:t>
      </w:r>
    </w:p>
    <w:p>
      <w:pPr>
        <w:spacing w:line="360" w:lineRule="auto"/>
        <w:ind w:firstLine="240" w:firstLineChars="100"/>
        <w:rPr>
          <w:rFonts w:ascii="Tahoma" w:hAnsi="Tahoma" w:cs="Tahoma"/>
          <w:szCs w:val="21"/>
        </w:rPr>
      </w:pPr>
      <w:r>
        <w:rPr>
          <w:rFonts w:ascii="Tahoma" w:hAnsi="Tahoma" w:cs="Tahoma"/>
          <w:szCs w:val="21"/>
        </w:rPr>
        <w:t xml:space="preserve">（6）评标委员会的授标建议。 </w:t>
      </w:r>
    </w:p>
    <w:p>
      <w:pPr>
        <w:spacing w:line="360" w:lineRule="auto"/>
        <w:rPr>
          <w:rFonts w:ascii="Tahoma" w:hAnsi="Tahoma" w:cs="Tahoma"/>
          <w:szCs w:val="21"/>
        </w:rPr>
      </w:pPr>
      <w:r>
        <w:rPr>
          <w:rFonts w:ascii="Tahoma" w:hAnsi="Tahoma" w:cs="Tahoma"/>
          <w:szCs w:val="21"/>
        </w:rPr>
        <w:t>3.6.2招标代理机构在评标结束后</w:t>
      </w:r>
      <w:r>
        <w:rPr>
          <w:rFonts w:hint="eastAsia" w:ascii="Tahoma" w:hAnsi="Tahoma" w:cs="Tahoma"/>
          <w:szCs w:val="21"/>
          <w:lang w:val="en-US" w:eastAsia="zh-CN"/>
        </w:rPr>
        <w:t>2</w:t>
      </w:r>
      <w:r>
        <w:rPr>
          <w:rFonts w:ascii="Tahoma" w:hAnsi="Tahoma" w:cs="Tahoma"/>
          <w:szCs w:val="21"/>
        </w:rPr>
        <w:t>个工作日内将评标报告送</w:t>
      </w:r>
      <w:r>
        <w:rPr>
          <w:rFonts w:hint="eastAsia" w:ascii="Tahoma" w:hAnsi="Tahoma" w:cs="Tahoma"/>
          <w:szCs w:val="21"/>
          <w:lang w:eastAsia="zh-CN"/>
        </w:rPr>
        <w:t>采购人</w:t>
      </w:r>
      <w:r>
        <w:rPr>
          <w:rFonts w:ascii="Tahoma" w:hAnsi="Tahoma" w:cs="Tahoma"/>
          <w:szCs w:val="21"/>
        </w:rPr>
        <w:t>。</w:t>
      </w:r>
    </w:p>
    <w:p>
      <w:pPr>
        <w:spacing w:line="360" w:lineRule="auto"/>
        <w:rPr>
          <w:rFonts w:ascii="Tahoma" w:hAnsi="Tahoma" w:cs="Tahoma"/>
          <w:b/>
        </w:rPr>
      </w:pPr>
      <w:r>
        <w:rPr>
          <w:rFonts w:ascii="Tahoma" w:hAnsi="Tahoma" w:cs="Tahoma"/>
          <w:b/>
        </w:rPr>
        <w:t>3.6确定中标人</w:t>
      </w:r>
    </w:p>
    <w:p>
      <w:pPr>
        <w:spacing w:line="360" w:lineRule="auto"/>
        <w:rPr>
          <w:rFonts w:ascii="Tahoma" w:hAnsi="Tahoma" w:cs="Tahoma"/>
        </w:rPr>
      </w:pPr>
      <w:r>
        <w:rPr>
          <w:rFonts w:ascii="Tahoma" w:hAnsi="Tahoma" w:cs="Tahoma"/>
        </w:rPr>
        <w:t>3.6.1采购人应当自收到评标报告之日起5个工作日内，在评标报告确定的</w:t>
      </w:r>
      <w:r>
        <w:rPr>
          <w:rFonts w:hint="eastAsia" w:ascii="Tahoma" w:hAnsi="Tahoma" w:cs="Tahoma"/>
          <w:lang w:eastAsia="zh-CN"/>
        </w:rPr>
        <w:t>成交候选人</w:t>
      </w:r>
      <w:r>
        <w:rPr>
          <w:rFonts w:ascii="Tahoma" w:hAnsi="Tahoma" w:cs="Tahoma"/>
        </w:rPr>
        <w:t>名单中按顺序确定中标人。</w:t>
      </w:r>
      <w:r>
        <w:rPr>
          <w:rFonts w:hint="eastAsia" w:ascii="Tahoma" w:hAnsi="Tahoma" w:cs="Tahoma"/>
          <w:lang w:eastAsia="zh-CN"/>
        </w:rPr>
        <w:t>成交候选人</w:t>
      </w:r>
      <w:r>
        <w:rPr>
          <w:rFonts w:ascii="Tahoma" w:hAnsi="Tahoma" w:cs="Tahoma"/>
        </w:rPr>
        <w:t>并列的，由采购人或者采购人委托评标委员会按照招标文件规定的方式确定中标人；招标文件未规定的，采取随机抽取的方式确定。</w:t>
      </w:r>
    </w:p>
    <w:p>
      <w:pPr>
        <w:spacing w:line="360" w:lineRule="auto"/>
        <w:rPr>
          <w:rFonts w:ascii="Tahoma" w:hAnsi="Tahoma" w:cs="Tahoma"/>
        </w:rPr>
      </w:pPr>
      <w:r>
        <w:rPr>
          <w:rFonts w:ascii="Tahoma" w:hAnsi="Tahoma" w:cs="Tahoma"/>
        </w:rPr>
        <w:t>3.6.2采购人在收到评标报告5个工作日内未按评标报告推荐的</w:t>
      </w:r>
      <w:r>
        <w:rPr>
          <w:rFonts w:hint="eastAsia" w:ascii="Tahoma" w:hAnsi="Tahoma" w:cs="Tahoma"/>
          <w:lang w:eastAsia="zh-CN"/>
        </w:rPr>
        <w:t>成交候选人</w:t>
      </w:r>
      <w:r>
        <w:rPr>
          <w:rFonts w:ascii="Tahoma" w:hAnsi="Tahoma" w:cs="Tahoma"/>
        </w:rPr>
        <w:t>顺序确定中标人，又不能说明合法理由的，视同按评标报告推荐的顺序确定排名</w:t>
      </w:r>
      <w:r>
        <w:rPr>
          <w:rFonts w:hint="eastAsia" w:ascii="Tahoma" w:hAnsi="Tahoma" w:cs="Tahoma"/>
          <w:lang w:val="en-US" w:eastAsia="zh-CN"/>
        </w:rPr>
        <w:t>前三</w:t>
      </w:r>
      <w:r>
        <w:rPr>
          <w:rFonts w:ascii="Tahoma" w:hAnsi="Tahoma" w:cs="Tahoma"/>
        </w:rPr>
        <w:t>的</w:t>
      </w:r>
      <w:r>
        <w:rPr>
          <w:rFonts w:hint="eastAsia" w:ascii="Tahoma" w:hAnsi="Tahoma" w:cs="Tahoma"/>
          <w:lang w:eastAsia="zh-CN"/>
        </w:rPr>
        <w:t>成交候选人</w:t>
      </w:r>
      <w:r>
        <w:rPr>
          <w:rFonts w:ascii="Tahoma" w:hAnsi="Tahoma" w:cs="Tahoma"/>
        </w:rPr>
        <w:t>为中标人。</w:t>
      </w:r>
    </w:p>
    <w:p>
      <w:pPr>
        <w:spacing w:line="360" w:lineRule="auto"/>
        <w:ind w:firstLine="240" w:firstLineChars="100"/>
        <w:rPr>
          <w:b/>
          <w:sz w:val="28"/>
        </w:rPr>
      </w:pPr>
      <w:r>
        <w:rPr>
          <w:rFonts w:ascii="Tahoma" w:hAnsi="Tahoma" w:cs="Tahoma"/>
          <w:szCs w:val="21"/>
        </w:rPr>
        <w:t>3.6.3如果排名</w:t>
      </w:r>
      <w:r>
        <w:rPr>
          <w:rFonts w:hint="eastAsia" w:ascii="Tahoma" w:hAnsi="Tahoma" w:cs="Tahoma"/>
          <w:szCs w:val="21"/>
          <w:lang w:val="en-US" w:eastAsia="zh-CN"/>
        </w:rPr>
        <w:t>前三</w:t>
      </w:r>
      <w:r>
        <w:rPr>
          <w:rFonts w:ascii="Tahoma" w:hAnsi="Tahoma" w:cs="Tahoma"/>
          <w:szCs w:val="21"/>
        </w:rPr>
        <w:t>的成交候选供应商，因不可抗力或自身原因放弃成交结果，可根据项目所需确定排名</w:t>
      </w:r>
      <w:r>
        <w:rPr>
          <w:rFonts w:hint="eastAsia" w:ascii="Tahoma" w:hAnsi="Tahoma" w:cs="Tahoma"/>
          <w:szCs w:val="21"/>
          <w:lang w:val="en-US" w:eastAsia="zh-CN"/>
        </w:rPr>
        <w:t>前四</w:t>
      </w:r>
      <w:r>
        <w:rPr>
          <w:rFonts w:ascii="Tahoma" w:hAnsi="Tahoma" w:cs="Tahoma"/>
          <w:szCs w:val="21"/>
        </w:rPr>
        <w:t>的成交候选供应商为成交供应商，以此类推。</w:t>
      </w:r>
      <w:r>
        <w:rPr>
          <w:b/>
          <w:sz w:val="28"/>
        </w:rPr>
        <w:br w:type="page"/>
      </w:r>
    </w:p>
    <w:p>
      <w:pPr>
        <w:spacing w:line="360" w:lineRule="auto"/>
        <w:jc w:val="center"/>
        <w:outlineLvl w:val="0"/>
        <w:rPr>
          <w:b/>
          <w:sz w:val="28"/>
        </w:rPr>
      </w:pPr>
      <w:bookmarkStart w:id="35" w:name="_Toc92733676"/>
      <w:r>
        <w:rPr>
          <w:rFonts w:hint="eastAsia"/>
          <w:b/>
          <w:sz w:val="28"/>
        </w:rPr>
        <w:t>第四章  采购需求书</w:t>
      </w:r>
      <w:bookmarkEnd w:id="35"/>
    </w:p>
    <w:p>
      <w:pPr>
        <w:spacing w:line="360" w:lineRule="auto"/>
        <w:ind w:firstLine="437"/>
        <w:outlineLvl w:val="1"/>
        <w:rPr>
          <w:b/>
          <w:bCs/>
          <w:szCs w:val="18"/>
        </w:rPr>
      </w:pPr>
      <w:bookmarkStart w:id="36" w:name="_Toc92733677"/>
      <w:r>
        <w:rPr>
          <w:rFonts w:hint="eastAsia"/>
          <w:b/>
          <w:bCs/>
          <w:szCs w:val="18"/>
        </w:rPr>
        <w:t>一、货物需求清单</w:t>
      </w:r>
      <w:bookmarkEnd w:id="36"/>
    </w:p>
    <w:tbl>
      <w:tblPr>
        <w:tblStyle w:val="32"/>
        <w:tblpPr w:leftFromText="180" w:rightFromText="180" w:vertAnchor="text" w:horzAnchor="page" w:tblpX="1766" w:tblpY="480"/>
        <w:tblOverlap w:val="never"/>
        <w:tblW w:w="8840"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1080"/>
        <w:gridCol w:w="2336"/>
        <w:gridCol w:w="1485"/>
        <w:gridCol w:w="3939"/>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65" w:hRule="atLeast"/>
        </w:trPr>
        <w:tc>
          <w:tcPr>
            <w:tcW w:w="8840" w:type="dxa"/>
            <w:gridSpan w:val="4"/>
            <w:tcBorders>
              <w:top w:val="nil"/>
              <w:left w:val="nil"/>
              <w:bottom w:val="nil"/>
              <w:right w:val="nil"/>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36"/>
                <w:szCs w:val="36"/>
                <w:u w:val="none"/>
              </w:rPr>
            </w:pPr>
            <w:r>
              <w:rPr>
                <w:rFonts w:hint="eastAsia" w:asciiTheme="minorEastAsia" w:hAnsiTheme="minorEastAsia" w:eastAsiaTheme="minorEastAsia" w:cstheme="minorEastAsia"/>
                <w:b/>
                <w:bCs/>
                <w:sz w:val="28"/>
                <w:szCs w:val="28"/>
                <w:lang w:val="en-US" w:eastAsia="zh-CN"/>
              </w:rPr>
              <w:t>第六包肉类明细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cs="宋体"/>
                <w:i w:val="0"/>
                <w:color w:val="000000"/>
                <w:kern w:val="0"/>
                <w:sz w:val="24"/>
                <w:szCs w:val="24"/>
                <w:u w:val="none"/>
                <w:lang w:val="en-US" w:eastAsia="zh-CN" w:bidi="ar"/>
              </w:rPr>
              <w:t>最</w:t>
            </w:r>
            <w:r>
              <w:rPr>
                <w:rFonts w:hint="eastAsia" w:ascii="宋体" w:hAnsi="宋体" w:eastAsia="宋体" w:cs="宋体"/>
                <w:i w:val="0"/>
                <w:color w:val="000000"/>
                <w:kern w:val="0"/>
                <w:sz w:val="24"/>
                <w:szCs w:val="24"/>
                <w:u w:val="none"/>
                <w:lang w:val="en-US" w:eastAsia="zh-CN" w:bidi="ar"/>
              </w:rPr>
              <w:t>限高价（元）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鲜羊肉（整羊）</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lang w:eastAsia="zh-CN"/>
              </w:rPr>
            </w:pPr>
            <w:r>
              <w:rPr>
                <w:rFonts w:hint="eastAsia" w:ascii="宋体" w:hAnsi="宋体" w:eastAsia="宋体" w:cs="宋体"/>
                <w:i w:val="0"/>
                <w:color w:val="000000"/>
                <w:kern w:val="0"/>
                <w:sz w:val="18"/>
                <w:szCs w:val="18"/>
                <w:u w:val="none"/>
                <w:lang w:val="en-US" w:eastAsia="zh-CN" w:bidi="ar"/>
              </w:rPr>
              <w:t>北园春网上公布当日最低价的90％为基础报折扣。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鲜剔骨羊肉</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北园春网上公布当日最低价的90％为基础报折扣。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鲜连骨羊肉</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北园春网上公布当日最低价的90％为基础报折扣。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鲜羊排</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北园春网上公布当日最低价的90％为基础报折扣。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鲜羊前腿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北园春网上公布当日最低价的90％为基础报折扣。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鲜羊后腿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北园春网上公布当日最低价的90％为基础报折扣。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鲜牛肉前腿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北园春网上公布当日最低价的90％为基础报折扣。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鲜牛肉后腿</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北园春网上公布当日最低价的90％为基础报折扣。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鲜牛肉（去骨全牛）</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Style w:val="121"/>
                <w:lang w:val="en-US" w:eastAsia="zh-CN" w:bidi="ar"/>
              </w:rPr>
              <w:t>北园春当日最低价(牛前腿价+牛后腿价)/2的90％为基准价报折扣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鲜牛排</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北园春网上公布当日最低价的90％为基础报折扣。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白鲢（含加工）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北园春网上公布当日最低价为基础报折扣。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336"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草鱼（含加工）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北园春网上公布当日最低价为基础报折扣。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2"/>
                <w:szCs w:val="22"/>
                <w:u w:val="none"/>
                <w:lang w:val="en-US" w:eastAsia="zh-CN" w:bidi="ar"/>
              </w:rPr>
              <w:t>鲤鱼（含加工）</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18"/>
                <w:szCs w:val="18"/>
                <w:u w:val="none"/>
                <w:lang w:val="en-US" w:eastAsia="zh-CN" w:bidi="ar"/>
              </w:rPr>
              <w:t>北园春网上公布当日最低价为基础报折扣。</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羊尾巴油</w:t>
            </w:r>
          </w:p>
        </w:tc>
        <w:tc>
          <w:tcPr>
            <w:tcW w:w="1485"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冻羊肉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冻牛前腿</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冻牛后腿</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56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冻牛腩</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41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鸡脯肉（冻）</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鸭脯肉（冻）</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eastAsia="宋体" w:cs="宋体"/>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8840" w:type="dxa"/>
            <w:gridSpan w:val="4"/>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b/>
                <w:bCs/>
                <w:sz w:val="28"/>
                <w:szCs w:val="20"/>
                <w:lang w:val="en-US" w:eastAsia="zh-CN"/>
              </w:rPr>
              <w:t>第七包面粉明细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序号</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品名</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规格</w:t>
            </w:r>
          </w:p>
        </w:tc>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cs="宋体"/>
                <w:i w:val="0"/>
                <w:color w:val="000000"/>
                <w:kern w:val="0"/>
                <w:sz w:val="24"/>
                <w:szCs w:val="24"/>
                <w:u w:val="none"/>
                <w:lang w:val="en-US" w:eastAsia="zh-CN" w:bidi="ar"/>
              </w:rPr>
              <w:t>最</w:t>
            </w:r>
            <w:r>
              <w:rPr>
                <w:rFonts w:hint="eastAsia" w:ascii="宋体" w:hAnsi="宋体" w:eastAsia="宋体" w:cs="宋体"/>
                <w:i w:val="0"/>
                <w:color w:val="000000"/>
                <w:kern w:val="0"/>
                <w:sz w:val="24"/>
                <w:szCs w:val="24"/>
                <w:u w:val="none"/>
                <w:lang w:val="en-US" w:eastAsia="zh-CN" w:bidi="ar"/>
              </w:rPr>
              <w:t>限高价（元/公斤）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标准粉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25公斤/袋</w:t>
            </w:r>
          </w:p>
        </w:tc>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2.97元/公斤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500" w:hRule="atLeast"/>
        </w:trPr>
        <w:tc>
          <w:tcPr>
            <w:tcW w:w="108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w:t>
            </w:r>
          </w:p>
        </w:tc>
        <w:tc>
          <w:tcPr>
            <w:tcW w:w="233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特一粉</w:t>
            </w:r>
          </w:p>
        </w:tc>
        <w:tc>
          <w:tcPr>
            <w:tcW w:w="1485"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25公斤/袋</w:t>
            </w:r>
          </w:p>
        </w:tc>
        <w:tc>
          <w:tcPr>
            <w:tcW w:w="393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3.68元/公斤</w:t>
            </w:r>
          </w:p>
        </w:tc>
      </w:tr>
    </w:tbl>
    <w:tbl>
      <w:tblPr>
        <w:tblStyle w:val="32"/>
        <w:tblW w:w="8843"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079"/>
        <w:gridCol w:w="1612"/>
        <w:gridCol w:w="2048"/>
        <w:gridCol w:w="1848"/>
        <w:gridCol w:w="225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bookmarkStart w:id="37" w:name="_Toc92733682"/>
            <w:r>
              <w:rPr>
                <w:rFonts w:hint="eastAsia"/>
                <w:b/>
                <w:bCs/>
                <w:sz w:val="28"/>
                <w:szCs w:val="20"/>
                <w:lang w:val="en-US" w:eastAsia="zh-CN"/>
              </w:rPr>
              <w:t>第八包副食品明细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color w:val="000000"/>
                <w:kern w:val="0"/>
                <w:sz w:val="24"/>
                <w:szCs w:val="24"/>
                <w:u w:val="none"/>
                <w:lang w:val="en-US" w:eastAsia="zh-CN" w:bidi="ar"/>
              </w:rPr>
              <w:t>最</w:t>
            </w:r>
            <w:r>
              <w:rPr>
                <w:rFonts w:hint="eastAsia" w:ascii="宋体" w:hAnsi="宋体" w:eastAsia="宋体" w:cs="宋体"/>
                <w:i w:val="0"/>
                <w:color w:val="000000"/>
                <w:kern w:val="0"/>
                <w:sz w:val="24"/>
                <w:szCs w:val="24"/>
                <w:u w:val="none"/>
                <w:lang w:val="en-US" w:eastAsia="zh-CN" w:bidi="ar"/>
              </w:rPr>
              <w:t>限高价（元)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花椒</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二级</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黑胡椒</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二级</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青花椒</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二级</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白胡椒粒</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二级</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红花椒粉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二级</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姜粉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1*50公斤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小茴香</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味精</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鸡精</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安琪发酵粉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1*20袋*450克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玉米淀粉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玉米面</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辣子面</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1*50公斤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线辣皮子</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朝天椒</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天然木耳</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干海带丝</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八角</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1*20公斤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桂皮</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香叶</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草果</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孜然</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生粉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肉蔻</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白芝麻</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黑芝麻</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粉条</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宽粉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花生米</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食用碱</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食用盐</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醋</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酱油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豆瓣酱</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52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番茄酱</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1*6桶*4.5公斤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辣椒酱</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1*40瓶</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奶茶粉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20袋*400克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白糖</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大砖茶</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1块*1.5公斤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钢丝球</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1*100袋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大头菜</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1*14公斤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雪里蕻</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1*4.5公斤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干豇豆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干笋</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腐竹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干豆皮</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香油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300ml</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红薯粉条</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食品袋</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23至32型号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大辣皮子</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葡萄干</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花椒油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450ml</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鸡精</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420g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小苏打</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酵母</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火锅料</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卤料</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豆浆粉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八宝菜</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4.5kg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大桶醋</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4.1L</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大桶酱油</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4.1L</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紫菜</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海带丝</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嫩肉粉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牛肉面料</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面包乳化剂</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20kg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玉米淀粉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泡打粉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粉丝</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火锅鱼料</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3.6kg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杏脯</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干香菇</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小红枣</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玉米榛子</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黑米</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小米</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薏米</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荞麦面</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绿豆</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菊花茶</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绿茶</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黑胡椒面</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白胡椒面</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魔芋</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2.8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8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副食品（合包）的高限价为4168元。</w:t>
            </w:r>
          </w:p>
        </w:tc>
      </w:tr>
      <w:bookmarkEnd w:id="37"/>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8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color w:val="000000"/>
                <w:kern w:val="0"/>
                <w:sz w:val="24"/>
                <w:szCs w:val="24"/>
                <w:u w:val="none"/>
                <w:lang w:val="en-US" w:eastAsia="zh-CN" w:bidi="ar"/>
              </w:rPr>
            </w:pPr>
            <w:bookmarkStart w:id="38" w:name="_Toc92733683"/>
            <w:r>
              <w:rPr>
                <w:rFonts w:hint="eastAsia"/>
                <w:b/>
                <w:bCs/>
                <w:sz w:val="28"/>
                <w:szCs w:val="20"/>
                <w:lang w:val="en-US" w:eastAsia="zh-CN"/>
              </w:rPr>
              <w:t>第九包日用品明细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77"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单位</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cs="宋体"/>
                <w:i w:val="0"/>
                <w:color w:val="000000"/>
                <w:kern w:val="0"/>
                <w:sz w:val="24"/>
                <w:szCs w:val="24"/>
                <w:u w:val="none"/>
                <w:lang w:val="en-US" w:eastAsia="zh-CN" w:bidi="ar"/>
              </w:rPr>
              <w:t>最</w:t>
            </w:r>
            <w:r>
              <w:rPr>
                <w:rFonts w:hint="eastAsia" w:ascii="宋体" w:hAnsi="宋体" w:eastAsia="宋体" w:cs="宋体"/>
                <w:i w:val="0"/>
                <w:color w:val="000000"/>
                <w:kern w:val="0"/>
                <w:sz w:val="24"/>
                <w:szCs w:val="24"/>
                <w:u w:val="none"/>
                <w:lang w:val="en-US" w:eastAsia="zh-CN" w:bidi="ar"/>
              </w:rPr>
              <w:t>限高价（元）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康师傅方便面</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1*24*113克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玉润火腿肠</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55克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0.75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双汇火腿肠</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2.3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雀巢咖啡</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1*48袋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老新疆奶茶</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天山蜂蜜</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1公斤</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鹰哥鹰嘴豆粉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牧工奶皮子粉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牧工奶茶粉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牧工营养核桃粉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喀秋莎即食营养麦片</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750克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维维豆奶粉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黑芝麻糊</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　360克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熙牛蛙牛肉干</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玉龙蛟玫瑰花酱</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玉龙藿香、无花果酱</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双佳山楂条</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220克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金丝蜜枣</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大黄油饼干</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香美克桃酥</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115克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香美克早餐饼干</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168克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米多奇馍片</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盒</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东芝洋葵瓜子</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乡伯佬卤蛋</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七一腐乳</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奥皇橄榄菜</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府尚沙琪玛</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160克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老童家花生米</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鹰哥油炸鹰嘴豆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7.7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鹰哥鹰嘴豆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德全白沙糖</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250克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德全红糖</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德全单晶冰糖</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老干妈香辣菜</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吉香居下饭菜</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106克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巴旦木</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红枣</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核桃仁</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益阳茯砖</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铁观音</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100克</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鞋垫</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纯棉、中档</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0.7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纯棉床单</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115*220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毛巾</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全棉、25*25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男士袜子</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纯棉</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2"/>
                <w:szCs w:val="22"/>
                <w:u w:val="none"/>
                <w:lang w:val="en-US" w:eastAsia="zh-CN" w:bidi="ar"/>
              </w:rPr>
              <w:t>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男士内裤</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纯棉</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肥佬内裤</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中档</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莫代尔内裤</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低档</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莫代尔肥佬内裤</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中档</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布鞋</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黑色、中档</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拖鞋</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蓝色、中档</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双</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塑料整理箱</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52.5*37.7*30.5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牙刷缸</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软塑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手指牙刷</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全塑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香皂盒</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软塑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搓澡巾</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洁神、中档</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小饭勺</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塑料</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0.25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碗（含小勺子）</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软塑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脸盆</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37cm</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水桶</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可食用、37cm*35cm</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高凳子</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49cm</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凳子</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27cm</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太空杯</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1000ml</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信纸</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20页</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笔芯</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0.5mm</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根</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软皮本</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148*210、40页</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加厚软皮本</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148*210、60页</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小学生多功能字典</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第11版、双色本</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本</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邮资封</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邮资1.2元</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港兴纸</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洁柔卷纸</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卷</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大宝SOD蜜</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郁美净</w:t>
            </w:r>
          </w:p>
        </w:tc>
        <w:tc>
          <w:tcPr>
            <w:tcW w:w="20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六神花露水</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80ml</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止汗露</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10ml</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中华牙膏</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90g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纳爱斯牙膏</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120g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支</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指甲刀</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钢制、5cm</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南孚电池</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5号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节</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南孚电池</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7号</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节</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真汉子剃须刀</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低档、电池</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飞科剃须刀</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中档</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飞科理发器</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中档、带线</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43</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百年润发洗发水</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200ml</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海鸥洗发膏</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340ml</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上海硫磺皂</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100g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中华抑菌香皂</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100g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奇强洗衣粉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260g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立白洗衣粉</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245g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89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奇强洗洁精</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500ml</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编织袋</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中号、70*52</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被子</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2.5kg,（二级棉）带套、150*200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褥子</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16"/>
                <w:szCs w:val="16"/>
                <w:u w:val="none"/>
                <w:lang w:val="en-US" w:eastAsia="zh-CN" w:bidi="ar"/>
              </w:rPr>
              <w:t>1.5kg,</w:t>
            </w:r>
            <w:r>
              <w:rPr>
                <w:rFonts w:hint="eastAsia" w:ascii="宋体" w:hAnsi="宋体" w:eastAsia="宋体" w:cs="宋体"/>
                <w:b/>
                <w:i w:val="0"/>
                <w:color w:val="000000"/>
                <w:kern w:val="0"/>
                <w:sz w:val="16"/>
                <w:szCs w:val="16"/>
                <w:u w:val="none"/>
                <w:lang w:val="en-US" w:eastAsia="zh-CN" w:bidi="ar"/>
              </w:rPr>
              <w:t>(二</w:t>
            </w:r>
            <w:r>
              <w:rPr>
                <w:rFonts w:hint="eastAsia" w:ascii="宋体" w:hAnsi="宋体" w:eastAsia="宋体" w:cs="宋体"/>
                <w:i w:val="0"/>
                <w:color w:val="000000"/>
                <w:kern w:val="0"/>
                <w:sz w:val="16"/>
                <w:szCs w:val="16"/>
                <w:u w:val="none"/>
                <w:lang w:val="en-US" w:eastAsia="zh-CN" w:bidi="ar"/>
              </w:rPr>
              <w:t>级棉）带套、90*200</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床单</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115*220、纯棉</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被套</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150*200、纯棉</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脸盆</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37cm</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太空杯</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1000ml</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指套牙刷</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全塑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0.8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牙刷杯</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软塑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99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中华牙膏</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90g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2.6</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100</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香皂盒</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软塑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101</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硫磺皂</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100g</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1.2</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102</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碗（含小勺子）</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软塑</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4.5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103</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毛巾</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全棉、25*25</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104</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垃圾桶（塑料）</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45*27</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105</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美伦纸</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0.9</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106</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短袖速干型运动T恤</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17</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107</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速干型运动短裤</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24</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108</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运动鞋</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2"/>
                <w:szCs w:val="22"/>
                <w:u w:val="none"/>
                <w:lang w:val="en-US" w:eastAsia="zh-CN" w:bidi="ar"/>
              </w:rPr>
              <w:t>不带鞋带、一脚蹬</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30</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00" w:hRule="atLeast"/>
        </w:trPr>
        <w:tc>
          <w:tcPr>
            <w:tcW w:w="1079"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109</w:t>
            </w:r>
          </w:p>
        </w:tc>
        <w:tc>
          <w:tcPr>
            <w:tcW w:w="16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运动鞋</w:t>
            </w:r>
          </w:p>
        </w:tc>
        <w:tc>
          <w:tcPr>
            <w:tcW w:w="2048"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default" w:ascii="宋体" w:hAnsi="宋体" w:eastAsia="宋体" w:cs="宋体"/>
                <w:i w:val="0"/>
                <w:color w:val="000000"/>
                <w:kern w:val="0"/>
                <w:sz w:val="22"/>
                <w:szCs w:val="22"/>
                <w:u w:val="none"/>
                <w:lang w:val="en-US" w:eastAsia="zh-CN" w:bidi="ar"/>
              </w:rPr>
              <w:t>不带鞋带、一脚蹬</w:t>
            </w:r>
          </w:p>
        </w:tc>
        <w:tc>
          <w:tcPr>
            <w:tcW w:w="1848"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4"/>
                <w:szCs w:val="24"/>
                <w:u w:val="none"/>
                <w:lang w:val="en-US" w:eastAsia="zh-CN" w:bidi="ar"/>
              </w:rPr>
              <w:t>双</w:t>
            </w:r>
          </w:p>
        </w:tc>
        <w:tc>
          <w:tcPr>
            <w:tcW w:w="22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default" w:ascii="宋体" w:hAnsi="宋体" w:eastAsia="宋体" w:cs="宋体"/>
                <w:i w:val="0"/>
                <w:color w:val="000000"/>
                <w:kern w:val="0"/>
                <w:sz w:val="22"/>
                <w:szCs w:val="22"/>
                <w:u w:val="none"/>
                <w:lang w:val="en-US" w:eastAsia="zh-CN" w:bidi="ar"/>
              </w:rPr>
              <w:t>48</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632" w:hRule="atLeast"/>
        </w:trPr>
        <w:tc>
          <w:tcPr>
            <w:tcW w:w="8843" w:type="dxa"/>
            <w:gridSpan w:val="5"/>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2"/>
                <w:szCs w:val="22"/>
                <w:u w:val="none"/>
                <w:lang w:val="en-US" w:eastAsia="zh-CN" w:bidi="ar"/>
              </w:rPr>
              <w:t>日用品（合包）的高限价为959.55元。</w:t>
            </w:r>
          </w:p>
        </w:tc>
      </w:tr>
    </w:tbl>
    <w:p>
      <w:pPr>
        <w:spacing w:line="360" w:lineRule="auto"/>
        <w:outlineLvl w:val="1"/>
        <w:rPr>
          <w:b/>
          <w:bCs/>
          <w:szCs w:val="18"/>
        </w:rPr>
        <w:sectPr>
          <w:footerReference r:id="rId5" w:type="default"/>
          <w:pgSz w:w="11906" w:h="16838"/>
          <w:pgMar w:top="1440" w:right="1800" w:bottom="1440" w:left="1800" w:header="851" w:footer="992" w:gutter="0"/>
          <w:pgNumType w:fmt="decimal" w:start="1"/>
          <w:cols w:space="425" w:num="1"/>
          <w:docGrid w:type="lines" w:linePitch="326" w:charSpace="0"/>
        </w:sectPr>
      </w:pPr>
    </w:p>
    <w:p>
      <w:pPr>
        <w:spacing w:line="360" w:lineRule="auto"/>
        <w:jc w:val="center"/>
        <w:outlineLvl w:val="1"/>
        <w:rPr>
          <w:b/>
          <w:bCs/>
          <w:szCs w:val="18"/>
        </w:rPr>
      </w:pPr>
      <w:r>
        <w:rPr>
          <w:rFonts w:hint="eastAsia"/>
          <w:b/>
          <w:bCs/>
          <w:szCs w:val="18"/>
        </w:rPr>
        <w:t>二、技术要求</w:t>
      </w:r>
      <w:bookmarkEnd w:id="38"/>
    </w:p>
    <w:p>
      <w:pPr>
        <w:spacing w:line="360" w:lineRule="auto"/>
        <w:ind w:firstLine="480" w:firstLineChars="200"/>
      </w:pPr>
      <w:bookmarkStart w:id="39" w:name="_Toc92733684"/>
      <w:r>
        <w:rPr>
          <w:rFonts w:hint="eastAsia"/>
        </w:rPr>
        <w:t>（一）质量保证</w:t>
      </w:r>
    </w:p>
    <w:p>
      <w:pPr>
        <w:spacing w:line="360" w:lineRule="auto"/>
        <w:ind w:firstLine="480" w:firstLineChars="200"/>
      </w:pPr>
      <w:r>
        <w:rPr>
          <w:rFonts w:hint="eastAsia"/>
        </w:rPr>
        <w:t>1、乙方保证提供本合同项下的货物符合国家质量安全标准及招</w:t>
      </w:r>
      <w:r>
        <w:rPr>
          <w:rFonts w:hint="eastAsia"/>
          <w:lang w:eastAsia="zh-CN"/>
        </w:rPr>
        <w:t>响应文件</w:t>
      </w:r>
      <w:r>
        <w:rPr>
          <w:rFonts w:hint="eastAsia"/>
        </w:rPr>
        <w:t>、答疑附件的质量要求，干净卫生、无杂质，无过期、变质、腐烂、以假充真、以次充好等现象，并保证其销售的产品不存在有造成甲方或任何第三人人身损害的现实或潜在的危险：若因此造成任何损失，由乙方承担全部赔偿责任。</w:t>
      </w:r>
    </w:p>
    <w:p>
      <w:pPr>
        <w:spacing w:line="360" w:lineRule="auto"/>
        <w:ind w:firstLine="480" w:firstLineChars="200"/>
      </w:pPr>
      <w:r>
        <w:rPr>
          <w:rFonts w:hint="eastAsia"/>
        </w:rPr>
        <w:t>2.食品来源安全可靠，产品质量必须符合国家质量标准。</w:t>
      </w:r>
    </w:p>
    <w:p>
      <w:pPr>
        <w:spacing w:line="360" w:lineRule="auto"/>
        <w:ind w:firstLine="480" w:firstLineChars="200"/>
      </w:pPr>
      <w:r>
        <w:rPr>
          <w:rFonts w:hint="eastAsia"/>
        </w:rPr>
        <w:t>3、乙方应保证其配送的每一个批次的货物符合上述质量标准及相应的安全标准。提供所需证件及产品检验报告单。在实施中甲方将核实乙方投标书中的产品质量标准、检验报告、QS标志与实际供货的产品的质量标准、检验报告、QS标志是否一致，如发现偏离，甲方将取消乙方供货资格，并追究相关法律责任。</w:t>
      </w:r>
    </w:p>
    <w:p>
      <w:pPr>
        <w:spacing w:line="360" w:lineRule="auto"/>
        <w:ind w:firstLine="480" w:firstLineChars="200"/>
      </w:pPr>
      <w:r>
        <w:rPr>
          <w:rFonts w:hint="eastAsia"/>
        </w:rPr>
        <w:t>4、乙方需在本合同签署之日向甲方提供各种有效证照的复印件（需加盖乙方公章），包括但不限于：营业执照、食品卫生许可证、产品质量检验报告等与食品销售要求的相关资质证明，否则，甲方有权不予付款且不承担违约责任。在本合同有效期内，乙方必须保证上述各类证照始终处于合法、有效状态。每批次提供所需证件及产品检验报告单。疫情期间须提供最新核酸报告。</w:t>
      </w:r>
    </w:p>
    <w:p>
      <w:pPr>
        <w:spacing w:line="360" w:lineRule="auto"/>
        <w:ind w:firstLine="480" w:firstLineChars="200"/>
      </w:pPr>
      <w:r>
        <w:rPr>
          <w:rFonts w:hint="eastAsia"/>
        </w:rPr>
        <w:t>5、根据甲方采购计划单的品种数量，乙方不得缺斤少两，缺货少货由乙方24小时内必须补齐，运输费用乙方自理，乙方如发生不给甲方按时补齐货物的情况，第一次甲方有权按照同等金额扣除货款，并提出一次警告；二次出现同样情况者，甲方有权单方终止合同。</w:t>
      </w:r>
    </w:p>
    <w:p>
      <w:pPr>
        <w:spacing w:line="360" w:lineRule="auto"/>
        <w:ind w:firstLine="480" w:firstLineChars="200"/>
      </w:pPr>
      <w:r>
        <w:rPr>
          <w:rFonts w:hint="eastAsia"/>
        </w:rPr>
        <w:t>6、如甲方应急临时需购货品，乙方必须按指定的品种、数量，在接到甲方的要货通知后24小时（最短时间）内及时送货，运输费用自理。</w:t>
      </w:r>
    </w:p>
    <w:p>
      <w:pPr>
        <w:spacing w:line="360" w:lineRule="auto"/>
        <w:ind w:firstLine="480" w:firstLineChars="200"/>
      </w:pPr>
      <w:r>
        <w:rPr>
          <w:rFonts w:hint="eastAsia"/>
        </w:rPr>
        <w:t>7、</w:t>
      </w:r>
      <w:r>
        <w:t>如发现质次货品，甲方有权要求乙方进行退货并按照标准及时重新供货，由此造成的费用由乙方承担；根据所验货物数量金额的双倍支付违约金或减半支付货款，并提出一次警告；二次出现同样情况者，甲方有权单方终止合同，如在任意标包出现终止合同的现象，将终止中标本项目所有标包的合同</w:t>
      </w:r>
      <w:r>
        <w:rPr>
          <w:rFonts w:hint="eastAsia"/>
        </w:rPr>
        <w:t>。</w:t>
      </w:r>
    </w:p>
    <w:p>
      <w:pPr>
        <w:spacing w:line="360" w:lineRule="auto"/>
        <w:ind w:firstLine="480" w:firstLineChars="200"/>
      </w:pPr>
      <w:r>
        <w:rPr>
          <w:rFonts w:hint="eastAsia"/>
        </w:rPr>
        <w:t>（二）、质量保证期</w:t>
      </w:r>
    </w:p>
    <w:p>
      <w:pPr>
        <w:spacing w:line="360" w:lineRule="auto"/>
        <w:ind w:firstLine="480" w:firstLineChars="200"/>
      </w:pPr>
      <w:r>
        <w:rPr>
          <w:rFonts w:hint="eastAsia"/>
        </w:rPr>
        <w:t>1、合同内配送的货物必须在生产日期内。在质量保证期内，因货物出现融化、变质、过期及其他质量问题等现象的，乙方负责免费无条件更换，如遇疫情及不可抗拒因素，乙方货物质量不符合甲方标准要求，乙方负责无偿更换，退回货物暂由甲方保管，待甲方达到正常退回情况时，通知乙方运回，退回货物所产生的包装、运费等一切相关费用由乙方承担。</w:t>
      </w:r>
    </w:p>
    <w:p>
      <w:pPr>
        <w:spacing w:line="360" w:lineRule="auto"/>
        <w:ind w:firstLine="480" w:firstLineChars="200"/>
      </w:pPr>
      <w:r>
        <w:rPr>
          <w:rFonts w:hint="eastAsia"/>
        </w:rPr>
        <w:t>2、质保期内，乙方未按甲方要求予以更换或者因情况紧急，甲方有权另行采购其他商家同类货物，由此产生的费用由乙方承担。</w:t>
      </w:r>
    </w:p>
    <w:p>
      <w:pPr>
        <w:spacing w:line="360" w:lineRule="auto"/>
        <w:ind w:firstLine="480" w:firstLineChars="200"/>
      </w:pPr>
      <w:r>
        <w:rPr>
          <w:rFonts w:hint="eastAsia"/>
        </w:rPr>
        <w:t>3、乙方不对供应甲方的货品进行长时间储藏，甲方有权无偿调换不符合配送期要求的货品。</w:t>
      </w:r>
    </w:p>
    <w:p>
      <w:pPr>
        <w:widowControl w:val="0"/>
        <w:spacing w:line="360" w:lineRule="auto"/>
        <w:ind w:left="480"/>
        <w:jc w:val="both"/>
      </w:pPr>
      <w:r>
        <w:rPr>
          <w:rFonts w:hint="eastAsia"/>
        </w:rPr>
        <w:t>（三）、交货时间、地点及风险转移</w:t>
      </w:r>
    </w:p>
    <w:p>
      <w:pPr>
        <w:spacing w:line="360" w:lineRule="auto"/>
        <w:ind w:firstLine="480" w:firstLineChars="200"/>
      </w:pPr>
      <w:r>
        <w:rPr>
          <w:rFonts w:hint="eastAsia"/>
        </w:rPr>
        <w:t>1、乙方按甲方要求配送货物的日期将货物送达至指定地点：甲方指定地点，并确保及时配合甲方完成验收工作。</w:t>
      </w:r>
    </w:p>
    <w:p>
      <w:pPr>
        <w:spacing w:line="360" w:lineRule="auto"/>
        <w:ind w:firstLine="480" w:firstLineChars="200"/>
      </w:pPr>
      <w:r>
        <w:rPr>
          <w:rFonts w:hint="eastAsia"/>
        </w:rPr>
        <w:t>2、供货时间：根据甲方的具体要求进行配送，如乙方不能及时送货造成甲方餐厅无法正常运行，乙方应向甲方支付伍万元违约金：二次出现同样情况者，甲方有权单方解除合同。有特殊需求的供货时间，由甲方指定供货时间与频次。</w:t>
      </w:r>
    </w:p>
    <w:p>
      <w:pPr>
        <w:spacing w:line="360" w:lineRule="auto"/>
        <w:ind w:firstLine="480" w:firstLineChars="200"/>
      </w:pPr>
      <w:r>
        <w:rPr>
          <w:rFonts w:hint="eastAsia"/>
        </w:rPr>
        <w:t>3、交货完成前（即货物交付完毕且经甲方书面验收合格前），本合同项下货物的损毁灭失风险由乙方承担，交货完成后（货物交付完毕且经过甲方书面验收合格后），货物的所有权及损毁灭失风险转移至甲方。</w:t>
      </w:r>
    </w:p>
    <w:p>
      <w:pPr>
        <w:spacing w:line="360" w:lineRule="auto"/>
        <w:ind w:firstLine="480" w:firstLineChars="200"/>
        <w:rPr>
          <w:rFonts w:hint="eastAsia"/>
        </w:rPr>
      </w:pPr>
      <w:r>
        <w:rPr>
          <w:rFonts w:hint="eastAsia"/>
        </w:rPr>
        <w:t>4</w:t>
      </w:r>
      <w:r>
        <w:t>.供货分配方式：每标包中标三家单位，三家单位均分供货（按甲方要求）</w:t>
      </w:r>
      <w:r>
        <w:rPr>
          <w:rFonts w:hint="eastAsia"/>
        </w:rPr>
        <w:t>。</w:t>
      </w:r>
    </w:p>
    <w:p>
      <w:pPr>
        <w:spacing w:line="360" w:lineRule="auto"/>
        <w:ind w:firstLine="480" w:firstLineChars="200"/>
      </w:pPr>
      <w:r>
        <w:rPr>
          <w:rFonts w:hint="eastAsia"/>
        </w:rPr>
        <w:t>（四）、货物的包装及运输</w:t>
      </w:r>
    </w:p>
    <w:p>
      <w:pPr>
        <w:spacing w:line="360" w:lineRule="auto"/>
        <w:ind w:firstLine="480" w:firstLineChars="200"/>
      </w:pPr>
      <w:r>
        <w:rPr>
          <w:rFonts w:hint="eastAsia"/>
        </w:rPr>
        <w:t>1、包装必须与运输方式相适应，包装方式的确定和包装费用均由乙方负责；由于不适当的包装而造成的货物有任何的损坏由乙方负责。</w:t>
      </w:r>
    </w:p>
    <w:p>
      <w:pPr>
        <w:spacing w:line="360" w:lineRule="auto"/>
        <w:ind w:firstLine="480" w:firstLineChars="200"/>
      </w:pPr>
      <w:r>
        <w:rPr>
          <w:rFonts w:hint="eastAsia"/>
        </w:rPr>
        <w:t>2、包装费、运输费、装卸费和保险费等均已包含在合同单价内。</w:t>
      </w:r>
    </w:p>
    <w:p>
      <w:pPr>
        <w:spacing w:line="360" w:lineRule="auto"/>
        <w:ind w:firstLine="480" w:firstLineChars="200"/>
      </w:pPr>
      <w:r>
        <w:rPr>
          <w:rFonts w:hint="eastAsia"/>
        </w:rPr>
        <w:t>3、采用定型包装的货物，包装必须符合国家对产品包装的有关规定。货品由生产厂家使用符合国家食品卫生要求的包装箱或包装袋进行完整包装，包装上必须有清晰的厂家信息、生产日期、保质期、净重量：必须有QS标识；包装破损甲方有权不予以接收。</w:t>
      </w:r>
    </w:p>
    <w:p>
      <w:pPr>
        <w:spacing w:line="360" w:lineRule="auto"/>
        <w:ind w:firstLine="480" w:firstLineChars="200"/>
      </w:pPr>
      <w:r>
        <w:rPr>
          <w:rFonts w:hint="eastAsia"/>
        </w:rPr>
        <w:t>4、乙方保证运输周转的容器与车辆的清洁卫生和防止货物在运输过程中受到污染。</w:t>
      </w:r>
    </w:p>
    <w:p>
      <w:pPr>
        <w:spacing w:line="360" w:lineRule="auto"/>
        <w:ind w:firstLine="480" w:firstLineChars="200"/>
      </w:pPr>
      <w:r>
        <w:rPr>
          <w:rFonts w:hint="eastAsia"/>
        </w:rPr>
        <w:t>5、乙方所提供的货物不得散露运输，货物装卸必须做到轻装轻卸，并码放整齐。</w:t>
      </w:r>
    </w:p>
    <w:p>
      <w:pPr>
        <w:spacing w:line="360" w:lineRule="auto"/>
        <w:ind w:firstLine="480" w:firstLineChars="200"/>
      </w:pPr>
      <w:r>
        <w:rPr>
          <w:rFonts w:hint="eastAsia"/>
        </w:rPr>
        <w:t>（五）、验收</w:t>
      </w:r>
    </w:p>
    <w:p>
      <w:pPr>
        <w:spacing w:line="360" w:lineRule="auto"/>
        <w:ind w:firstLine="480" w:firstLineChars="200"/>
      </w:pPr>
      <w:r>
        <w:rPr>
          <w:rFonts w:hint="eastAsia"/>
        </w:rPr>
        <w:t>1、验收标准：以招</w:t>
      </w:r>
      <w:r>
        <w:rPr>
          <w:rFonts w:hint="eastAsia"/>
          <w:lang w:eastAsia="zh-CN"/>
        </w:rPr>
        <w:t>响应文件</w:t>
      </w:r>
      <w:r>
        <w:rPr>
          <w:rFonts w:hint="eastAsia"/>
        </w:rPr>
        <w:t>及本合同甲、乙双方约定的质量标准为货物的验收标准。甲方仅对乙方交付货物的数量、规格、外观等进行初步验收，初步验收合格不代表乙方对所交付货物潜在质量安全问题免责。</w:t>
      </w:r>
    </w:p>
    <w:p>
      <w:pPr>
        <w:spacing w:line="360" w:lineRule="auto"/>
        <w:ind w:firstLine="480" w:firstLineChars="200"/>
      </w:pPr>
      <w:r>
        <w:rPr>
          <w:rFonts w:hint="eastAsia"/>
        </w:rPr>
        <w:t>2、数量的认定：乙方每日依据甲方提供的物资计划单中品种数量配送：甲方工作人员和乙方人员现场称重或点数完毕后，共同在送货单上核准并签字，并加盖乙方发票专用章作为结账凭证。结算数量按照实际进货数量进行结算。计量单位：按公斤。</w:t>
      </w:r>
    </w:p>
    <w:p>
      <w:pPr>
        <w:spacing w:line="360" w:lineRule="auto"/>
        <w:ind w:firstLine="480" w:firstLineChars="200"/>
      </w:pPr>
      <w:r>
        <w:rPr>
          <w:rFonts w:hint="eastAsia"/>
        </w:rPr>
        <w:t>3、自交货后当日，甲方应依照双方在本合同中约定的质量要求和验收标准进行验收。验收不合格的，应及时向乙方提出书面异议，乙方应在接到异议后及时进行更换，直至验收合格，如果因乙方供货质量原因造成的甲方受到的损失，乙方还应承担相应违约责任并承担相应赔偿责任。</w:t>
      </w:r>
    </w:p>
    <w:p>
      <w:pPr>
        <w:spacing w:line="360" w:lineRule="auto"/>
        <w:ind w:firstLine="480" w:firstLineChars="200"/>
      </w:pPr>
      <w:r>
        <w:rPr>
          <w:rFonts w:hint="eastAsia"/>
        </w:rPr>
        <w:t>（六）、货款的支付</w:t>
      </w:r>
    </w:p>
    <w:p>
      <w:pPr>
        <w:spacing w:line="360" w:lineRule="auto"/>
        <w:ind w:firstLine="480" w:firstLineChars="200"/>
      </w:pPr>
      <w:r>
        <w:rPr>
          <w:rFonts w:hint="eastAsia"/>
        </w:rPr>
        <w:t>1、乙方必须提供开户行及账号和统一正规普通发票（不能在税务局代开发票），并附上增值税发票查验单，否则视为自行放弃供货资格：</w:t>
      </w:r>
    </w:p>
    <w:p>
      <w:pPr>
        <w:spacing w:line="360" w:lineRule="auto"/>
        <w:ind w:firstLine="480" w:firstLineChars="200"/>
      </w:pPr>
      <w:r>
        <w:rPr>
          <w:rFonts w:hint="eastAsia"/>
        </w:rPr>
        <w:t>2、甲乙双方签订协议之后，由乙方为甲方先行垫付货款，首次送货两个月</w:t>
      </w:r>
    </w:p>
    <w:p>
      <w:pPr>
        <w:spacing w:line="360" w:lineRule="auto"/>
        <w:rPr>
          <w:bCs/>
        </w:rPr>
      </w:pPr>
      <w:r>
        <w:rPr>
          <w:rFonts w:hint="eastAsia"/>
        </w:rPr>
        <w:t>后结算前期货款，滚动式结账，每月进行1-2次货款结算。如遇节假日、甲方财务扎账等特殊情况，结账日期依次顺延</w:t>
      </w:r>
      <w:r>
        <w:rPr>
          <w:rFonts w:hint="eastAsia"/>
          <w:b/>
          <w:bCs/>
          <w:szCs w:val="18"/>
        </w:rPr>
        <w:t>。</w:t>
      </w:r>
      <w:bookmarkEnd w:id="39"/>
      <w:r>
        <w:rPr>
          <w:rFonts w:hint="eastAsia"/>
          <w:bCs/>
        </w:rPr>
        <w:br w:type="page"/>
      </w:r>
    </w:p>
    <w:p>
      <w:pPr>
        <w:spacing w:line="360" w:lineRule="auto"/>
        <w:jc w:val="center"/>
        <w:outlineLvl w:val="0"/>
        <w:rPr>
          <w:b/>
          <w:sz w:val="28"/>
        </w:rPr>
      </w:pPr>
      <w:bookmarkStart w:id="40" w:name="_Toc92733685"/>
      <w:r>
        <w:rPr>
          <w:rFonts w:hint="eastAsia"/>
          <w:b/>
          <w:sz w:val="28"/>
        </w:rPr>
        <w:t>第五章  政府采购合同</w:t>
      </w:r>
      <w:bookmarkEnd w:id="40"/>
    </w:p>
    <w:p>
      <w:pPr>
        <w:pStyle w:val="39"/>
        <w:ind w:firstLine="480"/>
      </w:pPr>
    </w:p>
    <w:p>
      <w:pPr>
        <w:spacing w:line="259" w:lineRule="auto"/>
        <w:ind w:left="17" w:hanging="11"/>
        <w:jc w:val="center"/>
      </w:pPr>
      <w:r>
        <w:rPr>
          <w:sz w:val="52"/>
        </w:rPr>
        <w:t>采购合同</w:t>
      </w:r>
    </w:p>
    <w:p>
      <w:pPr>
        <w:spacing w:line="360" w:lineRule="auto"/>
        <w:ind w:left="24"/>
        <w:rPr>
          <w:szCs w:val="21"/>
        </w:rPr>
      </w:pPr>
      <w:r>
        <w:rPr>
          <w:szCs w:val="21"/>
        </w:rPr>
        <w:t>买 方：</w:t>
      </w:r>
    </w:p>
    <w:p>
      <w:pPr>
        <w:spacing w:line="360" w:lineRule="auto"/>
        <w:ind w:left="24"/>
        <w:rPr>
          <w:szCs w:val="21"/>
        </w:rPr>
      </w:pPr>
    </w:p>
    <w:p>
      <w:pPr>
        <w:spacing w:line="360" w:lineRule="auto"/>
        <w:ind w:left="24"/>
        <w:rPr>
          <w:szCs w:val="21"/>
        </w:rPr>
      </w:pPr>
      <w:r>
        <w:rPr>
          <w:szCs w:val="21"/>
        </w:rPr>
        <w:t>签约地点：</w:t>
      </w:r>
      <w:r>
        <w:rPr>
          <w:szCs w:val="21"/>
          <w:u w:val="single" w:color="000000"/>
        </w:rPr>
        <w:t>乌鲁木齐市</w:t>
      </w:r>
    </w:p>
    <w:p>
      <w:pPr>
        <w:spacing w:line="360" w:lineRule="auto"/>
        <w:rPr>
          <w:szCs w:val="21"/>
        </w:rPr>
      </w:pPr>
      <w:r>
        <w:rPr>
          <w:szCs w:val="21"/>
        </w:rPr>
        <w:t>签约日期：</w:t>
      </w:r>
    </w:p>
    <w:p>
      <w:pPr>
        <w:spacing w:line="360" w:lineRule="auto"/>
        <w:rPr>
          <w:szCs w:val="21"/>
        </w:rPr>
      </w:pPr>
      <w:r>
        <w:rPr>
          <w:szCs w:val="21"/>
        </w:rPr>
        <w:t>合同编号：</w:t>
      </w:r>
    </w:p>
    <w:p>
      <w:pPr>
        <w:spacing w:line="360" w:lineRule="auto"/>
        <w:rPr>
          <w:szCs w:val="21"/>
        </w:rPr>
      </w:pPr>
    </w:p>
    <w:p>
      <w:pPr>
        <w:spacing w:line="360" w:lineRule="auto"/>
        <w:ind w:left="24"/>
        <w:rPr>
          <w:szCs w:val="21"/>
        </w:rPr>
      </w:pPr>
      <w:r>
        <w:rPr>
          <w:rFonts w:hint="eastAsia"/>
          <w:szCs w:val="21"/>
        </w:rPr>
        <w:t>甲</w:t>
      </w:r>
      <w:r>
        <w:rPr>
          <w:szCs w:val="21"/>
        </w:rPr>
        <w:t>方（</w:t>
      </w:r>
      <w:r>
        <w:rPr>
          <w:rFonts w:hint="eastAsia"/>
          <w:szCs w:val="21"/>
        </w:rPr>
        <w:t>买</w:t>
      </w:r>
      <w:r>
        <w:rPr>
          <w:szCs w:val="21"/>
        </w:rPr>
        <w:t>方）：</w:t>
      </w:r>
    </w:p>
    <w:p>
      <w:pPr>
        <w:spacing w:line="360" w:lineRule="auto"/>
        <w:ind w:left="24"/>
        <w:rPr>
          <w:szCs w:val="21"/>
        </w:rPr>
      </w:pPr>
      <w:r>
        <w:rPr>
          <w:szCs w:val="21"/>
        </w:rPr>
        <w:t>地址：</w:t>
      </w:r>
    </w:p>
    <w:p>
      <w:pPr>
        <w:spacing w:line="360" w:lineRule="auto"/>
        <w:ind w:left="24"/>
        <w:rPr>
          <w:szCs w:val="21"/>
        </w:rPr>
      </w:pPr>
      <w:r>
        <w:rPr>
          <w:szCs w:val="21"/>
        </w:rPr>
        <w:t>电话：</w:t>
      </w:r>
    </w:p>
    <w:p>
      <w:pPr>
        <w:spacing w:line="360" w:lineRule="auto"/>
        <w:ind w:left="24"/>
        <w:rPr>
          <w:szCs w:val="21"/>
        </w:rPr>
      </w:pPr>
    </w:p>
    <w:p>
      <w:pPr>
        <w:spacing w:line="360" w:lineRule="auto"/>
        <w:ind w:left="24"/>
        <w:rPr>
          <w:szCs w:val="21"/>
        </w:rPr>
      </w:pPr>
      <w:r>
        <w:rPr>
          <w:szCs w:val="21"/>
        </w:rPr>
        <w:t xml:space="preserve">乙方（卖方）： </w:t>
      </w:r>
    </w:p>
    <w:p>
      <w:pPr>
        <w:spacing w:line="360" w:lineRule="auto"/>
        <w:ind w:left="24"/>
        <w:rPr>
          <w:szCs w:val="21"/>
        </w:rPr>
      </w:pPr>
      <w:r>
        <w:rPr>
          <w:szCs w:val="21"/>
        </w:rPr>
        <w:t>地址：</w:t>
      </w:r>
    </w:p>
    <w:p>
      <w:pPr>
        <w:spacing w:line="360" w:lineRule="auto"/>
        <w:ind w:left="24"/>
        <w:rPr>
          <w:szCs w:val="21"/>
        </w:rPr>
      </w:pPr>
      <w:r>
        <w:rPr>
          <w:szCs w:val="21"/>
        </w:rPr>
        <w:t>电话：</w:t>
      </w:r>
    </w:p>
    <w:p>
      <w:pPr>
        <w:spacing w:line="360" w:lineRule="auto"/>
        <w:ind w:left="24"/>
        <w:rPr>
          <w:szCs w:val="21"/>
        </w:rPr>
      </w:pPr>
    </w:p>
    <w:p>
      <w:pPr>
        <w:spacing w:line="360" w:lineRule="auto"/>
        <w:ind w:firstLine="480" w:firstLineChars="200"/>
        <w:rPr>
          <w:szCs w:val="21"/>
        </w:rPr>
      </w:pPr>
      <w:r>
        <w:rPr>
          <w:rFonts w:hint="eastAsia"/>
          <w:szCs w:val="21"/>
          <w:u w:val="single"/>
        </w:rPr>
        <w:t xml:space="preserve"> </w:t>
      </w:r>
      <w:r>
        <w:rPr>
          <w:szCs w:val="21"/>
          <w:u w:val="single"/>
        </w:rPr>
        <w:t xml:space="preserve">         </w:t>
      </w:r>
      <w:r>
        <w:rPr>
          <w:szCs w:val="21"/>
        </w:rPr>
        <w:t>（以下简称甲方）与</w:t>
      </w:r>
      <w:r>
        <w:rPr>
          <w:rFonts w:hint="eastAsia"/>
          <w:szCs w:val="21"/>
          <w:u w:val="single"/>
        </w:rPr>
        <w:t xml:space="preserve"> </w:t>
      </w:r>
      <w:r>
        <w:rPr>
          <w:szCs w:val="21"/>
          <w:u w:val="single"/>
        </w:rPr>
        <w:t xml:space="preserve">         </w:t>
      </w:r>
      <w:r>
        <w:rPr>
          <w:szCs w:val="21"/>
        </w:rPr>
        <w:t>（以下简称乙方）就采购配送事宜，根据《中华人民共和国政府采购法》、</w:t>
      </w:r>
      <w:r>
        <w:rPr>
          <w:szCs w:val="21"/>
        </w:rPr>
        <w:drawing>
          <wp:inline distT="0" distB="0" distL="0" distR="0">
            <wp:extent cx="12065" cy="2540"/>
            <wp:effectExtent l="0" t="0" r="0" b="0"/>
            <wp:docPr id="3917" name="Picture 3917"/>
            <wp:cNvGraphicFramePr/>
            <a:graphic xmlns:a="http://schemas.openxmlformats.org/drawingml/2006/main">
              <a:graphicData uri="http://schemas.openxmlformats.org/drawingml/2006/picture">
                <pic:pic xmlns:pic="http://schemas.openxmlformats.org/drawingml/2006/picture">
                  <pic:nvPicPr>
                    <pic:cNvPr id="3917" name="Picture 3917"/>
                    <pic:cNvPicPr/>
                  </pic:nvPicPr>
                  <pic:blipFill>
                    <a:blip r:embed="rId9"/>
                    <a:stretch>
                      <a:fillRect/>
                    </a:stretch>
                  </pic:blipFill>
                  <pic:spPr>
                    <a:xfrm>
                      <a:off x="0" y="0"/>
                      <a:ext cx="12192" cy="3048"/>
                    </a:xfrm>
                    <a:prstGeom prst="rect">
                      <a:avLst/>
                    </a:prstGeom>
                  </pic:spPr>
                </pic:pic>
              </a:graphicData>
            </a:graphic>
          </wp:inline>
        </w:drawing>
      </w:r>
      <w:r>
        <w:rPr>
          <w:szCs w:val="21"/>
        </w:rPr>
        <w:t>《中华人民共和国合同法》等规定，本着平等、自愿、互利、互惠的原则，经各方协商一致，订立本合同。</w:t>
      </w:r>
    </w:p>
    <w:p>
      <w:pPr>
        <w:spacing w:after="71" w:line="360" w:lineRule="auto"/>
        <w:ind w:right="14" w:firstLine="480" w:firstLineChars="200"/>
        <w:rPr>
          <w:szCs w:val="21"/>
        </w:rPr>
      </w:pPr>
      <w:r>
        <w:rPr>
          <w:rFonts w:hint="eastAsia"/>
          <w:szCs w:val="21"/>
        </w:rPr>
        <w:t>一、</w:t>
      </w:r>
      <w:r>
        <w:rPr>
          <w:szCs w:val="21"/>
        </w:rPr>
        <w:t>采购物品名称</w:t>
      </w:r>
    </w:p>
    <w:p>
      <w:pPr>
        <w:spacing w:line="360" w:lineRule="auto"/>
        <w:ind w:right="14" w:firstLine="480" w:firstLineChars="200"/>
        <w:rPr>
          <w:szCs w:val="21"/>
        </w:rPr>
      </w:pPr>
      <w:r>
        <w:rPr>
          <w:rFonts w:hint="eastAsia"/>
          <w:szCs w:val="21"/>
        </w:rPr>
        <w:t>1、</w:t>
      </w:r>
      <w:r>
        <w:rPr>
          <w:szCs w:val="21"/>
        </w:rPr>
        <w:t>乙方提供的货物必须符合国家相关食品安全标准。</w:t>
      </w:r>
    </w:p>
    <w:p>
      <w:pPr>
        <w:spacing w:line="360" w:lineRule="auto"/>
        <w:ind w:right="14" w:firstLine="480" w:firstLineChars="200"/>
        <w:rPr>
          <w:szCs w:val="21"/>
        </w:rPr>
      </w:pPr>
      <w:r>
        <w:rPr>
          <w:szCs w:val="21"/>
        </w:rPr>
        <w:t>2</w:t>
      </w:r>
      <w:r>
        <w:rPr>
          <w:rFonts w:hint="eastAsia"/>
          <w:szCs w:val="21"/>
        </w:rPr>
        <w:t>、</w:t>
      </w:r>
      <w:r>
        <w:rPr>
          <w:szCs w:val="21"/>
        </w:rPr>
        <w:t>数量、规格、参数及价格：（详见下述表格）</w:t>
      </w:r>
    </w:p>
    <w:tbl>
      <w:tblPr>
        <w:tblStyle w:val="76"/>
        <w:tblW w:w="8449" w:type="dxa"/>
        <w:tblInd w:w="-110" w:type="dxa"/>
        <w:tblLayout w:type="autofit"/>
        <w:tblCellMar>
          <w:top w:w="0" w:type="dxa"/>
          <w:left w:w="110" w:type="dxa"/>
          <w:bottom w:w="74" w:type="dxa"/>
          <w:right w:w="115" w:type="dxa"/>
        </w:tblCellMar>
      </w:tblPr>
      <w:tblGrid>
        <w:gridCol w:w="844"/>
        <w:gridCol w:w="1492"/>
        <w:gridCol w:w="1632"/>
        <w:gridCol w:w="1150"/>
        <w:gridCol w:w="1484"/>
        <w:gridCol w:w="1847"/>
      </w:tblGrid>
      <w:tr>
        <w:tblPrEx>
          <w:tblCellMar>
            <w:top w:w="0" w:type="dxa"/>
            <w:left w:w="110" w:type="dxa"/>
            <w:bottom w:w="74" w:type="dxa"/>
            <w:right w:w="115" w:type="dxa"/>
          </w:tblCellMar>
        </w:tblPrEx>
        <w:trPr>
          <w:trHeight w:val="77" w:hRule="atLeast"/>
        </w:trPr>
        <w:tc>
          <w:tcPr>
            <w:tcW w:w="844" w:type="dxa"/>
            <w:tcBorders>
              <w:top w:val="single" w:color="000000" w:sz="2" w:space="0"/>
              <w:left w:val="single" w:color="000000" w:sz="2" w:space="0"/>
              <w:bottom w:val="single" w:color="000000" w:sz="2" w:space="0"/>
              <w:right w:val="single" w:color="000000" w:sz="2" w:space="0"/>
            </w:tcBorders>
            <w:vAlign w:val="center"/>
          </w:tcPr>
          <w:p>
            <w:pPr>
              <w:jc w:val="center"/>
              <w:rPr>
                <w:rFonts w:eastAsia="宋体"/>
                <w:kern w:val="2"/>
                <w:szCs w:val="21"/>
              </w:rPr>
            </w:pPr>
            <w:r>
              <w:rPr>
                <w:rFonts w:eastAsia="宋体"/>
                <w:kern w:val="2"/>
                <w:szCs w:val="21"/>
              </w:rPr>
              <w:t>序号</w:t>
            </w:r>
          </w:p>
        </w:tc>
        <w:tc>
          <w:tcPr>
            <w:tcW w:w="1492" w:type="dxa"/>
            <w:tcBorders>
              <w:top w:val="single" w:color="000000" w:sz="2" w:space="0"/>
              <w:left w:val="single" w:color="000000" w:sz="2" w:space="0"/>
              <w:bottom w:val="single" w:color="000000" w:sz="2" w:space="0"/>
              <w:right w:val="single" w:color="000000" w:sz="2" w:space="0"/>
            </w:tcBorders>
            <w:vAlign w:val="center"/>
          </w:tcPr>
          <w:p>
            <w:pPr>
              <w:jc w:val="center"/>
              <w:rPr>
                <w:rFonts w:eastAsia="宋体"/>
                <w:kern w:val="2"/>
                <w:szCs w:val="21"/>
              </w:rPr>
            </w:pPr>
            <w:r>
              <w:rPr>
                <w:rFonts w:hint="eastAsia" w:eastAsia="宋体"/>
                <w:kern w:val="2"/>
                <w:szCs w:val="21"/>
              </w:rPr>
              <w:t>产品</w:t>
            </w:r>
          </w:p>
        </w:tc>
        <w:tc>
          <w:tcPr>
            <w:tcW w:w="1632" w:type="dxa"/>
            <w:tcBorders>
              <w:top w:val="single" w:color="000000" w:sz="2" w:space="0"/>
              <w:left w:val="single" w:color="000000" w:sz="2" w:space="0"/>
              <w:bottom w:val="single" w:color="000000" w:sz="2" w:space="0"/>
              <w:right w:val="single" w:color="000000" w:sz="2" w:space="0"/>
            </w:tcBorders>
            <w:vAlign w:val="center"/>
          </w:tcPr>
          <w:p>
            <w:pPr>
              <w:jc w:val="center"/>
              <w:rPr>
                <w:rFonts w:eastAsia="宋体"/>
                <w:kern w:val="2"/>
                <w:szCs w:val="21"/>
              </w:rPr>
            </w:pPr>
            <w:r>
              <w:rPr>
                <w:rFonts w:eastAsia="宋体"/>
                <w:kern w:val="2"/>
                <w:szCs w:val="21"/>
              </w:rPr>
              <w:t>单价（元/kg)</w:t>
            </w:r>
          </w:p>
        </w:tc>
        <w:tc>
          <w:tcPr>
            <w:tcW w:w="1150" w:type="dxa"/>
            <w:tcBorders>
              <w:top w:val="single" w:color="000000" w:sz="2" w:space="0"/>
              <w:left w:val="single" w:color="000000" w:sz="2" w:space="0"/>
              <w:bottom w:val="single" w:color="000000" w:sz="2" w:space="0"/>
              <w:right w:val="single" w:color="000000" w:sz="2" w:space="0"/>
            </w:tcBorders>
            <w:vAlign w:val="center"/>
          </w:tcPr>
          <w:p>
            <w:pPr>
              <w:jc w:val="center"/>
              <w:rPr>
                <w:rFonts w:eastAsia="宋体"/>
                <w:kern w:val="2"/>
                <w:szCs w:val="21"/>
              </w:rPr>
            </w:pPr>
            <w:r>
              <w:rPr>
                <w:rFonts w:eastAsia="宋体"/>
                <w:kern w:val="2"/>
                <w:szCs w:val="21"/>
              </w:rPr>
              <w:t>规格</w:t>
            </w:r>
          </w:p>
        </w:tc>
        <w:tc>
          <w:tcPr>
            <w:tcW w:w="1484" w:type="dxa"/>
            <w:tcBorders>
              <w:top w:val="single" w:color="000000" w:sz="2" w:space="0"/>
              <w:left w:val="single" w:color="000000" w:sz="2" w:space="0"/>
              <w:bottom w:val="single" w:color="000000" w:sz="2" w:space="0"/>
              <w:right w:val="single" w:color="000000" w:sz="2" w:space="0"/>
            </w:tcBorders>
            <w:vAlign w:val="center"/>
          </w:tcPr>
          <w:p>
            <w:pPr>
              <w:jc w:val="center"/>
              <w:rPr>
                <w:rFonts w:eastAsia="宋体"/>
                <w:kern w:val="2"/>
                <w:szCs w:val="21"/>
              </w:rPr>
            </w:pPr>
            <w:r>
              <w:rPr>
                <w:rFonts w:eastAsia="宋体"/>
                <w:kern w:val="2"/>
                <w:szCs w:val="21"/>
              </w:rPr>
              <w:t>供货周期</w:t>
            </w:r>
          </w:p>
        </w:tc>
        <w:tc>
          <w:tcPr>
            <w:tcW w:w="1847" w:type="dxa"/>
            <w:tcBorders>
              <w:top w:val="single" w:color="000000" w:sz="2" w:space="0"/>
              <w:left w:val="single" w:color="000000" w:sz="2" w:space="0"/>
              <w:bottom w:val="single" w:color="000000" w:sz="2" w:space="0"/>
              <w:right w:val="single" w:color="000000" w:sz="2" w:space="0"/>
            </w:tcBorders>
            <w:vAlign w:val="center"/>
          </w:tcPr>
          <w:p>
            <w:pPr>
              <w:jc w:val="center"/>
              <w:rPr>
                <w:rFonts w:eastAsia="宋体"/>
                <w:kern w:val="2"/>
                <w:szCs w:val="21"/>
              </w:rPr>
            </w:pPr>
            <w:r>
              <w:rPr>
                <w:rFonts w:eastAsia="宋体"/>
                <w:kern w:val="2"/>
                <w:szCs w:val="21"/>
              </w:rPr>
              <w:t>备注</w:t>
            </w:r>
          </w:p>
        </w:tc>
      </w:tr>
      <w:tr>
        <w:tblPrEx>
          <w:tblCellMar>
            <w:top w:w="0" w:type="dxa"/>
            <w:left w:w="110" w:type="dxa"/>
            <w:bottom w:w="74" w:type="dxa"/>
            <w:right w:w="115" w:type="dxa"/>
          </w:tblCellMar>
        </w:tblPrEx>
        <w:trPr>
          <w:trHeight w:val="147" w:hRule="atLeast"/>
        </w:trPr>
        <w:tc>
          <w:tcPr>
            <w:tcW w:w="844" w:type="dxa"/>
            <w:tcBorders>
              <w:top w:val="single" w:color="000000" w:sz="2" w:space="0"/>
              <w:left w:val="single" w:color="000000" w:sz="2" w:space="0"/>
              <w:bottom w:val="single" w:color="000000" w:sz="2" w:space="0"/>
              <w:right w:val="single" w:color="000000" w:sz="2" w:space="0"/>
            </w:tcBorders>
            <w:vAlign w:val="center"/>
          </w:tcPr>
          <w:p>
            <w:pPr>
              <w:jc w:val="center"/>
              <w:rPr>
                <w:rFonts w:eastAsia="宋体"/>
                <w:kern w:val="2"/>
                <w:szCs w:val="21"/>
              </w:rPr>
            </w:pPr>
            <w:r>
              <w:rPr>
                <w:rFonts w:hint="eastAsia" w:eastAsia="宋体"/>
                <w:kern w:val="2"/>
                <w:szCs w:val="21"/>
              </w:rPr>
              <w:t>1</w:t>
            </w:r>
          </w:p>
        </w:tc>
        <w:tc>
          <w:tcPr>
            <w:tcW w:w="1492" w:type="dxa"/>
            <w:tcBorders>
              <w:top w:val="single" w:color="000000" w:sz="2" w:space="0"/>
              <w:left w:val="single" w:color="000000" w:sz="2" w:space="0"/>
              <w:bottom w:val="single" w:color="000000" w:sz="2" w:space="0"/>
              <w:right w:val="single" w:color="000000" w:sz="2" w:space="0"/>
            </w:tcBorders>
            <w:vAlign w:val="center"/>
          </w:tcPr>
          <w:p>
            <w:pPr>
              <w:ind w:right="5" w:firstLine="480" w:firstLineChars="200"/>
              <w:jc w:val="center"/>
              <w:rPr>
                <w:rFonts w:eastAsia="宋体"/>
                <w:kern w:val="2"/>
                <w:szCs w:val="21"/>
              </w:rPr>
            </w:pPr>
          </w:p>
        </w:tc>
        <w:tc>
          <w:tcPr>
            <w:tcW w:w="1632" w:type="dxa"/>
            <w:tcBorders>
              <w:top w:val="single" w:color="000000" w:sz="2" w:space="0"/>
              <w:left w:val="single" w:color="000000" w:sz="2" w:space="0"/>
              <w:bottom w:val="single" w:color="000000" w:sz="2" w:space="0"/>
              <w:right w:val="single" w:color="000000" w:sz="2" w:space="0"/>
            </w:tcBorders>
            <w:vAlign w:val="center"/>
          </w:tcPr>
          <w:p>
            <w:pPr>
              <w:spacing w:after="160"/>
              <w:ind w:firstLine="480" w:firstLineChars="200"/>
              <w:jc w:val="center"/>
              <w:rPr>
                <w:rFonts w:eastAsia="宋体"/>
                <w:kern w:val="2"/>
                <w:szCs w:val="21"/>
              </w:rPr>
            </w:pPr>
          </w:p>
        </w:tc>
        <w:tc>
          <w:tcPr>
            <w:tcW w:w="1150" w:type="dxa"/>
            <w:tcBorders>
              <w:top w:val="single" w:color="000000" w:sz="2" w:space="0"/>
              <w:left w:val="single" w:color="000000" w:sz="2" w:space="0"/>
              <w:bottom w:val="single" w:color="000000" w:sz="2" w:space="0"/>
              <w:right w:val="single" w:color="000000" w:sz="2" w:space="0"/>
            </w:tcBorders>
            <w:vAlign w:val="center"/>
          </w:tcPr>
          <w:p>
            <w:pPr>
              <w:ind w:firstLine="480" w:firstLineChars="200"/>
              <w:jc w:val="center"/>
              <w:rPr>
                <w:rFonts w:eastAsia="宋体"/>
                <w:kern w:val="2"/>
                <w:szCs w:val="21"/>
              </w:rPr>
            </w:pPr>
          </w:p>
        </w:tc>
        <w:tc>
          <w:tcPr>
            <w:tcW w:w="1484" w:type="dxa"/>
            <w:vMerge w:val="restart"/>
            <w:tcBorders>
              <w:top w:val="single" w:color="000000" w:sz="2" w:space="0"/>
              <w:left w:val="single" w:color="000000" w:sz="2" w:space="0"/>
              <w:bottom w:val="single" w:color="000000" w:sz="2" w:space="0"/>
              <w:right w:val="single" w:color="000000" w:sz="2" w:space="0"/>
            </w:tcBorders>
            <w:vAlign w:val="center"/>
          </w:tcPr>
          <w:p>
            <w:pPr>
              <w:ind w:firstLine="480" w:firstLineChars="200"/>
              <w:jc w:val="center"/>
              <w:rPr>
                <w:rFonts w:eastAsia="宋体"/>
                <w:kern w:val="2"/>
                <w:szCs w:val="21"/>
              </w:rPr>
            </w:pPr>
          </w:p>
        </w:tc>
        <w:tc>
          <w:tcPr>
            <w:tcW w:w="1847" w:type="dxa"/>
            <w:vMerge w:val="restart"/>
            <w:tcBorders>
              <w:top w:val="single" w:color="000000" w:sz="2" w:space="0"/>
              <w:left w:val="single" w:color="000000" w:sz="2" w:space="0"/>
              <w:bottom w:val="single" w:color="000000" w:sz="2" w:space="0"/>
              <w:right w:val="single" w:color="000000" w:sz="2" w:space="0"/>
            </w:tcBorders>
            <w:vAlign w:val="center"/>
          </w:tcPr>
          <w:p>
            <w:pPr>
              <w:ind w:firstLine="480" w:firstLineChars="200"/>
              <w:jc w:val="center"/>
              <w:rPr>
                <w:rFonts w:eastAsia="宋体"/>
                <w:kern w:val="2"/>
                <w:szCs w:val="21"/>
              </w:rPr>
            </w:pPr>
          </w:p>
        </w:tc>
      </w:tr>
      <w:tr>
        <w:tblPrEx>
          <w:tblCellMar>
            <w:top w:w="0" w:type="dxa"/>
            <w:left w:w="110" w:type="dxa"/>
            <w:bottom w:w="74" w:type="dxa"/>
            <w:right w:w="115" w:type="dxa"/>
          </w:tblCellMar>
        </w:tblPrEx>
        <w:trPr>
          <w:trHeight w:val="61" w:hRule="atLeast"/>
        </w:trPr>
        <w:tc>
          <w:tcPr>
            <w:tcW w:w="844" w:type="dxa"/>
            <w:tcBorders>
              <w:top w:val="single" w:color="000000" w:sz="2" w:space="0"/>
              <w:left w:val="single" w:color="000000" w:sz="2" w:space="0"/>
              <w:bottom w:val="single" w:color="000000" w:sz="2" w:space="0"/>
              <w:right w:val="single" w:color="000000" w:sz="2" w:space="0"/>
            </w:tcBorders>
            <w:vAlign w:val="center"/>
          </w:tcPr>
          <w:p>
            <w:pPr>
              <w:jc w:val="center"/>
              <w:rPr>
                <w:rFonts w:eastAsia="宋体"/>
                <w:kern w:val="2"/>
                <w:szCs w:val="21"/>
              </w:rPr>
            </w:pPr>
            <w:r>
              <w:rPr>
                <w:rFonts w:hint="eastAsia" w:eastAsia="宋体"/>
                <w:kern w:val="2"/>
                <w:szCs w:val="21"/>
              </w:rPr>
              <w:t>2</w:t>
            </w:r>
          </w:p>
        </w:tc>
        <w:tc>
          <w:tcPr>
            <w:tcW w:w="1492" w:type="dxa"/>
            <w:tcBorders>
              <w:top w:val="single" w:color="000000" w:sz="2" w:space="0"/>
              <w:left w:val="single" w:color="000000" w:sz="2" w:space="0"/>
              <w:bottom w:val="single" w:color="000000" w:sz="2" w:space="0"/>
              <w:right w:val="single" w:color="000000" w:sz="2" w:space="0"/>
            </w:tcBorders>
            <w:vAlign w:val="center"/>
          </w:tcPr>
          <w:p>
            <w:pPr>
              <w:ind w:firstLine="480" w:firstLineChars="200"/>
              <w:jc w:val="center"/>
              <w:rPr>
                <w:rFonts w:eastAsia="宋体"/>
                <w:kern w:val="2"/>
                <w:szCs w:val="21"/>
              </w:rPr>
            </w:pPr>
          </w:p>
        </w:tc>
        <w:tc>
          <w:tcPr>
            <w:tcW w:w="1632" w:type="dxa"/>
            <w:tcBorders>
              <w:top w:val="single" w:color="000000" w:sz="2" w:space="0"/>
              <w:left w:val="single" w:color="000000" w:sz="2" w:space="0"/>
              <w:bottom w:val="single" w:color="000000" w:sz="2" w:space="0"/>
              <w:right w:val="single" w:color="000000" w:sz="2" w:space="0"/>
            </w:tcBorders>
            <w:vAlign w:val="center"/>
          </w:tcPr>
          <w:p>
            <w:pPr>
              <w:spacing w:after="160"/>
              <w:ind w:firstLine="480" w:firstLineChars="200"/>
              <w:jc w:val="center"/>
              <w:rPr>
                <w:rFonts w:eastAsia="宋体"/>
                <w:kern w:val="2"/>
                <w:szCs w:val="21"/>
              </w:rPr>
            </w:pPr>
          </w:p>
        </w:tc>
        <w:tc>
          <w:tcPr>
            <w:tcW w:w="1150" w:type="dxa"/>
            <w:tcBorders>
              <w:top w:val="single" w:color="000000" w:sz="2" w:space="0"/>
              <w:left w:val="single" w:color="000000" w:sz="2" w:space="0"/>
              <w:bottom w:val="single" w:color="000000" w:sz="2" w:space="0"/>
              <w:right w:val="single" w:color="000000" w:sz="2" w:space="0"/>
            </w:tcBorders>
            <w:vAlign w:val="center"/>
          </w:tcPr>
          <w:p>
            <w:pPr>
              <w:spacing w:after="160"/>
              <w:ind w:firstLine="480" w:firstLineChars="200"/>
              <w:jc w:val="center"/>
              <w:rPr>
                <w:rFonts w:eastAsia="宋体"/>
                <w:kern w:val="2"/>
                <w:szCs w:val="21"/>
              </w:rPr>
            </w:pPr>
          </w:p>
        </w:tc>
        <w:tc>
          <w:tcPr>
            <w:tcW w:w="0" w:type="auto"/>
            <w:vMerge w:val="continue"/>
            <w:tcBorders>
              <w:top w:val="nil"/>
              <w:left w:val="single" w:color="000000" w:sz="2" w:space="0"/>
              <w:bottom w:val="single" w:color="000000" w:sz="2" w:space="0"/>
              <w:right w:val="single" w:color="000000" w:sz="2" w:space="0"/>
            </w:tcBorders>
            <w:vAlign w:val="center"/>
          </w:tcPr>
          <w:p>
            <w:pPr>
              <w:spacing w:after="160"/>
              <w:ind w:firstLine="480" w:firstLineChars="200"/>
              <w:jc w:val="center"/>
              <w:rPr>
                <w:rFonts w:eastAsia="宋体"/>
                <w:kern w:val="2"/>
                <w:szCs w:val="21"/>
              </w:rPr>
            </w:pPr>
          </w:p>
        </w:tc>
        <w:tc>
          <w:tcPr>
            <w:tcW w:w="0" w:type="auto"/>
            <w:vMerge w:val="continue"/>
            <w:tcBorders>
              <w:top w:val="nil"/>
              <w:left w:val="single" w:color="000000" w:sz="2" w:space="0"/>
              <w:bottom w:val="single" w:color="000000" w:sz="2" w:space="0"/>
              <w:right w:val="single" w:color="000000" w:sz="2" w:space="0"/>
            </w:tcBorders>
            <w:vAlign w:val="center"/>
          </w:tcPr>
          <w:p>
            <w:pPr>
              <w:spacing w:after="160"/>
              <w:ind w:firstLine="480" w:firstLineChars="200"/>
              <w:jc w:val="center"/>
              <w:rPr>
                <w:rFonts w:eastAsia="宋体"/>
                <w:kern w:val="2"/>
                <w:szCs w:val="21"/>
              </w:rPr>
            </w:pPr>
          </w:p>
        </w:tc>
      </w:tr>
      <w:tr>
        <w:tblPrEx>
          <w:tblCellMar>
            <w:top w:w="0" w:type="dxa"/>
            <w:left w:w="110" w:type="dxa"/>
            <w:bottom w:w="74" w:type="dxa"/>
            <w:right w:w="115" w:type="dxa"/>
          </w:tblCellMar>
        </w:tblPrEx>
        <w:trPr>
          <w:trHeight w:val="61" w:hRule="atLeast"/>
        </w:trPr>
        <w:tc>
          <w:tcPr>
            <w:tcW w:w="844" w:type="dxa"/>
            <w:tcBorders>
              <w:top w:val="single" w:color="000000" w:sz="2" w:space="0"/>
              <w:left w:val="single" w:color="000000" w:sz="2" w:space="0"/>
              <w:bottom w:val="single" w:color="000000" w:sz="2" w:space="0"/>
              <w:right w:val="nil"/>
            </w:tcBorders>
            <w:vAlign w:val="center"/>
          </w:tcPr>
          <w:p>
            <w:pPr>
              <w:spacing w:after="160"/>
              <w:ind w:firstLine="480" w:firstLineChars="200"/>
              <w:jc w:val="center"/>
              <w:rPr>
                <w:rFonts w:eastAsia="宋体"/>
                <w:kern w:val="2"/>
                <w:szCs w:val="21"/>
              </w:rPr>
            </w:pPr>
          </w:p>
        </w:tc>
        <w:tc>
          <w:tcPr>
            <w:tcW w:w="1492" w:type="dxa"/>
            <w:tcBorders>
              <w:top w:val="single" w:color="000000" w:sz="2" w:space="0"/>
              <w:left w:val="nil"/>
              <w:bottom w:val="single" w:color="000000" w:sz="2" w:space="0"/>
              <w:right w:val="nil"/>
            </w:tcBorders>
            <w:vAlign w:val="center"/>
          </w:tcPr>
          <w:p>
            <w:pPr>
              <w:spacing w:after="160"/>
              <w:ind w:firstLine="480" w:firstLineChars="200"/>
              <w:jc w:val="center"/>
              <w:rPr>
                <w:rFonts w:eastAsia="宋体"/>
                <w:kern w:val="2"/>
                <w:szCs w:val="21"/>
              </w:rPr>
            </w:pPr>
          </w:p>
        </w:tc>
        <w:tc>
          <w:tcPr>
            <w:tcW w:w="2782" w:type="dxa"/>
            <w:gridSpan w:val="2"/>
            <w:tcBorders>
              <w:top w:val="single" w:color="000000" w:sz="2" w:space="0"/>
              <w:left w:val="nil"/>
              <w:bottom w:val="single" w:color="000000" w:sz="2" w:space="0"/>
              <w:right w:val="nil"/>
            </w:tcBorders>
            <w:vAlign w:val="center"/>
          </w:tcPr>
          <w:p>
            <w:pPr>
              <w:ind w:firstLine="480" w:firstLineChars="200"/>
              <w:jc w:val="center"/>
              <w:rPr>
                <w:rFonts w:eastAsia="宋体"/>
                <w:kern w:val="2"/>
                <w:szCs w:val="21"/>
              </w:rPr>
            </w:pPr>
            <w:r>
              <w:rPr>
                <w:rFonts w:eastAsia="宋体"/>
                <w:kern w:val="2"/>
                <w:szCs w:val="21"/>
              </w:rPr>
              <w:t>合计：小写：</w:t>
            </w:r>
          </w:p>
        </w:tc>
        <w:tc>
          <w:tcPr>
            <w:tcW w:w="1484" w:type="dxa"/>
            <w:tcBorders>
              <w:top w:val="single" w:color="000000" w:sz="2" w:space="0"/>
              <w:left w:val="nil"/>
              <w:bottom w:val="single" w:color="000000" w:sz="2" w:space="0"/>
              <w:right w:val="nil"/>
            </w:tcBorders>
            <w:vAlign w:val="center"/>
          </w:tcPr>
          <w:p>
            <w:pPr>
              <w:spacing w:after="160"/>
              <w:ind w:firstLine="480" w:firstLineChars="200"/>
              <w:jc w:val="center"/>
              <w:rPr>
                <w:rFonts w:eastAsia="宋体"/>
                <w:kern w:val="2"/>
                <w:szCs w:val="21"/>
              </w:rPr>
            </w:pPr>
          </w:p>
        </w:tc>
        <w:tc>
          <w:tcPr>
            <w:tcW w:w="1847" w:type="dxa"/>
            <w:tcBorders>
              <w:top w:val="single" w:color="000000" w:sz="2" w:space="0"/>
              <w:left w:val="nil"/>
              <w:bottom w:val="single" w:color="000000" w:sz="2" w:space="0"/>
              <w:right w:val="single" w:color="000000" w:sz="2" w:space="0"/>
            </w:tcBorders>
            <w:vAlign w:val="center"/>
          </w:tcPr>
          <w:p>
            <w:pPr>
              <w:spacing w:after="160"/>
              <w:ind w:firstLine="480" w:firstLineChars="200"/>
              <w:jc w:val="center"/>
              <w:rPr>
                <w:rFonts w:eastAsia="宋体"/>
                <w:kern w:val="2"/>
                <w:szCs w:val="21"/>
              </w:rPr>
            </w:pPr>
          </w:p>
        </w:tc>
      </w:tr>
    </w:tbl>
    <w:p>
      <w:pPr>
        <w:spacing w:after="122" w:line="360" w:lineRule="auto"/>
        <w:ind w:right="14" w:firstLine="480" w:firstLineChars="200"/>
        <w:rPr>
          <w:szCs w:val="21"/>
        </w:rPr>
      </w:pPr>
      <w:r>
        <w:rPr>
          <w:rFonts w:hint="eastAsia"/>
          <w:szCs w:val="21"/>
        </w:rPr>
        <w:t>3、</w:t>
      </w:r>
      <w:r>
        <w:rPr>
          <w:szCs w:val="21"/>
        </w:rPr>
        <w:t>本合同作为今后供货执行单价，以上供货价格系指包括全部货品、税费、包装费、运输、装卸等费用，以及己支付或将支付的营业税和其它税费等所有费用。合同总额按照甲方实际采购且验收合格的数量结合上述供货单价进行结算。</w:t>
      </w:r>
    </w:p>
    <w:p>
      <w:pPr>
        <w:spacing w:line="360" w:lineRule="auto"/>
        <w:ind w:right="14" w:firstLine="480" w:firstLineChars="200"/>
        <w:rPr>
          <w:szCs w:val="21"/>
        </w:rPr>
      </w:pPr>
      <w:r>
        <w:rPr>
          <w:rFonts w:hint="eastAsia"/>
          <w:szCs w:val="21"/>
        </w:rPr>
        <w:t>4、</w:t>
      </w:r>
      <w:r>
        <w:rPr>
          <w:szCs w:val="21"/>
        </w:rPr>
        <w:t>价格清单表是基于乙方在完全理解本项目所需为前提，甲方对清单中的名称、规格、技术参数及数量等有校对的义务，且每批货物价格</w:t>
      </w:r>
      <w:r>
        <w:rPr>
          <w:rFonts w:hint="eastAsia"/>
          <w:szCs w:val="21"/>
        </w:rPr>
        <w:t>以合同约定</w:t>
      </w:r>
      <w:r>
        <w:rPr>
          <w:szCs w:val="21"/>
        </w:rPr>
        <w:t>价格为准，乙方在合同有效期内不得对清单的综合费用提出任何费用的增加。实际供货数量以甲方通知乙方配送到位的数量为准，结算数量按照甲方对货物称重后的实际数量进行结算。</w:t>
      </w:r>
    </w:p>
    <w:p>
      <w:pPr>
        <w:spacing w:line="360" w:lineRule="auto"/>
        <w:ind w:right="14" w:firstLine="480" w:firstLineChars="200"/>
        <w:rPr>
          <w:szCs w:val="21"/>
        </w:rPr>
      </w:pPr>
      <w:r>
        <w:rPr>
          <w:rFonts w:hint="eastAsia"/>
          <w:szCs w:val="21"/>
        </w:rPr>
        <w:t>5、</w:t>
      </w:r>
      <w:r>
        <w:rPr>
          <w:szCs w:val="21"/>
        </w:rPr>
        <w:t>根据疫情需要，乙方有责任配合甲方做好人员、车辆等疫情防控检测的要求。</w:t>
      </w:r>
    </w:p>
    <w:p>
      <w:pPr>
        <w:spacing w:line="360" w:lineRule="auto"/>
        <w:ind w:right="14" w:firstLine="480" w:firstLineChars="200"/>
        <w:rPr>
          <w:szCs w:val="21"/>
        </w:rPr>
      </w:pPr>
      <w:r>
        <w:rPr>
          <w:rFonts w:hint="eastAsia"/>
          <w:szCs w:val="21"/>
        </w:rPr>
        <w:t>6、</w:t>
      </w:r>
      <w:r>
        <w:rPr>
          <w:szCs w:val="21"/>
        </w:rPr>
        <w:t>本合同有效期为:1年，自双方签字盖章后开始起算。自签订合同后，服务期1年，合同开始试用期3个月(包含在1年期限内)，经甲方确认后，进入合同期，试用期不合格，本合同终止。</w:t>
      </w:r>
    </w:p>
    <w:p>
      <w:pPr>
        <w:spacing w:line="360" w:lineRule="auto"/>
        <w:ind w:right="14" w:firstLine="480" w:firstLineChars="200"/>
        <w:rPr>
          <w:szCs w:val="21"/>
        </w:rPr>
      </w:pPr>
      <w:r>
        <w:rPr>
          <w:rFonts w:hint="eastAsia"/>
          <w:szCs w:val="21"/>
        </w:rPr>
        <w:t>二</w:t>
      </w:r>
      <w:r>
        <w:rPr>
          <w:szCs w:val="21"/>
        </w:rPr>
        <w:t>、质量保证</w:t>
      </w:r>
    </w:p>
    <w:p>
      <w:pPr>
        <w:spacing w:line="360" w:lineRule="auto"/>
        <w:ind w:right="14" w:firstLine="480" w:firstLineChars="200"/>
        <w:rPr>
          <w:szCs w:val="21"/>
        </w:rPr>
      </w:pPr>
      <w:r>
        <w:rPr>
          <w:szCs w:val="21"/>
        </w:rPr>
        <w:t>1、乙方保证提供本合同项下的货物符合国家质量安全标准及招</w:t>
      </w:r>
      <w:r>
        <w:rPr>
          <w:rFonts w:hint="eastAsia"/>
          <w:szCs w:val="21"/>
          <w:lang w:eastAsia="zh-CN"/>
        </w:rPr>
        <w:t>响应文件</w:t>
      </w:r>
      <w:r>
        <w:rPr>
          <w:szCs w:val="21"/>
        </w:rPr>
        <w:t>、答疑附件的质量要求，干净卫生、无杂质，无过期、变质、腐烂、以假充真、以次充好等现象，并保证其销售的产品不存在有造成甲方或任何第三人人身损害的现实或潜在的危险；若因此造成任何损失，由乙方承担全部赔偿责任。</w:t>
      </w:r>
    </w:p>
    <w:p>
      <w:pPr>
        <w:spacing w:line="360" w:lineRule="auto"/>
        <w:ind w:right="14" w:firstLine="480" w:firstLineChars="200"/>
        <w:rPr>
          <w:szCs w:val="21"/>
        </w:rPr>
      </w:pPr>
      <w:r>
        <w:rPr>
          <w:szCs w:val="21"/>
        </w:rPr>
        <w:t>2</w:t>
      </w:r>
      <w:r>
        <w:rPr>
          <w:rFonts w:hint="eastAsia"/>
          <w:szCs w:val="21"/>
        </w:rPr>
        <w:t>、</w:t>
      </w:r>
      <w:r>
        <w:rPr>
          <w:szCs w:val="21"/>
        </w:rPr>
        <w:t>食品来源安全可靠，产品质量必须符合国家质量标准。</w:t>
      </w:r>
    </w:p>
    <w:p>
      <w:pPr>
        <w:spacing w:after="3" w:line="360" w:lineRule="auto"/>
        <w:ind w:right="14" w:firstLine="480" w:firstLineChars="200"/>
        <w:rPr>
          <w:szCs w:val="21"/>
        </w:rPr>
      </w:pPr>
      <w:r>
        <w:rPr>
          <w:szCs w:val="21"/>
        </w:rPr>
        <w:t>3</w:t>
      </w:r>
      <w:r>
        <w:rPr>
          <w:rFonts w:hint="eastAsia"/>
          <w:szCs w:val="21"/>
        </w:rPr>
        <w:t>、</w:t>
      </w:r>
      <w:r>
        <w:rPr>
          <w:szCs w:val="21"/>
        </w:rPr>
        <w:t>乙方应保证其配送的每一个批次的货物符合上述质量标准及相应的安全标准。提供所需证件及产品检验报告单。在实施中甲方将核实乙方投标书中的产品质量标准、检验报告、QS标志与实际供货的产品的质量标准、检验报告、QS标志是否一致，如发现偏离，甲方将取消乙方供货资格，并追宄相关法律责任。</w:t>
      </w:r>
    </w:p>
    <w:p>
      <w:pPr>
        <w:spacing w:after="87" w:line="360" w:lineRule="auto"/>
        <w:ind w:right="14" w:firstLine="480" w:firstLineChars="200"/>
        <w:rPr>
          <w:szCs w:val="21"/>
        </w:rPr>
      </w:pPr>
      <w:r>
        <w:rPr>
          <w:rFonts w:hint="eastAsia"/>
          <w:szCs w:val="21"/>
        </w:rPr>
        <w:t>4、</w:t>
      </w:r>
      <w:r>
        <w:rPr>
          <w:szCs w:val="21"/>
        </w:rPr>
        <w:t>乙方需在本合同签署之日向甲方提供各种有效证照的复印件（需加盖乙方公章），包括但不限于：营业执照、食品卫生许可证、产品质量检验报告等与食品销售要求的相关资质证明，否则，甲方有权不予付款且不承担违约责任。在本合同有效期内，乙方必须保证上述各类证照始终处于合法、有效状态。每批次提供所需证件及产品检验报告单。疫情期间须提供最新核酸报告</w:t>
      </w:r>
      <w:r>
        <w:rPr>
          <w:szCs w:val="21"/>
        </w:rPr>
        <w:drawing>
          <wp:inline distT="0" distB="0" distL="0" distR="0">
            <wp:extent cx="39370" cy="39370"/>
            <wp:effectExtent l="0" t="0" r="0" b="0"/>
            <wp:docPr id="8773" name="Picture 8773"/>
            <wp:cNvGraphicFramePr/>
            <a:graphic xmlns:a="http://schemas.openxmlformats.org/drawingml/2006/main">
              <a:graphicData uri="http://schemas.openxmlformats.org/drawingml/2006/picture">
                <pic:pic xmlns:pic="http://schemas.openxmlformats.org/drawingml/2006/picture">
                  <pic:nvPicPr>
                    <pic:cNvPr id="8773" name="Picture 8773"/>
                    <pic:cNvPicPr/>
                  </pic:nvPicPr>
                  <pic:blipFill>
                    <a:blip r:embed="rId10"/>
                    <a:stretch>
                      <a:fillRect/>
                    </a:stretch>
                  </pic:blipFill>
                  <pic:spPr>
                    <a:xfrm>
                      <a:off x="0" y="0"/>
                      <a:ext cx="39640" cy="39636"/>
                    </a:xfrm>
                    <a:prstGeom prst="rect">
                      <a:avLst/>
                    </a:prstGeom>
                  </pic:spPr>
                </pic:pic>
              </a:graphicData>
            </a:graphic>
          </wp:inline>
        </w:drawing>
      </w:r>
    </w:p>
    <w:p>
      <w:pPr>
        <w:spacing w:after="136" w:line="360" w:lineRule="auto"/>
        <w:ind w:right="14" w:firstLine="480" w:firstLineChars="200"/>
        <w:rPr>
          <w:szCs w:val="21"/>
        </w:rPr>
      </w:pPr>
      <w:r>
        <w:rPr>
          <w:rFonts w:hint="eastAsia"/>
          <w:szCs w:val="21"/>
        </w:rPr>
        <w:t>5、</w:t>
      </w:r>
      <w:r>
        <w:rPr>
          <w:szCs w:val="21"/>
        </w:rPr>
        <w:t>根据甲方采购计划单的品种数量，乙方不得缺斤少两，缺货少货由乙方24 小时内必须补齐，运输费用乙方自理。乙方如发生不给甲方按时补齐货物的情况，第一次甲方有权按照同等金额扣除货款，并提出一次警告；二次出现同样情况者，甲方有权单方终止合同。</w:t>
      </w:r>
    </w:p>
    <w:p>
      <w:pPr>
        <w:spacing w:line="360" w:lineRule="auto"/>
        <w:ind w:right="14" w:firstLine="480" w:firstLineChars="200"/>
        <w:rPr>
          <w:szCs w:val="21"/>
        </w:rPr>
      </w:pPr>
      <w:r>
        <w:rPr>
          <w:rFonts w:hint="eastAsia"/>
          <w:szCs w:val="21"/>
        </w:rPr>
        <w:t>6、</w:t>
      </w:r>
      <w:r>
        <w:rPr>
          <w:szCs w:val="21"/>
        </w:rPr>
        <w:t>如甲方应急临时需购货品，乙方必须按指定的品种、数量，在接到甲方的要货通知后24小时（最短时间）内及时送货，运输费用自理。</w:t>
      </w:r>
    </w:p>
    <w:p>
      <w:pPr>
        <w:spacing w:line="360" w:lineRule="auto"/>
        <w:ind w:right="14" w:firstLine="480" w:firstLineChars="200"/>
        <w:rPr>
          <w:szCs w:val="21"/>
        </w:rPr>
      </w:pPr>
      <w:r>
        <w:rPr>
          <w:rFonts w:hint="eastAsia"/>
          <w:szCs w:val="21"/>
        </w:rPr>
        <w:t>7、</w:t>
      </w:r>
      <w:r>
        <w:rPr>
          <w:szCs w:val="21"/>
        </w:rPr>
        <w:t>如发现质次货品，甲方有权要求乙方</w:t>
      </w:r>
      <w:r>
        <w:rPr>
          <w:rFonts w:hint="eastAsia"/>
          <w:szCs w:val="21"/>
        </w:rPr>
        <w:t>进行退货并按照标准及时重新供货，由此造成的费用由乙方承担；</w:t>
      </w:r>
      <w:r>
        <w:rPr>
          <w:szCs w:val="21"/>
        </w:rPr>
        <w:t>根据所验货物数量金额的双倍支付违约金或减半支付货款，并提出一次警告；二次出现同样情况者，甲方有权单方终止合同</w:t>
      </w:r>
      <w:r>
        <w:rPr>
          <w:rFonts w:hint="eastAsia"/>
          <w:szCs w:val="21"/>
        </w:rPr>
        <w:t>，如在任意标包出现终止合同的现象，将终止中标本项目所有标包的合同。</w:t>
      </w:r>
    </w:p>
    <w:p>
      <w:pPr>
        <w:spacing w:line="360" w:lineRule="auto"/>
        <w:ind w:right="14" w:firstLine="480" w:firstLineChars="200"/>
        <w:rPr>
          <w:szCs w:val="21"/>
        </w:rPr>
      </w:pPr>
      <w:r>
        <w:rPr>
          <w:rFonts w:hint="eastAsia"/>
          <w:szCs w:val="21"/>
        </w:rPr>
        <w:t>三</w:t>
      </w:r>
      <w:r>
        <w:rPr>
          <w:szCs w:val="21"/>
        </w:rPr>
        <w:t>、质量保证期</w:t>
      </w:r>
    </w:p>
    <w:p>
      <w:pPr>
        <w:spacing w:line="360" w:lineRule="auto"/>
        <w:ind w:right="14" w:firstLine="480" w:firstLineChars="200"/>
        <w:rPr>
          <w:szCs w:val="21"/>
        </w:rPr>
      </w:pPr>
      <w:r>
        <w:rPr>
          <w:rFonts w:hint="eastAsia"/>
          <w:szCs w:val="21"/>
        </w:rPr>
        <w:t>1、</w:t>
      </w:r>
      <w:r>
        <w:rPr>
          <w:szCs w:val="21"/>
        </w:rPr>
        <w:t>合同内配送的货物必须在生产日期内。在质量保证期内，因货物出现融化、变质、过期及其他质量问题等现象的，乙方负责免费无条件更换，如遇疫情及不可抗拒因素，乙方货物质量不符合甲方标准要求，乙方负责无偿更换，退回货物暂由甲方保管，待甲方达到正常退回情况时，通知乙方运回，退回货物所产生的包装、运费等一切相关费用由乙方承担。</w:t>
      </w:r>
    </w:p>
    <w:p>
      <w:pPr>
        <w:spacing w:line="360" w:lineRule="auto"/>
        <w:ind w:right="14" w:firstLine="480" w:firstLineChars="200"/>
        <w:rPr>
          <w:szCs w:val="21"/>
        </w:rPr>
      </w:pPr>
      <w:r>
        <w:rPr>
          <w:rFonts w:hint="eastAsia"/>
          <w:szCs w:val="21"/>
        </w:rPr>
        <w:t>2、</w:t>
      </w:r>
      <w:r>
        <w:rPr>
          <w:szCs w:val="21"/>
        </w:rPr>
        <w:t>质保期内，乙方未按甲方要求予以更换或者因情况紧急，甲方有权另行采购其他商家同类货物，由此产生的费用由乙方承担。</w:t>
      </w:r>
    </w:p>
    <w:p>
      <w:pPr>
        <w:spacing w:line="360" w:lineRule="auto"/>
        <w:ind w:right="14" w:firstLine="480" w:firstLineChars="200"/>
        <w:rPr>
          <w:szCs w:val="21"/>
        </w:rPr>
      </w:pPr>
      <w:r>
        <w:rPr>
          <w:szCs w:val="21"/>
        </w:rPr>
        <w:t>3</w:t>
      </w:r>
      <w:r>
        <w:rPr>
          <w:rFonts w:hint="eastAsia"/>
          <w:szCs w:val="21"/>
        </w:rPr>
        <w:t>、</w:t>
      </w:r>
      <w:r>
        <w:rPr>
          <w:szCs w:val="21"/>
        </w:rPr>
        <w:t>乙方不对供应甲方的货品进行长时间储藏，甲方有权无偿调换不符合配送期要求的货品。</w:t>
      </w:r>
    </w:p>
    <w:p>
      <w:pPr>
        <w:spacing w:line="360" w:lineRule="auto"/>
        <w:ind w:right="14" w:firstLine="480" w:firstLineChars="200"/>
        <w:rPr>
          <w:szCs w:val="21"/>
        </w:rPr>
      </w:pPr>
      <w:r>
        <w:rPr>
          <w:szCs w:val="21"/>
        </w:rPr>
        <w:t>四、交货时间、地点及风险转移</w:t>
      </w:r>
    </w:p>
    <w:p>
      <w:pPr>
        <w:spacing w:line="360" w:lineRule="auto"/>
        <w:ind w:right="14" w:firstLine="480" w:firstLineChars="200"/>
        <w:rPr>
          <w:szCs w:val="21"/>
        </w:rPr>
      </w:pPr>
      <w:r>
        <w:rPr>
          <w:rFonts w:hint="eastAsia"/>
          <w:szCs w:val="21"/>
        </w:rPr>
        <w:t>1、</w:t>
      </w:r>
      <w:r>
        <w:rPr>
          <w:szCs w:val="21"/>
        </w:rPr>
        <w:t>乙方按甲方要求配送货物的日期将货物送达至指定地点</w:t>
      </w:r>
      <w:r>
        <w:rPr>
          <w:rFonts w:hint="eastAsia"/>
          <w:szCs w:val="21"/>
        </w:rPr>
        <w:t>：</w:t>
      </w:r>
      <w:r>
        <w:rPr>
          <w:rFonts w:hint="eastAsia"/>
          <w:szCs w:val="21"/>
          <w:u w:val="single"/>
        </w:rPr>
        <w:t>甲方指定地点</w:t>
      </w:r>
      <w:r>
        <w:rPr>
          <w:szCs w:val="21"/>
        </w:rPr>
        <w:t>，并确保及时配合甲方完成验收工作。</w:t>
      </w:r>
      <w:r>
        <w:rPr>
          <w:szCs w:val="21"/>
        </w:rPr>
        <w:drawing>
          <wp:inline distT="0" distB="0" distL="0" distR="0">
            <wp:extent cx="2540" cy="2540"/>
            <wp:effectExtent l="0" t="0" r="0" b="0"/>
            <wp:docPr id="13551" name="Picture 13551"/>
            <wp:cNvGraphicFramePr/>
            <a:graphic xmlns:a="http://schemas.openxmlformats.org/drawingml/2006/main">
              <a:graphicData uri="http://schemas.openxmlformats.org/drawingml/2006/picture">
                <pic:pic xmlns:pic="http://schemas.openxmlformats.org/drawingml/2006/picture">
                  <pic:nvPicPr>
                    <pic:cNvPr id="13551" name="Picture 13551"/>
                    <pic:cNvPicPr/>
                  </pic:nvPicPr>
                  <pic:blipFill>
                    <a:blip r:embed="rId11"/>
                    <a:stretch>
                      <a:fillRect/>
                    </a:stretch>
                  </pic:blipFill>
                  <pic:spPr>
                    <a:xfrm>
                      <a:off x="0" y="0"/>
                      <a:ext cx="3048" cy="3048"/>
                    </a:xfrm>
                    <a:prstGeom prst="rect">
                      <a:avLst/>
                    </a:prstGeom>
                  </pic:spPr>
                </pic:pic>
              </a:graphicData>
            </a:graphic>
          </wp:inline>
        </w:drawing>
      </w:r>
    </w:p>
    <w:p>
      <w:pPr>
        <w:spacing w:after="12" w:line="360" w:lineRule="auto"/>
        <w:ind w:right="14" w:firstLine="480" w:firstLineChars="200"/>
        <w:rPr>
          <w:szCs w:val="21"/>
        </w:rPr>
      </w:pPr>
      <w:r>
        <w:rPr>
          <w:szCs w:val="21"/>
        </w:rPr>
        <w:t>2</w:t>
      </w:r>
      <w:r>
        <w:rPr>
          <w:rFonts w:hint="eastAsia"/>
          <w:szCs w:val="21"/>
        </w:rPr>
        <w:t>、</w:t>
      </w:r>
      <w:r>
        <w:rPr>
          <w:szCs w:val="21"/>
        </w:rPr>
        <w:t>供货时间：根据甲方的具体要求进行配送，如乙方不能及时送货造成甲方餐厅无法正常运行，乙方应向甲方支付伍万元违约金；二次出现同样情况者，甲方有权单方解除合同。有特殊需求的供货时间，由甲方指定供货时间与频次。</w:t>
      </w:r>
    </w:p>
    <w:p>
      <w:pPr>
        <w:spacing w:line="360" w:lineRule="auto"/>
        <w:ind w:right="14" w:firstLine="480" w:firstLineChars="200"/>
        <w:rPr>
          <w:szCs w:val="21"/>
        </w:rPr>
      </w:pPr>
      <w:r>
        <w:rPr>
          <w:rFonts w:hint="eastAsia"/>
          <w:szCs w:val="21"/>
        </w:rPr>
        <w:t>3、</w:t>
      </w:r>
      <w:r>
        <w:rPr>
          <w:szCs w:val="21"/>
        </w:rPr>
        <w:t>交货完成前（即货物交付完毕且经甲方书面验收合格前），本合同项下货物的损毁灭失风险由乙方承担，交货完成后（货物交付完毕且经过甲方书面验收合格后），货物的所有权及损毁灭失风险转移至甲方。</w:t>
      </w:r>
    </w:p>
    <w:p>
      <w:pPr>
        <w:spacing w:line="360" w:lineRule="auto"/>
        <w:ind w:right="14" w:firstLine="480" w:firstLineChars="200"/>
        <w:rPr>
          <w:szCs w:val="21"/>
        </w:rPr>
      </w:pPr>
      <w:r>
        <w:rPr>
          <w:rFonts w:hint="eastAsia"/>
          <w:szCs w:val="21"/>
        </w:rPr>
        <w:t>4、供货分配方式：每标包中标三家单位，三家单位均分供货（按甲方要求）。</w:t>
      </w:r>
    </w:p>
    <w:p>
      <w:pPr>
        <w:spacing w:line="360" w:lineRule="auto"/>
        <w:ind w:right="14" w:firstLine="480" w:firstLineChars="200"/>
        <w:rPr>
          <w:szCs w:val="21"/>
        </w:rPr>
      </w:pPr>
      <w:r>
        <w:rPr>
          <w:szCs w:val="21"/>
        </w:rPr>
        <w:t>五、货物的包装及运输</w:t>
      </w:r>
    </w:p>
    <w:p>
      <w:pPr>
        <w:spacing w:line="360" w:lineRule="auto"/>
        <w:ind w:right="14" w:firstLine="480" w:firstLineChars="200"/>
        <w:rPr>
          <w:szCs w:val="21"/>
        </w:rPr>
      </w:pPr>
      <w:r>
        <w:rPr>
          <w:rFonts w:hint="eastAsia"/>
          <w:szCs w:val="21"/>
        </w:rPr>
        <w:t>1、</w:t>
      </w:r>
      <w:r>
        <w:rPr>
          <w:szCs w:val="21"/>
        </w:rPr>
        <w:t>包装必须与运输方式相适应，包装方式的确定和包装费用均由乙方负责；由于不适当的包装而造成的货物有任何的损坏由乙方负责。</w:t>
      </w:r>
    </w:p>
    <w:p>
      <w:pPr>
        <w:spacing w:line="360" w:lineRule="auto"/>
        <w:ind w:right="14" w:firstLine="480" w:firstLineChars="200"/>
        <w:rPr>
          <w:szCs w:val="21"/>
        </w:rPr>
      </w:pPr>
      <w:r>
        <w:rPr>
          <w:szCs w:val="21"/>
        </w:rPr>
        <w:t>2</w:t>
      </w:r>
      <w:r>
        <w:rPr>
          <w:rFonts w:hint="eastAsia"/>
          <w:szCs w:val="21"/>
        </w:rPr>
        <w:t>、</w:t>
      </w:r>
      <w:r>
        <w:rPr>
          <w:szCs w:val="21"/>
        </w:rPr>
        <w:t>包装费、运输费、装卸费和保险费等均己包含在合同单价内。</w:t>
      </w:r>
    </w:p>
    <w:p>
      <w:pPr>
        <w:spacing w:after="104" w:line="360" w:lineRule="auto"/>
        <w:ind w:right="14" w:firstLine="480" w:firstLineChars="200"/>
        <w:rPr>
          <w:szCs w:val="21"/>
        </w:rPr>
      </w:pPr>
      <w:r>
        <w:rPr>
          <w:szCs w:val="21"/>
        </w:rPr>
        <w:t>3</w:t>
      </w:r>
      <w:r>
        <w:rPr>
          <w:rFonts w:hint="eastAsia"/>
          <w:szCs w:val="21"/>
        </w:rPr>
        <w:t>、</w:t>
      </w:r>
      <w:r>
        <w:rPr>
          <w:szCs w:val="21"/>
        </w:rPr>
        <w:t>采用定型包装的货物，包装必须符合国家对产品包装的有关规定。货品由生产厂家使用符合国家食品卫生要求的包装箱或包装袋进行完整包装，包装上必须有清晰的厂家信息、生产日期、保质期、净重量；必须有QS标识；包装破损甲方有权不予以接收。</w:t>
      </w:r>
    </w:p>
    <w:p>
      <w:pPr>
        <w:spacing w:line="360" w:lineRule="auto"/>
        <w:ind w:right="14" w:firstLine="480" w:firstLineChars="200"/>
        <w:rPr>
          <w:szCs w:val="21"/>
        </w:rPr>
      </w:pPr>
      <w:r>
        <w:rPr>
          <w:rFonts w:hint="eastAsia"/>
          <w:szCs w:val="21"/>
        </w:rPr>
        <w:t>4、</w:t>
      </w:r>
      <w:r>
        <w:rPr>
          <w:szCs w:val="21"/>
        </w:rPr>
        <w:t>乙方保证运输周转的容器与车辆的清洁卫生和防止货物在运输过程中受到污染。</w:t>
      </w:r>
    </w:p>
    <w:p>
      <w:pPr>
        <w:spacing w:after="3" w:line="360" w:lineRule="auto"/>
        <w:ind w:right="14" w:firstLine="480" w:firstLineChars="200"/>
        <w:rPr>
          <w:szCs w:val="21"/>
        </w:rPr>
      </w:pPr>
      <w:r>
        <w:rPr>
          <w:rFonts w:hint="eastAsia"/>
          <w:szCs w:val="21"/>
        </w:rPr>
        <w:t>5、</w:t>
      </w:r>
      <w:r>
        <w:rPr>
          <w:szCs w:val="21"/>
        </w:rPr>
        <w:t>乙方所提供的货物不得敞露运输，货物装卸必须做到轻装轻卸，并码放整齐。</w:t>
      </w:r>
    </w:p>
    <w:p>
      <w:pPr>
        <w:spacing w:line="360" w:lineRule="auto"/>
        <w:ind w:right="14" w:firstLine="480" w:firstLineChars="200"/>
        <w:rPr>
          <w:szCs w:val="21"/>
        </w:rPr>
      </w:pPr>
      <w:r>
        <w:rPr>
          <w:szCs w:val="21"/>
        </w:rPr>
        <w:t>六、验收</w:t>
      </w:r>
    </w:p>
    <w:p>
      <w:pPr>
        <w:spacing w:after="148" w:line="360" w:lineRule="auto"/>
        <w:ind w:right="14" w:firstLine="480" w:firstLineChars="200"/>
        <w:rPr>
          <w:szCs w:val="21"/>
        </w:rPr>
      </w:pPr>
      <w:r>
        <w:rPr>
          <w:rFonts w:hint="eastAsia"/>
          <w:szCs w:val="21"/>
        </w:rPr>
        <w:t>1、</w:t>
      </w:r>
      <w:r>
        <w:rPr>
          <w:szCs w:val="21"/>
        </w:rPr>
        <w:t>验收标准：以招</w:t>
      </w:r>
      <w:r>
        <w:rPr>
          <w:rFonts w:hint="eastAsia"/>
          <w:szCs w:val="21"/>
          <w:lang w:eastAsia="zh-CN"/>
        </w:rPr>
        <w:t>响应文件</w:t>
      </w:r>
      <w:r>
        <w:rPr>
          <w:szCs w:val="21"/>
        </w:rPr>
        <w:t>及本合同甲、乙双方约定的质量标准为货物的验收标准。甲方仅对乙方交付货物的数量、规格、外观等进行初步验收，初步验收合格不代表乙方对所交付货物潜在质量安全问题免责。</w:t>
      </w:r>
    </w:p>
    <w:p>
      <w:pPr>
        <w:spacing w:line="360" w:lineRule="auto"/>
        <w:ind w:right="14" w:firstLine="480" w:firstLineChars="200"/>
        <w:rPr>
          <w:szCs w:val="21"/>
        </w:rPr>
      </w:pPr>
      <w:r>
        <w:rPr>
          <w:rFonts w:hint="eastAsia"/>
          <w:szCs w:val="21"/>
        </w:rPr>
        <w:t>2、</w:t>
      </w:r>
      <w:r>
        <w:rPr>
          <w:szCs w:val="21"/>
        </w:rPr>
        <w:t>数量的认定：乙方每日依据甲方提供的物资计划单中品种数量配送；甲方工作人员和乙方人员现场称重或点数完毕后，共同在送货单上核准并签字，并加盖乙方发票专用章作为结帐凭证。结算数量按照实际进货数量进行结算。计量单位：按公斤。</w:t>
      </w:r>
    </w:p>
    <w:p>
      <w:pPr>
        <w:spacing w:after="101" w:line="360" w:lineRule="auto"/>
        <w:ind w:right="14" w:firstLine="480" w:firstLineChars="200"/>
        <w:rPr>
          <w:szCs w:val="21"/>
        </w:rPr>
      </w:pPr>
      <w:r>
        <w:rPr>
          <w:rFonts w:hint="eastAsia"/>
          <w:szCs w:val="21"/>
        </w:rPr>
        <w:t>3、</w:t>
      </w:r>
      <w:r>
        <w:rPr>
          <w:szCs w:val="21"/>
        </w:rPr>
        <w:t>自交货后当日，甲方应依照双方在本合同中约定的质量要求和验收标准进行验收。验收不合格的，应及时向乙方提出书面异议，乙方应在接到异议后及时进行更换，直至验收合格，如果因乙方供货质量原因造成的甲方受到的损失，乙方还应承担相应违约责任并承担相应赔偿责任。</w:t>
      </w:r>
    </w:p>
    <w:p>
      <w:pPr>
        <w:spacing w:line="360" w:lineRule="auto"/>
        <w:ind w:right="14" w:firstLine="480" w:firstLineChars="200"/>
        <w:rPr>
          <w:szCs w:val="21"/>
        </w:rPr>
      </w:pPr>
      <w:r>
        <w:rPr>
          <w:szCs w:val="21"/>
        </w:rPr>
        <w:t>七、货款的支付</w:t>
      </w:r>
    </w:p>
    <w:p>
      <w:pPr>
        <w:spacing w:line="360" w:lineRule="auto"/>
        <w:ind w:right="48" w:firstLine="480" w:firstLineChars="200"/>
        <w:rPr>
          <w:szCs w:val="21"/>
        </w:rPr>
      </w:pPr>
      <w:r>
        <w:rPr>
          <w:rFonts w:hint="eastAsia"/>
          <w:szCs w:val="21"/>
        </w:rPr>
        <w:t>1、</w:t>
      </w:r>
      <w:r>
        <w:rPr>
          <w:szCs w:val="21"/>
        </w:rPr>
        <w:t>乙方必须提供开户行及账号和统一正规普通发票（不能在税务局代开发票），并附上增值税发票查验单，否则视为自行放弃供货资格；</w:t>
      </w:r>
    </w:p>
    <w:p>
      <w:pPr>
        <w:spacing w:line="360" w:lineRule="auto"/>
        <w:ind w:right="48" w:firstLine="480" w:firstLineChars="200"/>
        <w:rPr>
          <w:szCs w:val="21"/>
        </w:rPr>
      </w:pPr>
      <w:r>
        <w:rPr>
          <w:szCs w:val="21"/>
        </w:rPr>
        <w:t>2</w:t>
      </w:r>
      <w:r>
        <w:rPr>
          <w:rFonts w:hint="eastAsia"/>
          <w:szCs w:val="21"/>
        </w:rPr>
        <w:t>、</w:t>
      </w:r>
      <w:r>
        <w:rPr>
          <w:szCs w:val="21"/>
        </w:rPr>
        <w:t>甲乙双方签订协议之后，由乙方为甲方先行垫付货款，首次送货两个月后结算前期货款，滚动式结账，每月进行1一2次货款结算。如遇节假日、甲方财务扎帐等特殊情况，结账日期依次顺延。</w:t>
      </w:r>
    </w:p>
    <w:p>
      <w:pPr>
        <w:spacing w:line="360" w:lineRule="auto"/>
        <w:ind w:right="14" w:firstLine="480" w:firstLineChars="200"/>
        <w:rPr>
          <w:szCs w:val="21"/>
        </w:rPr>
      </w:pPr>
      <w:r>
        <w:rPr>
          <w:szCs w:val="21"/>
        </w:rPr>
        <w:t>八、违约责任</w:t>
      </w:r>
    </w:p>
    <w:p>
      <w:pPr>
        <w:spacing w:line="360" w:lineRule="auto"/>
        <w:ind w:right="14" w:firstLine="480" w:firstLineChars="200"/>
        <w:rPr>
          <w:szCs w:val="21"/>
        </w:rPr>
      </w:pPr>
      <w:r>
        <w:rPr>
          <w:rFonts w:hint="eastAsia"/>
          <w:szCs w:val="21"/>
        </w:rPr>
        <w:t>1、</w:t>
      </w:r>
      <w:r>
        <w:rPr>
          <w:szCs w:val="21"/>
        </w:rPr>
        <w:t>乙方需缴纳履约保证金</w:t>
      </w:r>
      <w:r>
        <w:rPr>
          <w:rFonts w:hint="eastAsia"/>
          <w:b/>
          <w:bCs/>
          <w:szCs w:val="21"/>
          <w:u w:val="single"/>
          <w:lang w:val="en-US" w:eastAsia="zh-CN"/>
        </w:rPr>
        <w:t>壹拾万元</w:t>
      </w:r>
      <w:r>
        <w:rPr>
          <w:szCs w:val="21"/>
        </w:rPr>
        <w:t>，履约保证金在合同解除时退还乙方，如乙方有违约行为，将从履约保证金中扣除20％违约金。</w:t>
      </w:r>
    </w:p>
    <w:p>
      <w:pPr>
        <w:spacing w:line="360" w:lineRule="auto"/>
        <w:ind w:right="14" w:firstLine="480" w:firstLineChars="200"/>
        <w:rPr>
          <w:szCs w:val="21"/>
        </w:rPr>
      </w:pPr>
      <w:r>
        <w:rPr>
          <w:szCs w:val="21"/>
        </w:rPr>
        <w:t>2</w:t>
      </w:r>
      <w:r>
        <w:rPr>
          <w:rFonts w:hint="eastAsia"/>
          <w:szCs w:val="21"/>
        </w:rPr>
        <w:t>、</w:t>
      </w:r>
      <w:r>
        <w:rPr>
          <w:szCs w:val="21"/>
        </w:rPr>
        <w:t>必须满足对在发生突发公共安全等不可抗力事件时，各单位封闭在家状况下对甲方无条件提供货物保障供应，如不能满足极端特殊条件下的供应，应提前7 日以书面形式通知甲方，乙方如未通知甲方视为违约，赔偿甲方所需物资总额的 30％违约金（由未结算货款进行抵扣），并自动终止合同。</w:t>
      </w:r>
    </w:p>
    <w:p>
      <w:pPr>
        <w:spacing w:after="114" w:line="360" w:lineRule="auto"/>
        <w:ind w:right="14" w:firstLine="480" w:firstLineChars="200"/>
        <w:rPr>
          <w:szCs w:val="21"/>
        </w:rPr>
      </w:pPr>
      <w:r>
        <w:rPr>
          <w:szCs w:val="21"/>
        </w:rPr>
        <w:t>3</w:t>
      </w:r>
      <w:r>
        <w:rPr>
          <w:rFonts w:hint="eastAsia"/>
          <w:szCs w:val="21"/>
        </w:rPr>
        <w:t>、</w:t>
      </w:r>
      <w:r>
        <w:rPr>
          <w:szCs w:val="21"/>
        </w:rPr>
        <w:t>合同签订后，乙方应严格履行合同，如乙方因价格原因，寻找借口，拒绝供货或不能根据合同约定的品种、规格、数量、质量等标准和要求向甲方配送货物，无法满足甲方采购需要，甲方有权解除合同，同时，扣除乙方质保金的20％向甲方承担违约责任。合同解除后，甲方有权与第三方供货商另行签订合同，进行供货。</w:t>
      </w:r>
    </w:p>
    <w:p>
      <w:pPr>
        <w:spacing w:line="360" w:lineRule="auto"/>
        <w:ind w:right="14" w:firstLine="480" w:firstLineChars="200"/>
        <w:rPr>
          <w:szCs w:val="21"/>
        </w:rPr>
      </w:pPr>
      <w:r>
        <w:rPr>
          <w:rFonts w:hint="eastAsia"/>
          <w:szCs w:val="21"/>
        </w:rPr>
        <w:t>4、</w:t>
      </w:r>
      <w:r>
        <w:rPr>
          <w:szCs w:val="21"/>
        </w:rPr>
        <w:t>如因乙方供货品质不符合标准，达不到甲方要求，经甲方三次书面告知后仍然不能达到甲方要求的，甲方有权通知乙方解除合同。</w:t>
      </w:r>
    </w:p>
    <w:p>
      <w:pPr>
        <w:spacing w:line="360" w:lineRule="auto"/>
        <w:ind w:right="14" w:firstLine="480" w:firstLineChars="200"/>
        <w:rPr>
          <w:szCs w:val="21"/>
        </w:rPr>
      </w:pPr>
      <w:r>
        <w:rPr>
          <w:szCs w:val="21"/>
        </w:rPr>
        <w:t>5</w:t>
      </w:r>
      <w:r>
        <w:rPr>
          <w:rFonts w:hint="eastAsia"/>
          <w:szCs w:val="21"/>
        </w:rPr>
        <w:t>、</w:t>
      </w:r>
      <w:r>
        <w:rPr>
          <w:szCs w:val="21"/>
        </w:rPr>
        <w:t>乙方应严格按照甲方要求配送货物的日期交货，每逾期一日，乙方向甲方支付500元违约金；乙方逾期供货超出交付期七天（含七天）以上的，甲方有权解除合同，并有权拒绝支付任何货款。</w:t>
      </w:r>
    </w:p>
    <w:p>
      <w:pPr>
        <w:spacing w:line="360" w:lineRule="auto"/>
        <w:ind w:right="14" w:firstLine="480" w:firstLineChars="200"/>
        <w:rPr>
          <w:szCs w:val="21"/>
        </w:rPr>
      </w:pPr>
      <w:r>
        <w:rPr>
          <w:szCs w:val="21"/>
        </w:rPr>
        <w:t>6</w:t>
      </w:r>
      <w:r>
        <w:rPr>
          <w:rFonts w:hint="eastAsia"/>
          <w:szCs w:val="21"/>
        </w:rPr>
        <w:t>、</w:t>
      </w:r>
      <w:r>
        <w:rPr>
          <w:szCs w:val="21"/>
        </w:rPr>
        <w:t>在履行合同过程中，如果乙方遇到妨碍按时交货和提供服务等不可抗力的情况，乙方至迟提前7日以书面形式将拖延的事实，可能拖延的时间和原因通知甲方，经甲方同意延期交货后，及时采取补救措施，不得无故断货。</w:t>
      </w:r>
    </w:p>
    <w:p>
      <w:pPr>
        <w:spacing w:after="3" w:line="360" w:lineRule="auto"/>
        <w:ind w:right="14" w:firstLine="480" w:firstLineChars="200"/>
        <w:rPr>
          <w:szCs w:val="21"/>
        </w:rPr>
      </w:pPr>
      <w:r>
        <w:rPr>
          <w:szCs w:val="21"/>
        </w:rPr>
        <w:t>7</w:t>
      </w:r>
      <w:r>
        <w:rPr>
          <w:rFonts w:hint="eastAsia"/>
          <w:szCs w:val="21"/>
        </w:rPr>
        <w:t>、</w:t>
      </w:r>
      <w:r>
        <w:rPr>
          <w:szCs w:val="21"/>
        </w:rPr>
        <w:t>乙方所交货物不符合招</w:t>
      </w:r>
      <w:r>
        <w:rPr>
          <w:rFonts w:hint="eastAsia"/>
          <w:szCs w:val="21"/>
          <w:lang w:eastAsia="zh-CN"/>
        </w:rPr>
        <w:t>响应文件</w:t>
      </w:r>
      <w:r>
        <w:rPr>
          <w:szCs w:val="21"/>
        </w:rPr>
        <w:t>、答疑附件及合同规定的要求的，由乙方</w:t>
      </w:r>
      <w:r>
        <w:rPr>
          <w:szCs w:val="21"/>
        </w:rPr>
        <w:drawing>
          <wp:inline distT="0" distB="0" distL="0" distR="0">
            <wp:extent cx="2540" cy="2540"/>
            <wp:effectExtent l="0" t="0" r="0" b="0"/>
            <wp:docPr id="23252" name="Picture 23252"/>
            <wp:cNvGraphicFramePr/>
            <a:graphic xmlns:a="http://schemas.openxmlformats.org/drawingml/2006/main">
              <a:graphicData uri="http://schemas.openxmlformats.org/drawingml/2006/picture">
                <pic:pic xmlns:pic="http://schemas.openxmlformats.org/drawingml/2006/picture">
                  <pic:nvPicPr>
                    <pic:cNvPr id="23252" name="Picture 23252"/>
                    <pic:cNvPicPr/>
                  </pic:nvPicPr>
                  <pic:blipFill>
                    <a:blip r:embed="rId12"/>
                    <a:stretch>
                      <a:fillRect/>
                    </a:stretch>
                  </pic:blipFill>
                  <pic:spPr>
                    <a:xfrm>
                      <a:off x="0" y="0"/>
                      <a:ext cx="3049" cy="3049"/>
                    </a:xfrm>
                    <a:prstGeom prst="rect">
                      <a:avLst/>
                    </a:prstGeom>
                  </pic:spPr>
                </pic:pic>
              </a:graphicData>
            </a:graphic>
          </wp:inline>
        </w:drawing>
      </w:r>
      <w:r>
        <w:rPr>
          <w:szCs w:val="21"/>
        </w:rPr>
        <w:t>负责包换，并承担调换或退货而支付的实际费用。乙方不能调换或拒绝调换的，甲方有权解除合同，乙方按上个月（第一个月时按本月）结算货款的两倍向甲方支付违约金，还应当赔偿甲方因此产生的实际损失。</w:t>
      </w:r>
    </w:p>
    <w:p>
      <w:pPr>
        <w:spacing w:after="3" w:line="360" w:lineRule="auto"/>
        <w:ind w:right="14" w:firstLine="480" w:firstLineChars="200"/>
        <w:rPr>
          <w:szCs w:val="21"/>
        </w:rPr>
      </w:pPr>
      <w:r>
        <w:rPr>
          <w:rFonts w:hint="eastAsia"/>
          <w:szCs w:val="21"/>
        </w:rPr>
        <w:t>8、</w:t>
      </w:r>
      <w:r>
        <w:rPr>
          <w:szCs w:val="21"/>
        </w:rPr>
        <w:t>若乙方提供的产品不符合本合同约定的质量标准，甲方或任何第三人发生食物中毒等食品安全事故，由乙方承担全部经济赔偿责任（包括但不限于第三方索赔、律师费、诉讼费、鉴定费、公证费、差旅费等甲方采取诉讼途径发生的一切费用）以及相关法律责任；除此之外，乙方应向甲方承担合同最终结算总价20％的违约金。</w:t>
      </w:r>
    </w:p>
    <w:p>
      <w:pPr>
        <w:spacing w:after="3" w:line="360" w:lineRule="auto"/>
        <w:ind w:right="14" w:firstLine="480" w:firstLineChars="200"/>
        <w:rPr>
          <w:szCs w:val="21"/>
        </w:rPr>
      </w:pPr>
      <w:r>
        <w:rPr>
          <w:szCs w:val="21"/>
        </w:rPr>
        <w:t>9</w:t>
      </w:r>
      <w:r>
        <w:rPr>
          <w:rFonts w:hint="eastAsia"/>
          <w:szCs w:val="21"/>
        </w:rPr>
        <w:t>、</w:t>
      </w:r>
      <w:r>
        <w:rPr>
          <w:szCs w:val="21"/>
        </w:rPr>
        <w:t>乙方（中标供应商）保证在供货时遵从甲方关于本项目的采购程序，保证不会将合同及（或）其中的权利、义务转让，保证不会转包、分包。如发现转包、分包现象，甲方有权扣除上月货款及解除合同。</w:t>
      </w:r>
    </w:p>
    <w:p>
      <w:pPr>
        <w:spacing w:line="360" w:lineRule="auto"/>
        <w:ind w:right="14" w:firstLine="480" w:firstLineChars="200"/>
        <w:rPr>
          <w:szCs w:val="21"/>
        </w:rPr>
      </w:pPr>
      <w:r>
        <w:rPr>
          <w:rFonts w:hint="eastAsia"/>
          <w:szCs w:val="21"/>
        </w:rPr>
        <w:t>1</w:t>
      </w:r>
      <w:r>
        <w:rPr>
          <w:szCs w:val="21"/>
        </w:rPr>
        <w:t>0</w:t>
      </w:r>
      <w:r>
        <w:rPr>
          <w:rFonts w:hint="eastAsia"/>
          <w:szCs w:val="21"/>
        </w:rPr>
        <w:t>、</w:t>
      </w:r>
      <w:r>
        <w:rPr>
          <w:szCs w:val="21"/>
        </w:rPr>
        <w:t>乙方在供应过程中，因送货车辆在甲方院内发生交通事故，乙方承担全部经济责任，甲方保留追究其相关法律责任的权利。</w:t>
      </w:r>
    </w:p>
    <w:p>
      <w:pPr>
        <w:spacing w:line="360" w:lineRule="auto"/>
        <w:ind w:right="14" w:firstLine="480" w:firstLineChars="200"/>
        <w:rPr>
          <w:szCs w:val="21"/>
        </w:rPr>
      </w:pPr>
      <w:r>
        <w:rPr>
          <w:rFonts w:hint="eastAsia"/>
          <w:szCs w:val="21"/>
        </w:rPr>
        <w:t>九、</w:t>
      </w:r>
      <w:r>
        <w:rPr>
          <w:szCs w:val="21"/>
        </w:rPr>
        <w:t>争议解决</w:t>
      </w:r>
    </w:p>
    <w:p>
      <w:pPr>
        <w:spacing w:after="1" w:line="360" w:lineRule="auto"/>
        <w:ind w:right="14" w:firstLine="480" w:firstLineChars="200"/>
        <w:rPr>
          <w:szCs w:val="21"/>
        </w:rPr>
      </w:pPr>
      <w:r>
        <w:rPr>
          <w:szCs w:val="21"/>
        </w:rPr>
        <w:t>本合同如发生纠纷，当事人双方应当及时协商解决，协商不成时，可向甲方所在地人民法院起诉。</w:t>
      </w:r>
    </w:p>
    <w:p>
      <w:pPr>
        <w:spacing w:after="67" w:line="360" w:lineRule="auto"/>
        <w:ind w:right="14" w:firstLine="480" w:firstLineChars="200"/>
        <w:rPr>
          <w:szCs w:val="21"/>
        </w:rPr>
      </w:pPr>
      <w:r>
        <w:rPr>
          <w:rFonts w:hint="eastAsia"/>
          <w:szCs w:val="21"/>
        </w:rPr>
        <w:t>十、</w:t>
      </w:r>
      <w:r>
        <w:rPr>
          <w:szCs w:val="21"/>
        </w:rPr>
        <w:t>合同的生效与文本</w:t>
      </w:r>
    </w:p>
    <w:p>
      <w:pPr>
        <w:spacing w:line="360" w:lineRule="auto"/>
        <w:ind w:right="14" w:firstLine="480" w:firstLineChars="200"/>
        <w:rPr>
          <w:szCs w:val="21"/>
        </w:rPr>
      </w:pPr>
      <w:r>
        <w:rPr>
          <w:rFonts w:hint="eastAsia"/>
          <w:szCs w:val="21"/>
        </w:rPr>
        <w:t>1、</w:t>
      </w:r>
      <w:r>
        <w:rPr>
          <w:szCs w:val="21"/>
        </w:rPr>
        <w:t>本合同一式捌份，甲方陆份、乙方执贰份。</w:t>
      </w:r>
    </w:p>
    <w:p>
      <w:pPr>
        <w:spacing w:line="360" w:lineRule="auto"/>
        <w:ind w:right="14" w:firstLine="480" w:firstLineChars="200"/>
        <w:rPr>
          <w:szCs w:val="21"/>
        </w:rPr>
      </w:pPr>
      <w:r>
        <w:rPr>
          <w:szCs w:val="21"/>
        </w:rPr>
        <w:t>2</w:t>
      </w:r>
      <w:r>
        <w:rPr>
          <w:rFonts w:hint="eastAsia"/>
          <w:szCs w:val="21"/>
        </w:rPr>
        <w:t>、</w:t>
      </w:r>
      <w:r>
        <w:rPr>
          <w:szCs w:val="21"/>
        </w:rPr>
        <w:t>本合同经双方法定代表人签字或单位盖章或双方委托代理人签字成立生效。</w:t>
      </w:r>
    </w:p>
    <w:p>
      <w:pPr>
        <w:spacing w:line="360" w:lineRule="auto"/>
        <w:ind w:right="14" w:firstLine="480" w:firstLineChars="200"/>
        <w:rPr>
          <w:szCs w:val="21"/>
        </w:rPr>
      </w:pPr>
      <w:r>
        <w:rPr>
          <w:szCs w:val="21"/>
        </w:rPr>
        <w:t>十一、其他约定事项</w:t>
      </w:r>
    </w:p>
    <w:p>
      <w:pPr>
        <w:spacing w:line="360" w:lineRule="auto"/>
        <w:ind w:right="11" w:firstLine="480" w:firstLineChars="200"/>
        <w:rPr>
          <w:szCs w:val="21"/>
        </w:rPr>
      </w:pPr>
      <w:r>
        <w:rPr>
          <w:szCs w:val="21"/>
        </w:rPr>
        <w:t>1、乙方签定的供货补充合同和供货承诺书以及与本合同有关的招</w:t>
      </w:r>
      <w:r>
        <w:rPr>
          <w:rFonts w:hint="eastAsia"/>
          <w:szCs w:val="21"/>
          <w:lang w:eastAsia="zh-CN"/>
        </w:rPr>
        <w:t>响应文件</w:t>
      </w:r>
      <w:r>
        <w:rPr>
          <w:szCs w:val="21"/>
        </w:rPr>
        <w:t>、答疑附件、合同附件《食品安全承诺书》等经甲方签字或盖章后成为本合同不可分割的组成部分，与本合同具有同等法律效力，其他未尽事宜，从其规定。</w:t>
      </w:r>
    </w:p>
    <w:p>
      <w:pPr>
        <w:spacing w:line="360" w:lineRule="auto"/>
        <w:ind w:right="11" w:firstLine="480" w:firstLineChars="200"/>
        <w:rPr>
          <w:szCs w:val="21"/>
        </w:rPr>
      </w:pPr>
    </w:p>
    <w:p>
      <w:pPr>
        <w:spacing w:line="360" w:lineRule="auto"/>
        <w:ind w:right="11" w:firstLine="480" w:firstLineChars="200"/>
        <w:rPr>
          <w:szCs w:val="21"/>
        </w:rPr>
      </w:pPr>
      <w:r>
        <w:rPr>
          <w:szCs w:val="21"/>
        </w:rPr>
        <w:t>（以下无正文，为本合同签署页）</w:t>
      </w:r>
    </w:p>
    <w:p>
      <w:pPr>
        <w:spacing w:line="360" w:lineRule="auto"/>
        <w:ind w:right="11" w:firstLine="480" w:firstLineChars="200"/>
        <w:rPr>
          <w:szCs w:val="21"/>
        </w:rPr>
      </w:pPr>
    </w:p>
    <w:tbl>
      <w:tblPr>
        <w:tblStyle w:val="33"/>
        <w:tblW w:w="8722" w:type="dxa"/>
        <w:tblInd w:w="11"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2209"/>
        <w:gridCol w:w="2171"/>
        <w:gridCol w:w="2171"/>
        <w:gridCol w:w="21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pPr>
              <w:ind w:right="11"/>
              <w:rPr>
                <w:szCs w:val="21"/>
              </w:rPr>
            </w:pPr>
            <w:r>
              <w:rPr>
                <w:szCs w:val="21"/>
              </w:rPr>
              <w:t>甲方（盖章）：</w:t>
            </w:r>
          </w:p>
        </w:tc>
        <w:tc>
          <w:tcPr>
            <w:tcW w:w="2171" w:type="dxa"/>
            <w:vAlign w:val="center"/>
          </w:tcPr>
          <w:p>
            <w:pPr>
              <w:ind w:right="11"/>
              <w:rPr>
                <w:szCs w:val="21"/>
              </w:rPr>
            </w:pPr>
          </w:p>
        </w:tc>
        <w:tc>
          <w:tcPr>
            <w:tcW w:w="2171" w:type="dxa"/>
            <w:vAlign w:val="center"/>
          </w:tcPr>
          <w:p>
            <w:pPr>
              <w:ind w:right="11"/>
              <w:rPr>
                <w:szCs w:val="21"/>
              </w:rPr>
            </w:pPr>
            <w:r>
              <w:rPr>
                <w:rFonts w:hint="eastAsia"/>
                <w:szCs w:val="21"/>
              </w:rPr>
              <w:t>乙</w:t>
            </w:r>
            <w:r>
              <w:rPr>
                <w:szCs w:val="21"/>
              </w:rPr>
              <w:t>方（盖章）：</w:t>
            </w:r>
          </w:p>
        </w:tc>
        <w:tc>
          <w:tcPr>
            <w:tcW w:w="2171" w:type="dxa"/>
            <w:vAlign w:val="center"/>
          </w:tcPr>
          <w:p>
            <w:pPr>
              <w:ind w:right="11"/>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78" w:hRule="atLeast"/>
        </w:trPr>
        <w:tc>
          <w:tcPr>
            <w:tcW w:w="2209" w:type="dxa"/>
            <w:vAlign w:val="center"/>
          </w:tcPr>
          <w:p>
            <w:pPr>
              <w:ind w:right="11"/>
              <w:rPr>
                <w:szCs w:val="21"/>
              </w:rPr>
            </w:pPr>
            <w:r>
              <w:rPr>
                <w:szCs w:val="21"/>
              </w:rPr>
              <w:t>法人或授权代表（签字）：</w:t>
            </w:r>
          </w:p>
        </w:tc>
        <w:tc>
          <w:tcPr>
            <w:tcW w:w="2171" w:type="dxa"/>
            <w:vAlign w:val="center"/>
          </w:tcPr>
          <w:p>
            <w:pPr>
              <w:ind w:right="11"/>
              <w:rPr>
                <w:szCs w:val="21"/>
              </w:rPr>
            </w:pPr>
          </w:p>
        </w:tc>
        <w:tc>
          <w:tcPr>
            <w:tcW w:w="2171" w:type="dxa"/>
            <w:vAlign w:val="center"/>
          </w:tcPr>
          <w:p>
            <w:pPr>
              <w:ind w:right="11"/>
              <w:rPr>
                <w:szCs w:val="21"/>
              </w:rPr>
            </w:pPr>
            <w:r>
              <w:rPr>
                <w:szCs w:val="21"/>
              </w:rPr>
              <w:t>法人或授权代表（签字）：</w:t>
            </w:r>
          </w:p>
        </w:tc>
        <w:tc>
          <w:tcPr>
            <w:tcW w:w="2171" w:type="dxa"/>
            <w:vAlign w:val="center"/>
          </w:tcPr>
          <w:p>
            <w:pPr>
              <w:ind w:right="11"/>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pPr>
              <w:ind w:right="11"/>
              <w:rPr>
                <w:szCs w:val="21"/>
              </w:rPr>
            </w:pPr>
            <w:r>
              <w:rPr>
                <w:rFonts w:hint="eastAsia"/>
                <w:szCs w:val="21"/>
              </w:rPr>
              <w:t>地址：</w:t>
            </w:r>
          </w:p>
        </w:tc>
        <w:tc>
          <w:tcPr>
            <w:tcW w:w="2171" w:type="dxa"/>
            <w:vAlign w:val="center"/>
          </w:tcPr>
          <w:p>
            <w:pPr>
              <w:ind w:right="11"/>
              <w:rPr>
                <w:szCs w:val="21"/>
              </w:rPr>
            </w:pPr>
          </w:p>
        </w:tc>
        <w:tc>
          <w:tcPr>
            <w:tcW w:w="2171" w:type="dxa"/>
            <w:vAlign w:val="center"/>
          </w:tcPr>
          <w:p>
            <w:pPr>
              <w:ind w:right="11"/>
              <w:rPr>
                <w:szCs w:val="21"/>
              </w:rPr>
            </w:pPr>
            <w:r>
              <w:rPr>
                <w:rFonts w:hint="eastAsia"/>
                <w:szCs w:val="21"/>
              </w:rPr>
              <w:t>地址：</w:t>
            </w:r>
          </w:p>
        </w:tc>
        <w:tc>
          <w:tcPr>
            <w:tcW w:w="2171" w:type="dxa"/>
            <w:vAlign w:val="center"/>
          </w:tcPr>
          <w:p>
            <w:pPr>
              <w:ind w:right="11"/>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pPr>
              <w:ind w:right="11"/>
              <w:rPr>
                <w:szCs w:val="21"/>
              </w:rPr>
            </w:pPr>
            <w:r>
              <w:rPr>
                <w:rFonts w:hint="eastAsia"/>
                <w:szCs w:val="21"/>
              </w:rPr>
              <w:t>电话：</w:t>
            </w:r>
          </w:p>
        </w:tc>
        <w:tc>
          <w:tcPr>
            <w:tcW w:w="2171" w:type="dxa"/>
            <w:vAlign w:val="center"/>
          </w:tcPr>
          <w:p>
            <w:pPr>
              <w:ind w:right="11"/>
              <w:rPr>
                <w:szCs w:val="21"/>
              </w:rPr>
            </w:pPr>
          </w:p>
        </w:tc>
        <w:tc>
          <w:tcPr>
            <w:tcW w:w="2171" w:type="dxa"/>
            <w:vAlign w:val="center"/>
          </w:tcPr>
          <w:p>
            <w:pPr>
              <w:ind w:right="11"/>
              <w:rPr>
                <w:szCs w:val="21"/>
              </w:rPr>
            </w:pPr>
            <w:r>
              <w:rPr>
                <w:rFonts w:hint="eastAsia"/>
                <w:szCs w:val="21"/>
              </w:rPr>
              <w:t>电话：</w:t>
            </w:r>
          </w:p>
        </w:tc>
        <w:tc>
          <w:tcPr>
            <w:tcW w:w="2171" w:type="dxa"/>
            <w:vAlign w:val="center"/>
          </w:tcPr>
          <w:p>
            <w:pPr>
              <w:ind w:right="11"/>
              <w:rPr>
                <w:szCs w:val="21"/>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89" w:hRule="atLeast"/>
        </w:trPr>
        <w:tc>
          <w:tcPr>
            <w:tcW w:w="2209" w:type="dxa"/>
            <w:vAlign w:val="center"/>
          </w:tcPr>
          <w:p>
            <w:pPr>
              <w:ind w:right="11"/>
              <w:rPr>
                <w:szCs w:val="21"/>
              </w:rPr>
            </w:pPr>
            <w:r>
              <w:rPr>
                <w:rFonts w:hint="eastAsia"/>
                <w:szCs w:val="21"/>
              </w:rPr>
              <w:t>日期：</w:t>
            </w:r>
          </w:p>
        </w:tc>
        <w:tc>
          <w:tcPr>
            <w:tcW w:w="2171" w:type="dxa"/>
            <w:vAlign w:val="center"/>
          </w:tcPr>
          <w:p>
            <w:pPr>
              <w:ind w:right="11"/>
              <w:rPr>
                <w:szCs w:val="21"/>
              </w:rPr>
            </w:pPr>
          </w:p>
        </w:tc>
        <w:tc>
          <w:tcPr>
            <w:tcW w:w="2171" w:type="dxa"/>
            <w:vAlign w:val="center"/>
          </w:tcPr>
          <w:p>
            <w:pPr>
              <w:ind w:right="11"/>
              <w:rPr>
                <w:szCs w:val="21"/>
              </w:rPr>
            </w:pPr>
            <w:r>
              <w:rPr>
                <w:rFonts w:hint="eastAsia"/>
                <w:szCs w:val="21"/>
              </w:rPr>
              <w:t>日期：</w:t>
            </w:r>
          </w:p>
        </w:tc>
        <w:tc>
          <w:tcPr>
            <w:tcW w:w="2171" w:type="dxa"/>
            <w:vAlign w:val="center"/>
          </w:tcPr>
          <w:p>
            <w:pPr>
              <w:ind w:right="11"/>
              <w:rPr>
                <w:szCs w:val="21"/>
              </w:rPr>
            </w:pPr>
          </w:p>
        </w:tc>
      </w:tr>
    </w:tbl>
    <w:p>
      <w:pPr>
        <w:rPr>
          <w:b/>
          <w:sz w:val="28"/>
        </w:rPr>
      </w:pPr>
      <w:r>
        <w:rPr>
          <w:rFonts w:hint="eastAsia"/>
          <w:b/>
          <w:sz w:val="28"/>
        </w:rPr>
        <w:br w:type="page"/>
      </w:r>
    </w:p>
    <w:p>
      <w:bookmarkStart w:id="41" w:name="_Toc92733686"/>
    </w:p>
    <w:p>
      <w:pPr>
        <w:spacing w:line="360" w:lineRule="auto"/>
        <w:jc w:val="center"/>
        <w:outlineLvl w:val="0"/>
        <w:rPr>
          <w:b/>
          <w:sz w:val="28"/>
        </w:rPr>
      </w:pPr>
      <w:r>
        <w:rPr>
          <w:rFonts w:hint="eastAsia"/>
          <w:b/>
          <w:sz w:val="28"/>
        </w:rPr>
        <w:t xml:space="preserve">第六章 </w:t>
      </w:r>
      <w:r>
        <w:rPr>
          <w:rFonts w:hint="eastAsia"/>
          <w:b/>
          <w:sz w:val="28"/>
          <w:lang w:eastAsia="zh-CN"/>
        </w:rPr>
        <w:t>响应文件</w:t>
      </w:r>
      <w:r>
        <w:rPr>
          <w:rFonts w:hint="eastAsia"/>
          <w:b/>
          <w:sz w:val="28"/>
        </w:rPr>
        <w:t>格式</w:t>
      </w:r>
      <w:bookmarkEnd w:id="41"/>
    </w:p>
    <w:p>
      <w:pPr>
        <w:spacing w:after="312" w:afterLines="100" w:line="440" w:lineRule="exact"/>
        <w:jc w:val="right"/>
        <w:rPr>
          <w:bCs/>
          <w:sz w:val="28"/>
          <w:szCs w:val="28"/>
        </w:rPr>
      </w:pPr>
      <w:r>
        <w:rPr>
          <w:rFonts w:hint="eastAsia"/>
          <w:bCs/>
          <w:sz w:val="28"/>
          <w:szCs w:val="28"/>
        </w:rPr>
        <w:t xml:space="preserve">     </w:t>
      </w:r>
      <w:r>
        <w:rPr>
          <w:rFonts w:hint="eastAsia"/>
          <w:bCs/>
          <w:sz w:val="28"/>
          <w:szCs w:val="28"/>
          <w:bdr w:val="single" w:color="auto" w:sz="4" w:space="0"/>
        </w:rPr>
        <w:t>正本</w:t>
      </w:r>
    </w:p>
    <w:p>
      <w:pPr>
        <w:jc w:val="center"/>
        <w:rPr>
          <w:rFonts w:hint="eastAsia"/>
          <w:sz w:val="44"/>
          <w:szCs w:val="44"/>
          <w:lang w:eastAsia="zh-CN"/>
        </w:rPr>
      </w:pPr>
    </w:p>
    <w:p>
      <w:pPr>
        <w:jc w:val="center"/>
        <w:rPr>
          <w:rFonts w:hint="eastAsia"/>
          <w:sz w:val="44"/>
          <w:szCs w:val="44"/>
        </w:rPr>
      </w:pPr>
      <w:r>
        <w:rPr>
          <w:rFonts w:hint="eastAsia"/>
          <w:sz w:val="44"/>
          <w:szCs w:val="44"/>
          <w:lang w:eastAsia="zh-CN"/>
        </w:rPr>
        <w:t>响应文件</w:t>
      </w:r>
    </w:p>
    <w:p>
      <w:pPr>
        <w:pStyle w:val="77"/>
        <w:rPr>
          <w:rFonts w:hAnsi="宋体"/>
          <w:sz w:val="28"/>
          <w:szCs w:val="28"/>
        </w:rPr>
      </w:pPr>
    </w:p>
    <w:p>
      <w:pPr>
        <w:jc w:val="center"/>
        <w:rPr>
          <w:sz w:val="36"/>
          <w:szCs w:val="36"/>
        </w:rPr>
      </w:pPr>
      <w:r>
        <w:rPr>
          <w:rFonts w:hint="eastAsia"/>
          <w:sz w:val="36"/>
          <w:szCs w:val="36"/>
        </w:rPr>
        <w:t>新疆维吾尔自治区某单位2022年度生活物资采购项目（第 包）</w:t>
      </w:r>
    </w:p>
    <w:p>
      <w:pPr>
        <w:jc w:val="center"/>
        <w:rPr>
          <w:sz w:val="36"/>
          <w:szCs w:val="36"/>
        </w:rPr>
      </w:pPr>
      <w:bookmarkStart w:id="42" w:name="_Toc13946"/>
      <w:r>
        <w:rPr>
          <w:rFonts w:hint="eastAsia"/>
          <w:sz w:val="36"/>
          <w:szCs w:val="36"/>
        </w:rPr>
        <w:t>项目编号：</w:t>
      </w:r>
      <w:bookmarkEnd w:id="42"/>
    </w:p>
    <w:p>
      <w:pPr>
        <w:spacing w:after="312" w:afterLines="100" w:line="440" w:lineRule="exact"/>
        <w:jc w:val="center"/>
        <w:rPr>
          <w:sz w:val="28"/>
          <w:szCs w:val="28"/>
        </w:rPr>
      </w:pPr>
    </w:p>
    <w:p>
      <w:pPr>
        <w:pStyle w:val="77"/>
        <w:rPr>
          <w:rFonts w:hAnsi="宋体"/>
          <w:sz w:val="28"/>
          <w:szCs w:val="28"/>
        </w:rPr>
      </w:pPr>
    </w:p>
    <w:p>
      <w:pPr>
        <w:pStyle w:val="77"/>
        <w:rPr>
          <w:rFonts w:hAnsi="宋体"/>
          <w:sz w:val="28"/>
          <w:szCs w:val="28"/>
        </w:rPr>
      </w:pPr>
    </w:p>
    <w:p>
      <w:pPr>
        <w:pStyle w:val="77"/>
        <w:rPr>
          <w:rFonts w:hAnsi="宋体"/>
          <w:sz w:val="28"/>
          <w:szCs w:val="28"/>
        </w:rPr>
      </w:pPr>
    </w:p>
    <w:p>
      <w:pPr>
        <w:spacing w:after="312" w:afterLines="100" w:line="440" w:lineRule="exact"/>
        <w:rPr>
          <w:bCs/>
          <w:sz w:val="28"/>
          <w:szCs w:val="28"/>
        </w:rPr>
      </w:pPr>
      <w:r>
        <w:rPr>
          <w:rFonts w:hint="eastAsia"/>
          <w:bCs/>
          <w:sz w:val="28"/>
          <w:szCs w:val="28"/>
          <w:lang w:eastAsia="zh-CN"/>
        </w:rPr>
        <w:t>供应商</w:t>
      </w:r>
      <w:r>
        <w:rPr>
          <w:rFonts w:hint="eastAsia"/>
          <w:bCs/>
          <w:sz w:val="28"/>
          <w:szCs w:val="28"/>
        </w:rPr>
        <w:t>（盖章）：</w:t>
      </w:r>
    </w:p>
    <w:p>
      <w:pPr>
        <w:spacing w:after="312" w:afterLines="100" w:line="440" w:lineRule="exact"/>
        <w:rPr>
          <w:bCs/>
          <w:sz w:val="28"/>
          <w:szCs w:val="28"/>
        </w:rPr>
      </w:pPr>
      <w:r>
        <w:rPr>
          <w:rFonts w:hint="eastAsia"/>
          <w:bCs/>
          <w:sz w:val="28"/>
          <w:szCs w:val="28"/>
        </w:rPr>
        <w:t>法定代表</w:t>
      </w:r>
      <w:r>
        <w:rPr>
          <w:rFonts w:hint="eastAsia"/>
          <w:bCs/>
          <w:sz w:val="28"/>
          <w:szCs w:val="28"/>
          <w:lang w:val="en-US" w:eastAsia="zh-CN"/>
        </w:rPr>
        <w:t>人</w:t>
      </w:r>
      <w:r>
        <w:rPr>
          <w:rFonts w:hint="eastAsia"/>
          <w:bCs/>
          <w:sz w:val="28"/>
          <w:szCs w:val="28"/>
        </w:rPr>
        <w:t>或委托代理人（签字或盖章）：</w:t>
      </w:r>
    </w:p>
    <w:p>
      <w:pPr>
        <w:spacing w:after="312" w:afterLines="100" w:line="440" w:lineRule="exact"/>
        <w:rPr>
          <w:bCs/>
          <w:sz w:val="28"/>
          <w:szCs w:val="28"/>
        </w:rPr>
      </w:pPr>
      <w:r>
        <w:rPr>
          <w:rFonts w:hint="eastAsia"/>
          <w:bCs/>
          <w:sz w:val="28"/>
          <w:szCs w:val="28"/>
        </w:rPr>
        <w:t>单位地址：</w:t>
      </w:r>
    </w:p>
    <w:p>
      <w:pPr>
        <w:spacing w:after="312" w:afterLines="100" w:line="440" w:lineRule="exact"/>
        <w:rPr>
          <w:bCs/>
          <w:sz w:val="28"/>
          <w:szCs w:val="28"/>
        </w:rPr>
      </w:pPr>
      <w:r>
        <w:rPr>
          <w:rFonts w:hint="eastAsia"/>
          <w:bCs/>
          <w:sz w:val="28"/>
          <w:szCs w:val="28"/>
        </w:rPr>
        <w:t>联 系 人：</w:t>
      </w:r>
    </w:p>
    <w:p>
      <w:pPr>
        <w:spacing w:after="312" w:afterLines="100" w:line="440" w:lineRule="exact"/>
        <w:rPr>
          <w:bCs/>
          <w:sz w:val="28"/>
          <w:szCs w:val="28"/>
        </w:rPr>
      </w:pPr>
      <w:r>
        <w:rPr>
          <w:rFonts w:hint="eastAsia"/>
          <w:bCs/>
          <w:sz w:val="28"/>
          <w:szCs w:val="28"/>
        </w:rPr>
        <w:t>联系电话：</w:t>
      </w:r>
    </w:p>
    <w:p>
      <w:pPr>
        <w:spacing w:line="440" w:lineRule="exact"/>
        <w:rPr>
          <w:bCs/>
          <w:sz w:val="28"/>
          <w:szCs w:val="28"/>
        </w:rPr>
      </w:pPr>
      <w:r>
        <w:rPr>
          <w:rFonts w:hint="eastAsia"/>
          <w:bCs/>
          <w:sz w:val="28"/>
          <w:szCs w:val="28"/>
        </w:rPr>
        <w:t>日  期：</w:t>
      </w:r>
    </w:p>
    <w:p>
      <w:pPr>
        <w:rPr>
          <w:b/>
          <w:sz w:val="28"/>
        </w:rPr>
      </w:pPr>
      <w:r>
        <w:rPr>
          <w:b/>
          <w:sz w:val="28"/>
        </w:rPr>
        <w:br w:type="page"/>
      </w:r>
    </w:p>
    <w:p>
      <w:pPr>
        <w:pStyle w:val="31"/>
        <w:spacing w:line="360" w:lineRule="auto"/>
        <w:ind w:left="0" w:leftChars="0" w:firstLine="0" w:firstLineChars="0"/>
        <w:jc w:val="center"/>
        <w:rPr>
          <w:szCs w:val="16"/>
        </w:rPr>
      </w:pPr>
      <w:r>
        <w:rPr>
          <w:rFonts w:hint="eastAsia"/>
          <w:szCs w:val="16"/>
        </w:rPr>
        <w:t>初步评审索引表</w:t>
      </w:r>
    </w:p>
    <w:tbl>
      <w:tblPr>
        <w:tblStyle w:val="32"/>
        <w:tblW w:w="5818" w:type="pct"/>
        <w:tblInd w:w="-45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16"/>
        <w:gridCol w:w="6733"/>
        <w:gridCol w:w="2267"/>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3857" w:type="pct"/>
            <w:gridSpan w:val="2"/>
          </w:tcPr>
          <w:p>
            <w:pPr>
              <w:spacing w:line="440" w:lineRule="exact"/>
              <w:jc w:val="center"/>
              <w:rPr>
                <w:bCs/>
              </w:rPr>
            </w:pPr>
            <w:r>
              <w:rPr>
                <w:rFonts w:hint="eastAsia"/>
              </w:rPr>
              <w:t>符合性审查</w:t>
            </w:r>
          </w:p>
        </w:tc>
        <w:tc>
          <w:tcPr>
            <w:tcW w:w="1143" w:type="pct"/>
            <w:vMerge w:val="restart"/>
          </w:tcPr>
          <w:p>
            <w:pPr>
              <w:spacing w:line="440" w:lineRule="exact"/>
              <w:jc w:val="center"/>
            </w:pPr>
            <w:r>
              <w:rPr>
                <w:rFonts w:hint="eastAsia" w:cs="Times New Roman"/>
                <w:b/>
                <w:szCs w:val="21"/>
              </w:rPr>
              <w:t>证明文件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62" w:type="pct"/>
          </w:tcPr>
          <w:p>
            <w:pPr>
              <w:spacing w:line="440" w:lineRule="exact"/>
              <w:jc w:val="center"/>
              <w:rPr>
                <w:bCs/>
              </w:rPr>
            </w:pPr>
            <w:r>
              <w:rPr>
                <w:rFonts w:hint="eastAsia"/>
                <w:bCs/>
              </w:rPr>
              <w:t>序号</w:t>
            </w:r>
          </w:p>
        </w:tc>
        <w:tc>
          <w:tcPr>
            <w:tcW w:w="3395" w:type="pct"/>
            <w:vAlign w:val="center"/>
          </w:tcPr>
          <w:p>
            <w:pPr>
              <w:spacing w:line="440" w:lineRule="exact"/>
              <w:jc w:val="center"/>
              <w:rPr>
                <w:bCs/>
              </w:rPr>
            </w:pPr>
            <w:r>
              <w:rPr>
                <w:rFonts w:hint="eastAsia"/>
                <w:bCs/>
              </w:rPr>
              <w:t>标准</w:t>
            </w:r>
          </w:p>
        </w:tc>
        <w:tc>
          <w:tcPr>
            <w:tcW w:w="1143" w:type="pct"/>
            <w:vMerge w:val="continue"/>
          </w:tcPr>
          <w:p>
            <w:pPr>
              <w:spacing w:line="440" w:lineRule="exact"/>
              <w:jc w:val="center"/>
              <w:rPr>
                <w:bC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62" w:type="pct"/>
          </w:tcPr>
          <w:p>
            <w:pPr>
              <w:spacing w:line="440" w:lineRule="exact"/>
              <w:jc w:val="center"/>
              <w:rPr>
                <w:bCs/>
              </w:rPr>
            </w:pPr>
            <w:r>
              <w:rPr>
                <w:rFonts w:hint="eastAsia"/>
                <w:bCs/>
              </w:rPr>
              <w:t>1</w:t>
            </w:r>
          </w:p>
        </w:tc>
        <w:tc>
          <w:tcPr>
            <w:tcW w:w="3395" w:type="pct"/>
            <w:vAlign w:val="center"/>
          </w:tcPr>
          <w:p>
            <w:pPr>
              <w:pStyle w:val="77"/>
              <w:rPr>
                <w:rFonts w:hAnsi="宋体"/>
              </w:rPr>
            </w:pPr>
            <w:r>
              <w:rPr>
                <w:rFonts w:hint="eastAsia" w:hAnsi="宋体"/>
              </w:rPr>
              <w:t>满足《中华人民共和国政府采购法》第二十二条规定：</w:t>
            </w:r>
          </w:p>
          <w:p>
            <w:pPr>
              <w:pStyle w:val="77"/>
              <w:rPr>
                <w:rFonts w:hAnsi="宋体"/>
              </w:rPr>
            </w:pPr>
            <w:r>
              <w:rPr>
                <w:rFonts w:hint="eastAsia" w:hAnsi="宋体"/>
              </w:rPr>
              <w:t>（一）具有独立承担民事责任的能力；提供营业执照或其他证明材料</w:t>
            </w:r>
          </w:p>
          <w:p>
            <w:pPr>
              <w:pStyle w:val="77"/>
              <w:rPr>
                <w:rFonts w:hAnsi="宋体"/>
              </w:rPr>
            </w:pPr>
            <w:r>
              <w:rPr>
                <w:rFonts w:hint="eastAsia" w:hAnsi="宋体"/>
              </w:rPr>
              <w:t>（二）具有良好的商业信誉和健全的财务会计制度；提供承诺书</w:t>
            </w:r>
          </w:p>
          <w:p>
            <w:pPr>
              <w:pStyle w:val="77"/>
              <w:rPr>
                <w:rFonts w:hAnsi="宋体"/>
              </w:rPr>
            </w:pPr>
            <w:r>
              <w:rPr>
                <w:rFonts w:hint="eastAsia" w:hAnsi="宋体"/>
              </w:rPr>
              <w:t>（三）具有履行合同所必需的设备和专业技术能力；提供承诺书</w:t>
            </w:r>
          </w:p>
          <w:p>
            <w:pPr>
              <w:pStyle w:val="77"/>
              <w:rPr>
                <w:rFonts w:hAnsi="宋体"/>
              </w:rPr>
            </w:pPr>
            <w:r>
              <w:rPr>
                <w:rFonts w:hint="eastAsia" w:hAnsi="宋体"/>
              </w:rPr>
              <w:t>（四）有依法缴纳税收和社会保障资金的良好记录；提供近202</w:t>
            </w:r>
            <w:r>
              <w:rPr>
                <w:rFonts w:hAnsi="宋体"/>
              </w:rPr>
              <w:t>1</w:t>
            </w:r>
            <w:r>
              <w:rPr>
                <w:rFonts w:hint="eastAsia" w:hAnsi="宋体"/>
              </w:rPr>
              <w:t>年6月1日以来任意一个月的缴纳税收和社会保障资金</w:t>
            </w:r>
          </w:p>
          <w:p>
            <w:pPr>
              <w:pStyle w:val="77"/>
              <w:rPr>
                <w:rFonts w:hAnsi="宋体"/>
              </w:rPr>
            </w:pPr>
            <w:r>
              <w:rPr>
                <w:rFonts w:hint="eastAsia" w:hAnsi="宋体"/>
              </w:rPr>
              <w:t>（五）参加政府采购活动前三年内，在经营活动中没有重大违法记录；提供承诺书</w:t>
            </w:r>
          </w:p>
          <w:p>
            <w:pPr>
              <w:pStyle w:val="77"/>
              <w:rPr>
                <w:bCs/>
              </w:rPr>
            </w:pPr>
            <w:r>
              <w:rPr>
                <w:rFonts w:hint="eastAsia" w:hAnsi="宋体"/>
              </w:rPr>
              <w:t>（六）法律、行政法规规定的其他条件；提供承诺书。</w:t>
            </w:r>
          </w:p>
        </w:tc>
        <w:tc>
          <w:tcPr>
            <w:tcW w:w="1143" w:type="pct"/>
            <w:vAlign w:val="center"/>
          </w:tcPr>
          <w:p>
            <w:pPr>
              <w:pStyle w:val="77"/>
              <w:jc w:val="center"/>
              <w:rPr>
                <w:rFonts w:hAnsi="宋体"/>
              </w:rPr>
            </w:pPr>
            <w:r>
              <w:rPr>
                <w:rFonts w:hint="eastAsia"/>
                <w:szCs w:val="16"/>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vAlign w:val="center"/>
          </w:tcPr>
          <w:p>
            <w:pPr>
              <w:spacing w:line="440" w:lineRule="exact"/>
              <w:jc w:val="center"/>
            </w:pPr>
            <w:r>
              <w:rPr>
                <w:bCs/>
              </w:rPr>
              <w:t>2</w:t>
            </w:r>
          </w:p>
        </w:tc>
        <w:tc>
          <w:tcPr>
            <w:tcW w:w="3395" w:type="pct"/>
            <w:vAlign w:val="center"/>
          </w:tcPr>
          <w:p>
            <w:pPr>
              <w:spacing w:line="440" w:lineRule="exact"/>
            </w:pPr>
            <w:r>
              <w:rPr>
                <w:rFonts w:hint="eastAsia"/>
                <w:bCs/>
                <w:lang w:eastAsia="zh-CN"/>
              </w:rPr>
              <w:t>响应文件</w:t>
            </w:r>
            <w:r>
              <w:rPr>
                <w:rFonts w:hint="eastAsia"/>
                <w:bCs/>
              </w:rPr>
              <w:t>中所报交货期、交货地点及服务期限必须要满足招标文件规定。</w:t>
            </w:r>
          </w:p>
        </w:tc>
        <w:tc>
          <w:tcPr>
            <w:tcW w:w="1143" w:type="pct"/>
            <w:vAlign w:val="center"/>
          </w:tcPr>
          <w:p>
            <w:pPr>
              <w:spacing w:line="440" w:lineRule="exact"/>
              <w:jc w:val="center"/>
              <w:rPr>
                <w:bCs/>
              </w:rPr>
            </w:pPr>
            <w:r>
              <w:rPr>
                <w:rFonts w:hint="eastAsia"/>
                <w:szCs w:val="16"/>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62" w:type="pct"/>
            <w:vAlign w:val="center"/>
          </w:tcPr>
          <w:p>
            <w:pPr>
              <w:spacing w:line="440" w:lineRule="exact"/>
              <w:jc w:val="center"/>
              <w:rPr>
                <w:bCs/>
              </w:rPr>
            </w:pPr>
            <w:r>
              <w:rPr>
                <w:rFonts w:hint="eastAsia"/>
                <w:bCs/>
              </w:rPr>
              <w:t>3</w:t>
            </w:r>
          </w:p>
        </w:tc>
        <w:tc>
          <w:tcPr>
            <w:tcW w:w="3395" w:type="pct"/>
            <w:vAlign w:val="center"/>
          </w:tcPr>
          <w:p>
            <w:pPr>
              <w:spacing w:line="440" w:lineRule="exact"/>
              <w:rPr>
                <w:bCs/>
              </w:rPr>
            </w:pPr>
            <w:r>
              <w:rPr>
                <w:rFonts w:hint="eastAsia"/>
                <w:bCs/>
                <w:lang w:eastAsia="zh-CN"/>
              </w:rPr>
              <w:t>响应文件</w:t>
            </w:r>
            <w:r>
              <w:rPr>
                <w:rFonts w:hint="eastAsia"/>
                <w:bCs/>
              </w:rPr>
              <w:t>必须按招标文件规定格式完整提供，并要盖供应商章、法定代表人或授权委托人签字或盖章。</w:t>
            </w:r>
          </w:p>
        </w:tc>
        <w:tc>
          <w:tcPr>
            <w:tcW w:w="1143" w:type="pct"/>
            <w:vAlign w:val="center"/>
          </w:tcPr>
          <w:p>
            <w:pPr>
              <w:spacing w:line="440" w:lineRule="exact"/>
              <w:jc w:val="center"/>
              <w:rPr>
                <w:bCs/>
              </w:rPr>
            </w:pPr>
            <w:r>
              <w:rPr>
                <w:rFonts w:hint="eastAsia"/>
                <w:szCs w:val="16"/>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vAlign w:val="center"/>
          </w:tcPr>
          <w:p>
            <w:pPr>
              <w:spacing w:line="440" w:lineRule="exact"/>
              <w:jc w:val="center"/>
              <w:rPr>
                <w:bCs/>
              </w:rPr>
            </w:pPr>
            <w:r>
              <w:rPr>
                <w:bCs/>
              </w:rPr>
              <w:t>4</w:t>
            </w:r>
          </w:p>
        </w:tc>
        <w:tc>
          <w:tcPr>
            <w:tcW w:w="3395" w:type="pct"/>
            <w:vAlign w:val="center"/>
          </w:tcPr>
          <w:p>
            <w:pPr>
              <w:spacing w:line="440" w:lineRule="exact"/>
              <w:rPr>
                <w:bCs/>
              </w:rPr>
            </w:pPr>
            <w:r>
              <w:rPr>
                <w:rFonts w:hint="eastAsia"/>
                <w:bCs/>
              </w:rPr>
              <w:t>法定代表人身份证明书必须按招标文件规定格式完整提供，并要盖供应商章。</w:t>
            </w:r>
          </w:p>
        </w:tc>
        <w:tc>
          <w:tcPr>
            <w:tcW w:w="1143" w:type="pct"/>
            <w:vAlign w:val="center"/>
          </w:tcPr>
          <w:p>
            <w:pPr>
              <w:spacing w:line="440" w:lineRule="exact"/>
              <w:jc w:val="center"/>
              <w:rPr>
                <w:bCs/>
              </w:rPr>
            </w:pPr>
            <w:r>
              <w:rPr>
                <w:rFonts w:hint="eastAsia"/>
                <w:szCs w:val="16"/>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76" w:hRule="atLeast"/>
        </w:trPr>
        <w:tc>
          <w:tcPr>
            <w:tcW w:w="462" w:type="pct"/>
            <w:vAlign w:val="center"/>
          </w:tcPr>
          <w:p>
            <w:pPr>
              <w:spacing w:line="440" w:lineRule="exact"/>
              <w:jc w:val="center"/>
              <w:rPr>
                <w:bCs/>
              </w:rPr>
            </w:pPr>
            <w:r>
              <w:rPr>
                <w:bCs/>
              </w:rPr>
              <w:t>5</w:t>
            </w:r>
          </w:p>
        </w:tc>
        <w:tc>
          <w:tcPr>
            <w:tcW w:w="3395" w:type="pct"/>
            <w:vAlign w:val="center"/>
          </w:tcPr>
          <w:p>
            <w:pPr>
              <w:spacing w:line="440" w:lineRule="exact"/>
              <w:rPr>
                <w:bCs/>
              </w:rPr>
            </w:pPr>
            <w:r>
              <w:rPr>
                <w:rFonts w:hint="eastAsia"/>
                <w:bCs/>
              </w:rPr>
              <w:t>法定代表人授权委托书必须按招标文件规定格式完整提供，并要盖供应商章、法定代表人章。</w:t>
            </w:r>
          </w:p>
        </w:tc>
        <w:tc>
          <w:tcPr>
            <w:tcW w:w="1143" w:type="pct"/>
            <w:vAlign w:val="center"/>
          </w:tcPr>
          <w:p>
            <w:pPr>
              <w:spacing w:line="440" w:lineRule="exact"/>
              <w:jc w:val="center"/>
              <w:rPr>
                <w:bCs/>
              </w:rPr>
            </w:pPr>
            <w:r>
              <w:rPr>
                <w:rFonts w:hint="eastAsia"/>
                <w:szCs w:val="16"/>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62" w:type="pct"/>
            <w:vAlign w:val="center"/>
          </w:tcPr>
          <w:p>
            <w:pPr>
              <w:spacing w:line="440" w:lineRule="exact"/>
              <w:jc w:val="center"/>
              <w:rPr>
                <w:bCs/>
              </w:rPr>
            </w:pPr>
            <w:r>
              <w:rPr>
                <w:bCs/>
              </w:rPr>
              <w:t>6</w:t>
            </w:r>
          </w:p>
        </w:tc>
        <w:tc>
          <w:tcPr>
            <w:tcW w:w="3395" w:type="pct"/>
            <w:vAlign w:val="center"/>
          </w:tcPr>
          <w:p>
            <w:pPr>
              <w:spacing w:line="440" w:lineRule="exact"/>
            </w:pPr>
            <w:r>
              <w:rPr>
                <w:rFonts w:hint="eastAsia"/>
                <w:lang w:eastAsia="zh-CN"/>
              </w:rPr>
              <w:t>响应文件</w:t>
            </w:r>
            <w:r>
              <w:rPr>
                <w:rFonts w:hint="eastAsia"/>
              </w:rPr>
              <w:t>封面右上角必须注明“正本”或“副本”字样。</w:t>
            </w:r>
          </w:p>
        </w:tc>
        <w:tc>
          <w:tcPr>
            <w:tcW w:w="1143" w:type="pct"/>
            <w:vAlign w:val="center"/>
          </w:tcPr>
          <w:p>
            <w:pPr>
              <w:spacing w:line="440" w:lineRule="exact"/>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62" w:type="pct"/>
            <w:vAlign w:val="center"/>
          </w:tcPr>
          <w:p>
            <w:pPr>
              <w:spacing w:line="440" w:lineRule="exact"/>
              <w:jc w:val="center"/>
              <w:rPr>
                <w:bCs/>
              </w:rPr>
            </w:pPr>
            <w:r>
              <w:rPr>
                <w:bCs/>
              </w:rPr>
              <w:t>7</w:t>
            </w:r>
          </w:p>
        </w:tc>
        <w:tc>
          <w:tcPr>
            <w:tcW w:w="3395" w:type="pct"/>
            <w:vAlign w:val="center"/>
          </w:tcPr>
          <w:p>
            <w:pPr>
              <w:spacing w:line="440" w:lineRule="exact"/>
            </w:pPr>
            <w:r>
              <w:rPr>
                <w:rFonts w:hint="eastAsia"/>
                <w:lang w:eastAsia="zh-CN"/>
              </w:rPr>
              <w:t>响应文件</w:t>
            </w:r>
            <w:r>
              <w:rPr>
                <w:rFonts w:hint="eastAsia"/>
              </w:rPr>
              <w:t>份数必须按招标文件要求提供。</w:t>
            </w:r>
          </w:p>
        </w:tc>
        <w:tc>
          <w:tcPr>
            <w:tcW w:w="1143" w:type="pct"/>
            <w:vAlign w:val="center"/>
          </w:tcPr>
          <w:p>
            <w:pPr>
              <w:spacing w:line="440" w:lineRule="exact"/>
              <w:jc w:val="center"/>
              <w:rPr>
                <w:highlight w:val="yellow"/>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62" w:type="pct"/>
            <w:vAlign w:val="center"/>
          </w:tcPr>
          <w:p>
            <w:pPr>
              <w:spacing w:line="440" w:lineRule="exact"/>
              <w:jc w:val="center"/>
              <w:rPr>
                <w:bCs/>
              </w:rPr>
            </w:pPr>
            <w:r>
              <w:rPr>
                <w:rFonts w:hint="eastAsia"/>
                <w:bCs/>
              </w:rPr>
              <w:t>8</w:t>
            </w:r>
          </w:p>
        </w:tc>
        <w:tc>
          <w:tcPr>
            <w:tcW w:w="3395" w:type="pct"/>
            <w:vAlign w:val="center"/>
          </w:tcPr>
          <w:p>
            <w:pPr>
              <w:spacing w:line="440" w:lineRule="exact"/>
            </w:pPr>
            <w:r>
              <w:rPr>
                <w:rFonts w:hint="eastAsia"/>
              </w:rPr>
              <w:t>按照招标文件要求缴纳投标保证金。</w:t>
            </w:r>
          </w:p>
        </w:tc>
        <w:tc>
          <w:tcPr>
            <w:tcW w:w="1143" w:type="pct"/>
            <w:vAlign w:val="center"/>
          </w:tcPr>
          <w:p>
            <w:pPr>
              <w:spacing w:line="440" w:lineRule="exact"/>
              <w:jc w:val="center"/>
            </w:pPr>
            <w:r>
              <w:rPr>
                <w:rFonts w:hint="eastAsia"/>
                <w:szCs w:val="16"/>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93" w:hRule="atLeast"/>
        </w:trPr>
        <w:tc>
          <w:tcPr>
            <w:tcW w:w="462" w:type="pct"/>
            <w:vAlign w:val="center"/>
          </w:tcPr>
          <w:p>
            <w:pPr>
              <w:spacing w:line="440" w:lineRule="exact"/>
              <w:jc w:val="center"/>
              <w:rPr>
                <w:bCs/>
              </w:rPr>
            </w:pPr>
            <w:r>
              <w:rPr>
                <w:rFonts w:hint="eastAsia"/>
                <w:bCs/>
              </w:rPr>
              <w:t>9</w:t>
            </w:r>
          </w:p>
        </w:tc>
        <w:tc>
          <w:tcPr>
            <w:tcW w:w="3395" w:type="pct"/>
            <w:vAlign w:val="center"/>
          </w:tcPr>
          <w:p>
            <w:pPr>
              <w:spacing w:line="440" w:lineRule="exact"/>
            </w:pPr>
            <w:r>
              <w:rPr>
                <w:rFonts w:hint="eastAsia"/>
                <w:lang w:eastAsia="zh-CN"/>
              </w:rPr>
              <w:t>响应文件</w:t>
            </w:r>
            <w:r>
              <w:rPr>
                <w:rFonts w:hint="eastAsia"/>
              </w:rPr>
              <w:t>中所报投标有效期满足招标文件规定。</w:t>
            </w:r>
          </w:p>
        </w:tc>
        <w:tc>
          <w:tcPr>
            <w:tcW w:w="1143" w:type="pct"/>
            <w:vAlign w:val="center"/>
          </w:tcPr>
          <w:p>
            <w:pPr>
              <w:spacing w:line="440" w:lineRule="exact"/>
              <w:jc w:val="center"/>
            </w:pPr>
            <w:r>
              <w:rPr>
                <w:rFonts w:hint="eastAsia"/>
                <w:szCs w:val="16"/>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0" w:hRule="atLeast"/>
        </w:trPr>
        <w:tc>
          <w:tcPr>
            <w:tcW w:w="462" w:type="pct"/>
            <w:vAlign w:val="center"/>
          </w:tcPr>
          <w:p>
            <w:pPr>
              <w:spacing w:line="440" w:lineRule="exact"/>
              <w:jc w:val="center"/>
              <w:rPr>
                <w:bCs/>
              </w:rPr>
            </w:pPr>
            <w:r>
              <w:rPr>
                <w:rFonts w:hint="eastAsia"/>
                <w:bCs/>
              </w:rPr>
              <w:t>10</w:t>
            </w:r>
          </w:p>
        </w:tc>
        <w:tc>
          <w:tcPr>
            <w:tcW w:w="3395" w:type="pct"/>
            <w:vAlign w:val="center"/>
          </w:tcPr>
          <w:p>
            <w:pPr>
              <w:spacing w:line="440" w:lineRule="exact"/>
            </w:pPr>
            <w:r>
              <w:rPr>
                <w:rFonts w:hint="eastAsia"/>
              </w:rPr>
              <w:t>一份</w:t>
            </w:r>
            <w:r>
              <w:rPr>
                <w:rFonts w:hint="eastAsia"/>
                <w:lang w:eastAsia="zh-CN"/>
              </w:rPr>
              <w:t>响应文件</w:t>
            </w:r>
            <w:r>
              <w:rPr>
                <w:rFonts w:hint="eastAsia"/>
              </w:rPr>
              <w:t>只有一个投标报价，在招标文件没有规定的情况下，未提交选择性的报价；</w:t>
            </w:r>
          </w:p>
        </w:tc>
        <w:tc>
          <w:tcPr>
            <w:tcW w:w="1143" w:type="pct"/>
            <w:vAlign w:val="center"/>
          </w:tcPr>
          <w:p>
            <w:pPr>
              <w:spacing w:line="440" w:lineRule="exact"/>
              <w:jc w:val="center"/>
            </w:pPr>
            <w:r>
              <w:rPr>
                <w:rFonts w:hint="eastAsia"/>
                <w:szCs w:val="16"/>
              </w:rPr>
              <w:t>第（ ）页-（ ）页</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62" w:type="pct"/>
            <w:vAlign w:val="center"/>
          </w:tcPr>
          <w:p>
            <w:pPr>
              <w:spacing w:line="440" w:lineRule="exact"/>
              <w:jc w:val="center"/>
              <w:rPr>
                <w:bCs/>
              </w:rPr>
            </w:pPr>
            <w:r>
              <w:rPr>
                <w:rFonts w:hint="eastAsia"/>
                <w:bCs/>
              </w:rPr>
              <w:t>1</w:t>
            </w:r>
            <w:r>
              <w:rPr>
                <w:bCs/>
              </w:rPr>
              <w:t>1</w:t>
            </w:r>
          </w:p>
        </w:tc>
        <w:tc>
          <w:tcPr>
            <w:tcW w:w="3395" w:type="pct"/>
            <w:vAlign w:val="center"/>
          </w:tcPr>
          <w:p>
            <w:pPr>
              <w:spacing w:line="440" w:lineRule="exact"/>
            </w:pPr>
            <w:r>
              <w:rPr>
                <w:rFonts w:hint="eastAsia"/>
              </w:rPr>
              <w:t>投标所报货物必须能完全响应招标要求并能满足采购人需求。</w:t>
            </w:r>
          </w:p>
        </w:tc>
        <w:tc>
          <w:tcPr>
            <w:tcW w:w="1143" w:type="pct"/>
            <w:vAlign w:val="center"/>
          </w:tcPr>
          <w:p>
            <w:pPr>
              <w:spacing w:line="440" w:lineRule="exact"/>
              <w:jc w:val="center"/>
            </w:pPr>
            <w:r>
              <w:rPr>
                <w:rFonts w:hint="eastAsia"/>
                <w:szCs w:val="16"/>
              </w:rPr>
              <w:t>第（ ）页-（ ）页</w:t>
            </w:r>
          </w:p>
        </w:tc>
      </w:tr>
    </w:tbl>
    <w:p>
      <w:pPr>
        <w:rPr>
          <w:szCs w:val="16"/>
        </w:rPr>
      </w:pPr>
      <w:r>
        <w:rPr>
          <w:szCs w:val="16"/>
        </w:rPr>
        <w:br w:type="page"/>
      </w:r>
    </w:p>
    <w:p>
      <w:pPr>
        <w:pStyle w:val="31"/>
        <w:spacing w:line="360" w:lineRule="auto"/>
        <w:ind w:left="0" w:leftChars="0" w:firstLine="0" w:firstLineChars="0"/>
        <w:jc w:val="center"/>
        <w:rPr>
          <w:b/>
          <w:bCs/>
          <w:szCs w:val="16"/>
        </w:rPr>
      </w:pPr>
      <w:r>
        <w:rPr>
          <w:b/>
          <w:bCs/>
          <w:szCs w:val="16"/>
        </w:rPr>
        <w:t>商务部分评分</w:t>
      </w:r>
      <w:r>
        <w:rPr>
          <w:rFonts w:hint="eastAsia"/>
          <w:b/>
          <w:bCs/>
          <w:szCs w:val="16"/>
        </w:rPr>
        <w:t>细则索引表</w:t>
      </w:r>
    </w:p>
    <w:tbl>
      <w:tblPr>
        <w:tblStyle w:val="32"/>
        <w:tblW w:w="9726"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221"/>
        <w:gridCol w:w="2126"/>
        <w:gridCol w:w="3402"/>
        <w:gridCol w:w="297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94" w:hRule="atLeast"/>
          <w:jc w:val="center"/>
        </w:trPr>
        <w:tc>
          <w:tcPr>
            <w:tcW w:w="1221"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
                <w:szCs w:val="21"/>
              </w:rPr>
            </w:pPr>
            <w:r>
              <w:rPr>
                <w:rFonts w:hint="eastAsia" w:cs="Times New Roman"/>
                <w:b/>
                <w:szCs w:val="21"/>
              </w:rPr>
              <w:t>序号</w:t>
            </w:r>
          </w:p>
        </w:tc>
        <w:tc>
          <w:tcPr>
            <w:tcW w:w="2126"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
                <w:szCs w:val="21"/>
              </w:rPr>
            </w:pPr>
            <w:r>
              <w:rPr>
                <w:rFonts w:hint="eastAsia" w:cs="Times New Roman"/>
                <w:b/>
                <w:szCs w:val="21"/>
              </w:rPr>
              <w:t>评审项目</w:t>
            </w:r>
          </w:p>
        </w:tc>
        <w:tc>
          <w:tcPr>
            <w:tcW w:w="3402"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
                <w:szCs w:val="21"/>
              </w:rPr>
            </w:pPr>
            <w:r>
              <w:rPr>
                <w:rFonts w:hint="eastAsia" w:cs="Times New Roman"/>
                <w:b/>
                <w:szCs w:val="21"/>
              </w:rPr>
              <w:t>响应情况</w:t>
            </w: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pacing w:line="360" w:lineRule="auto"/>
              <w:jc w:val="center"/>
              <w:textAlignment w:val="baseline"/>
              <w:rPr>
                <w:rFonts w:cs="Times New Roman"/>
                <w:b/>
                <w:szCs w:val="21"/>
              </w:rPr>
            </w:pPr>
            <w:r>
              <w:rPr>
                <w:rFonts w:hint="eastAsia" w:cs="Times New Roman"/>
                <w:b/>
                <w:szCs w:val="21"/>
              </w:rPr>
              <w:t>证明文件</w:t>
            </w: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922" w:hRule="atLeast"/>
          <w:jc w:val="center"/>
        </w:trPr>
        <w:tc>
          <w:tcPr>
            <w:tcW w:w="1221" w:type="dxa"/>
            <w:tcBorders>
              <w:top w:val="single" w:color="auto" w:sz="4" w:space="0"/>
              <w:left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rFonts w:cs="Times New Roman"/>
                <w:b/>
                <w:szCs w:val="21"/>
              </w:rPr>
            </w:pPr>
            <w:r>
              <w:rPr>
                <w:rFonts w:hint="eastAsia" w:cs="Times New Roman"/>
                <w:b/>
                <w:szCs w:val="21"/>
              </w:rPr>
              <w:t>1</w:t>
            </w:r>
          </w:p>
        </w:tc>
        <w:tc>
          <w:tcPr>
            <w:tcW w:w="2126" w:type="dxa"/>
            <w:tcBorders>
              <w:top w:val="single" w:color="auto" w:sz="4" w:space="0"/>
              <w:left w:val="single" w:color="auto" w:sz="4" w:space="0"/>
              <w:right w:val="single" w:color="auto" w:sz="4" w:space="0"/>
            </w:tcBorders>
            <w:tcMar>
              <w:top w:w="0" w:type="dxa"/>
              <w:left w:w="28" w:type="dxa"/>
              <w:bottom w:w="0" w:type="dxa"/>
              <w:right w:w="28" w:type="dxa"/>
            </w:tcMar>
            <w:vAlign w:val="center"/>
          </w:tcPr>
          <w:p>
            <w:pPr>
              <w:adjustRightInd w:val="0"/>
              <w:spacing w:line="360" w:lineRule="auto"/>
              <w:jc w:val="center"/>
              <w:textAlignment w:val="baseline"/>
              <w:rPr>
                <w:szCs w:val="21"/>
              </w:rPr>
            </w:pPr>
            <w:r>
              <w:rPr>
                <w:rFonts w:hint="eastAsia"/>
                <w:szCs w:val="21"/>
              </w:rPr>
              <w:t>同类项目经验</w:t>
            </w:r>
          </w:p>
        </w:tc>
        <w:tc>
          <w:tcPr>
            <w:tcW w:w="3402" w:type="dxa"/>
            <w:tcBorders>
              <w:top w:val="single" w:color="auto" w:sz="4" w:space="0"/>
              <w:left w:val="single" w:color="auto" w:sz="4" w:space="0"/>
              <w:bottom w:val="single" w:color="auto" w:sz="4" w:space="0"/>
              <w:right w:val="single" w:color="auto" w:sz="4" w:space="0"/>
            </w:tcBorders>
            <w:tcMar>
              <w:top w:w="0" w:type="dxa"/>
              <w:left w:w="28" w:type="dxa"/>
              <w:bottom w:w="0" w:type="dxa"/>
              <w:right w:w="28" w:type="dxa"/>
            </w:tcMar>
            <w:vAlign w:val="center"/>
          </w:tcPr>
          <w:p>
            <w:pPr>
              <w:adjustRightInd w:val="0"/>
              <w:spacing w:line="320" w:lineRule="exact"/>
              <w:textAlignment w:val="baseline"/>
            </w:pPr>
          </w:p>
        </w:tc>
        <w:tc>
          <w:tcPr>
            <w:tcW w:w="2977" w:type="dxa"/>
            <w:tcBorders>
              <w:top w:val="single" w:color="auto" w:sz="4" w:space="0"/>
              <w:left w:val="single" w:color="auto" w:sz="4" w:space="0"/>
              <w:bottom w:val="single" w:color="auto" w:sz="4" w:space="0"/>
              <w:right w:val="single" w:color="auto" w:sz="4" w:space="0"/>
            </w:tcBorders>
            <w:vAlign w:val="center"/>
          </w:tcPr>
          <w:p>
            <w:pPr>
              <w:adjustRightInd w:val="0"/>
              <w:spacing w:line="320" w:lineRule="exact"/>
              <w:jc w:val="center"/>
              <w:textAlignment w:val="baseline"/>
              <w:rPr>
                <w:szCs w:val="21"/>
              </w:rPr>
            </w:pPr>
            <w:r>
              <w:rPr>
                <w:rFonts w:hint="eastAsia"/>
                <w:szCs w:val="16"/>
              </w:rPr>
              <w:t>第（ ）页-（ ）页</w:t>
            </w:r>
          </w:p>
        </w:tc>
      </w:tr>
    </w:tbl>
    <w:p>
      <w:pPr>
        <w:pStyle w:val="31"/>
        <w:spacing w:line="360" w:lineRule="auto"/>
        <w:ind w:left="0" w:leftChars="0" w:firstLine="0" w:firstLineChars="0"/>
        <w:jc w:val="center"/>
        <w:rPr>
          <w:b/>
          <w:bCs/>
          <w:szCs w:val="16"/>
        </w:rPr>
      </w:pPr>
    </w:p>
    <w:p>
      <w:pPr>
        <w:pStyle w:val="31"/>
        <w:spacing w:line="360" w:lineRule="auto"/>
        <w:ind w:left="0" w:leftChars="0" w:firstLine="0" w:firstLineChars="0"/>
        <w:jc w:val="center"/>
        <w:rPr>
          <w:b/>
          <w:bCs/>
          <w:szCs w:val="16"/>
        </w:rPr>
      </w:pPr>
      <w:r>
        <w:rPr>
          <w:rFonts w:hint="eastAsia"/>
          <w:b/>
          <w:bCs/>
          <w:szCs w:val="16"/>
        </w:rPr>
        <w:t>技术</w:t>
      </w:r>
      <w:r>
        <w:rPr>
          <w:b/>
          <w:bCs/>
          <w:szCs w:val="16"/>
        </w:rPr>
        <w:t>部分评分</w:t>
      </w:r>
      <w:r>
        <w:rPr>
          <w:rFonts w:hint="eastAsia"/>
          <w:b/>
          <w:bCs/>
          <w:szCs w:val="16"/>
        </w:rPr>
        <w:t>细则索引表</w:t>
      </w:r>
    </w:p>
    <w:tbl>
      <w:tblPr>
        <w:tblStyle w:val="32"/>
        <w:tblW w:w="9524" w:type="dxa"/>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0" w:type="dxa"/>
          <w:bottom w:w="0" w:type="dxa"/>
          <w:right w:w="0" w:type="dxa"/>
        </w:tblCellMar>
      </w:tblPr>
      <w:tblGrid>
        <w:gridCol w:w="1114"/>
        <w:gridCol w:w="2776"/>
        <w:gridCol w:w="2415"/>
        <w:gridCol w:w="321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8" w:hRule="exact"/>
          <w:jc w:val="center"/>
        </w:trPr>
        <w:tc>
          <w:tcPr>
            <w:tcW w:w="1114" w:type="dxa"/>
            <w:vAlign w:val="center"/>
          </w:tcPr>
          <w:p>
            <w:pPr>
              <w:pStyle w:val="31"/>
              <w:spacing w:line="360" w:lineRule="auto"/>
              <w:ind w:left="0" w:leftChars="0" w:firstLine="0" w:firstLineChars="0"/>
              <w:jc w:val="center"/>
              <w:rPr>
                <w:b/>
                <w:bCs/>
                <w:szCs w:val="16"/>
              </w:rPr>
            </w:pPr>
            <w:r>
              <w:rPr>
                <w:rFonts w:hint="eastAsia"/>
                <w:b/>
                <w:bCs/>
                <w:szCs w:val="16"/>
              </w:rPr>
              <w:t>序号</w:t>
            </w:r>
          </w:p>
        </w:tc>
        <w:tc>
          <w:tcPr>
            <w:tcW w:w="2776" w:type="dxa"/>
            <w:vAlign w:val="center"/>
          </w:tcPr>
          <w:p>
            <w:pPr>
              <w:pStyle w:val="31"/>
              <w:spacing w:line="360" w:lineRule="auto"/>
              <w:ind w:left="0" w:leftChars="0" w:firstLine="0" w:firstLineChars="0"/>
              <w:jc w:val="center"/>
              <w:rPr>
                <w:b/>
                <w:bCs/>
                <w:szCs w:val="16"/>
              </w:rPr>
            </w:pPr>
            <w:r>
              <w:rPr>
                <w:rFonts w:hint="eastAsia"/>
                <w:b/>
                <w:bCs/>
                <w:szCs w:val="16"/>
              </w:rPr>
              <w:t>评审因素</w:t>
            </w:r>
          </w:p>
        </w:tc>
        <w:tc>
          <w:tcPr>
            <w:tcW w:w="2415" w:type="dxa"/>
            <w:vAlign w:val="center"/>
          </w:tcPr>
          <w:p>
            <w:pPr>
              <w:pStyle w:val="31"/>
              <w:spacing w:line="360" w:lineRule="auto"/>
              <w:ind w:left="0" w:leftChars="0" w:firstLine="0" w:firstLineChars="0"/>
              <w:jc w:val="center"/>
              <w:rPr>
                <w:b/>
                <w:bCs/>
                <w:szCs w:val="16"/>
              </w:rPr>
            </w:pPr>
            <w:r>
              <w:rPr>
                <w:rFonts w:hint="eastAsia"/>
                <w:b/>
                <w:bCs/>
                <w:szCs w:val="16"/>
              </w:rPr>
              <w:t>响应情况</w:t>
            </w:r>
          </w:p>
        </w:tc>
        <w:tc>
          <w:tcPr>
            <w:tcW w:w="3219" w:type="dxa"/>
            <w:vAlign w:val="center"/>
          </w:tcPr>
          <w:p>
            <w:pPr>
              <w:pStyle w:val="31"/>
              <w:spacing w:line="360" w:lineRule="auto"/>
              <w:ind w:left="0" w:leftChars="0" w:firstLine="0" w:firstLineChars="0"/>
              <w:jc w:val="center"/>
              <w:rPr>
                <w:b/>
                <w:bCs/>
                <w:szCs w:val="16"/>
              </w:rPr>
            </w:pPr>
            <w:r>
              <w:rPr>
                <w:rFonts w:hint="eastAsia"/>
                <w:b/>
                <w:bCs/>
                <w:szCs w:val="16"/>
              </w:rPr>
              <w:t>证明文件</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1114" w:type="dxa"/>
            <w:vAlign w:val="center"/>
          </w:tcPr>
          <w:p>
            <w:pPr>
              <w:pStyle w:val="31"/>
              <w:spacing w:line="360" w:lineRule="auto"/>
              <w:ind w:left="0" w:leftChars="0" w:firstLine="0" w:firstLineChars="0"/>
              <w:jc w:val="center"/>
              <w:rPr>
                <w:szCs w:val="16"/>
              </w:rPr>
            </w:pPr>
            <w:r>
              <w:rPr>
                <w:rFonts w:hint="eastAsia"/>
                <w:szCs w:val="16"/>
              </w:rPr>
              <w:t>1</w:t>
            </w:r>
          </w:p>
        </w:tc>
        <w:tc>
          <w:tcPr>
            <w:tcW w:w="2776" w:type="dxa"/>
            <w:vAlign w:val="center"/>
          </w:tcPr>
          <w:p>
            <w:pPr>
              <w:pStyle w:val="31"/>
              <w:spacing w:line="360" w:lineRule="auto"/>
              <w:ind w:left="0" w:leftChars="0" w:firstLine="0" w:firstLineChars="0"/>
              <w:jc w:val="center"/>
              <w:rPr>
                <w:szCs w:val="16"/>
              </w:rPr>
            </w:pPr>
            <w:r>
              <w:rPr>
                <w:rFonts w:hint="eastAsia" w:ascii="Times New Roman" w:hAnsi="Times New Roman" w:cs="Times New Roman"/>
              </w:rPr>
              <w:t>配送车辆</w:t>
            </w:r>
          </w:p>
        </w:tc>
        <w:tc>
          <w:tcPr>
            <w:tcW w:w="2415" w:type="dxa"/>
            <w:vAlign w:val="center"/>
          </w:tcPr>
          <w:p>
            <w:pPr>
              <w:pStyle w:val="31"/>
              <w:spacing w:line="360" w:lineRule="auto"/>
              <w:ind w:left="480" w:firstLine="480"/>
              <w:jc w:val="center"/>
              <w:rPr>
                <w:szCs w:val="16"/>
              </w:rPr>
            </w:pPr>
          </w:p>
        </w:tc>
        <w:tc>
          <w:tcPr>
            <w:tcW w:w="3219" w:type="dxa"/>
            <w:vAlign w:val="center"/>
          </w:tcPr>
          <w:p>
            <w:pPr>
              <w:pStyle w:val="31"/>
              <w:spacing w:line="360" w:lineRule="auto"/>
              <w:ind w:left="0" w:leftChars="0" w:firstLine="0" w:firstLineChars="0"/>
              <w:jc w:val="center"/>
              <w:rPr>
                <w:szCs w:val="16"/>
              </w:rPr>
            </w:pPr>
            <w:r>
              <w:rPr>
                <w:rFonts w:hint="eastAsia"/>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1114" w:type="dxa"/>
            <w:vAlign w:val="center"/>
          </w:tcPr>
          <w:p>
            <w:pPr>
              <w:pStyle w:val="31"/>
              <w:spacing w:line="360" w:lineRule="auto"/>
              <w:ind w:left="0" w:leftChars="0" w:firstLine="0" w:firstLineChars="0"/>
              <w:jc w:val="center"/>
              <w:rPr>
                <w:szCs w:val="16"/>
              </w:rPr>
            </w:pPr>
            <w:r>
              <w:rPr>
                <w:rFonts w:hint="eastAsia"/>
                <w:szCs w:val="16"/>
              </w:rPr>
              <w:t>2</w:t>
            </w:r>
          </w:p>
        </w:tc>
        <w:tc>
          <w:tcPr>
            <w:tcW w:w="2776" w:type="dxa"/>
            <w:vAlign w:val="center"/>
          </w:tcPr>
          <w:p>
            <w:pPr>
              <w:pStyle w:val="31"/>
              <w:spacing w:line="360" w:lineRule="auto"/>
              <w:ind w:left="0" w:leftChars="0" w:firstLine="0" w:firstLineChars="0"/>
              <w:jc w:val="center"/>
              <w:rPr>
                <w:szCs w:val="16"/>
              </w:rPr>
            </w:pPr>
            <w:r>
              <w:rPr>
                <w:rFonts w:hint="eastAsia" w:ascii="Times New Roman" w:hAnsi="Times New Roman" w:cs="Times New Roman"/>
              </w:rPr>
              <w:t>配送人员</w:t>
            </w:r>
          </w:p>
        </w:tc>
        <w:tc>
          <w:tcPr>
            <w:tcW w:w="2415" w:type="dxa"/>
            <w:vAlign w:val="center"/>
          </w:tcPr>
          <w:p>
            <w:pPr>
              <w:pStyle w:val="31"/>
              <w:spacing w:line="360" w:lineRule="auto"/>
              <w:ind w:left="480" w:firstLine="480"/>
              <w:jc w:val="center"/>
              <w:rPr>
                <w:szCs w:val="16"/>
              </w:rPr>
            </w:pPr>
          </w:p>
        </w:tc>
        <w:tc>
          <w:tcPr>
            <w:tcW w:w="3219" w:type="dxa"/>
            <w:vAlign w:val="center"/>
          </w:tcPr>
          <w:p>
            <w:pPr>
              <w:pStyle w:val="31"/>
              <w:spacing w:line="360" w:lineRule="auto"/>
              <w:ind w:left="0" w:leftChars="0" w:firstLine="0" w:firstLineChars="0"/>
              <w:jc w:val="center"/>
              <w:rPr>
                <w:szCs w:val="16"/>
              </w:rPr>
            </w:pPr>
            <w:r>
              <w:rPr>
                <w:rFonts w:hint="eastAsia"/>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1114" w:type="dxa"/>
            <w:vAlign w:val="center"/>
          </w:tcPr>
          <w:p>
            <w:pPr>
              <w:pStyle w:val="31"/>
              <w:spacing w:line="360" w:lineRule="auto"/>
              <w:ind w:left="0" w:leftChars="0" w:firstLine="0" w:firstLineChars="0"/>
              <w:jc w:val="center"/>
              <w:rPr>
                <w:szCs w:val="16"/>
              </w:rPr>
            </w:pPr>
            <w:r>
              <w:rPr>
                <w:rFonts w:hint="eastAsia"/>
                <w:szCs w:val="16"/>
              </w:rPr>
              <w:t>3</w:t>
            </w:r>
          </w:p>
        </w:tc>
        <w:tc>
          <w:tcPr>
            <w:tcW w:w="2776" w:type="dxa"/>
            <w:vAlign w:val="center"/>
          </w:tcPr>
          <w:p>
            <w:pPr>
              <w:pStyle w:val="31"/>
              <w:spacing w:line="360" w:lineRule="auto"/>
              <w:ind w:left="0" w:leftChars="0" w:firstLine="0" w:firstLineChars="0"/>
              <w:jc w:val="center"/>
              <w:rPr>
                <w:szCs w:val="16"/>
              </w:rPr>
            </w:pPr>
            <w:r>
              <w:rPr>
                <w:rFonts w:hint="eastAsia" w:ascii="Times New Roman" w:hAnsi="Times New Roman" w:cs="Times New Roman"/>
              </w:rPr>
              <w:t>仓储能力</w:t>
            </w:r>
          </w:p>
        </w:tc>
        <w:tc>
          <w:tcPr>
            <w:tcW w:w="2415" w:type="dxa"/>
            <w:vAlign w:val="center"/>
          </w:tcPr>
          <w:p>
            <w:pPr>
              <w:pStyle w:val="31"/>
              <w:spacing w:line="360" w:lineRule="auto"/>
              <w:ind w:left="480" w:firstLine="480"/>
              <w:jc w:val="center"/>
              <w:rPr>
                <w:szCs w:val="16"/>
              </w:rPr>
            </w:pPr>
          </w:p>
        </w:tc>
        <w:tc>
          <w:tcPr>
            <w:tcW w:w="3219" w:type="dxa"/>
            <w:vAlign w:val="center"/>
          </w:tcPr>
          <w:p>
            <w:pPr>
              <w:pStyle w:val="31"/>
              <w:spacing w:line="360" w:lineRule="auto"/>
              <w:ind w:left="0" w:leftChars="0" w:firstLine="0" w:firstLineChars="0"/>
              <w:jc w:val="center"/>
              <w:rPr>
                <w:szCs w:val="16"/>
              </w:rPr>
            </w:pPr>
            <w:r>
              <w:rPr>
                <w:rFonts w:hint="eastAsia"/>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1114" w:type="dxa"/>
            <w:vAlign w:val="center"/>
          </w:tcPr>
          <w:p>
            <w:pPr>
              <w:pStyle w:val="31"/>
              <w:spacing w:line="360" w:lineRule="auto"/>
              <w:ind w:left="0" w:leftChars="0" w:firstLine="0" w:firstLineChars="0"/>
              <w:jc w:val="center"/>
              <w:rPr>
                <w:szCs w:val="16"/>
              </w:rPr>
            </w:pPr>
            <w:r>
              <w:rPr>
                <w:rFonts w:hint="eastAsia"/>
                <w:szCs w:val="16"/>
              </w:rPr>
              <w:t>4</w:t>
            </w:r>
          </w:p>
        </w:tc>
        <w:tc>
          <w:tcPr>
            <w:tcW w:w="2776" w:type="dxa"/>
            <w:vAlign w:val="center"/>
          </w:tcPr>
          <w:p>
            <w:pPr>
              <w:pStyle w:val="31"/>
              <w:spacing w:line="360" w:lineRule="auto"/>
              <w:ind w:left="0" w:leftChars="0" w:firstLine="0" w:firstLineChars="0"/>
              <w:jc w:val="center"/>
              <w:rPr>
                <w:szCs w:val="16"/>
              </w:rPr>
            </w:pPr>
            <w:r>
              <w:rPr>
                <w:rFonts w:hint="eastAsia" w:cs="Times New Roman"/>
              </w:rPr>
              <w:t>投入设备</w:t>
            </w:r>
          </w:p>
        </w:tc>
        <w:tc>
          <w:tcPr>
            <w:tcW w:w="2415" w:type="dxa"/>
            <w:vAlign w:val="center"/>
          </w:tcPr>
          <w:p>
            <w:pPr>
              <w:pStyle w:val="31"/>
              <w:spacing w:line="360" w:lineRule="auto"/>
              <w:ind w:left="480" w:firstLine="480"/>
              <w:jc w:val="center"/>
              <w:rPr>
                <w:szCs w:val="16"/>
              </w:rPr>
            </w:pPr>
          </w:p>
        </w:tc>
        <w:tc>
          <w:tcPr>
            <w:tcW w:w="3219" w:type="dxa"/>
            <w:vAlign w:val="center"/>
          </w:tcPr>
          <w:p>
            <w:pPr>
              <w:pStyle w:val="31"/>
              <w:spacing w:line="360" w:lineRule="auto"/>
              <w:ind w:left="0" w:leftChars="0" w:firstLine="0" w:firstLineChars="0"/>
              <w:jc w:val="center"/>
              <w:rPr>
                <w:szCs w:val="16"/>
              </w:rPr>
            </w:pPr>
            <w:r>
              <w:rPr>
                <w:rFonts w:hint="eastAsia"/>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84" w:hRule="exact"/>
          <w:jc w:val="center"/>
        </w:trPr>
        <w:tc>
          <w:tcPr>
            <w:tcW w:w="1114" w:type="dxa"/>
            <w:vAlign w:val="center"/>
          </w:tcPr>
          <w:p>
            <w:pPr>
              <w:pStyle w:val="31"/>
              <w:spacing w:line="360" w:lineRule="auto"/>
              <w:ind w:left="0" w:leftChars="0" w:firstLine="0" w:firstLineChars="0"/>
              <w:jc w:val="center"/>
              <w:rPr>
                <w:szCs w:val="16"/>
              </w:rPr>
            </w:pPr>
            <w:r>
              <w:rPr>
                <w:rFonts w:hint="eastAsia"/>
                <w:szCs w:val="16"/>
              </w:rPr>
              <w:t>5</w:t>
            </w:r>
          </w:p>
        </w:tc>
        <w:tc>
          <w:tcPr>
            <w:tcW w:w="2776" w:type="dxa"/>
            <w:vAlign w:val="center"/>
          </w:tcPr>
          <w:p>
            <w:pPr>
              <w:pStyle w:val="31"/>
              <w:spacing w:before="29" w:line="360" w:lineRule="auto"/>
              <w:ind w:left="0" w:leftChars="0" w:right="185" w:firstLine="0" w:firstLineChars="0"/>
              <w:jc w:val="center"/>
              <w:rPr>
                <w:szCs w:val="16"/>
              </w:rPr>
            </w:pPr>
            <w:r>
              <w:rPr>
                <w:rFonts w:ascii="Tahoma" w:hAnsi="Tahoma" w:cs="Tahoma"/>
                <w:bCs/>
              </w:rPr>
              <w:t>货物</w:t>
            </w:r>
            <w:r>
              <w:rPr>
                <w:rFonts w:hint="eastAsia" w:ascii="Tahoma" w:hAnsi="Tahoma" w:cs="Tahoma"/>
                <w:bCs/>
              </w:rPr>
              <w:t>配送方案</w:t>
            </w:r>
          </w:p>
        </w:tc>
        <w:tc>
          <w:tcPr>
            <w:tcW w:w="2415" w:type="dxa"/>
            <w:vAlign w:val="center"/>
          </w:tcPr>
          <w:p>
            <w:pPr>
              <w:pStyle w:val="31"/>
              <w:spacing w:line="360" w:lineRule="auto"/>
              <w:ind w:left="480" w:firstLine="480"/>
              <w:jc w:val="center"/>
              <w:rPr>
                <w:szCs w:val="16"/>
              </w:rPr>
            </w:pPr>
          </w:p>
        </w:tc>
        <w:tc>
          <w:tcPr>
            <w:tcW w:w="3219" w:type="dxa"/>
            <w:vAlign w:val="center"/>
          </w:tcPr>
          <w:p>
            <w:pPr>
              <w:pStyle w:val="31"/>
              <w:spacing w:line="360" w:lineRule="auto"/>
              <w:ind w:left="0" w:leftChars="0" w:firstLine="0" w:firstLineChars="0"/>
              <w:jc w:val="center"/>
              <w:rPr>
                <w:szCs w:val="16"/>
              </w:rPr>
            </w:pPr>
            <w:r>
              <w:rPr>
                <w:rFonts w:hint="eastAsia"/>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1114" w:type="dxa"/>
            <w:vAlign w:val="center"/>
          </w:tcPr>
          <w:p>
            <w:pPr>
              <w:pStyle w:val="31"/>
              <w:spacing w:line="360" w:lineRule="auto"/>
              <w:ind w:left="0" w:leftChars="0" w:firstLine="0" w:firstLineChars="0"/>
              <w:jc w:val="center"/>
              <w:rPr>
                <w:szCs w:val="16"/>
              </w:rPr>
            </w:pPr>
            <w:r>
              <w:rPr>
                <w:rFonts w:hint="eastAsia"/>
                <w:szCs w:val="16"/>
              </w:rPr>
              <w:t>6</w:t>
            </w:r>
          </w:p>
        </w:tc>
        <w:tc>
          <w:tcPr>
            <w:tcW w:w="2776" w:type="dxa"/>
            <w:vAlign w:val="center"/>
          </w:tcPr>
          <w:p>
            <w:pPr>
              <w:pStyle w:val="31"/>
              <w:spacing w:line="360" w:lineRule="auto"/>
              <w:ind w:left="0" w:leftChars="0" w:firstLine="0" w:firstLineChars="0"/>
              <w:jc w:val="center"/>
              <w:rPr>
                <w:szCs w:val="16"/>
              </w:rPr>
            </w:pPr>
            <w:r>
              <w:rPr>
                <w:rFonts w:hint="eastAsia" w:cs="Times New Roman"/>
              </w:rPr>
              <w:t>安全质量</w:t>
            </w:r>
          </w:p>
        </w:tc>
        <w:tc>
          <w:tcPr>
            <w:tcW w:w="2415" w:type="dxa"/>
            <w:vAlign w:val="center"/>
          </w:tcPr>
          <w:p>
            <w:pPr>
              <w:pStyle w:val="31"/>
              <w:spacing w:line="360" w:lineRule="auto"/>
              <w:ind w:left="480" w:firstLine="480"/>
              <w:jc w:val="center"/>
              <w:rPr>
                <w:szCs w:val="16"/>
              </w:rPr>
            </w:pPr>
          </w:p>
        </w:tc>
        <w:tc>
          <w:tcPr>
            <w:tcW w:w="3219" w:type="dxa"/>
            <w:vAlign w:val="center"/>
          </w:tcPr>
          <w:p>
            <w:pPr>
              <w:pStyle w:val="31"/>
              <w:spacing w:line="360" w:lineRule="auto"/>
              <w:ind w:left="0" w:leftChars="0" w:firstLine="0" w:firstLineChars="0"/>
              <w:jc w:val="center"/>
              <w:rPr>
                <w:szCs w:val="16"/>
              </w:rPr>
            </w:pPr>
            <w:r>
              <w:rPr>
                <w:rFonts w:hint="eastAsia"/>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1114" w:type="dxa"/>
            <w:vAlign w:val="center"/>
          </w:tcPr>
          <w:p>
            <w:pPr>
              <w:pStyle w:val="31"/>
              <w:spacing w:line="360" w:lineRule="auto"/>
              <w:ind w:left="0" w:leftChars="0" w:firstLine="0" w:firstLineChars="0"/>
              <w:jc w:val="center"/>
              <w:rPr>
                <w:szCs w:val="16"/>
              </w:rPr>
            </w:pPr>
            <w:r>
              <w:rPr>
                <w:rFonts w:hint="eastAsia"/>
                <w:szCs w:val="16"/>
              </w:rPr>
              <w:t>7</w:t>
            </w:r>
          </w:p>
        </w:tc>
        <w:tc>
          <w:tcPr>
            <w:tcW w:w="2776" w:type="dxa"/>
            <w:vAlign w:val="center"/>
          </w:tcPr>
          <w:p>
            <w:pPr>
              <w:pStyle w:val="31"/>
              <w:spacing w:line="360" w:lineRule="auto"/>
              <w:ind w:left="0" w:leftChars="0" w:firstLine="0" w:firstLineChars="0"/>
              <w:jc w:val="center"/>
              <w:rPr>
                <w:szCs w:val="16"/>
              </w:rPr>
            </w:pPr>
            <w:r>
              <w:rPr>
                <w:rFonts w:hint="eastAsia" w:cs="Times New Roman"/>
              </w:rPr>
              <w:t>服务管控</w:t>
            </w:r>
          </w:p>
        </w:tc>
        <w:tc>
          <w:tcPr>
            <w:tcW w:w="2415" w:type="dxa"/>
            <w:vAlign w:val="center"/>
          </w:tcPr>
          <w:p>
            <w:pPr>
              <w:pStyle w:val="31"/>
              <w:spacing w:line="360" w:lineRule="auto"/>
              <w:ind w:left="480" w:firstLine="480"/>
              <w:jc w:val="center"/>
              <w:rPr>
                <w:szCs w:val="16"/>
              </w:rPr>
            </w:pPr>
          </w:p>
        </w:tc>
        <w:tc>
          <w:tcPr>
            <w:tcW w:w="3219" w:type="dxa"/>
            <w:vAlign w:val="center"/>
          </w:tcPr>
          <w:p>
            <w:pPr>
              <w:pStyle w:val="31"/>
              <w:spacing w:line="360" w:lineRule="auto"/>
              <w:ind w:left="0" w:leftChars="0" w:firstLine="0" w:firstLineChars="0"/>
              <w:jc w:val="center"/>
              <w:rPr>
                <w:szCs w:val="16"/>
              </w:rPr>
            </w:pPr>
            <w:r>
              <w:rPr>
                <w:rFonts w:hint="eastAsia"/>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713" w:hRule="exact"/>
          <w:jc w:val="center"/>
        </w:trPr>
        <w:tc>
          <w:tcPr>
            <w:tcW w:w="1114" w:type="dxa"/>
            <w:vAlign w:val="center"/>
          </w:tcPr>
          <w:p>
            <w:pPr>
              <w:pStyle w:val="31"/>
              <w:spacing w:before="132" w:line="360" w:lineRule="auto"/>
              <w:ind w:left="0" w:leftChars="0" w:firstLine="0" w:firstLineChars="0"/>
              <w:jc w:val="center"/>
              <w:rPr>
                <w:szCs w:val="16"/>
              </w:rPr>
            </w:pPr>
            <w:r>
              <w:rPr>
                <w:szCs w:val="16"/>
              </w:rPr>
              <w:t>8</w:t>
            </w:r>
          </w:p>
        </w:tc>
        <w:tc>
          <w:tcPr>
            <w:tcW w:w="2776" w:type="dxa"/>
            <w:vAlign w:val="center"/>
          </w:tcPr>
          <w:p>
            <w:pPr>
              <w:pStyle w:val="31"/>
              <w:spacing w:before="29"/>
              <w:ind w:left="0" w:leftChars="0" w:firstLine="0" w:firstLineChars="0"/>
              <w:jc w:val="center"/>
              <w:rPr>
                <w:szCs w:val="16"/>
              </w:rPr>
            </w:pPr>
            <w:r>
              <w:rPr>
                <w:rFonts w:hint="eastAsia"/>
                <w:bCs/>
                <w:szCs w:val="21"/>
              </w:rPr>
              <w:t>配送方案及特殊情况应急方案</w:t>
            </w:r>
          </w:p>
        </w:tc>
        <w:tc>
          <w:tcPr>
            <w:tcW w:w="2415" w:type="dxa"/>
            <w:vAlign w:val="center"/>
          </w:tcPr>
          <w:p>
            <w:pPr>
              <w:pStyle w:val="31"/>
              <w:spacing w:before="132" w:line="360" w:lineRule="auto"/>
              <w:ind w:left="480" w:firstLine="480"/>
              <w:jc w:val="center"/>
              <w:rPr>
                <w:szCs w:val="16"/>
              </w:rPr>
            </w:pPr>
          </w:p>
        </w:tc>
        <w:tc>
          <w:tcPr>
            <w:tcW w:w="3219" w:type="dxa"/>
            <w:vAlign w:val="center"/>
          </w:tcPr>
          <w:p>
            <w:pPr>
              <w:pStyle w:val="31"/>
              <w:spacing w:line="360" w:lineRule="auto"/>
              <w:ind w:left="0" w:leftChars="0" w:firstLine="0" w:firstLineChars="0"/>
              <w:jc w:val="center"/>
              <w:rPr>
                <w:szCs w:val="16"/>
              </w:rPr>
            </w:pPr>
            <w:r>
              <w:rPr>
                <w:rFonts w:hint="eastAsia"/>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114" w:type="dxa"/>
            <w:vAlign w:val="center"/>
          </w:tcPr>
          <w:p>
            <w:pPr>
              <w:pStyle w:val="31"/>
              <w:spacing w:before="132" w:line="360" w:lineRule="auto"/>
              <w:ind w:left="0" w:leftChars="0" w:firstLine="0" w:firstLineChars="0"/>
              <w:jc w:val="center"/>
              <w:rPr>
                <w:szCs w:val="16"/>
              </w:rPr>
            </w:pPr>
            <w:r>
              <w:rPr>
                <w:rFonts w:hint="eastAsia"/>
                <w:szCs w:val="16"/>
              </w:rPr>
              <w:t>9</w:t>
            </w:r>
          </w:p>
        </w:tc>
        <w:tc>
          <w:tcPr>
            <w:tcW w:w="2776" w:type="dxa"/>
            <w:vAlign w:val="center"/>
          </w:tcPr>
          <w:p>
            <w:pPr>
              <w:pStyle w:val="31"/>
              <w:spacing w:before="29" w:line="360" w:lineRule="auto"/>
              <w:ind w:left="0" w:leftChars="0" w:firstLine="0" w:firstLineChars="0"/>
              <w:jc w:val="center"/>
              <w:rPr>
                <w:szCs w:val="16"/>
              </w:rPr>
            </w:pPr>
            <w:r>
              <w:rPr>
                <w:rFonts w:hint="eastAsia"/>
                <w:szCs w:val="21"/>
              </w:rPr>
              <w:t>售后服务</w:t>
            </w:r>
          </w:p>
        </w:tc>
        <w:tc>
          <w:tcPr>
            <w:tcW w:w="2415" w:type="dxa"/>
            <w:vAlign w:val="center"/>
          </w:tcPr>
          <w:p>
            <w:pPr>
              <w:pStyle w:val="31"/>
              <w:spacing w:before="132" w:line="360" w:lineRule="auto"/>
              <w:ind w:left="480" w:firstLine="480"/>
              <w:jc w:val="center"/>
              <w:rPr>
                <w:szCs w:val="16"/>
              </w:rPr>
            </w:pPr>
          </w:p>
        </w:tc>
        <w:tc>
          <w:tcPr>
            <w:tcW w:w="3219" w:type="dxa"/>
            <w:vAlign w:val="center"/>
          </w:tcPr>
          <w:p>
            <w:pPr>
              <w:pStyle w:val="31"/>
              <w:spacing w:line="360" w:lineRule="auto"/>
              <w:ind w:left="0" w:leftChars="0" w:firstLine="0" w:firstLineChars="0"/>
              <w:jc w:val="center"/>
              <w:rPr>
                <w:szCs w:val="16"/>
              </w:rPr>
            </w:pPr>
            <w:r>
              <w:rPr>
                <w:rFonts w:hint="eastAsia"/>
                <w:szCs w:val="16"/>
              </w:rPr>
              <w:t>第（ ）页-（ ）页</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54" w:hRule="exact"/>
          <w:jc w:val="center"/>
        </w:trPr>
        <w:tc>
          <w:tcPr>
            <w:tcW w:w="1114" w:type="dxa"/>
            <w:vAlign w:val="center"/>
          </w:tcPr>
          <w:p>
            <w:pPr>
              <w:pStyle w:val="31"/>
              <w:spacing w:before="132" w:line="360" w:lineRule="auto"/>
              <w:ind w:left="0" w:leftChars="0" w:firstLine="0" w:firstLineChars="0"/>
              <w:jc w:val="center"/>
              <w:rPr>
                <w:szCs w:val="16"/>
              </w:rPr>
            </w:pPr>
            <w:r>
              <w:rPr>
                <w:rFonts w:hint="eastAsia"/>
                <w:szCs w:val="16"/>
              </w:rPr>
              <w:t>1</w:t>
            </w:r>
            <w:r>
              <w:rPr>
                <w:szCs w:val="16"/>
              </w:rPr>
              <w:t>0</w:t>
            </w:r>
          </w:p>
        </w:tc>
        <w:tc>
          <w:tcPr>
            <w:tcW w:w="2776" w:type="dxa"/>
            <w:vAlign w:val="center"/>
          </w:tcPr>
          <w:p>
            <w:pPr>
              <w:pStyle w:val="31"/>
              <w:spacing w:before="29" w:line="360" w:lineRule="auto"/>
              <w:ind w:left="0" w:leftChars="0" w:firstLine="0" w:firstLineChars="0"/>
              <w:jc w:val="center"/>
              <w:rPr>
                <w:szCs w:val="16"/>
              </w:rPr>
            </w:pPr>
            <w:r>
              <w:rPr>
                <w:rFonts w:hint="eastAsia" w:cs="Times New Roman"/>
              </w:rPr>
              <w:t>服务承诺</w:t>
            </w:r>
          </w:p>
        </w:tc>
        <w:tc>
          <w:tcPr>
            <w:tcW w:w="2415" w:type="dxa"/>
            <w:vAlign w:val="center"/>
          </w:tcPr>
          <w:p>
            <w:pPr>
              <w:pStyle w:val="31"/>
              <w:spacing w:before="132" w:line="360" w:lineRule="auto"/>
              <w:ind w:left="480" w:firstLine="480"/>
              <w:jc w:val="center"/>
              <w:rPr>
                <w:szCs w:val="16"/>
              </w:rPr>
            </w:pPr>
          </w:p>
        </w:tc>
        <w:tc>
          <w:tcPr>
            <w:tcW w:w="3219" w:type="dxa"/>
            <w:vAlign w:val="center"/>
          </w:tcPr>
          <w:p>
            <w:pPr>
              <w:pStyle w:val="31"/>
              <w:spacing w:line="360" w:lineRule="auto"/>
              <w:ind w:left="0" w:leftChars="0" w:firstLine="0" w:firstLineChars="0"/>
              <w:jc w:val="center"/>
              <w:rPr>
                <w:szCs w:val="16"/>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96" w:hRule="exact"/>
          <w:jc w:val="center"/>
        </w:trPr>
        <w:tc>
          <w:tcPr>
            <w:tcW w:w="9524" w:type="dxa"/>
            <w:gridSpan w:val="4"/>
          </w:tcPr>
          <w:p>
            <w:pPr>
              <w:spacing w:line="347" w:lineRule="exact"/>
              <w:ind w:left="95"/>
              <w:jc w:val="center"/>
              <w:rPr>
                <w:szCs w:val="21"/>
              </w:rPr>
            </w:pPr>
            <w:r>
              <w:rPr>
                <w:rFonts w:hint="eastAsia"/>
                <w:szCs w:val="16"/>
              </w:rPr>
              <w:t>其他内容资料（如有）</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1114" w:type="dxa"/>
            <w:vAlign w:val="center"/>
          </w:tcPr>
          <w:p>
            <w:pPr>
              <w:spacing w:line="277" w:lineRule="exact"/>
              <w:ind w:left="93"/>
              <w:jc w:val="center"/>
              <w:rPr>
                <w:szCs w:val="21"/>
                <w:lang w:eastAsia="en-US"/>
              </w:rPr>
            </w:pPr>
            <w:r>
              <w:rPr>
                <w:rFonts w:hint="eastAsia"/>
                <w:szCs w:val="21"/>
                <w:lang w:eastAsia="en-US"/>
              </w:rPr>
              <w:t>1</w:t>
            </w:r>
          </w:p>
        </w:tc>
        <w:tc>
          <w:tcPr>
            <w:tcW w:w="5191" w:type="dxa"/>
            <w:gridSpan w:val="2"/>
          </w:tcPr>
          <w:p>
            <w:pPr>
              <w:spacing w:line="277" w:lineRule="exact"/>
              <w:ind w:left="100"/>
              <w:rPr>
                <w:szCs w:val="21"/>
                <w:lang w:eastAsia="en-US"/>
              </w:rPr>
            </w:pPr>
          </w:p>
        </w:tc>
        <w:tc>
          <w:tcPr>
            <w:tcW w:w="3219" w:type="dxa"/>
          </w:tcPr>
          <w:p>
            <w:pPr>
              <w:spacing w:line="277" w:lineRule="exact"/>
              <w:ind w:left="1121"/>
              <w:rPr>
                <w:szCs w:val="16"/>
              </w:rPr>
            </w:pPr>
            <w:r>
              <w:rPr>
                <w:rFonts w:hint="eastAsia"/>
                <w:szCs w:val="16"/>
              </w:rPr>
              <w:t xml:space="preserve">第（ ）页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1114" w:type="dxa"/>
            <w:vAlign w:val="center"/>
          </w:tcPr>
          <w:p>
            <w:pPr>
              <w:spacing w:line="276" w:lineRule="exact"/>
              <w:ind w:left="93"/>
              <w:jc w:val="center"/>
              <w:rPr>
                <w:szCs w:val="21"/>
                <w:lang w:eastAsia="en-US"/>
              </w:rPr>
            </w:pPr>
            <w:r>
              <w:rPr>
                <w:rFonts w:hint="eastAsia"/>
                <w:szCs w:val="21"/>
                <w:lang w:eastAsia="en-US"/>
              </w:rPr>
              <w:t>2</w:t>
            </w:r>
          </w:p>
        </w:tc>
        <w:tc>
          <w:tcPr>
            <w:tcW w:w="5191" w:type="dxa"/>
            <w:gridSpan w:val="2"/>
          </w:tcPr>
          <w:p>
            <w:pPr>
              <w:spacing w:line="276" w:lineRule="exact"/>
              <w:ind w:left="100"/>
              <w:rPr>
                <w:szCs w:val="21"/>
                <w:lang w:eastAsia="en-US"/>
              </w:rPr>
            </w:pPr>
          </w:p>
        </w:tc>
        <w:tc>
          <w:tcPr>
            <w:tcW w:w="3219" w:type="dxa"/>
          </w:tcPr>
          <w:p>
            <w:pPr>
              <w:spacing w:line="276" w:lineRule="exact"/>
              <w:ind w:left="1121"/>
              <w:rPr>
                <w:szCs w:val="16"/>
              </w:rPr>
            </w:pPr>
            <w:r>
              <w:rPr>
                <w:rFonts w:hint="eastAsia"/>
                <w:szCs w:val="16"/>
              </w:rPr>
              <w:t xml:space="preserve">第（ ）页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1114" w:type="dxa"/>
            <w:vAlign w:val="center"/>
          </w:tcPr>
          <w:p>
            <w:pPr>
              <w:spacing w:line="276" w:lineRule="exact"/>
              <w:ind w:left="93"/>
              <w:jc w:val="center"/>
              <w:rPr>
                <w:szCs w:val="21"/>
                <w:lang w:eastAsia="en-US"/>
              </w:rPr>
            </w:pPr>
            <w:r>
              <w:rPr>
                <w:rFonts w:hint="eastAsia"/>
                <w:szCs w:val="21"/>
                <w:lang w:eastAsia="en-US"/>
              </w:rPr>
              <w:t>3</w:t>
            </w:r>
          </w:p>
        </w:tc>
        <w:tc>
          <w:tcPr>
            <w:tcW w:w="5191" w:type="dxa"/>
            <w:gridSpan w:val="2"/>
          </w:tcPr>
          <w:p>
            <w:pPr>
              <w:spacing w:line="276" w:lineRule="exact"/>
              <w:ind w:left="100"/>
              <w:rPr>
                <w:szCs w:val="21"/>
                <w:lang w:eastAsia="en-US"/>
              </w:rPr>
            </w:pPr>
          </w:p>
        </w:tc>
        <w:tc>
          <w:tcPr>
            <w:tcW w:w="3219" w:type="dxa"/>
          </w:tcPr>
          <w:p>
            <w:pPr>
              <w:spacing w:line="276" w:lineRule="exact"/>
              <w:ind w:left="1121"/>
              <w:rPr>
                <w:szCs w:val="16"/>
              </w:rPr>
            </w:pPr>
            <w:r>
              <w:rPr>
                <w:rFonts w:hint="eastAsia"/>
                <w:szCs w:val="16"/>
              </w:rPr>
              <w:t xml:space="preserve">第（ ）页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1114" w:type="dxa"/>
            <w:vAlign w:val="center"/>
          </w:tcPr>
          <w:p>
            <w:pPr>
              <w:spacing w:line="276" w:lineRule="exact"/>
              <w:ind w:left="93"/>
              <w:jc w:val="center"/>
              <w:rPr>
                <w:szCs w:val="21"/>
                <w:lang w:eastAsia="en-US"/>
              </w:rPr>
            </w:pPr>
            <w:r>
              <w:rPr>
                <w:szCs w:val="21"/>
                <w:lang w:eastAsia="en-US"/>
              </w:rPr>
              <w:t>4</w:t>
            </w:r>
          </w:p>
        </w:tc>
        <w:tc>
          <w:tcPr>
            <w:tcW w:w="5191" w:type="dxa"/>
            <w:gridSpan w:val="2"/>
          </w:tcPr>
          <w:p>
            <w:pPr>
              <w:spacing w:line="276" w:lineRule="exact"/>
              <w:ind w:left="100"/>
              <w:rPr>
                <w:szCs w:val="21"/>
                <w:lang w:eastAsia="en-US"/>
              </w:rPr>
            </w:pPr>
          </w:p>
        </w:tc>
        <w:tc>
          <w:tcPr>
            <w:tcW w:w="3219" w:type="dxa"/>
          </w:tcPr>
          <w:p>
            <w:pPr>
              <w:spacing w:line="276" w:lineRule="exact"/>
              <w:ind w:left="1121"/>
              <w:rPr>
                <w:szCs w:val="16"/>
              </w:rPr>
            </w:pPr>
            <w:r>
              <w:rPr>
                <w:rFonts w:hint="eastAsia"/>
                <w:szCs w:val="16"/>
              </w:rPr>
              <w:t xml:space="preserve">第（ ）页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0" w:type="dxa"/>
            <w:bottom w:w="0" w:type="dxa"/>
            <w:right w:w="0" w:type="dxa"/>
          </w:tblCellMar>
        </w:tblPrEx>
        <w:trPr>
          <w:trHeight w:val="400" w:hRule="exact"/>
          <w:jc w:val="center"/>
        </w:trPr>
        <w:tc>
          <w:tcPr>
            <w:tcW w:w="1114" w:type="dxa"/>
            <w:vAlign w:val="center"/>
          </w:tcPr>
          <w:p>
            <w:pPr>
              <w:spacing w:line="276" w:lineRule="exact"/>
              <w:ind w:left="93"/>
              <w:jc w:val="center"/>
              <w:rPr>
                <w:szCs w:val="21"/>
                <w:lang w:eastAsia="en-US"/>
              </w:rPr>
            </w:pPr>
            <w:r>
              <w:rPr>
                <w:rFonts w:hint="eastAsia"/>
                <w:szCs w:val="21"/>
                <w:lang w:eastAsia="en-US"/>
              </w:rPr>
              <w:t>5</w:t>
            </w:r>
          </w:p>
        </w:tc>
        <w:tc>
          <w:tcPr>
            <w:tcW w:w="5191" w:type="dxa"/>
            <w:gridSpan w:val="2"/>
          </w:tcPr>
          <w:p>
            <w:pPr>
              <w:spacing w:line="276" w:lineRule="exact"/>
              <w:ind w:left="100"/>
              <w:rPr>
                <w:szCs w:val="21"/>
                <w:lang w:eastAsia="en-US"/>
              </w:rPr>
            </w:pPr>
          </w:p>
        </w:tc>
        <w:tc>
          <w:tcPr>
            <w:tcW w:w="3219" w:type="dxa"/>
          </w:tcPr>
          <w:p>
            <w:pPr>
              <w:spacing w:line="276" w:lineRule="exact"/>
              <w:ind w:left="1121"/>
              <w:rPr>
                <w:szCs w:val="16"/>
              </w:rPr>
            </w:pPr>
            <w:r>
              <w:rPr>
                <w:rFonts w:hint="eastAsia"/>
                <w:szCs w:val="16"/>
              </w:rPr>
              <w:t xml:space="preserve">第（ ）页 </w:t>
            </w:r>
          </w:p>
        </w:tc>
      </w:tr>
    </w:tbl>
    <w:p>
      <w:pPr>
        <w:rPr>
          <w:szCs w:val="16"/>
        </w:rPr>
      </w:pPr>
      <w:r>
        <w:rPr>
          <w:szCs w:val="16"/>
        </w:rPr>
        <w:br w:type="page"/>
      </w:r>
    </w:p>
    <w:p>
      <w:pPr>
        <w:pStyle w:val="6"/>
        <w:rPr>
          <w:bCs w:val="0"/>
          <w:sz w:val="28"/>
          <w:szCs w:val="28"/>
        </w:rPr>
      </w:pPr>
      <w:r>
        <w:rPr>
          <w:rFonts w:hint="eastAsia"/>
          <w:bCs w:val="0"/>
          <w:sz w:val="28"/>
          <w:szCs w:val="28"/>
        </w:rPr>
        <w:t>一、资格性文件</w:t>
      </w:r>
    </w:p>
    <w:p>
      <w:pPr>
        <w:pStyle w:val="2"/>
        <w:spacing w:before="0" w:after="0" w:line="360" w:lineRule="auto"/>
        <w:rPr>
          <w:sz w:val="24"/>
          <w:szCs w:val="24"/>
        </w:rPr>
      </w:pPr>
      <w:bookmarkStart w:id="43" w:name="_Toc6322297"/>
      <w:bookmarkStart w:id="44" w:name="_Toc462677235"/>
      <w:bookmarkStart w:id="45" w:name="_Toc276645580"/>
      <w:bookmarkStart w:id="46" w:name="_Toc67046895"/>
      <w:bookmarkStart w:id="47" w:name="_Toc259090983"/>
      <w:r>
        <w:rPr>
          <w:rFonts w:hint="eastAsia"/>
          <w:sz w:val="24"/>
          <w:szCs w:val="24"/>
        </w:rPr>
        <w:t>1.1投标函</w:t>
      </w:r>
      <w:bookmarkEnd w:id="43"/>
      <w:bookmarkEnd w:id="44"/>
      <w:bookmarkEnd w:id="45"/>
      <w:bookmarkEnd w:id="46"/>
      <w:bookmarkEnd w:id="47"/>
    </w:p>
    <w:p>
      <w:pPr>
        <w:spacing w:line="360" w:lineRule="auto"/>
        <w:ind w:firstLine="437"/>
        <w:rPr>
          <w:i/>
          <w:iCs/>
          <w:szCs w:val="16"/>
          <w:u w:val="single"/>
        </w:rPr>
      </w:pPr>
      <w:r>
        <w:rPr>
          <w:rFonts w:hint="eastAsia"/>
          <w:szCs w:val="16"/>
        </w:rPr>
        <w:t>致：</w:t>
      </w:r>
      <w:r>
        <w:rPr>
          <w:rFonts w:hint="eastAsia"/>
          <w:i/>
          <w:iCs/>
          <w:szCs w:val="16"/>
          <w:u w:val="single"/>
        </w:rPr>
        <w:t xml:space="preserve">     （采购人名称）</w:t>
      </w:r>
    </w:p>
    <w:p>
      <w:pPr>
        <w:spacing w:line="360" w:lineRule="auto"/>
        <w:ind w:firstLine="437"/>
        <w:rPr>
          <w:szCs w:val="16"/>
        </w:rPr>
      </w:pPr>
      <w:r>
        <w:rPr>
          <w:rFonts w:hint="eastAsia"/>
          <w:szCs w:val="16"/>
        </w:rPr>
        <w:t>依据贵方</w:t>
      </w:r>
      <w:r>
        <w:rPr>
          <w:rFonts w:hint="eastAsia"/>
          <w:i/>
          <w:iCs/>
          <w:szCs w:val="16"/>
          <w:u w:val="single"/>
        </w:rPr>
        <w:t xml:space="preserve">       （项目名称、项目编号)</w:t>
      </w:r>
      <w:r>
        <w:rPr>
          <w:rFonts w:hint="eastAsia"/>
          <w:szCs w:val="16"/>
        </w:rPr>
        <w:t>项目的招标公告，我方代表</w:t>
      </w:r>
      <w:r>
        <w:rPr>
          <w:rFonts w:hint="eastAsia"/>
          <w:i/>
          <w:iCs/>
          <w:szCs w:val="16"/>
          <w:u w:val="single"/>
        </w:rPr>
        <w:t xml:space="preserve">     （姓名、职</w:t>
      </w:r>
      <w:r>
        <w:rPr>
          <w:rFonts w:hint="eastAsia"/>
          <w:szCs w:val="16"/>
        </w:rPr>
        <w:t>务）经正式授权并代表</w:t>
      </w:r>
      <w:r>
        <w:rPr>
          <w:rFonts w:hint="eastAsia"/>
          <w:i/>
          <w:iCs/>
          <w:szCs w:val="16"/>
          <w:u w:val="single"/>
        </w:rPr>
        <w:t xml:space="preserve">    （</w:t>
      </w:r>
      <w:r>
        <w:rPr>
          <w:rFonts w:hint="eastAsia"/>
          <w:i/>
          <w:iCs/>
          <w:szCs w:val="16"/>
          <w:u w:val="single"/>
          <w:lang w:eastAsia="zh-CN"/>
        </w:rPr>
        <w:t>供应商</w:t>
      </w:r>
      <w:r>
        <w:rPr>
          <w:rFonts w:hint="eastAsia"/>
          <w:i/>
          <w:iCs/>
          <w:szCs w:val="16"/>
          <w:u w:val="single"/>
        </w:rPr>
        <w:t>名称、地址）</w:t>
      </w:r>
      <w:r>
        <w:rPr>
          <w:rFonts w:hint="eastAsia"/>
          <w:szCs w:val="16"/>
        </w:rPr>
        <w:t>提交下述文件正本</w:t>
      </w:r>
      <w:r>
        <w:rPr>
          <w:rFonts w:hint="eastAsia"/>
          <w:szCs w:val="16"/>
          <w:u w:val="single"/>
        </w:rPr>
        <w:t xml:space="preserve">   </w:t>
      </w:r>
      <w:r>
        <w:rPr>
          <w:rFonts w:hint="eastAsia"/>
          <w:szCs w:val="16"/>
        </w:rPr>
        <w:t>份，副本</w:t>
      </w:r>
      <w:r>
        <w:rPr>
          <w:rFonts w:hint="eastAsia"/>
          <w:szCs w:val="16"/>
          <w:u w:val="single"/>
        </w:rPr>
        <w:t xml:space="preserve">   </w:t>
      </w:r>
      <w:r>
        <w:rPr>
          <w:rFonts w:hint="eastAsia"/>
          <w:szCs w:val="16"/>
        </w:rPr>
        <w:t>份。</w:t>
      </w:r>
    </w:p>
    <w:p>
      <w:pPr>
        <w:spacing w:line="360" w:lineRule="auto"/>
        <w:ind w:firstLine="437"/>
        <w:rPr>
          <w:b/>
          <w:bCs/>
          <w:szCs w:val="16"/>
        </w:rPr>
      </w:pPr>
      <w:r>
        <w:rPr>
          <w:rFonts w:hint="eastAsia"/>
          <w:b/>
          <w:bCs/>
          <w:szCs w:val="16"/>
        </w:rPr>
        <w:t>1、资格性文件</w:t>
      </w:r>
    </w:p>
    <w:p>
      <w:pPr>
        <w:spacing w:line="360" w:lineRule="auto"/>
        <w:ind w:firstLine="437"/>
        <w:rPr>
          <w:b/>
          <w:bCs/>
          <w:szCs w:val="16"/>
        </w:rPr>
      </w:pPr>
      <w:r>
        <w:rPr>
          <w:rFonts w:hint="eastAsia"/>
          <w:b/>
          <w:bCs/>
          <w:szCs w:val="16"/>
        </w:rPr>
        <w:t>2、商务技术文件</w:t>
      </w:r>
    </w:p>
    <w:p>
      <w:pPr>
        <w:spacing w:line="360" w:lineRule="auto"/>
        <w:ind w:firstLine="437"/>
        <w:rPr>
          <w:b/>
          <w:bCs/>
          <w:szCs w:val="16"/>
        </w:rPr>
      </w:pPr>
      <w:r>
        <w:rPr>
          <w:rFonts w:hint="eastAsia"/>
          <w:b/>
          <w:bCs/>
          <w:szCs w:val="16"/>
        </w:rPr>
        <w:t>3、报价文件</w:t>
      </w:r>
    </w:p>
    <w:p>
      <w:pPr>
        <w:pStyle w:val="39"/>
        <w:ind w:firstLine="482"/>
      </w:pPr>
      <w:r>
        <w:rPr>
          <w:rFonts w:hint="eastAsia"/>
          <w:b/>
          <w:bCs/>
          <w:szCs w:val="16"/>
        </w:rPr>
        <w:t>4、其他文件</w:t>
      </w:r>
    </w:p>
    <w:p>
      <w:pPr>
        <w:spacing w:line="360" w:lineRule="auto"/>
        <w:ind w:firstLine="437"/>
        <w:rPr>
          <w:szCs w:val="16"/>
        </w:rPr>
      </w:pPr>
      <w:r>
        <w:rPr>
          <w:rFonts w:hint="eastAsia"/>
          <w:szCs w:val="16"/>
        </w:rPr>
        <w:t>在此，我方声明如下：</w:t>
      </w:r>
    </w:p>
    <w:p>
      <w:pPr>
        <w:spacing w:line="360" w:lineRule="auto"/>
        <w:ind w:firstLine="437"/>
        <w:rPr>
          <w:szCs w:val="16"/>
        </w:rPr>
      </w:pPr>
      <w:r>
        <w:rPr>
          <w:rFonts w:hint="eastAsia"/>
          <w:szCs w:val="16"/>
        </w:rPr>
        <w:t>1.同意并接受招标文件的各项要求，遵守招标文件中的各项规定，按招标文件的要求提供报价（详见报价文件）。</w:t>
      </w:r>
    </w:p>
    <w:p>
      <w:pPr>
        <w:spacing w:line="360" w:lineRule="auto"/>
        <w:ind w:firstLine="437"/>
        <w:rPr>
          <w:szCs w:val="16"/>
        </w:rPr>
      </w:pPr>
      <w:r>
        <w:rPr>
          <w:rFonts w:hint="eastAsia"/>
          <w:szCs w:val="16"/>
        </w:rPr>
        <w:t>2.本投标有效期为自递交</w:t>
      </w:r>
      <w:r>
        <w:rPr>
          <w:rFonts w:hint="eastAsia"/>
          <w:szCs w:val="16"/>
          <w:lang w:eastAsia="zh-CN"/>
        </w:rPr>
        <w:t>响应文件</w:t>
      </w:r>
      <w:r>
        <w:rPr>
          <w:rFonts w:hint="eastAsia"/>
          <w:szCs w:val="16"/>
        </w:rPr>
        <w:t>截止之日起</w:t>
      </w:r>
      <w:r>
        <w:rPr>
          <w:rFonts w:hint="eastAsia"/>
          <w:szCs w:val="16"/>
          <w:u w:val="single"/>
          <w:lang w:val="en-US" w:eastAsia="zh-CN"/>
        </w:rPr>
        <w:t xml:space="preserve">      </w:t>
      </w:r>
      <w:r>
        <w:rPr>
          <w:rFonts w:hint="eastAsia"/>
          <w:szCs w:val="16"/>
          <w:lang w:val="en-US" w:eastAsia="zh-CN"/>
        </w:rPr>
        <w:t xml:space="preserve"> </w:t>
      </w:r>
      <w:r>
        <w:rPr>
          <w:rFonts w:hint="eastAsia"/>
          <w:szCs w:val="16"/>
        </w:rPr>
        <w:t>日历日。</w:t>
      </w:r>
    </w:p>
    <w:p>
      <w:pPr>
        <w:spacing w:line="360" w:lineRule="auto"/>
        <w:ind w:firstLine="437"/>
        <w:rPr>
          <w:szCs w:val="16"/>
        </w:rPr>
      </w:pPr>
      <w:r>
        <w:rPr>
          <w:rFonts w:hint="eastAsia"/>
          <w:szCs w:val="16"/>
        </w:rPr>
        <w:t>3.我方已经详细阅读全部招标文件及其附件，包括澄清及参考文件(如果有的话)。我方已完全清晰理解招标文件的要求，不存在任何含糊不清和误解之处，同意放弃对这些文件所提出的异议和质疑的权利。</w:t>
      </w:r>
    </w:p>
    <w:p>
      <w:pPr>
        <w:spacing w:line="360" w:lineRule="auto"/>
        <w:ind w:firstLine="437"/>
        <w:rPr>
          <w:szCs w:val="16"/>
        </w:rPr>
      </w:pPr>
      <w:r>
        <w:rPr>
          <w:rFonts w:hint="eastAsia"/>
          <w:szCs w:val="16"/>
        </w:rPr>
        <w:t>4.我方已毫无保留地向贵方提供一切所需的证明材料。</w:t>
      </w:r>
    </w:p>
    <w:p>
      <w:pPr>
        <w:spacing w:line="360" w:lineRule="auto"/>
        <w:ind w:firstLine="437"/>
        <w:rPr>
          <w:szCs w:val="16"/>
        </w:rPr>
      </w:pPr>
      <w:r>
        <w:rPr>
          <w:rFonts w:hint="eastAsia"/>
          <w:szCs w:val="16"/>
        </w:rPr>
        <w:t>5.我方承诺在本次</w:t>
      </w:r>
      <w:r>
        <w:rPr>
          <w:rFonts w:hint="eastAsia"/>
          <w:szCs w:val="16"/>
          <w:lang w:eastAsia="zh-CN"/>
        </w:rPr>
        <w:t>响应文件</w:t>
      </w:r>
      <w:r>
        <w:rPr>
          <w:rFonts w:hint="eastAsia"/>
          <w:szCs w:val="16"/>
        </w:rPr>
        <w:t>中提供的一切文件，无论是原件还是复印件均为真实和准确的，绝无任何虚假、伪造和夸大的成份，否则，愿承担相应的后果和法律责任。</w:t>
      </w:r>
    </w:p>
    <w:p>
      <w:pPr>
        <w:spacing w:line="360" w:lineRule="auto"/>
        <w:ind w:firstLine="437"/>
        <w:rPr>
          <w:szCs w:val="16"/>
        </w:rPr>
      </w:pPr>
      <w:r>
        <w:rPr>
          <w:rFonts w:hint="eastAsia"/>
          <w:szCs w:val="16"/>
        </w:rPr>
        <w:t xml:space="preserve">6.我方完全服从和尊重评委会所作的评定结果，同时清楚理解到报价最低并非意味着必定获得中标资格。 </w:t>
      </w:r>
    </w:p>
    <w:p>
      <w:pPr>
        <w:spacing w:line="360" w:lineRule="auto"/>
        <w:ind w:firstLine="437"/>
        <w:rPr>
          <w:szCs w:val="16"/>
        </w:rPr>
      </w:pPr>
      <w:r>
        <w:rPr>
          <w:rFonts w:hint="eastAsia"/>
          <w:szCs w:val="16"/>
        </w:rPr>
        <w:t>7.我方同意按招标文件规定向采购代理机构缴纳采购服务费。</w:t>
      </w:r>
    </w:p>
    <w:p>
      <w:pPr>
        <w:spacing w:line="360" w:lineRule="auto"/>
        <w:ind w:firstLine="437"/>
        <w:rPr>
          <w:szCs w:val="16"/>
        </w:rPr>
      </w:pPr>
      <w:r>
        <w:rPr>
          <w:rFonts w:hint="eastAsia"/>
          <w:szCs w:val="16"/>
        </w:rPr>
        <w:t>8.按照招标文件的规定履行合同责任和义务。</w:t>
      </w:r>
    </w:p>
    <w:p>
      <w:pPr>
        <w:spacing w:line="360" w:lineRule="auto"/>
        <w:ind w:firstLine="437"/>
        <w:rPr>
          <w:szCs w:val="16"/>
        </w:rPr>
      </w:pPr>
      <w:r>
        <w:rPr>
          <w:rFonts w:hint="eastAsia"/>
          <w:szCs w:val="16"/>
        </w:rPr>
        <w:t>9.我方承诺</w:t>
      </w:r>
      <w:r>
        <w:rPr>
          <w:rFonts w:hint="eastAsia"/>
          <w:szCs w:val="16"/>
          <w:lang w:eastAsia="zh-CN"/>
        </w:rPr>
        <w:t>响应文件</w:t>
      </w:r>
      <w:r>
        <w:rPr>
          <w:rFonts w:hint="eastAsia"/>
          <w:szCs w:val="16"/>
        </w:rPr>
        <w:t>中的证明材料真实、合法、有效。</w:t>
      </w:r>
    </w:p>
    <w:p>
      <w:pPr>
        <w:spacing w:line="360" w:lineRule="auto"/>
        <w:ind w:firstLine="437"/>
      </w:pPr>
      <w:r>
        <w:rPr>
          <w:rFonts w:hint="eastAsia"/>
          <w:szCs w:val="16"/>
        </w:rPr>
        <w:t>1</w:t>
      </w:r>
      <w:r>
        <w:rPr>
          <w:szCs w:val="16"/>
        </w:rPr>
        <w:t>0.</w:t>
      </w:r>
      <w:r>
        <w:rPr>
          <w:rFonts w:hint="eastAsia"/>
          <w:szCs w:val="16"/>
        </w:rPr>
        <w:t>我方承诺我司满足</w:t>
      </w:r>
      <w:r>
        <w:rPr>
          <w:rFonts w:hint="eastAsia"/>
        </w:rPr>
        <w:t>《中华人民共和国政府采购法》第二十二条规定：</w:t>
      </w:r>
    </w:p>
    <w:p>
      <w:pPr>
        <w:pStyle w:val="77"/>
        <w:ind w:firstLine="360" w:firstLineChars="150"/>
        <w:rPr>
          <w:rFonts w:hAnsi="宋体"/>
        </w:rPr>
      </w:pPr>
      <w:r>
        <w:rPr>
          <w:rFonts w:hint="eastAsia" w:hAnsi="宋体"/>
        </w:rPr>
        <w:t>（1）具有独立承担民事责任的能力；</w:t>
      </w:r>
    </w:p>
    <w:p>
      <w:pPr>
        <w:pStyle w:val="77"/>
        <w:ind w:firstLine="360" w:firstLineChars="150"/>
        <w:rPr>
          <w:rFonts w:hAnsi="宋体"/>
        </w:rPr>
      </w:pPr>
      <w:r>
        <w:rPr>
          <w:rFonts w:hint="eastAsia" w:hAnsi="宋体"/>
        </w:rPr>
        <w:t>（2）具有良好的商业信誉和健全的财务会计制度；</w:t>
      </w:r>
    </w:p>
    <w:p>
      <w:pPr>
        <w:pStyle w:val="77"/>
        <w:ind w:firstLine="360" w:firstLineChars="150"/>
        <w:rPr>
          <w:rFonts w:hAnsi="宋体"/>
        </w:rPr>
      </w:pPr>
      <w:r>
        <w:rPr>
          <w:rFonts w:hint="eastAsia" w:hAnsi="宋体"/>
        </w:rPr>
        <w:t>（3）具有履行合同所必需的设备和专业技术能力；</w:t>
      </w:r>
    </w:p>
    <w:p>
      <w:pPr>
        <w:pStyle w:val="77"/>
        <w:ind w:firstLine="360" w:firstLineChars="150"/>
        <w:rPr>
          <w:rFonts w:hAnsi="宋体"/>
        </w:rPr>
      </w:pPr>
      <w:r>
        <w:rPr>
          <w:rFonts w:hint="eastAsia" w:hAnsi="宋体"/>
        </w:rPr>
        <w:t>（4）有依法缴纳税收和社会保障资金的良好记录；</w:t>
      </w:r>
    </w:p>
    <w:p>
      <w:pPr>
        <w:pStyle w:val="77"/>
        <w:ind w:firstLine="360" w:firstLineChars="150"/>
        <w:rPr>
          <w:rFonts w:hAnsi="宋体"/>
        </w:rPr>
      </w:pPr>
      <w:r>
        <w:rPr>
          <w:rFonts w:hint="eastAsia" w:hAnsi="宋体"/>
        </w:rPr>
        <w:t>（5）参加政府采购活动前三年内，在经营活动中没有重大违法记录；</w:t>
      </w:r>
    </w:p>
    <w:p>
      <w:pPr>
        <w:pStyle w:val="77"/>
        <w:ind w:firstLine="360" w:firstLineChars="150"/>
      </w:pPr>
      <w:r>
        <w:rPr>
          <w:rFonts w:hint="eastAsia" w:hAnsi="宋体"/>
        </w:rPr>
        <w:t>1</w:t>
      </w:r>
      <w:r>
        <w:rPr>
          <w:rFonts w:hAnsi="宋体"/>
        </w:rPr>
        <w:t>0.</w:t>
      </w:r>
      <w:r>
        <w:rPr>
          <w:rFonts w:hint="eastAsia" w:hAnsi="宋体"/>
        </w:rPr>
        <w:t>交货期按甲方要求</w:t>
      </w:r>
      <w:r>
        <w:rPr>
          <w:rFonts w:hint="eastAsia"/>
        </w:rPr>
        <w:t>按订单要求分批供货，送至乌鲁木齐市甲方指定交货地点。</w:t>
      </w:r>
    </w:p>
    <w:p>
      <w:pPr>
        <w:pStyle w:val="77"/>
        <w:ind w:firstLine="360" w:firstLineChars="150"/>
        <w:rPr>
          <w:rFonts w:hint="eastAsia" w:hAnsi="宋体"/>
        </w:rPr>
      </w:pPr>
      <w:r>
        <w:rPr>
          <w:rFonts w:hint="eastAsia"/>
        </w:rPr>
        <w:t>1</w:t>
      </w:r>
      <w:r>
        <w:t>1.</w:t>
      </w:r>
      <w:r>
        <w:rPr>
          <w:rFonts w:hint="eastAsia"/>
        </w:rPr>
        <w:t>项目服务期限：合同签订之日起一年。</w:t>
      </w:r>
    </w:p>
    <w:p>
      <w:pPr>
        <w:spacing w:line="360" w:lineRule="auto"/>
        <w:ind w:firstLine="437"/>
        <w:rPr>
          <w:szCs w:val="16"/>
        </w:rPr>
      </w:pPr>
      <w:r>
        <w:rPr>
          <w:rFonts w:hint="eastAsia"/>
        </w:rPr>
        <w:t>（六）法律、行政法规规定的其他条件；提供承诺书。</w:t>
      </w:r>
    </w:p>
    <w:p>
      <w:pPr>
        <w:spacing w:line="360" w:lineRule="auto"/>
        <w:ind w:firstLine="437"/>
        <w:rPr>
          <w:szCs w:val="16"/>
        </w:rPr>
      </w:pPr>
      <w:r>
        <w:rPr>
          <w:rFonts w:hint="eastAsia"/>
          <w:szCs w:val="16"/>
        </w:rPr>
        <w:t>其他事项：</w:t>
      </w:r>
      <w:r>
        <w:rPr>
          <w:rFonts w:hint="eastAsia"/>
          <w:szCs w:val="16"/>
          <w:u w:val="single"/>
        </w:rPr>
        <w:t xml:space="preserve">                                            </w:t>
      </w:r>
      <w:r>
        <w:rPr>
          <w:rFonts w:hint="eastAsia"/>
          <w:szCs w:val="16"/>
        </w:rPr>
        <w:t xml:space="preserve"> 。</w:t>
      </w:r>
    </w:p>
    <w:p>
      <w:pPr>
        <w:pStyle w:val="31"/>
        <w:ind w:left="480" w:firstLine="480"/>
      </w:pPr>
    </w:p>
    <w:p>
      <w:pPr>
        <w:spacing w:line="720" w:lineRule="auto"/>
        <w:ind w:firstLine="437"/>
        <w:rPr>
          <w:szCs w:val="16"/>
        </w:rPr>
      </w:pPr>
      <w:r>
        <w:rPr>
          <w:rFonts w:hint="eastAsia"/>
          <w:szCs w:val="16"/>
        </w:rPr>
        <w:t>地址：</w:t>
      </w:r>
      <w:r>
        <w:rPr>
          <w:rFonts w:hint="eastAsia"/>
          <w:szCs w:val="16"/>
          <w:u w:val="single"/>
        </w:rPr>
        <w:t xml:space="preserve">                         </w:t>
      </w:r>
    </w:p>
    <w:p>
      <w:pPr>
        <w:spacing w:line="720" w:lineRule="auto"/>
        <w:ind w:firstLine="437"/>
        <w:rPr>
          <w:szCs w:val="16"/>
        </w:rPr>
      </w:pPr>
      <w:r>
        <w:rPr>
          <w:rFonts w:hint="eastAsia"/>
          <w:szCs w:val="16"/>
        </w:rPr>
        <w:t>电话：</w:t>
      </w:r>
      <w:r>
        <w:rPr>
          <w:rFonts w:hint="eastAsia"/>
          <w:szCs w:val="16"/>
          <w:u w:val="single"/>
        </w:rPr>
        <w:t xml:space="preserve">                         </w:t>
      </w:r>
    </w:p>
    <w:p>
      <w:pPr>
        <w:spacing w:line="720" w:lineRule="auto"/>
        <w:ind w:firstLine="437"/>
        <w:rPr>
          <w:szCs w:val="16"/>
        </w:rPr>
      </w:pPr>
      <w:r>
        <w:rPr>
          <w:rFonts w:hint="eastAsia"/>
          <w:szCs w:val="16"/>
        </w:rPr>
        <w:t>电子邮件：</w:t>
      </w:r>
      <w:r>
        <w:rPr>
          <w:rFonts w:hint="eastAsia"/>
          <w:szCs w:val="16"/>
          <w:u w:val="single"/>
        </w:rPr>
        <w:t xml:space="preserve">                         </w:t>
      </w:r>
    </w:p>
    <w:p>
      <w:pPr>
        <w:spacing w:line="720" w:lineRule="auto"/>
        <w:ind w:firstLine="437"/>
        <w:rPr>
          <w:rFonts w:hint="eastAsia"/>
          <w:szCs w:val="16"/>
        </w:rPr>
      </w:pPr>
    </w:p>
    <w:p>
      <w:pPr>
        <w:spacing w:line="720" w:lineRule="auto"/>
        <w:ind w:firstLine="437"/>
        <w:rPr>
          <w:rFonts w:hint="eastAsia"/>
          <w:szCs w:val="16"/>
        </w:rPr>
      </w:pPr>
    </w:p>
    <w:p>
      <w:pPr>
        <w:spacing w:line="720" w:lineRule="auto"/>
        <w:ind w:firstLine="437"/>
        <w:rPr>
          <w:szCs w:val="16"/>
        </w:rPr>
      </w:pPr>
      <w:r>
        <w:rPr>
          <w:rFonts w:hint="eastAsia"/>
          <w:szCs w:val="16"/>
        </w:rPr>
        <w:t>法定代表人/单位负责人（签字或盖私章）：</w:t>
      </w:r>
      <w:r>
        <w:rPr>
          <w:rFonts w:hint="eastAsia"/>
          <w:szCs w:val="16"/>
          <w:u w:val="single"/>
        </w:rPr>
        <w:t xml:space="preserve">                         </w:t>
      </w:r>
    </w:p>
    <w:p>
      <w:pPr>
        <w:spacing w:line="720" w:lineRule="auto"/>
        <w:ind w:firstLine="437"/>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720" w:lineRule="auto"/>
        <w:ind w:firstLine="437"/>
        <w:rPr>
          <w:szCs w:val="16"/>
        </w:rPr>
      </w:pPr>
      <w:r>
        <w:rPr>
          <w:rFonts w:hint="eastAsia"/>
          <w:szCs w:val="16"/>
        </w:rPr>
        <w:t>日期：</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spacing w:line="720" w:lineRule="auto"/>
        <w:rPr>
          <w:szCs w:val="16"/>
        </w:rPr>
      </w:pPr>
      <w:r>
        <w:rPr>
          <w:szCs w:val="16"/>
        </w:rPr>
        <w:br w:type="page"/>
      </w:r>
    </w:p>
    <w:p>
      <w:pPr>
        <w:pStyle w:val="2"/>
        <w:spacing w:before="0" w:after="0" w:line="360" w:lineRule="auto"/>
        <w:rPr>
          <w:sz w:val="24"/>
          <w:szCs w:val="24"/>
        </w:rPr>
      </w:pPr>
      <w:bookmarkStart w:id="48" w:name="_Toc70068632"/>
      <w:r>
        <w:rPr>
          <w:rFonts w:hint="eastAsia"/>
          <w:sz w:val="24"/>
          <w:szCs w:val="24"/>
        </w:rPr>
        <w:t>1</w:t>
      </w:r>
      <w:r>
        <w:rPr>
          <w:sz w:val="24"/>
          <w:szCs w:val="24"/>
        </w:rPr>
        <w:t>.2</w:t>
      </w:r>
      <w:r>
        <w:rPr>
          <w:rFonts w:hint="eastAsia"/>
          <w:sz w:val="24"/>
          <w:szCs w:val="24"/>
        </w:rPr>
        <w:t>、报价文件</w:t>
      </w:r>
      <w:bookmarkEnd w:id="48"/>
    </w:p>
    <w:p>
      <w:pPr>
        <w:spacing w:line="360" w:lineRule="auto"/>
        <w:rPr>
          <w:rFonts w:hint="eastAsia"/>
          <w:b/>
          <w:bCs/>
          <w:szCs w:val="16"/>
        </w:rPr>
      </w:pPr>
      <w:bookmarkStart w:id="49" w:name="_Toc67046917"/>
      <w:bookmarkStart w:id="50" w:name="_Toc28858627"/>
      <w:bookmarkStart w:id="51" w:name="_Toc6322317"/>
      <w:bookmarkStart w:id="52" w:name="_Toc462677250"/>
      <w:bookmarkStart w:id="53" w:name="_Toc259090997"/>
      <w:bookmarkStart w:id="54" w:name="_Toc425161128"/>
      <w:bookmarkStart w:id="55" w:name="_Toc462677251"/>
      <w:r>
        <w:rPr>
          <w:b/>
          <w:bCs/>
          <w:sz w:val="24"/>
          <w:szCs w:val="24"/>
        </w:rPr>
        <w:t>1.2</w:t>
      </w:r>
      <w:r>
        <w:rPr>
          <w:rFonts w:hint="eastAsia"/>
          <w:b/>
          <w:bCs/>
          <w:sz w:val="24"/>
          <w:szCs w:val="24"/>
        </w:rPr>
        <w:t>.1</w:t>
      </w:r>
      <w:bookmarkEnd w:id="49"/>
      <w:bookmarkEnd w:id="50"/>
      <w:bookmarkEnd w:id="51"/>
      <w:r>
        <w:rPr>
          <w:rFonts w:hint="eastAsia"/>
          <w:b/>
          <w:bCs/>
          <w:szCs w:val="16"/>
          <w:lang w:eastAsia="zh-CN"/>
        </w:rPr>
        <w:t>报价一览表</w:t>
      </w:r>
      <w:r>
        <w:rPr>
          <w:rFonts w:hint="eastAsia"/>
          <w:b/>
          <w:bCs/>
          <w:szCs w:val="16"/>
        </w:rPr>
        <w:t>（</w:t>
      </w:r>
      <w:r>
        <w:rPr>
          <w:rFonts w:hint="eastAsia"/>
          <w:b/>
          <w:bCs/>
          <w:szCs w:val="16"/>
          <w:lang w:val="en-US" w:eastAsia="zh-CN"/>
        </w:rPr>
        <w:t>第6包</w:t>
      </w:r>
      <w:r>
        <w:rPr>
          <w:rFonts w:hint="eastAsia"/>
          <w:b/>
          <w:bCs/>
          <w:szCs w:val="16"/>
        </w:rPr>
        <w:t>-</w:t>
      </w:r>
      <w:r>
        <w:rPr>
          <w:rFonts w:hint="eastAsia"/>
          <w:b/>
          <w:bCs/>
          <w:szCs w:val="16"/>
          <w:lang w:val="en-US" w:eastAsia="zh-CN"/>
        </w:rPr>
        <w:t>肉类</w:t>
      </w:r>
      <w:r>
        <w:rPr>
          <w:rFonts w:hint="eastAsia"/>
          <w:b/>
          <w:bCs/>
          <w:szCs w:val="16"/>
        </w:rPr>
        <w:t>）</w:t>
      </w:r>
    </w:p>
    <w:p>
      <w:pPr>
        <w:spacing w:line="360" w:lineRule="auto"/>
        <w:rPr>
          <w:rFonts w:hint="default" w:eastAsia="宋体"/>
          <w:szCs w:val="16"/>
          <w:lang w:val="en-US" w:eastAsia="zh-CN"/>
        </w:rPr>
      </w:pPr>
      <w:r>
        <w:rPr>
          <w:rFonts w:hint="eastAsia"/>
          <w:szCs w:val="16"/>
        </w:rPr>
        <w:t>项目名称</w:t>
      </w:r>
      <w:r>
        <w:rPr>
          <w:rFonts w:hint="eastAsia"/>
          <w:szCs w:val="16"/>
          <w:lang w:val="en-US" w:eastAsia="zh-CN"/>
        </w:rPr>
        <w:t xml:space="preserve"> </w:t>
      </w:r>
      <w:r>
        <w:rPr>
          <w:rFonts w:hint="eastAsia"/>
          <w:szCs w:val="16"/>
          <w:u w:val="single"/>
          <w:lang w:val="en-US" w:eastAsia="zh-CN"/>
        </w:rPr>
        <w:t xml:space="preserve">             </w:t>
      </w:r>
      <w:r>
        <w:rPr>
          <w:rFonts w:hint="eastAsia"/>
          <w:szCs w:val="16"/>
        </w:rPr>
        <w:t>（第</w:t>
      </w:r>
      <w:r>
        <w:rPr>
          <w:rFonts w:hint="eastAsia"/>
          <w:szCs w:val="16"/>
          <w:lang w:val="en-US" w:eastAsia="zh-CN"/>
        </w:rPr>
        <w:t>6</w:t>
      </w:r>
      <w:r>
        <w:rPr>
          <w:rFonts w:hint="eastAsia"/>
          <w:szCs w:val="16"/>
        </w:rPr>
        <w:t>包）</w:t>
      </w:r>
      <w:r>
        <w:rPr>
          <w:rFonts w:hint="eastAsia"/>
          <w:szCs w:val="16"/>
          <w:lang w:eastAsia="zh-CN"/>
        </w:rPr>
        <w:t>；</w:t>
      </w:r>
      <w:r>
        <w:rPr>
          <w:rFonts w:hint="eastAsia"/>
          <w:szCs w:val="16"/>
        </w:rPr>
        <w:t>项目编号：</w:t>
      </w:r>
      <w:r>
        <w:rPr>
          <w:rFonts w:hint="eastAsia"/>
          <w:szCs w:val="16"/>
          <w:u w:val="single"/>
          <w:lang w:val="en-US" w:eastAsia="zh-CN"/>
        </w:rPr>
        <w:t xml:space="preserve">                    </w:t>
      </w:r>
    </w:p>
    <w:tbl>
      <w:tblPr>
        <w:tblStyle w:val="32"/>
        <w:tblpPr w:leftFromText="180" w:rightFromText="180" w:vertAnchor="text" w:horzAnchor="page" w:tblpX="1216" w:tblpY="871"/>
        <w:tblOverlap w:val="never"/>
        <w:tblW w:w="9356"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0" w:type="dxa"/>
          <w:bottom w:w="0" w:type="dxa"/>
          <w:right w:w="0" w:type="dxa"/>
        </w:tblCellMar>
      </w:tblPr>
      <w:tblGrid>
        <w:gridCol w:w="956"/>
        <w:gridCol w:w="2400"/>
        <w:gridCol w:w="1404"/>
        <w:gridCol w:w="1859"/>
        <w:gridCol w:w="273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rFonts w:hint="eastAsia" w:ascii="宋体" w:hAnsi="宋体" w:eastAsia="宋体" w:cs="宋体"/>
                <w:i w:val="0"/>
                <w:color w:val="000000"/>
                <w:sz w:val="24"/>
                <w:szCs w:val="24"/>
                <w:u w:val="none"/>
              </w:rPr>
            </w:pPr>
            <w:r>
              <w:rPr>
                <w:color w:val="000000"/>
              </w:rPr>
              <w:t>下浮率</w:t>
            </w:r>
            <w:r>
              <w:rPr>
                <w:rFonts w:hint="eastAsia"/>
                <w:color w:val="000000"/>
              </w:rPr>
              <w:t>（%）</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spacing w:line="360" w:lineRule="auto"/>
              <w:jc w:val="center"/>
              <w:textAlignment w:val="center"/>
              <w:rPr>
                <w:color w:val="000000"/>
              </w:rPr>
            </w:pPr>
            <w:r>
              <w:rPr>
                <w:rFonts w:hint="eastAsia"/>
              </w:rPr>
              <w:t>分值占比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鲜羊肉（整羊）</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lang w:eastAsia="zh-CN"/>
              </w:rPr>
            </w:pPr>
          </w:p>
        </w:tc>
        <w:tc>
          <w:tcPr>
            <w:tcW w:w="27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25分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鲜剔骨羊肉</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鲜连骨羊肉</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鲜羊排</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鲜羊前腿</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鲜羊后腿</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鲜牛肉前腿</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鲜牛肉后腿</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鲜牛肉（去骨全牛）</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鲜牛排</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白鲢（含加工）</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12</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草鱼（含加工）</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cs="宋体"/>
                <w:i w:val="0"/>
                <w:color w:val="000000"/>
                <w:sz w:val="24"/>
                <w:szCs w:val="24"/>
                <w:u w:val="none"/>
                <w:lang w:eastAsia="zh-CN"/>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400"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2"/>
                <w:szCs w:val="22"/>
                <w:u w:val="none"/>
                <w:lang w:val="en-US" w:eastAsia="zh-CN" w:bidi="ar"/>
              </w:rPr>
              <w:t>鲤鱼（含加工）</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799" w:hRule="atLeast"/>
        </w:trPr>
        <w:tc>
          <w:tcPr>
            <w:tcW w:w="47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color w:val="000000"/>
                <w:lang w:val="en-US"/>
              </w:rPr>
            </w:pPr>
            <w:r>
              <w:rPr>
                <w:rFonts w:hint="eastAsia"/>
                <w:color w:val="000000"/>
              </w:rPr>
              <w:t>综合小计价格</w:t>
            </w:r>
            <w:r>
              <w:rPr>
                <w:rFonts w:hint="eastAsia"/>
                <w:color w:val="000000"/>
                <w:lang w:eastAsia="zh-CN"/>
              </w:rPr>
              <w:t>（</w:t>
            </w:r>
            <w:r>
              <w:rPr>
                <w:rFonts w:hint="eastAsia"/>
                <w:color w:val="000000"/>
                <w:lang w:val="en-US" w:eastAsia="zh-CN"/>
              </w:rPr>
              <w:t>1-13</w:t>
            </w:r>
            <w:r>
              <w:rPr>
                <w:rFonts w:hint="eastAsia"/>
                <w:color w:val="000000"/>
                <w:lang w:eastAsia="zh-CN"/>
              </w:rPr>
              <w:t>）</w:t>
            </w:r>
            <w:r>
              <w:rPr>
                <w:rFonts w:hint="eastAsia" w:cs="Tahoma"/>
                <w:szCs w:val="22"/>
              </w:rPr>
              <w:t>项产品报价的</w:t>
            </w:r>
            <w:r>
              <w:rPr>
                <w:rFonts w:hint="eastAsia" w:cs="Tahoma"/>
                <w:szCs w:val="22"/>
                <w:lang w:val="en-US" w:eastAsia="zh-CN"/>
              </w:rPr>
              <w:t>平均下浮率</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eastAsia="宋体"/>
                <w:color w:val="000000"/>
                <w:lang w:val="en-US" w:eastAsia="zh-CN"/>
              </w:rPr>
            </w:pPr>
            <w:r>
              <w:rPr>
                <w:rFonts w:hint="eastAsia"/>
                <w:color w:val="000000"/>
                <w:lang w:val="en-US" w:eastAsia="zh-CN"/>
              </w:rPr>
              <w:t xml:space="preserve">   %</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kern w:val="0"/>
                <w:sz w:val="24"/>
                <w:szCs w:val="24"/>
                <w:u w:val="none"/>
                <w:lang w:val="en-US" w:eastAsia="zh-CN" w:bidi="ar"/>
              </w:rPr>
            </w:pPr>
            <w:r>
              <w:rPr>
                <w:rFonts w:hint="eastAsia"/>
                <w:color w:val="000000"/>
              </w:rPr>
              <w:t>序号</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kern w:val="0"/>
                <w:sz w:val="24"/>
                <w:szCs w:val="24"/>
                <w:u w:val="none"/>
                <w:lang w:val="en-US" w:eastAsia="zh-CN" w:bidi="ar"/>
              </w:rPr>
            </w:pPr>
            <w:r>
              <w:rPr>
                <w:rFonts w:hint="eastAsia"/>
                <w:color w:val="000000"/>
              </w:rPr>
              <w:t>品名</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i w:val="0"/>
                <w:color w:val="000000"/>
                <w:sz w:val="24"/>
                <w:szCs w:val="24"/>
                <w:u w:val="none"/>
                <w:lang w:eastAsia="zh-CN"/>
              </w:rPr>
            </w:pPr>
            <w:r>
              <w:rPr>
                <w:rFonts w:hint="eastAsia"/>
                <w:color w:val="000000"/>
              </w:rPr>
              <w:t>规格</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eastAsia="宋体" w:cs="宋体"/>
                <w:i w:val="0"/>
                <w:color w:val="000000"/>
                <w:sz w:val="24"/>
                <w:szCs w:val="24"/>
                <w:u w:val="none"/>
              </w:rPr>
            </w:pPr>
            <w:r>
              <w:rPr>
                <w:rFonts w:hint="eastAsia"/>
                <w:color w:val="000000"/>
              </w:rPr>
              <w:t>含税单价（元）</w:t>
            </w:r>
          </w:p>
        </w:tc>
        <w:tc>
          <w:tcPr>
            <w:tcW w:w="2737"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color w:val="000000"/>
              </w:rPr>
            </w:pPr>
            <w:r>
              <w:rPr>
                <w:rFonts w:hint="eastAsia"/>
              </w:rPr>
              <w:t>分值占比</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羊尾巴油</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737" w:type="dxa"/>
            <w:vMerge w:val="restart"/>
            <w:tcBorders>
              <w:top w:val="single" w:color="000000" w:sz="4" w:space="0"/>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ascii="宋体" w:hAnsi="宋体" w:eastAsia="宋体" w:cs="宋体"/>
                <w:i w:val="0"/>
                <w:color w:val="000000"/>
                <w:sz w:val="24"/>
                <w:szCs w:val="24"/>
                <w:u w:val="none"/>
                <w:lang w:val="en-US" w:eastAsia="zh-CN"/>
              </w:rPr>
            </w:pPr>
            <w:r>
              <w:rPr>
                <w:rFonts w:hint="eastAsia" w:cs="宋体"/>
                <w:i w:val="0"/>
                <w:color w:val="000000"/>
                <w:sz w:val="24"/>
                <w:szCs w:val="24"/>
                <w:u w:val="none"/>
                <w:lang w:val="en-US" w:eastAsia="zh-CN"/>
              </w:rPr>
              <w:t>5分</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冻羊肉</w:t>
            </w:r>
          </w:p>
        </w:tc>
        <w:tc>
          <w:tcPr>
            <w:tcW w:w="1404"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p>
        </w:tc>
        <w:tc>
          <w:tcPr>
            <w:tcW w:w="2737" w:type="dxa"/>
            <w:vMerge w:val="continue"/>
            <w:tcBorders>
              <w:left w:val="single" w:color="000000" w:sz="4" w:space="0"/>
              <w:right w:val="single" w:color="000000" w:sz="4" w:space="0"/>
            </w:tcBorders>
            <w:shd w:val="clear" w:color="auto" w:fill="auto"/>
            <w:tcMar>
              <w:top w:w="15" w:type="dxa"/>
              <w:left w:w="15" w:type="dxa"/>
              <w:right w:w="15" w:type="dxa"/>
            </w:tcMar>
            <w:vAlign w:val="center"/>
          </w:tcPr>
          <w:p>
            <w:pPr>
              <w:spacing w:line="360" w:lineRule="auto"/>
              <w:jc w:val="both"/>
              <w:rPr>
                <w:rFonts w:hint="eastAsia" w:ascii="宋体" w:hAnsi="宋体" w:eastAsia="宋体" w:cs="宋体"/>
                <w:i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冻牛前腿</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73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冻牛后腿</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273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冻牛腩</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273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鸡脯肉（冻）</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both"/>
              <w:textAlignment w:val="center"/>
              <w:rPr>
                <w:rFonts w:hint="eastAsia" w:ascii="宋体" w:hAnsi="宋体" w:eastAsia="宋体" w:cs="宋体"/>
                <w:i w:val="0"/>
                <w:color w:val="000000"/>
                <w:sz w:val="22"/>
                <w:szCs w:val="22"/>
                <w:u w:val="none"/>
              </w:rPr>
            </w:pPr>
          </w:p>
        </w:tc>
        <w:tc>
          <w:tcPr>
            <w:tcW w:w="273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442" w:hRule="atLeast"/>
        </w:trPr>
        <w:tc>
          <w:tcPr>
            <w:tcW w:w="956"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400" w:type="dxa"/>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4"/>
                <w:szCs w:val="24"/>
                <w:u w:val="none"/>
              </w:rPr>
            </w:pPr>
            <w:r>
              <w:rPr>
                <w:rFonts w:hint="eastAsia" w:ascii="宋体" w:hAnsi="宋体" w:eastAsia="宋体" w:cs="宋体"/>
                <w:i w:val="0"/>
                <w:color w:val="000000"/>
                <w:kern w:val="0"/>
                <w:sz w:val="24"/>
                <w:szCs w:val="24"/>
                <w:u w:val="none"/>
                <w:lang w:val="en-US" w:eastAsia="zh-CN" w:bidi="ar"/>
              </w:rPr>
              <w:t>鸭脯肉（冻）</w:t>
            </w:r>
          </w:p>
        </w:tc>
        <w:tc>
          <w:tcPr>
            <w:tcW w:w="1404"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keepNext w:val="0"/>
              <w:keepLines w:val="0"/>
              <w:widowControl/>
              <w:suppressLineNumbers w:val="0"/>
              <w:jc w:val="center"/>
              <w:textAlignment w:val="center"/>
              <w:rPr>
                <w:rFonts w:hint="eastAsia" w:ascii="宋体" w:hAnsi="宋体" w:eastAsia="宋体" w:cs="宋体"/>
                <w:i w:val="0"/>
                <w:color w:val="000000"/>
                <w:sz w:val="22"/>
                <w:szCs w:val="22"/>
                <w:u w:val="none"/>
              </w:rPr>
            </w:pPr>
          </w:p>
        </w:tc>
        <w:tc>
          <w:tcPr>
            <w:tcW w:w="273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47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ascii="宋体" w:hAnsi="宋体" w:cs="宋体"/>
                <w:i w:val="0"/>
                <w:color w:val="000000"/>
                <w:sz w:val="24"/>
                <w:szCs w:val="24"/>
                <w:u w:val="none"/>
                <w:lang w:eastAsia="zh-CN"/>
              </w:rPr>
            </w:pPr>
            <w:r>
              <w:rPr>
                <w:rFonts w:hint="eastAsia"/>
                <w:color w:val="000000"/>
              </w:rPr>
              <w:t>综合小计价格</w:t>
            </w:r>
            <w:r>
              <w:rPr>
                <w:rFonts w:hint="eastAsia"/>
                <w:color w:val="000000"/>
                <w:lang w:eastAsia="zh-CN"/>
              </w:rPr>
              <w:t>（</w:t>
            </w:r>
            <w:r>
              <w:rPr>
                <w:rFonts w:hint="eastAsia"/>
                <w:color w:val="000000"/>
                <w:lang w:val="en-US" w:eastAsia="zh-CN"/>
              </w:rPr>
              <w:t>14-20</w:t>
            </w:r>
            <w:r>
              <w:rPr>
                <w:rFonts w:hint="eastAsia"/>
                <w:color w:val="000000"/>
                <w:lang w:eastAsia="zh-CN"/>
              </w:rPr>
              <w:t>）</w:t>
            </w:r>
            <w:r>
              <w:rPr>
                <w:rFonts w:hint="eastAsia" w:cs="Tahoma"/>
                <w:szCs w:val="22"/>
              </w:rPr>
              <w:t>项产品报价的含税单价之和</w:t>
            </w:r>
          </w:p>
        </w:tc>
        <w:tc>
          <w:tcPr>
            <w:tcW w:w="1859" w:type="dxa"/>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ind w:firstLine="1320" w:firstLineChars="600"/>
              <w:jc w:val="both"/>
              <w:rPr>
                <w:rFonts w:hint="eastAsia" w:ascii="宋体" w:hAnsi="宋体" w:eastAsia="宋体" w:cs="宋体"/>
                <w:i w:val="0"/>
                <w:color w:val="000000"/>
                <w:sz w:val="22"/>
                <w:szCs w:val="22"/>
                <w:u w:val="none"/>
                <w:lang w:val="en-US" w:eastAsia="zh-CN"/>
              </w:rPr>
            </w:pPr>
            <w:r>
              <w:rPr>
                <w:rFonts w:hint="eastAsia" w:cs="宋体"/>
                <w:i w:val="0"/>
                <w:color w:val="000000"/>
                <w:sz w:val="22"/>
                <w:szCs w:val="22"/>
                <w:u w:val="none"/>
                <w:lang w:val="en-US" w:eastAsia="zh-CN"/>
              </w:rPr>
              <w:t>元</w:t>
            </w:r>
          </w:p>
        </w:tc>
        <w:tc>
          <w:tcPr>
            <w:tcW w:w="2737" w:type="dxa"/>
            <w:vMerge w:val="continue"/>
            <w:tcBorders>
              <w:left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7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eastAsia" w:eastAsia="宋体"/>
                <w:color w:val="000000"/>
                <w:lang w:val="en-US" w:eastAsia="zh-CN"/>
              </w:rPr>
            </w:pPr>
            <w:r>
              <w:rPr>
                <w:rFonts w:hint="eastAsia"/>
                <w:color w:val="000000"/>
                <w:lang w:val="en-US" w:eastAsia="zh-CN"/>
              </w:rPr>
              <w:t>服务期限</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627" w:hRule="atLeast"/>
        </w:trPr>
        <w:tc>
          <w:tcPr>
            <w:tcW w:w="4760" w:type="dxa"/>
            <w:gridSpan w:val="3"/>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jc w:val="center"/>
              <w:rPr>
                <w:rFonts w:hint="default"/>
                <w:color w:val="000000"/>
                <w:lang w:val="en-US" w:eastAsia="zh-CN"/>
              </w:rPr>
            </w:pPr>
            <w:r>
              <w:rPr>
                <w:rFonts w:hint="eastAsia"/>
                <w:color w:val="000000"/>
                <w:lang w:val="en-US" w:eastAsia="zh-CN"/>
              </w:rPr>
              <w:t>备注</w:t>
            </w:r>
          </w:p>
        </w:tc>
        <w:tc>
          <w:tcPr>
            <w:tcW w:w="4596" w:type="dxa"/>
            <w:gridSpan w:val="2"/>
            <w:tcBorders>
              <w:top w:val="single" w:color="000000" w:sz="4" w:space="0"/>
              <w:left w:val="single" w:color="000000" w:sz="4" w:space="0"/>
              <w:bottom w:val="single" w:color="000000" w:sz="4" w:space="0"/>
              <w:right w:val="single" w:color="000000" w:sz="4" w:space="0"/>
            </w:tcBorders>
            <w:shd w:val="clear" w:color="auto" w:fill="auto"/>
            <w:noWrap/>
            <w:tcMar>
              <w:top w:w="15" w:type="dxa"/>
              <w:left w:w="15" w:type="dxa"/>
              <w:right w:w="15" w:type="dxa"/>
            </w:tcMar>
            <w:vAlign w:val="center"/>
          </w:tcPr>
          <w:p>
            <w:pPr>
              <w:spacing w:line="360" w:lineRule="auto"/>
              <w:jc w:val="both"/>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0" w:type="dxa"/>
            <w:bottom w:w="0" w:type="dxa"/>
            <w:right w:w="0" w:type="dxa"/>
          </w:tblCellMar>
        </w:tblPrEx>
        <w:trPr>
          <w:trHeight w:val="442" w:hRule="atLeast"/>
        </w:trPr>
        <w:tc>
          <w:tcPr>
            <w:tcW w:w="9356" w:type="dxa"/>
            <w:gridSpan w:val="5"/>
            <w:tcBorders>
              <w:top w:val="single" w:color="000000" w:sz="4" w:space="0"/>
              <w:left w:val="single" w:color="000000" w:sz="4" w:space="0"/>
              <w:bottom w:val="single" w:color="000000" w:sz="4" w:space="0"/>
              <w:right w:val="single" w:color="000000" w:sz="4" w:space="0"/>
            </w:tcBorders>
            <w:shd w:val="clear" w:color="auto" w:fill="auto"/>
            <w:tcMar>
              <w:top w:w="15" w:type="dxa"/>
              <w:left w:w="15" w:type="dxa"/>
              <w:right w:w="15" w:type="dxa"/>
            </w:tcMar>
            <w:vAlign w:val="center"/>
          </w:tcPr>
          <w:p>
            <w:pPr>
              <w:spacing w:line="360" w:lineRule="auto"/>
              <w:rPr>
                <w:color w:val="000000"/>
              </w:rPr>
            </w:pPr>
            <w:r>
              <w:rPr>
                <w:rFonts w:hint="eastAsia"/>
                <w:color w:val="000000"/>
              </w:rPr>
              <w:t>说明：</w:t>
            </w:r>
          </w:p>
          <w:p>
            <w:pPr>
              <w:spacing w:line="360" w:lineRule="auto"/>
              <w:rPr>
                <w:color w:val="000000"/>
              </w:rPr>
            </w:pPr>
            <w:r>
              <w:rPr>
                <w:rFonts w:hint="eastAsia"/>
                <w:color w:val="000000"/>
              </w:rPr>
              <w:t>1</w:t>
            </w:r>
            <w:r>
              <w:rPr>
                <w:color w:val="000000"/>
              </w:rPr>
              <w:t>.</w:t>
            </w:r>
            <w:r>
              <w:rPr>
                <w:rFonts w:hint="eastAsia"/>
                <w:color w:val="000000"/>
              </w:rPr>
              <w:t>报价</w:t>
            </w:r>
            <w:r>
              <w:rPr>
                <w:color w:val="000000"/>
              </w:rPr>
              <w:t>包括全部货品、税费、包装费、运输、装卸等费用，以及己支付或将支付的营业税和其它税费等所有费用</w:t>
            </w:r>
            <w:r>
              <w:rPr>
                <w:rFonts w:hint="eastAsia"/>
                <w:color w:val="000000"/>
              </w:rPr>
              <w:t>。</w:t>
            </w:r>
          </w:p>
          <w:p>
            <w:pPr>
              <w:spacing w:line="360" w:lineRule="auto"/>
              <w:rPr>
                <w:color w:val="000000"/>
              </w:rPr>
            </w:pPr>
            <w:r>
              <w:rPr>
                <w:color w:val="000000"/>
              </w:rPr>
              <w:t>2.报价最多保留两位小数，对于小数点后第三位数字，无论大小，一律按舍去处理。</w:t>
            </w:r>
          </w:p>
          <w:p>
            <w:pPr>
              <w:spacing w:line="360" w:lineRule="auto"/>
              <w:rPr>
                <w:color w:val="000000"/>
              </w:rPr>
            </w:pPr>
            <w:r>
              <w:rPr>
                <w:color w:val="000000"/>
              </w:rPr>
              <w:t>3.如投标下浮率报价为5%，则供货价:产品货款＝当日下单产品在农贸市场</w:t>
            </w:r>
            <w:r>
              <w:rPr>
                <w:rFonts w:hint="eastAsia"/>
                <w:color w:val="000000"/>
              </w:rPr>
              <w:t>公布的相应产品的最低价价格</w:t>
            </w:r>
            <w:r>
              <w:rPr>
                <w:color w:val="000000"/>
              </w:rPr>
              <w:t>*（1-</w:t>
            </w:r>
            <w:r>
              <w:rPr>
                <w:rFonts w:hint="eastAsia"/>
                <w:color w:val="000000"/>
              </w:rPr>
              <w:t>5</w:t>
            </w:r>
            <w:r>
              <w:rPr>
                <w:color w:val="000000"/>
              </w:rPr>
              <w:t>%</w:t>
            </w:r>
            <w:r>
              <w:rPr>
                <w:rFonts w:hint="eastAsia"/>
                <w:color w:val="000000"/>
              </w:rPr>
              <w:t>）</w:t>
            </w:r>
            <w:r>
              <w:rPr>
                <w:color w:val="000000"/>
              </w:rPr>
              <w:t>×实际供货量</w:t>
            </w:r>
            <w:r>
              <w:rPr>
                <w:rFonts w:hint="eastAsia"/>
                <w:color w:val="000000"/>
              </w:rPr>
              <w:t>。</w:t>
            </w:r>
          </w:p>
          <w:p>
            <w:pPr>
              <w:spacing w:line="360" w:lineRule="auto"/>
              <w:rPr>
                <w:rFonts w:hint="eastAsia" w:eastAsia="宋体"/>
                <w:color w:val="000000"/>
                <w:lang w:eastAsia="zh-CN"/>
              </w:rPr>
            </w:pPr>
            <w:r>
              <w:rPr>
                <w:color w:val="000000"/>
              </w:rPr>
              <w:t>4.</w:t>
            </w:r>
            <w:r>
              <w:rPr>
                <w:rFonts w:hint="eastAsia"/>
                <w:color w:val="000000"/>
                <w:lang w:eastAsia="zh-CN"/>
              </w:rPr>
              <w:t>（</w:t>
            </w:r>
            <w:r>
              <w:rPr>
                <w:rFonts w:hint="eastAsia"/>
                <w:color w:val="000000"/>
                <w:lang w:val="en-US" w:eastAsia="zh-CN"/>
              </w:rPr>
              <w:t>1-13</w:t>
            </w:r>
            <w:r>
              <w:rPr>
                <w:rFonts w:hint="eastAsia"/>
                <w:color w:val="000000"/>
                <w:lang w:eastAsia="zh-CN"/>
              </w:rPr>
              <w:t>）</w:t>
            </w:r>
            <w:r>
              <w:rPr>
                <w:rFonts w:hint="eastAsia"/>
                <w:color w:val="000000"/>
              </w:rPr>
              <w:t>部分经济部分占</w:t>
            </w:r>
            <w:r>
              <w:rPr>
                <w:rFonts w:hint="eastAsia"/>
                <w:color w:val="000000"/>
                <w:lang w:val="en-US" w:eastAsia="zh-CN"/>
              </w:rPr>
              <w:t>25</w:t>
            </w:r>
            <w:r>
              <w:rPr>
                <w:rFonts w:hint="eastAsia"/>
                <w:color w:val="000000"/>
              </w:rPr>
              <w:t>分，</w:t>
            </w:r>
            <w:r>
              <w:rPr>
                <w:rFonts w:hint="eastAsia"/>
                <w:color w:val="000000"/>
                <w:lang w:eastAsia="zh-CN"/>
              </w:rPr>
              <w:t>（</w:t>
            </w:r>
            <w:r>
              <w:rPr>
                <w:rFonts w:hint="eastAsia"/>
                <w:color w:val="000000"/>
                <w:lang w:val="en-US" w:eastAsia="zh-CN"/>
              </w:rPr>
              <w:t>14-19</w:t>
            </w:r>
            <w:r>
              <w:rPr>
                <w:rFonts w:hint="eastAsia"/>
                <w:color w:val="000000"/>
                <w:lang w:eastAsia="zh-CN"/>
              </w:rPr>
              <w:t>）</w:t>
            </w:r>
            <w:r>
              <w:rPr>
                <w:rFonts w:hint="eastAsia"/>
                <w:color w:val="000000"/>
              </w:rPr>
              <w:t>部分经济部分占</w:t>
            </w:r>
            <w:r>
              <w:rPr>
                <w:rFonts w:hint="eastAsia"/>
                <w:color w:val="000000"/>
                <w:lang w:val="en-US" w:eastAsia="zh-CN"/>
              </w:rPr>
              <w:t>5</w:t>
            </w:r>
            <w:r>
              <w:rPr>
                <w:rFonts w:hint="eastAsia"/>
                <w:color w:val="000000"/>
              </w:rPr>
              <w:t>分</w:t>
            </w:r>
            <w:r>
              <w:rPr>
                <w:rFonts w:hint="eastAsia"/>
                <w:color w:val="000000"/>
                <w:lang w:eastAsia="zh-CN"/>
              </w:rPr>
              <w:t>；</w:t>
            </w:r>
          </w:p>
          <w:p>
            <w:pPr>
              <w:spacing w:line="360" w:lineRule="auto"/>
              <w:jc w:val="both"/>
              <w:rPr>
                <w:rFonts w:hint="eastAsia" w:ascii="宋体" w:hAnsi="宋体" w:eastAsia="宋体" w:cs="宋体"/>
                <w:i w:val="0"/>
                <w:color w:val="000000"/>
                <w:sz w:val="22"/>
                <w:szCs w:val="22"/>
                <w:u w:val="none"/>
              </w:rPr>
            </w:pPr>
            <w:r>
              <w:rPr>
                <w:rFonts w:cs="Tahoma"/>
              </w:rPr>
              <w:t>5.</w:t>
            </w:r>
            <w:r>
              <w:rPr>
                <w:rFonts w:hint="eastAsia" w:cs="Tahoma"/>
              </w:rPr>
              <w:t>综合小计仅为经济分的评审依据，（1-1</w:t>
            </w:r>
            <w:r>
              <w:rPr>
                <w:rFonts w:hint="eastAsia" w:cs="Tahoma"/>
                <w:lang w:val="en-US" w:eastAsia="zh-CN"/>
              </w:rPr>
              <w:t>3</w:t>
            </w:r>
            <w:r>
              <w:rPr>
                <w:rFonts w:hint="eastAsia" w:cs="Tahoma"/>
              </w:rPr>
              <w:t>）项产品报价的平均下浮率</w:t>
            </w:r>
            <w:r>
              <w:rPr>
                <w:rFonts w:hint="eastAsia" w:cs="Tahoma"/>
                <w:lang w:val="en-US" w:eastAsia="zh-CN"/>
              </w:rPr>
              <w:t>,</w:t>
            </w:r>
            <w:r>
              <w:rPr>
                <w:rFonts w:hint="eastAsia"/>
                <w:color w:val="000000"/>
                <w:lang w:eastAsia="zh-CN"/>
              </w:rPr>
              <w:t>（13-19）项产品报价的含税单价之和</w:t>
            </w:r>
            <w:r>
              <w:rPr>
                <w:rFonts w:hint="eastAsia" w:cs="Tahoma"/>
                <w:szCs w:val="22"/>
              </w:rPr>
              <w:t>。</w:t>
            </w:r>
          </w:p>
        </w:tc>
      </w:tr>
    </w:tbl>
    <w:p>
      <w:pPr>
        <w:spacing w:line="360" w:lineRule="auto"/>
        <w:rPr>
          <w:szCs w:val="21"/>
        </w:rPr>
      </w:pPr>
    </w:p>
    <w:p>
      <w:pPr>
        <w:spacing w:line="360" w:lineRule="auto"/>
        <w:rPr>
          <w:rFonts w:hint="eastAsia"/>
          <w:szCs w:val="16"/>
        </w:rPr>
      </w:pPr>
      <w:r>
        <w:rPr>
          <w:rFonts w:hint="eastAsia"/>
          <w:szCs w:val="16"/>
        </w:rPr>
        <w:t xml:space="preserve"> 注：1.表中大小写不一致时，以大写为准。     </w:t>
      </w:r>
    </w:p>
    <w:p>
      <w:pPr>
        <w:spacing w:line="360" w:lineRule="auto"/>
        <w:rPr>
          <w:rFonts w:hint="eastAsia"/>
          <w:szCs w:val="16"/>
        </w:rPr>
      </w:pPr>
      <w:r>
        <w:rPr>
          <w:rFonts w:hint="eastAsia"/>
          <w:szCs w:val="16"/>
        </w:rPr>
        <w:t xml:space="preserve">    2.此表一式两份，一份用信封单独密封，另一份装订在响应文件正本中，两个表须内容必须一致。 </w:t>
      </w:r>
    </w:p>
    <w:p>
      <w:pPr>
        <w:spacing w:line="360" w:lineRule="auto"/>
        <w:rPr>
          <w:rFonts w:hint="eastAsia"/>
          <w:szCs w:val="16"/>
          <w:lang w:eastAsia="zh-CN"/>
        </w:rPr>
      </w:pPr>
    </w:p>
    <w:p>
      <w:pPr>
        <w:spacing w:line="360" w:lineRule="auto"/>
        <w:rPr>
          <w:rFonts w:hint="eastAsia"/>
          <w:szCs w:val="16"/>
          <w:lang w:eastAsia="zh-CN"/>
        </w:rPr>
      </w:pPr>
    </w:p>
    <w:p>
      <w:pPr>
        <w:spacing w:line="360" w:lineRule="auto"/>
        <w:rPr>
          <w:rFonts w:hint="eastAsia"/>
          <w:szCs w:val="16"/>
          <w:lang w:eastAsia="zh-CN"/>
        </w:rPr>
      </w:pPr>
    </w:p>
    <w:p>
      <w:pPr>
        <w:spacing w:line="720" w:lineRule="auto"/>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720" w:lineRule="auto"/>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720" w:lineRule="auto"/>
        <w:rPr>
          <w:szCs w:val="16"/>
        </w:rPr>
      </w:pPr>
      <w:r>
        <w:rPr>
          <w:rFonts w:hint="eastAsia"/>
          <w:szCs w:val="16"/>
        </w:rPr>
        <w:t>日期：</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spacing w:line="720" w:lineRule="auto"/>
        <w:rPr>
          <w:rFonts w:cs="Times New Roman"/>
          <w:szCs w:val="21"/>
        </w:rPr>
      </w:pPr>
      <w:r>
        <w:rPr>
          <w:rFonts w:cs="Times New Roman"/>
          <w:szCs w:val="21"/>
        </w:rPr>
        <w:br w:type="page"/>
      </w:r>
    </w:p>
    <w:p>
      <w:pPr>
        <w:pStyle w:val="2"/>
        <w:spacing w:before="0" w:after="0" w:line="360" w:lineRule="auto"/>
        <w:rPr>
          <w:sz w:val="24"/>
          <w:szCs w:val="24"/>
        </w:rPr>
      </w:pPr>
      <w:r>
        <w:rPr>
          <w:sz w:val="24"/>
          <w:szCs w:val="24"/>
        </w:rPr>
        <w:t>1.2.1</w:t>
      </w:r>
      <w:r>
        <w:rPr>
          <w:rFonts w:hint="eastAsia"/>
          <w:sz w:val="24"/>
          <w:szCs w:val="24"/>
          <w:lang w:eastAsia="zh-CN"/>
        </w:rPr>
        <w:t>报价一览表</w:t>
      </w:r>
      <w:r>
        <w:rPr>
          <w:sz w:val="24"/>
          <w:szCs w:val="24"/>
        </w:rPr>
        <w:t>（</w:t>
      </w:r>
      <w:r>
        <w:rPr>
          <w:rFonts w:hint="eastAsia"/>
          <w:sz w:val="24"/>
          <w:szCs w:val="24"/>
          <w:lang w:val="en-US" w:eastAsia="zh-CN"/>
        </w:rPr>
        <w:t>第7包</w:t>
      </w:r>
      <w:r>
        <w:rPr>
          <w:sz w:val="24"/>
          <w:szCs w:val="24"/>
        </w:rPr>
        <w:t>-</w:t>
      </w:r>
      <w:r>
        <w:rPr>
          <w:rFonts w:hint="eastAsia"/>
          <w:sz w:val="24"/>
          <w:szCs w:val="24"/>
          <w:lang w:val="en-US" w:eastAsia="zh-CN"/>
        </w:rPr>
        <w:t>面粉</w:t>
      </w:r>
      <w:r>
        <w:rPr>
          <w:sz w:val="24"/>
          <w:szCs w:val="24"/>
        </w:rPr>
        <w:t>）</w:t>
      </w:r>
    </w:p>
    <w:p>
      <w:pPr>
        <w:spacing w:line="360" w:lineRule="auto"/>
        <w:rPr>
          <w:rFonts w:hint="eastAsia"/>
          <w:szCs w:val="16"/>
          <w:u w:val="single"/>
        </w:rPr>
      </w:pPr>
      <w:r>
        <w:rPr>
          <w:rFonts w:hint="eastAsia"/>
          <w:szCs w:val="16"/>
        </w:rPr>
        <w:t>项目名称：</w:t>
      </w:r>
      <w:r>
        <w:rPr>
          <w:rFonts w:hint="eastAsia"/>
          <w:szCs w:val="16"/>
          <w:u w:val="single"/>
          <w:lang w:val="en-US" w:eastAsia="zh-CN"/>
        </w:rPr>
        <w:t xml:space="preserve">                 </w:t>
      </w:r>
      <w:r>
        <w:rPr>
          <w:rFonts w:hint="eastAsia"/>
          <w:szCs w:val="16"/>
          <w:u w:val="single"/>
        </w:rPr>
        <w:t xml:space="preserve">   </w:t>
      </w:r>
      <w:r>
        <w:rPr>
          <w:rFonts w:hint="eastAsia"/>
          <w:szCs w:val="16"/>
        </w:rPr>
        <w:t xml:space="preserve"> （第</w:t>
      </w:r>
      <w:r>
        <w:rPr>
          <w:rFonts w:hint="eastAsia"/>
          <w:szCs w:val="16"/>
          <w:lang w:val="en-US" w:eastAsia="zh-CN"/>
        </w:rPr>
        <w:t>7</w:t>
      </w:r>
      <w:r>
        <w:rPr>
          <w:rFonts w:hint="eastAsia"/>
          <w:szCs w:val="16"/>
        </w:rPr>
        <w:t>包）</w:t>
      </w:r>
      <w:r>
        <w:rPr>
          <w:rFonts w:hint="eastAsia"/>
          <w:szCs w:val="16"/>
          <w:lang w:eastAsia="zh-CN"/>
        </w:rPr>
        <w:t>；</w:t>
      </w:r>
      <w:r>
        <w:rPr>
          <w:rFonts w:hint="eastAsia"/>
          <w:szCs w:val="16"/>
        </w:rPr>
        <w:t>项目编号：</w:t>
      </w:r>
      <w:r>
        <w:rPr>
          <w:rFonts w:hint="eastAsia"/>
          <w:szCs w:val="16"/>
          <w:u w:val="single"/>
        </w:rPr>
        <w:t xml:space="preserve">                 </w:t>
      </w:r>
    </w:p>
    <w:p>
      <w:pPr>
        <w:pStyle w:val="5"/>
      </w:pPr>
    </w:p>
    <w:tbl>
      <w:tblPr>
        <w:tblStyle w:val="32"/>
        <w:tblW w:w="87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9"/>
        <w:gridCol w:w="1276"/>
        <w:gridCol w:w="3402"/>
        <w:gridCol w:w="332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8716" w:type="dxa"/>
            <w:gridSpan w:val="4"/>
            <w:shd w:val="clear" w:color="auto" w:fill="auto"/>
            <w:noWrap/>
            <w:vAlign w:val="center"/>
          </w:tcPr>
          <w:p>
            <w:pPr>
              <w:spacing w:line="360" w:lineRule="auto"/>
              <w:rPr>
                <w:rFonts w:hint="eastAsia"/>
                <w:color w:val="000000"/>
                <w:lang w:eastAsia="zh-CN"/>
              </w:rPr>
            </w:pPr>
            <w:r>
              <w:rPr>
                <w:color w:val="000000"/>
              </w:rPr>
              <w:t>标包</w:t>
            </w:r>
            <w:r>
              <w:rPr>
                <w:rFonts w:hint="eastAsia"/>
                <w:color w:val="000000"/>
                <w:lang w:val="en-US" w:eastAsia="zh-CN"/>
              </w:rPr>
              <w:t>7-面粉</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0" w:hRule="atLeast"/>
        </w:trPr>
        <w:tc>
          <w:tcPr>
            <w:tcW w:w="709" w:type="dxa"/>
            <w:shd w:val="clear" w:color="auto" w:fill="auto"/>
            <w:vAlign w:val="center"/>
          </w:tcPr>
          <w:p>
            <w:pPr>
              <w:keepNext w:val="0"/>
              <w:keepLines w:val="0"/>
              <w:widowControl/>
              <w:suppressLineNumbers w:val="0"/>
              <w:jc w:val="center"/>
              <w:textAlignment w:val="center"/>
              <w:rPr>
                <w:color w:val="000000"/>
              </w:rPr>
            </w:pPr>
            <w:r>
              <w:rPr>
                <w:rFonts w:hint="eastAsia" w:ascii="宋体" w:hAnsi="宋体" w:eastAsia="宋体" w:cs="宋体"/>
                <w:i w:val="0"/>
                <w:color w:val="000000"/>
                <w:kern w:val="0"/>
                <w:sz w:val="24"/>
                <w:szCs w:val="24"/>
                <w:u w:val="none"/>
                <w:lang w:val="en-US" w:eastAsia="zh-CN" w:bidi="ar"/>
              </w:rPr>
              <w:t>序号</w:t>
            </w:r>
          </w:p>
        </w:tc>
        <w:tc>
          <w:tcPr>
            <w:tcW w:w="1276" w:type="dxa"/>
            <w:shd w:val="clear" w:color="auto" w:fill="auto"/>
            <w:vAlign w:val="center"/>
          </w:tcPr>
          <w:p>
            <w:pPr>
              <w:keepNext w:val="0"/>
              <w:keepLines w:val="0"/>
              <w:widowControl/>
              <w:suppressLineNumbers w:val="0"/>
              <w:jc w:val="center"/>
              <w:textAlignment w:val="center"/>
              <w:rPr>
                <w:color w:val="000000"/>
              </w:rPr>
            </w:pPr>
            <w:r>
              <w:rPr>
                <w:rFonts w:hint="eastAsia" w:ascii="宋体" w:hAnsi="宋体" w:eastAsia="宋体" w:cs="宋体"/>
                <w:i w:val="0"/>
                <w:color w:val="000000"/>
                <w:kern w:val="0"/>
                <w:sz w:val="24"/>
                <w:szCs w:val="24"/>
                <w:u w:val="none"/>
                <w:lang w:val="en-US" w:eastAsia="zh-CN" w:bidi="ar"/>
              </w:rPr>
              <w:t>品名</w:t>
            </w:r>
          </w:p>
        </w:tc>
        <w:tc>
          <w:tcPr>
            <w:tcW w:w="3402" w:type="dxa"/>
            <w:shd w:val="clear" w:color="auto" w:fill="auto"/>
            <w:vAlign w:val="center"/>
          </w:tcPr>
          <w:p>
            <w:pPr>
              <w:keepNext w:val="0"/>
              <w:keepLines w:val="0"/>
              <w:widowControl/>
              <w:suppressLineNumbers w:val="0"/>
              <w:jc w:val="center"/>
              <w:textAlignment w:val="center"/>
              <w:rPr>
                <w:color w:val="000000"/>
              </w:rPr>
            </w:pPr>
            <w:r>
              <w:rPr>
                <w:rFonts w:hint="eastAsia" w:ascii="宋体" w:hAnsi="宋体" w:eastAsia="宋体" w:cs="宋体"/>
                <w:i w:val="0"/>
                <w:color w:val="000000"/>
                <w:kern w:val="0"/>
                <w:sz w:val="24"/>
                <w:szCs w:val="24"/>
                <w:u w:val="none"/>
                <w:lang w:val="en-US" w:eastAsia="zh-CN" w:bidi="ar"/>
              </w:rPr>
              <w:t>规格</w:t>
            </w:r>
          </w:p>
        </w:tc>
        <w:tc>
          <w:tcPr>
            <w:tcW w:w="3329" w:type="dxa"/>
            <w:shd w:val="clear" w:color="auto" w:fill="auto"/>
            <w:vAlign w:val="center"/>
          </w:tcPr>
          <w:p>
            <w:pPr>
              <w:spacing w:line="360" w:lineRule="auto"/>
              <w:jc w:val="center"/>
              <w:rPr>
                <w:color w:val="000000"/>
              </w:rPr>
            </w:pPr>
            <w:r>
              <w:rPr>
                <w:rFonts w:hint="eastAsia"/>
                <w:color w:val="000000"/>
              </w:rPr>
              <w:t>含税单价（元）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709" w:type="dxa"/>
            <w:shd w:val="clear" w:color="auto" w:fill="auto"/>
            <w:vAlign w:val="center"/>
          </w:tcPr>
          <w:p>
            <w:pPr>
              <w:keepNext w:val="0"/>
              <w:keepLines w:val="0"/>
              <w:widowControl/>
              <w:suppressLineNumbers w:val="0"/>
              <w:jc w:val="center"/>
              <w:textAlignment w:val="center"/>
              <w:rPr>
                <w:color w:val="000000"/>
              </w:rPr>
            </w:pPr>
            <w:r>
              <w:rPr>
                <w:rFonts w:hint="eastAsia" w:ascii="宋体" w:hAnsi="宋体" w:eastAsia="宋体" w:cs="宋体"/>
                <w:i w:val="0"/>
                <w:color w:val="000000"/>
                <w:kern w:val="0"/>
                <w:sz w:val="24"/>
                <w:szCs w:val="24"/>
                <w:u w:val="none"/>
                <w:lang w:val="en-US" w:eastAsia="zh-CN" w:bidi="ar"/>
              </w:rPr>
              <w:t>1</w:t>
            </w:r>
          </w:p>
        </w:tc>
        <w:tc>
          <w:tcPr>
            <w:tcW w:w="1276" w:type="dxa"/>
            <w:shd w:val="clear" w:color="auto" w:fill="auto"/>
            <w:vAlign w:val="center"/>
          </w:tcPr>
          <w:p>
            <w:pPr>
              <w:keepNext w:val="0"/>
              <w:keepLines w:val="0"/>
              <w:widowControl/>
              <w:suppressLineNumbers w:val="0"/>
              <w:jc w:val="center"/>
              <w:textAlignment w:val="center"/>
              <w:rPr>
                <w:color w:val="000000"/>
              </w:rPr>
            </w:pPr>
            <w:r>
              <w:rPr>
                <w:rFonts w:hint="eastAsia" w:ascii="宋体" w:hAnsi="宋体" w:eastAsia="宋体" w:cs="宋体"/>
                <w:i w:val="0"/>
                <w:color w:val="000000"/>
                <w:kern w:val="0"/>
                <w:sz w:val="24"/>
                <w:szCs w:val="24"/>
                <w:u w:val="none"/>
                <w:lang w:val="en-US" w:eastAsia="zh-CN" w:bidi="ar"/>
              </w:rPr>
              <w:t>标准粉</w:t>
            </w:r>
          </w:p>
        </w:tc>
        <w:tc>
          <w:tcPr>
            <w:tcW w:w="3402" w:type="dxa"/>
            <w:shd w:val="clear" w:color="auto" w:fill="auto"/>
            <w:vAlign w:val="center"/>
          </w:tcPr>
          <w:p>
            <w:pPr>
              <w:keepNext w:val="0"/>
              <w:keepLines w:val="0"/>
              <w:widowControl/>
              <w:suppressLineNumbers w:val="0"/>
              <w:jc w:val="center"/>
              <w:textAlignment w:val="center"/>
              <w:rPr>
                <w:color w:val="000000"/>
              </w:rPr>
            </w:pPr>
            <w:r>
              <w:rPr>
                <w:rFonts w:hint="eastAsia" w:ascii="宋体" w:hAnsi="宋体" w:eastAsia="宋体" w:cs="宋体"/>
                <w:i w:val="0"/>
                <w:color w:val="000000"/>
                <w:kern w:val="0"/>
                <w:sz w:val="24"/>
                <w:szCs w:val="24"/>
                <w:u w:val="none"/>
                <w:lang w:val="en-US" w:eastAsia="zh-CN" w:bidi="ar"/>
              </w:rPr>
              <w:t>25公斤/袋</w:t>
            </w:r>
          </w:p>
        </w:tc>
        <w:tc>
          <w:tcPr>
            <w:tcW w:w="3329" w:type="dxa"/>
            <w:shd w:val="clear" w:color="auto" w:fill="auto"/>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40" w:hRule="atLeast"/>
        </w:trPr>
        <w:tc>
          <w:tcPr>
            <w:tcW w:w="709" w:type="dxa"/>
            <w:shd w:val="clear" w:color="auto" w:fill="auto"/>
            <w:vAlign w:val="center"/>
          </w:tcPr>
          <w:p>
            <w:pPr>
              <w:keepNext w:val="0"/>
              <w:keepLines w:val="0"/>
              <w:widowControl/>
              <w:suppressLineNumbers w:val="0"/>
              <w:jc w:val="center"/>
              <w:textAlignment w:val="center"/>
              <w:rPr>
                <w:color w:val="000000"/>
              </w:rPr>
            </w:pPr>
            <w:r>
              <w:rPr>
                <w:rFonts w:hint="eastAsia" w:ascii="宋体" w:hAnsi="宋体" w:eastAsia="宋体" w:cs="宋体"/>
                <w:i w:val="0"/>
                <w:color w:val="000000"/>
                <w:kern w:val="0"/>
                <w:sz w:val="24"/>
                <w:szCs w:val="24"/>
                <w:u w:val="none"/>
                <w:lang w:val="en-US" w:eastAsia="zh-CN" w:bidi="ar"/>
              </w:rPr>
              <w:t>2</w:t>
            </w:r>
          </w:p>
        </w:tc>
        <w:tc>
          <w:tcPr>
            <w:tcW w:w="1276" w:type="dxa"/>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lang w:val="en-US" w:eastAsia="zh-CN" w:bidi="ar-SA"/>
              </w:rPr>
            </w:pPr>
            <w:r>
              <w:rPr>
                <w:rFonts w:hint="eastAsia" w:ascii="宋体" w:hAnsi="宋体" w:eastAsia="宋体" w:cs="宋体"/>
                <w:i w:val="0"/>
                <w:color w:val="000000"/>
                <w:kern w:val="0"/>
                <w:sz w:val="24"/>
                <w:szCs w:val="24"/>
                <w:u w:val="none"/>
                <w:lang w:val="en-US" w:eastAsia="zh-CN" w:bidi="ar"/>
              </w:rPr>
              <w:t>特一粉</w:t>
            </w:r>
          </w:p>
        </w:tc>
        <w:tc>
          <w:tcPr>
            <w:tcW w:w="3402" w:type="dxa"/>
            <w:shd w:val="clear" w:color="auto" w:fill="auto"/>
            <w:vAlign w:val="center"/>
          </w:tcPr>
          <w:p>
            <w:pPr>
              <w:keepNext w:val="0"/>
              <w:keepLines w:val="0"/>
              <w:widowControl/>
              <w:suppressLineNumbers w:val="0"/>
              <w:jc w:val="center"/>
              <w:textAlignment w:val="center"/>
              <w:rPr>
                <w:rFonts w:ascii="宋体" w:hAnsi="宋体" w:eastAsia="宋体" w:cs="宋体"/>
                <w:color w:val="000000"/>
                <w:sz w:val="24"/>
                <w:szCs w:val="24"/>
                <w:lang w:val="en-US" w:eastAsia="zh-CN" w:bidi="ar-SA"/>
              </w:rPr>
            </w:pPr>
            <w:r>
              <w:rPr>
                <w:rFonts w:hint="eastAsia" w:ascii="宋体" w:hAnsi="宋体" w:eastAsia="宋体" w:cs="宋体"/>
                <w:i w:val="0"/>
                <w:color w:val="000000"/>
                <w:kern w:val="0"/>
                <w:sz w:val="24"/>
                <w:szCs w:val="24"/>
                <w:u w:val="none"/>
                <w:lang w:val="en-US" w:eastAsia="zh-CN" w:bidi="ar"/>
              </w:rPr>
              <w:t>25公斤/袋</w:t>
            </w:r>
          </w:p>
        </w:tc>
        <w:tc>
          <w:tcPr>
            <w:tcW w:w="3329" w:type="dxa"/>
            <w:shd w:val="clear" w:color="auto" w:fill="auto"/>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 w:hRule="atLeast"/>
        </w:trPr>
        <w:tc>
          <w:tcPr>
            <w:tcW w:w="5387" w:type="dxa"/>
            <w:gridSpan w:val="3"/>
            <w:shd w:val="clear" w:color="auto" w:fill="auto"/>
          </w:tcPr>
          <w:p>
            <w:pPr>
              <w:spacing w:line="360" w:lineRule="auto"/>
              <w:rPr>
                <w:color w:val="000000"/>
              </w:rPr>
            </w:pPr>
            <w:r>
              <w:rPr>
                <w:rFonts w:hint="eastAsia"/>
                <w:color w:val="000000"/>
              </w:rPr>
              <w:t>综合小计价格（</w:t>
            </w:r>
            <w:r>
              <w:rPr>
                <w:rFonts w:hint="eastAsia"/>
                <w:color w:val="000000"/>
                <w:lang w:val="en-US" w:eastAsia="zh-CN"/>
              </w:rPr>
              <w:t>2</w:t>
            </w:r>
            <w:r>
              <w:rPr>
                <w:rFonts w:hint="eastAsia"/>
                <w:color w:val="000000"/>
              </w:rPr>
              <w:t>项产品报价的含税单价之和）</w:t>
            </w:r>
          </w:p>
        </w:tc>
        <w:tc>
          <w:tcPr>
            <w:tcW w:w="3329" w:type="dxa"/>
            <w:shd w:val="clear" w:color="auto" w:fill="auto"/>
            <w:vAlign w:val="center"/>
          </w:tcPr>
          <w:p>
            <w:pPr>
              <w:spacing w:line="360" w:lineRule="auto"/>
              <w:jc w:val="center"/>
              <w:rPr>
                <w:rFonts w:hint="eastAsia" w:eastAsia="宋体"/>
                <w:color w:val="000000"/>
                <w:lang w:val="en-US" w:eastAsia="zh-CN"/>
              </w:rPr>
            </w:pPr>
            <w:r>
              <w:rPr>
                <w:rFonts w:hint="eastAsia"/>
                <w:color w:val="000000"/>
                <w:lang w:val="en-US" w:eastAsia="zh-CN"/>
              </w:rPr>
              <w:t xml:space="preserve">   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6" w:hRule="atLeast"/>
        </w:trPr>
        <w:tc>
          <w:tcPr>
            <w:tcW w:w="5387" w:type="dxa"/>
            <w:gridSpan w:val="3"/>
            <w:shd w:val="clear" w:color="auto" w:fill="auto"/>
          </w:tcPr>
          <w:p>
            <w:pPr>
              <w:spacing w:line="360" w:lineRule="auto"/>
              <w:jc w:val="center"/>
              <w:rPr>
                <w:rFonts w:hint="eastAsia"/>
                <w:color w:val="000000"/>
              </w:rPr>
            </w:pPr>
            <w:r>
              <w:rPr>
                <w:rFonts w:hint="eastAsia"/>
                <w:color w:val="000000"/>
                <w:lang w:val="en-US" w:eastAsia="zh-CN"/>
              </w:rPr>
              <w:t>服务期限</w:t>
            </w:r>
          </w:p>
        </w:tc>
        <w:tc>
          <w:tcPr>
            <w:tcW w:w="3329" w:type="dxa"/>
            <w:shd w:val="clear" w:color="auto" w:fill="auto"/>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7" w:hRule="atLeast"/>
        </w:trPr>
        <w:tc>
          <w:tcPr>
            <w:tcW w:w="5387" w:type="dxa"/>
            <w:gridSpan w:val="3"/>
            <w:shd w:val="clear" w:color="auto" w:fill="auto"/>
          </w:tcPr>
          <w:p>
            <w:pPr>
              <w:spacing w:line="360" w:lineRule="auto"/>
              <w:jc w:val="center"/>
              <w:rPr>
                <w:rFonts w:hint="eastAsia"/>
                <w:color w:val="000000"/>
              </w:rPr>
            </w:pPr>
            <w:r>
              <w:rPr>
                <w:rFonts w:hint="eastAsia"/>
                <w:color w:val="000000"/>
                <w:lang w:val="en-US" w:eastAsia="zh-CN"/>
              </w:rPr>
              <w:t>备注</w:t>
            </w:r>
          </w:p>
        </w:tc>
        <w:tc>
          <w:tcPr>
            <w:tcW w:w="3329" w:type="dxa"/>
            <w:shd w:val="clear" w:color="auto" w:fill="auto"/>
            <w:vAlign w:val="center"/>
          </w:tcPr>
          <w:p>
            <w:pPr>
              <w:spacing w:line="360" w:lineRule="auto"/>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104" w:hRule="atLeast"/>
        </w:trPr>
        <w:tc>
          <w:tcPr>
            <w:tcW w:w="8716" w:type="dxa"/>
            <w:gridSpan w:val="4"/>
            <w:shd w:val="clear" w:color="auto" w:fill="auto"/>
          </w:tcPr>
          <w:p>
            <w:pPr>
              <w:spacing w:line="360" w:lineRule="auto"/>
              <w:rPr>
                <w:color w:val="000000"/>
              </w:rPr>
            </w:pPr>
            <w:r>
              <w:rPr>
                <w:rFonts w:hint="eastAsia"/>
                <w:color w:val="000000"/>
              </w:rPr>
              <w:t>说明：</w:t>
            </w:r>
          </w:p>
          <w:p>
            <w:pPr>
              <w:spacing w:line="360" w:lineRule="auto"/>
              <w:rPr>
                <w:color w:val="000000"/>
              </w:rPr>
            </w:pPr>
            <w:r>
              <w:rPr>
                <w:rFonts w:hint="eastAsia"/>
                <w:color w:val="000000"/>
              </w:rPr>
              <w:t>1</w:t>
            </w:r>
            <w:r>
              <w:rPr>
                <w:color w:val="000000"/>
              </w:rPr>
              <w:t>.</w:t>
            </w:r>
            <w:r>
              <w:rPr>
                <w:rFonts w:hint="eastAsia"/>
                <w:color w:val="000000"/>
              </w:rPr>
              <w:t>报价</w:t>
            </w:r>
            <w:r>
              <w:rPr>
                <w:color w:val="000000"/>
              </w:rPr>
              <w:t>包括全部货品、税费、包装费、运输、装卸等费用，以及己支付或将支付的营业税和其它税费等所有费用</w:t>
            </w:r>
            <w:r>
              <w:rPr>
                <w:rFonts w:hint="eastAsia"/>
                <w:color w:val="000000"/>
              </w:rPr>
              <w:t>。</w:t>
            </w:r>
          </w:p>
          <w:p>
            <w:pPr>
              <w:spacing w:line="360" w:lineRule="auto"/>
              <w:rPr>
                <w:color w:val="000000"/>
              </w:rPr>
            </w:pPr>
            <w:r>
              <w:rPr>
                <w:color w:val="000000"/>
              </w:rPr>
              <w:t>2.报价最多保留两位小数，对于小数点后第三位数字，无论大小，一律按舍去处理。</w:t>
            </w:r>
          </w:p>
          <w:p>
            <w:pPr>
              <w:spacing w:line="360" w:lineRule="auto"/>
              <w:rPr>
                <w:color w:val="000000"/>
              </w:rPr>
            </w:pPr>
            <w:r>
              <w:rPr>
                <w:rFonts w:hint="eastAsia"/>
                <w:color w:val="000000"/>
              </w:rPr>
              <w:t>3</w:t>
            </w:r>
            <w:r>
              <w:rPr>
                <w:color w:val="000000"/>
              </w:rPr>
              <w:t>.</w:t>
            </w:r>
            <w:r>
              <w:rPr>
                <w:rFonts w:hint="eastAsia"/>
                <w:color w:val="000000"/>
              </w:rPr>
              <w:t>综合小计仅为经济分的评审依据，综合小计为</w:t>
            </w:r>
            <w:r>
              <w:rPr>
                <w:rFonts w:hint="eastAsia"/>
                <w:color w:val="000000"/>
                <w:lang w:val="en-US" w:eastAsia="zh-CN"/>
              </w:rPr>
              <w:t>2</w:t>
            </w:r>
            <w:r>
              <w:rPr>
                <w:rFonts w:hint="eastAsia"/>
                <w:color w:val="000000"/>
              </w:rPr>
              <w:t>项产品报价的含税单价之和。</w:t>
            </w:r>
          </w:p>
        </w:tc>
      </w:tr>
    </w:tbl>
    <w:p>
      <w:pPr>
        <w:spacing w:line="360" w:lineRule="exact"/>
        <w:rPr>
          <w:szCs w:val="21"/>
        </w:rPr>
      </w:pPr>
    </w:p>
    <w:p>
      <w:pPr>
        <w:spacing w:line="360" w:lineRule="auto"/>
        <w:rPr>
          <w:rFonts w:hint="eastAsia"/>
          <w:szCs w:val="16"/>
        </w:rPr>
      </w:pPr>
      <w:r>
        <w:rPr>
          <w:rFonts w:hint="eastAsia"/>
          <w:szCs w:val="16"/>
        </w:rPr>
        <w:t xml:space="preserve"> 注：1.表中大小写不一致时，以大写为准。     </w:t>
      </w:r>
    </w:p>
    <w:p>
      <w:pPr>
        <w:spacing w:line="360" w:lineRule="auto"/>
        <w:rPr>
          <w:rFonts w:hint="eastAsia"/>
          <w:szCs w:val="16"/>
        </w:rPr>
      </w:pPr>
      <w:r>
        <w:rPr>
          <w:rFonts w:hint="eastAsia"/>
          <w:szCs w:val="16"/>
        </w:rPr>
        <w:t xml:space="preserve">    2.此表</w:t>
      </w:r>
      <w:r>
        <w:rPr>
          <w:rFonts w:hint="eastAsia"/>
          <w:szCs w:val="16"/>
          <w:lang w:val="en-US" w:eastAsia="zh-CN"/>
        </w:rPr>
        <w:t>及报价明细表</w:t>
      </w:r>
      <w:r>
        <w:rPr>
          <w:rFonts w:hint="eastAsia"/>
          <w:szCs w:val="16"/>
        </w:rPr>
        <w:t xml:space="preserve">一式两份，一份用信封单独密封，另一份装订在响应文件正本中，两个表须内容必须一致。 </w:t>
      </w:r>
    </w:p>
    <w:p>
      <w:pPr>
        <w:spacing w:line="600" w:lineRule="auto"/>
        <w:rPr>
          <w:rFonts w:hint="eastAsia"/>
          <w:szCs w:val="16"/>
          <w:lang w:eastAsia="zh-CN"/>
        </w:rPr>
      </w:pPr>
    </w:p>
    <w:p>
      <w:pPr>
        <w:spacing w:line="600" w:lineRule="auto"/>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600" w:lineRule="auto"/>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600" w:lineRule="auto"/>
        <w:rPr>
          <w:szCs w:val="16"/>
        </w:rPr>
      </w:pPr>
      <w:r>
        <w:rPr>
          <w:rFonts w:hint="eastAsia"/>
          <w:szCs w:val="16"/>
        </w:rPr>
        <w:t>日</w:t>
      </w:r>
      <w:r>
        <w:rPr>
          <w:rFonts w:hint="eastAsia"/>
          <w:szCs w:val="16"/>
          <w:lang w:val="en-US" w:eastAsia="zh-CN"/>
        </w:rPr>
        <w:t xml:space="preserve">       </w:t>
      </w:r>
      <w:r>
        <w:rPr>
          <w:rFonts w:hint="eastAsia"/>
          <w:szCs w:val="16"/>
        </w:rPr>
        <w:t>期：</w:t>
      </w:r>
      <w:r>
        <w:rPr>
          <w:rFonts w:hint="eastAsia"/>
          <w:szCs w:val="16"/>
          <w:u w:val="single"/>
        </w:rPr>
        <w:t xml:space="preserve">    </w:t>
      </w:r>
      <w:r>
        <w:rPr>
          <w:rFonts w:hint="eastAsia"/>
          <w:szCs w:val="16"/>
          <w:u w:val="single"/>
          <w:lang w:val="en-US" w:eastAsia="zh-CN"/>
        </w:rPr>
        <w:t xml:space="preserve">  </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u w:val="single"/>
          <w:lang w:val="en-US" w:eastAsia="zh-CN"/>
        </w:rPr>
        <w:t xml:space="preserve">   </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u w:val="single"/>
          <w:lang w:val="en-US" w:eastAsia="zh-CN"/>
        </w:rPr>
        <w:t xml:space="preserve">   </w:t>
      </w:r>
      <w:r>
        <w:rPr>
          <w:rFonts w:hint="eastAsia"/>
          <w:szCs w:val="16"/>
          <w:u w:val="single"/>
        </w:rPr>
        <w:t xml:space="preserve">  </w:t>
      </w:r>
      <w:r>
        <w:rPr>
          <w:rFonts w:hint="eastAsia"/>
          <w:szCs w:val="16"/>
        </w:rPr>
        <w:t>日</w:t>
      </w:r>
    </w:p>
    <w:p>
      <w:pPr>
        <w:rPr>
          <w:rFonts w:cs="Times New Roman"/>
          <w:szCs w:val="21"/>
        </w:rPr>
      </w:pPr>
      <w:r>
        <w:rPr>
          <w:rFonts w:cs="Times New Roman"/>
          <w:szCs w:val="21"/>
        </w:rPr>
        <w:br w:type="page"/>
      </w:r>
    </w:p>
    <w:p>
      <w:pPr>
        <w:pStyle w:val="2"/>
        <w:spacing w:before="0" w:after="0" w:line="360" w:lineRule="auto"/>
        <w:rPr>
          <w:sz w:val="24"/>
          <w:szCs w:val="24"/>
        </w:rPr>
      </w:pPr>
      <w:r>
        <w:rPr>
          <w:sz w:val="24"/>
          <w:szCs w:val="24"/>
        </w:rPr>
        <w:t>1.2.1</w:t>
      </w:r>
      <w:r>
        <w:rPr>
          <w:rFonts w:hint="eastAsia"/>
          <w:sz w:val="24"/>
          <w:szCs w:val="24"/>
          <w:lang w:eastAsia="zh-CN"/>
        </w:rPr>
        <w:t>报价一览表</w:t>
      </w:r>
      <w:r>
        <w:rPr>
          <w:sz w:val="24"/>
          <w:szCs w:val="24"/>
        </w:rPr>
        <w:t>（</w:t>
      </w:r>
      <w:r>
        <w:rPr>
          <w:rFonts w:hint="eastAsia"/>
          <w:sz w:val="24"/>
          <w:szCs w:val="24"/>
          <w:lang w:val="en-US" w:eastAsia="zh-CN"/>
        </w:rPr>
        <w:t>第8包</w:t>
      </w:r>
      <w:r>
        <w:rPr>
          <w:sz w:val="24"/>
          <w:szCs w:val="24"/>
        </w:rPr>
        <w:t>-</w:t>
      </w:r>
      <w:r>
        <w:rPr>
          <w:rFonts w:hint="eastAsia"/>
          <w:sz w:val="24"/>
          <w:szCs w:val="24"/>
          <w:lang w:val="en-US" w:eastAsia="zh-CN"/>
        </w:rPr>
        <w:t>副食品</w:t>
      </w:r>
      <w:r>
        <w:rPr>
          <w:sz w:val="24"/>
          <w:szCs w:val="24"/>
        </w:rPr>
        <w:t>）</w:t>
      </w:r>
    </w:p>
    <w:p>
      <w:pPr>
        <w:pStyle w:val="2"/>
        <w:spacing w:before="0" w:after="0" w:line="360" w:lineRule="auto"/>
        <w:rPr>
          <w:sz w:val="24"/>
          <w:szCs w:val="24"/>
        </w:rPr>
      </w:pPr>
      <w:r>
        <w:rPr>
          <w:rFonts w:hint="eastAsia" w:ascii="宋体" w:hAnsi="宋体" w:eastAsia="宋体" w:cs="宋体"/>
          <w:b w:val="0"/>
          <w:bCs w:val="0"/>
          <w:sz w:val="24"/>
          <w:szCs w:val="16"/>
          <w:lang w:val="en-US" w:eastAsia="zh-CN" w:bidi="ar-SA"/>
        </w:rPr>
        <w:t>项目名称：</w:t>
      </w:r>
      <w:r>
        <w:rPr>
          <w:rFonts w:hint="eastAsia" w:ascii="宋体" w:hAnsi="宋体" w:eastAsia="宋体" w:cs="宋体"/>
          <w:b w:val="0"/>
          <w:bCs w:val="0"/>
          <w:sz w:val="24"/>
          <w:szCs w:val="16"/>
          <w:u w:val="single"/>
          <w:lang w:val="en-US" w:eastAsia="zh-CN" w:bidi="ar-SA"/>
        </w:rPr>
        <w:t xml:space="preserve">                       </w:t>
      </w:r>
      <w:r>
        <w:rPr>
          <w:rFonts w:hint="eastAsia" w:ascii="宋体" w:hAnsi="宋体" w:eastAsia="宋体" w:cs="宋体"/>
          <w:b w:val="0"/>
          <w:bCs w:val="0"/>
          <w:sz w:val="24"/>
          <w:szCs w:val="16"/>
          <w:lang w:val="en-US" w:eastAsia="zh-CN" w:bidi="ar-SA"/>
        </w:rPr>
        <w:t>（第</w:t>
      </w:r>
      <w:r>
        <w:rPr>
          <w:rFonts w:hint="eastAsia" w:cs="宋体"/>
          <w:b w:val="0"/>
          <w:bCs w:val="0"/>
          <w:sz w:val="24"/>
          <w:szCs w:val="16"/>
          <w:lang w:val="en-US" w:eastAsia="zh-CN" w:bidi="ar-SA"/>
        </w:rPr>
        <w:t>8</w:t>
      </w:r>
      <w:r>
        <w:rPr>
          <w:rFonts w:hint="eastAsia" w:ascii="宋体" w:hAnsi="宋体" w:eastAsia="宋体" w:cs="宋体"/>
          <w:b w:val="0"/>
          <w:bCs w:val="0"/>
          <w:sz w:val="24"/>
          <w:szCs w:val="16"/>
          <w:lang w:val="en-US" w:eastAsia="zh-CN" w:bidi="ar-SA"/>
        </w:rPr>
        <w:t>包）；项目编号：</w:t>
      </w:r>
      <w:r>
        <w:rPr>
          <w:rFonts w:hint="eastAsia" w:ascii="宋体" w:hAnsi="宋体" w:eastAsia="宋体" w:cs="宋体"/>
          <w:b w:val="0"/>
          <w:bCs w:val="0"/>
          <w:sz w:val="24"/>
          <w:szCs w:val="16"/>
          <w:u w:val="single"/>
          <w:lang w:val="en-US" w:eastAsia="zh-CN" w:bidi="ar-SA"/>
        </w:rPr>
        <w:t xml:space="preserve">           </w:t>
      </w:r>
      <w:r>
        <w:rPr>
          <w:rFonts w:hint="eastAsia"/>
          <w:szCs w:val="16"/>
          <w:u w:val="single"/>
        </w:rPr>
        <w:t xml:space="preserve">    </w:t>
      </w:r>
    </w:p>
    <w:tbl>
      <w:tblPr>
        <w:tblStyle w:val="32"/>
        <w:tblpPr w:leftFromText="180" w:rightFromText="180" w:vertAnchor="text" w:horzAnchor="page" w:tblpXSpec="center" w:tblpY="164"/>
        <w:tblOverlap w:val="never"/>
        <w:tblW w:w="9578" w:type="dxa"/>
        <w:jc w:val="center"/>
        <w:tblLayout w:type="fixed"/>
        <w:tblCellMar>
          <w:top w:w="0" w:type="dxa"/>
          <w:left w:w="0" w:type="dxa"/>
          <w:bottom w:w="0" w:type="dxa"/>
          <w:right w:w="0" w:type="dxa"/>
        </w:tblCellMar>
      </w:tblPr>
      <w:tblGrid>
        <w:gridCol w:w="1589"/>
        <w:gridCol w:w="7989"/>
      </w:tblGrid>
      <w:tr>
        <w:tblPrEx>
          <w:tblCellMar>
            <w:top w:w="0" w:type="dxa"/>
            <w:left w:w="0" w:type="dxa"/>
            <w:bottom w:w="0" w:type="dxa"/>
            <w:right w:w="0" w:type="dxa"/>
          </w:tblCellMar>
        </w:tblPrEx>
        <w:trPr>
          <w:trHeight w:val="697" w:hRule="exact"/>
          <w:jc w:val="center"/>
        </w:trPr>
        <w:tc>
          <w:tcPr>
            <w:tcW w:w="1589" w:type="dxa"/>
            <w:tcBorders>
              <w:top w:val="single" w:color="auto" w:sz="8" w:space="0"/>
              <w:left w:val="single" w:color="auto" w:sz="8" w:space="0"/>
              <w:bottom w:val="single" w:color="auto" w:sz="8" w:space="0"/>
              <w:right w:val="single" w:color="auto" w:sz="8" w:space="0"/>
            </w:tcBorders>
            <w:vAlign w:val="center"/>
          </w:tcPr>
          <w:p>
            <w:pPr>
              <w:ind w:right="-72" w:rightChars="-30"/>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eastAsia="zh-CN"/>
              </w:rPr>
              <w:t>供应商</w:t>
            </w:r>
            <w:r>
              <w:rPr>
                <w:rFonts w:hint="eastAsia" w:asciiTheme="minorEastAsia" w:hAnsiTheme="minorEastAsia" w:eastAsiaTheme="minorEastAsia" w:cstheme="minorEastAsia"/>
                <w:bCs/>
                <w:color w:val="000000"/>
                <w:sz w:val="24"/>
                <w:szCs w:val="24"/>
              </w:rPr>
              <w:t>名称</w:t>
            </w:r>
          </w:p>
        </w:tc>
        <w:tc>
          <w:tcPr>
            <w:tcW w:w="7989" w:type="dxa"/>
            <w:tcBorders>
              <w:top w:val="single" w:color="auto" w:sz="8" w:space="0"/>
              <w:left w:val="single" w:color="auto" w:sz="8" w:space="0"/>
              <w:bottom w:val="single" w:color="auto" w:sz="8" w:space="0"/>
              <w:right w:val="single" w:color="auto" w:sz="8" w:space="0"/>
            </w:tcBorders>
            <w:vAlign w:val="center"/>
          </w:tcPr>
          <w:p>
            <w:pPr>
              <w:ind w:right="-72" w:rightChars="-30"/>
              <w:jc w:val="center"/>
              <w:rPr>
                <w:rFonts w:hint="eastAsia" w:asciiTheme="minorEastAsia" w:hAnsiTheme="minorEastAsia" w:eastAsiaTheme="minorEastAsia" w:cstheme="minorEastAsia"/>
                <w:bCs/>
                <w:color w:val="000000"/>
                <w:sz w:val="24"/>
                <w:szCs w:val="24"/>
              </w:rPr>
            </w:pPr>
          </w:p>
        </w:tc>
      </w:tr>
      <w:tr>
        <w:tblPrEx>
          <w:tblCellMar>
            <w:top w:w="0" w:type="dxa"/>
            <w:left w:w="0" w:type="dxa"/>
            <w:bottom w:w="0" w:type="dxa"/>
            <w:right w:w="0" w:type="dxa"/>
          </w:tblCellMar>
        </w:tblPrEx>
        <w:trPr>
          <w:trHeight w:val="672" w:hRule="atLeast"/>
          <w:jc w:val="center"/>
        </w:trPr>
        <w:tc>
          <w:tcPr>
            <w:tcW w:w="1589" w:type="dxa"/>
            <w:tcBorders>
              <w:top w:val="single" w:color="auto" w:sz="8" w:space="0"/>
              <w:left w:val="single" w:color="auto" w:sz="8" w:space="0"/>
              <w:right w:val="single" w:color="auto" w:sz="8" w:space="0"/>
            </w:tcBorders>
            <w:vAlign w:val="center"/>
          </w:tcPr>
          <w:p>
            <w:pPr>
              <w:pStyle w:val="77"/>
              <w:jc w:val="center"/>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lang w:val="en-US" w:eastAsia="zh-CN"/>
              </w:rPr>
              <w:t>总报价（元）</w:t>
            </w:r>
          </w:p>
        </w:tc>
        <w:tc>
          <w:tcPr>
            <w:tcW w:w="7989" w:type="dxa"/>
            <w:tcBorders>
              <w:top w:val="single" w:color="auto" w:sz="8" w:space="0"/>
              <w:left w:val="single" w:color="auto" w:sz="8" w:space="0"/>
              <w:bottom w:val="single" w:color="auto" w:sz="8" w:space="0"/>
              <w:right w:val="single" w:color="auto" w:sz="8" w:space="0"/>
            </w:tcBorders>
            <w:vAlign w:val="center"/>
          </w:tcPr>
          <w:p>
            <w:pPr>
              <w:ind w:right="-72" w:rightChars="-30"/>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小写：</w:t>
            </w:r>
          </w:p>
          <w:p>
            <w:pPr>
              <w:pStyle w:val="5"/>
              <w:ind w:left="0" w:leftChars="0" w:firstLine="0" w:firstLineChars="0"/>
              <w:jc w:val="center"/>
              <w:rPr>
                <w:rFonts w:hint="eastAsia" w:asciiTheme="minorEastAsia" w:hAnsiTheme="minorEastAsia" w:eastAsiaTheme="minorEastAsia" w:cstheme="minorEastAsia"/>
                <w:bCs/>
                <w:color w:val="000000"/>
                <w:sz w:val="24"/>
                <w:szCs w:val="24"/>
                <w:lang w:val="en-US" w:eastAsia="zh-CN"/>
              </w:rPr>
            </w:pPr>
          </w:p>
          <w:p>
            <w:pPr>
              <w:pStyle w:val="5"/>
              <w:ind w:left="0" w:leftChars="0" w:firstLine="0" w:firstLineChars="0"/>
              <w:jc w:val="center"/>
              <w:rPr>
                <w:rFonts w:hint="default"/>
                <w:lang w:val="en-US" w:eastAsia="zh-CN"/>
              </w:rPr>
            </w:pPr>
            <w:r>
              <w:rPr>
                <w:rFonts w:hint="eastAsia" w:asciiTheme="minorEastAsia" w:hAnsiTheme="minorEastAsia" w:eastAsiaTheme="minorEastAsia" w:cstheme="minorEastAsia"/>
                <w:bCs/>
                <w:color w:val="000000"/>
                <w:sz w:val="24"/>
                <w:szCs w:val="24"/>
                <w:lang w:val="en-US" w:eastAsia="zh-CN"/>
              </w:rPr>
              <w:t>大写：</w:t>
            </w:r>
          </w:p>
        </w:tc>
      </w:tr>
      <w:tr>
        <w:tblPrEx>
          <w:tblCellMar>
            <w:top w:w="0" w:type="dxa"/>
            <w:left w:w="0" w:type="dxa"/>
            <w:bottom w:w="0" w:type="dxa"/>
            <w:right w:w="0" w:type="dxa"/>
          </w:tblCellMar>
        </w:tblPrEx>
        <w:trPr>
          <w:trHeight w:val="672" w:hRule="atLeast"/>
          <w:jc w:val="center"/>
        </w:trPr>
        <w:tc>
          <w:tcPr>
            <w:tcW w:w="1589" w:type="dxa"/>
            <w:tcBorders>
              <w:top w:val="single" w:color="auto" w:sz="8" w:space="0"/>
              <w:left w:val="single" w:color="auto" w:sz="8" w:space="0"/>
              <w:right w:val="single" w:color="auto" w:sz="8" w:space="0"/>
            </w:tcBorders>
            <w:vAlign w:val="center"/>
          </w:tcPr>
          <w:p>
            <w:pPr>
              <w:pStyle w:val="77"/>
              <w:jc w:val="center"/>
              <w:rPr>
                <w:rFonts w:hint="eastAsia" w:asciiTheme="minorEastAsia" w:hAnsiTheme="minorEastAsia" w:eastAsiaTheme="minorEastAsia" w:cstheme="minorEastAsia"/>
                <w:sz w:val="24"/>
                <w:szCs w:val="24"/>
                <w:lang w:eastAsia="zh-CN"/>
              </w:rPr>
            </w:pPr>
            <w:r>
              <w:rPr>
                <w:rFonts w:hint="eastAsia"/>
                <w:color w:val="000000"/>
                <w:lang w:val="en-US" w:eastAsia="zh-CN"/>
              </w:rPr>
              <w:t>服务期限</w:t>
            </w:r>
          </w:p>
        </w:tc>
        <w:tc>
          <w:tcPr>
            <w:tcW w:w="7989" w:type="dxa"/>
            <w:tcBorders>
              <w:top w:val="single" w:color="auto" w:sz="8" w:space="0"/>
              <w:left w:val="single" w:color="auto" w:sz="8" w:space="0"/>
              <w:bottom w:val="single" w:color="auto" w:sz="8" w:space="0"/>
              <w:right w:val="single" w:color="auto" w:sz="8" w:space="0"/>
            </w:tcBorders>
            <w:vAlign w:val="center"/>
          </w:tcPr>
          <w:p>
            <w:pPr>
              <w:pStyle w:val="5"/>
              <w:ind w:left="0" w:leftChars="0" w:firstLine="0" w:firstLineChars="0"/>
              <w:jc w:val="center"/>
              <w:rPr>
                <w:rFonts w:hint="eastAsia" w:asciiTheme="minorEastAsia" w:hAnsiTheme="minorEastAsia" w:eastAsiaTheme="minorEastAsia" w:cstheme="minorEastAsia"/>
                <w:bCs/>
                <w:color w:val="000000"/>
                <w:sz w:val="24"/>
                <w:szCs w:val="24"/>
                <w:lang w:val="en-US" w:eastAsia="zh-CN"/>
              </w:rPr>
            </w:pPr>
          </w:p>
        </w:tc>
      </w:tr>
      <w:tr>
        <w:tblPrEx>
          <w:tblCellMar>
            <w:top w:w="0" w:type="dxa"/>
            <w:left w:w="0" w:type="dxa"/>
            <w:bottom w:w="0" w:type="dxa"/>
            <w:right w:w="0" w:type="dxa"/>
          </w:tblCellMar>
        </w:tblPrEx>
        <w:trPr>
          <w:trHeight w:val="672" w:hRule="atLeast"/>
          <w:jc w:val="center"/>
        </w:trPr>
        <w:tc>
          <w:tcPr>
            <w:tcW w:w="1589" w:type="dxa"/>
            <w:tcBorders>
              <w:top w:val="single" w:color="auto" w:sz="8" w:space="0"/>
              <w:left w:val="single" w:color="auto" w:sz="8" w:space="0"/>
              <w:right w:val="single" w:color="auto" w:sz="8" w:space="0"/>
            </w:tcBorders>
            <w:vAlign w:val="center"/>
          </w:tcPr>
          <w:p>
            <w:pPr>
              <w:pStyle w:val="77"/>
              <w:jc w:val="center"/>
              <w:rPr>
                <w:rFonts w:hint="eastAsia" w:asciiTheme="minorEastAsia" w:hAnsiTheme="minorEastAsia" w:eastAsiaTheme="minorEastAsia" w:cstheme="minorEastAsia"/>
                <w:sz w:val="24"/>
                <w:szCs w:val="24"/>
                <w:lang w:eastAsia="zh-CN"/>
              </w:rPr>
            </w:pPr>
            <w:r>
              <w:rPr>
                <w:rFonts w:hint="eastAsia"/>
                <w:color w:val="000000"/>
                <w:lang w:val="en-US" w:eastAsia="zh-CN"/>
              </w:rPr>
              <w:t>备注</w:t>
            </w:r>
          </w:p>
        </w:tc>
        <w:tc>
          <w:tcPr>
            <w:tcW w:w="7989" w:type="dxa"/>
            <w:tcBorders>
              <w:top w:val="single" w:color="auto" w:sz="8" w:space="0"/>
              <w:left w:val="single" w:color="auto" w:sz="8" w:space="0"/>
              <w:bottom w:val="single" w:color="auto" w:sz="8" w:space="0"/>
              <w:right w:val="single" w:color="auto" w:sz="8" w:space="0"/>
            </w:tcBorders>
            <w:vAlign w:val="center"/>
          </w:tcPr>
          <w:p>
            <w:pPr>
              <w:pStyle w:val="5"/>
              <w:ind w:left="0" w:leftChars="0" w:firstLine="0" w:firstLineChars="0"/>
              <w:jc w:val="center"/>
              <w:rPr>
                <w:rFonts w:hint="eastAsia" w:asciiTheme="minorEastAsia" w:hAnsiTheme="minorEastAsia" w:eastAsiaTheme="minorEastAsia" w:cstheme="minorEastAsia"/>
                <w:bCs/>
                <w:color w:val="000000"/>
                <w:sz w:val="24"/>
                <w:szCs w:val="24"/>
                <w:lang w:val="en-US" w:eastAsia="zh-CN"/>
              </w:rPr>
            </w:pPr>
          </w:p>
        </w:tc>
      </w:tr>
      <w:tr>
        <w:tblPrEx>
          <w:tblCellMar>
            <w:top w:w="0" w:type="dxa"/>
            <w:left w:w="0" w:type="dxa"/>
            <w:bottom w:w="0" w:type="dxa"/>
            <w:right w:w="0" w:type="dxa"/>
          </w:tblCellMar>
        </w:tblPrEx>
        <w:trPr>
          <w:trHeight w:val="3803" w:hRule="exact"/>
          <w:jc w:val="center"/>
        </w:trPr>
        <w:tc>
          <w:tcPr>
            <w:tcW w:w="1589" w:type="dxa"/>
            <w:tcBorders>
              <w:top w:val="single" w:color="auto" w:sz="8" w:space="0"/>
              <w:left w:val="single" w:color="auto" w:sz="8" w:space="0"/>
              <w:bottom w:val="single" w:color="auto" w:sz="8" w:space="0"/>
              <w:right w:val="single" w:color="auto" w:sz="8" w:space="0"/>
            </w:tcBorders>
            <w:vAlign w:val="center"/>
          </w:tcPr>
          <w:p>
            <w:pPr>
              <w:ind w:right="-72" w:rightChars="-30"/>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rPr>
              <w:t>备注</w:t>
            </w:r>
          </w:p>
        </w:tc>
        <w:tc>
          <w:tcPr>
            <w:tcW w:w="7989" w:type="dxa"/>
            <w:tcBorders>
              <w:top w:val="single" w:color="auto" w:sz="8" w:space="0"/>
              <w:left w:val="single" w:color="auto" w:sz="8" w:space="0"/>
              <w:bottom w:val="single" w:color="auto" w:sz="8" w:space="0"/>
              <w:right w:val="single" w:color="auto" w:sz="8" w:space="0"/>
            </w:tcBorders>
            <w:vAlign w:val="center"/>
          </w:tcPr>
          <w:p>
            <w:pPr>
              <w:spacing w:line="360" w:lineRule="auto"/>
            </w:pPr>
            <w:r>
              <w:rPr>
                <w:rFonts w:hint="eastAsia"/>
              </w:rPr>
              <w:t>说明：</w:t>
            </w:r>
          </w:p>
          <w:p>
            <w:pPr>
              <w:spacing w:line="360" w:lineRule="auto"/>
            </w:pPr>
            <w:r>
              <w:rPr>
                <w:rFonts w:hint="eastAsia"/>
              </w:rPr>
              <w:t>1</w:t>
            </w:r>
            <w:r>
              <w:t>.</w:t>
            </w:r>
            <w:r>
              <w:rPr>
                <w:rFonts w:hint="eastAsia"/>
              </w:rPr>
              <w:t>报价</w:t>
            </w:r>
            <w:r>
              <w:t>包括全部货品、税费、包装费、运输、装卸等费用，以及己支付或将支付的营业税和其它税费等所有费用</w:t>
            </w:r>
            <w:r>
              <w:rPr>
                <w:rFonts w:hint="eastAsia"/>
              </w:rPr>
              <w:t>。</w:t>
            </w:r>
          </w:p>
          <w:p>
            <w:pPr>
              <w:spacing w:line="360" w:lineRule="auto"/>
            </w:pPr>
            <w:r>
              <w:t>2.报价最多保留两位小数，对于小数点后第三位数字，无论大小，一律按舍去处理。</w:t>
            </w:r>
          </w:p>
          <w:p>
            <w:pPr>
              <w:pStyle w:val="5"/>
              <w:ind w:left="0" w:leftChars="0" w:firstLine="0" w:firstLineChars="0"/>
              <w:rPr>
                <w:rFonts w:hint="default" w:eastAsia="宋体"/>
                <w:lang w:val="en-US" w:eastAsia="zh-CN"/>
              </w:rPr>
            </w:pPr>
            <w:r>
              <w:rPr>
                <w:rFonts w:hint="eastAsia"/>
              </w:rPr>
              <w:t>3</w:t>
            </w:r>
            <w:r>
              <w:t>.</w:t>
            </w:r>
            <w:r>
              <w:rPr>
                <w:rFonts w:hint="eastAsia"/>
              </w:rPr>
              <w:t>综合小计仅为经济分的评审依据，综合小计</w:t>
            </w:r>
            <w:r>
              <w:rPr>
                <w:rFonts w:hint="eastAsia"/>
                <w:lang w:val="en-US" w:eastAsia="zh-CN"/>
              </w:rPr>
              <w:t>以报价明细表中（1-86）项</w:t>
            </w:r>
            <w:r>
              <w:rPr>
                <w:rFonts w:hint="eastAsia"/>
              </w:rPr>
              <w:t>产品报价的含税单价之和。</w:t>
            </w:r>
          </w:p>
        </w:tc>
      </w:tr>
    </w:tbl>
    <w:p>
      <w:pPr>
        <w:spacing w:line="360" w:lineRule="auto"/>
        <w:rPr>
          <w:rFonts w:hint="eastAsia"/>
          <w:szCs w:val="16"/>
        </w:rPr>
      </w:pPr>
      <w:r>
        <w:rPr>
          <w:rFonts w:hint="eastAsia"/>
          <w:szCs w:val="16"/>
        </w:rPr>
        <w:t xml:space="preserve">  注：1.表中大小写不一致时，以大写为准。     </w:t>
      </w:r>
    </w:p>
    <w:p>
      <w:pPr>
        <w:spacing w:line="360" w:lineRule="auto"/>
        <w:rPr>
          <w:rFonts w:hint="eastAsia"/>
          <w:szCs w:val="16"/>
        </w:rPr>
      </w:pPr>
      <w:r>
        <w:rPr>
          <w:rFonts w:hint="eastAsia"/>
          <w:szCs w:val="16"/>
        </w:rPr>
        <w:t xml:space="preserve">    2.此表</w:t>
      </w:r>
      <w:r>
        <w:rPr>
          <w:rFonts w:hint="eastAsia"/>
          <w:szCs w:val="16"/>
          <w:lang w:val="en-US" w:eastAsia="zh-CN"/>
        </w:rPr>
        <w:t>及报价明细表</w:t>
      </w:r>
      <w:r>
        <w:rPr>
          <w:rFonts w:hint="eastAsia"/>
          <w:szCs w:val="16"/>
        </w:rPr>
        <w:t xml:space="preserve">一式两份，一份用信封单独密封，另一份装订在响应文件正本中，两个表须内容必须一致。 </w:t>
      </w:r>
    </w:p>
    <w:p>
      <w:pPr>
        <w:spacing w:line="600" w:lineRule="auto"/>
        <w:rPr>
          <w:rFonts w:hint="eastAsia"/>
          <w:szCs w:val="16"/>
          <w:lang w:eastAsia="zh-CN"/>
        </w:rPr>
      </w:pPr>
    </w:p>
    <w:p>
      <w:pPr>
        <w:spacing w:line="600" w:lineRule="auto"/>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600" w:lineRule="auto"/>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600" w:lineRule="auto"/>
        <w:rPr>
          <w:szCs w:val="16"/>
        </w:rPr>
      </w:pPr>
      <w:r>
        <w:rPr>
          <w:rFonts w:hint="eastAsia"/>
          <w:szCs w:val="16"/>
        </w:rPr>
        <w:t>日期：</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rPr>
          <w:rFonts w:hint="eastAsia"/>
          <w:szCs w:val="16"/>
        </w:rPr>
      </w:pPr>
      <w:r>
        <w:rPr>
          <w:rFonts w:hint="eastAsia"/>
          <w:szCs w:val="16"/>
        </w:rPr>
        <w:br w:type="page"/>
      </w:r>
    </w:p>
    <w:p>
      <w:pPr>
        <w:pStyle w:val="2"/>
        <w:spacing w:before="0" w:after="0" w:line="360" w:lineRule="auto"/>
        <w:jc w:val="center"/>
        <w:rPr>
          <w:rFonts w:hint="eastAsia" w:eastAsia="宋体"/>
          <w:sz w:val="28"/>
          <w:szCs w:val="28"/>
          <w:lang w:val="en-US" w:eastAsia="zh-CN"/>
        </w:rPr>
      </w:pPr>
      <w:r>
        <w:rPr>
          <w:rFonts w:hint="eastAsia"/>
          <w:sz w:val="28"/>
          <w:szCs w:val="28"/>
          <w:lang w:val="en-US" w:eastAsia="zh-CN"/>
        </w:rPr>
        <w:t>（第8包-副食品）报价明细表</w:t>
      </w:r>
    </w:p>
    <w:tbl>
      <w:tblPr>
        <w:tblStyle w:val="32"/>
        <w:tblW w:w="8424" w:type="dxa"/>
        <w:tblInd w:w="44"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903"/>
        <w:gridCol w:w="2050"/>
        <w:gridCol w:w="1834"/>
        <w:gridCol w:w="1666"/>
        <w:gridCol w:w="197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77"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10"/>
                <w:szCs w:val="10"/>
                <w:u w:val="none"/>
              </w:rPr>
            </w:pPr>
            <w:r>
              <w:rPr>
                <w:rFonts w:hint="eastAsia" w:cs="宋体"/>
                <w:i w:val="0"/>
                <w:iCs w:val="0"/>
                <w:color w:val="000000"/>
                <w:kern w:val="0"/>
                <w:sz w:val="24"/>
                <w:szCs w:val="24"/>
                <w:u w:val="none"/>
                <w:lang w:val="en-US" w:eastAsia="zh-CN" w:bidi="ar"/>
              </w:rPr>
              <w:t>含税单价</w:t>
            </w:r>
            <w:r>
              <w:rPr>
                <w:rFonts w:hint="eastAsia" w:ascii="宋体" w:hAnsi="宋体" w:eastAsia="宋体" w:cs="宋体"/>
                <w:i w:val="0"/>
                <w:color w:val="000000"/>
                <w:kern w:val="0"/>
                <w:sz w:val="24"/>
                <w:szCs w:val="24"/>
                <w:u w:val="none"/>
                <w:lang w:val="en-US" w:eastAsia="zh-CN" w:bidi="ar"/>
              </w:rPr>
              <w:t>（元）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花椒</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二级</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黑胡椒</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二级</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青花椒</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二级</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白胡椒粒</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二级</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红花椒粉</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二级</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姜粉</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1*50公斤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小茴香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味精</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鸡精</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安琪发酵粉</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1*20袋*450克</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玉米淀粉</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玉米面</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辣子面</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1*50公斤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线辣皮子</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朝天椒</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天然木耳</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干海带丝</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八角</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1*20公斤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桂皮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香叶</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草果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孜然</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生粉</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肉蔻</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白芝麻</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黑芝麻</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粉条</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1*10</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宽粉</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花生米</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1*24</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食用碱</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1*40</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食用盐</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1*20</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醋</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酱油</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豆瓣酱</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1*15</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番茄酱</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1*6桶*4.5公斤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辣椒酱</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1*40瓶</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奶茶粉</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20袋*400克</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白糖</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1*50</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大砖茶</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1块*1.5公斤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钢丝球</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1*100袋</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大头菜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1*14公斤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雪里蕻</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1*4.5公斤</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干豇豆</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干笋</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腐竹</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干豆皮</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香油</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300ml</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红薯粉条</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食品袋</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23至32型号</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大辣皮子</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葡萄干</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花椒油</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450ml</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鸡精</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420g</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小苏打</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50g</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酵母</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块</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火锅料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150g</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卤料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豆浆粉</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八宝菜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4.5kg</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大桶醋</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4.1L</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大桶酱油</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4.1L</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紫菜</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海带丝</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嫩肉粉</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牛肉面料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面包乳化剂</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20kg</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玉米淀粉</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泡打粉</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粉丝</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180g</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袋</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火锅鱼料</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3.6kg</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桶</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杏脯</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bottom"/>
          </w:tcPr>
          <w:p>
            <w:pPr>
              <w:jc w:val="cente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干香菇</w:t>
            </w:r>
          </w:p>
        </w:tc>
        <w:tc>
          <w:tcPr>
            <w:tcW w:w="1834" w:type="dxa"/>
            <w:tcBorders>
              <w:top w:val="single" w:color="000000" w:sz="4" w:space="0"/>
              <w:left w:val="single" w:color="000000" w:sz="4" w:space="0"/>
              <w:bottom w:val="single" w:color="000000" w:sz="4" w:space="0"/>
              <w:right w:val="single" w:color="000000" w:sz="4" w:space="0"/>
            </w:tcBorders>
            <w:shd w:val="clear" w:color="auto" w:fill="auto"/>
            <w:vAlign w:val="center"/>
          </w:tcPr>
          <w:p>
            <w:pPr>
              <w:rPr>
                <w:rFonts w:hint="eastAsia" w:ascii="宋体" w:hAnsi="宋体" w:eastAsia="宋体" w:cs="宋体"/>
                <w:i w:val="0"/>
                <w:iCs w:val="0"/>
                <w:color w:val="000000"/>
                <w:sz w:val="24"/>
                <w:szCs w:val="24"/>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小红枣</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玉米榛子</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黑米</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小米</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薏米</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荞麦面</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绿豆</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菊花茶</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绿茶</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黑胡椒面</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白胡椒面</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00" w:hRule="atLeast"/>
        </w:trPr>
        <w:tc>
          <w:tcPr>
            <w:tcW w:w="90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2050" w:type="dxa"/>
            <w:tcBorders>
              <w:top w:val="single" w:color="000000" w:sz="4" w:space="0"/>
              <w:left w:val="single" w:color="000000" w:sz="4" w:space="0"/>
              <w:bottom w:val="single" w:color="000000" w:sz="4" w:space="0"/>
              <w:right w:val="single" w:color="000000" w:sz="4" w:space="0"/>
            </w:tcBorders>
            <w:shd w:val="clear" w:color="auto" w:fill="auto"/>
            <w:vAlign w:val="bottom"/>
          </w:tcPr>
          <w:p>
            <w:pPr>
              <w:keepNext w:val="0"/>
              <w:keepLines w:val="0"/>
              <w:widowControl/>
              <w:suppressLineNumbers w:val="0"/>
              <w:jc w:val="center"/>
              <w:textAlignment w:val="bottom"/>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魔芋</w:t>
            </w:r>
          </w:p>
        </w:tc>
        <w:tc>
          <w:tcPr>
            <w:tcW w:w="183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rPr>
                <w:rFonts w:hint="eastAsia" w:ascii="宋体" w:hAnsi="宋体" w:eastAsia="宋体" w:cs="宋体"/>
                <w:i w:val="0"/>
                <w:iCs w:val="0"/>
                <w:color w:val="000000"/>
                <w:sz w:val="22"/>
                <w:szCs w:val="22"/>
                <w:u w:val="none"/>
              </w:rPr>
            </w:pP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公斤</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both"/>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1067" w:hRule="atLeast"/>
        </w:trPr>
        <w:tc>
          <w:tcPr>
            <w:tcW w:w="4787" w:type="dxa"/>
            <w:gridSpan w:val="3"/>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综合小计价格</w:t>
            </w:r>
            <w:r>
              <w:rPr>
                <w:rFonts w:hint="eastAsia" w:cs="宋体"/>
                <w:i w:val="0"/>
                <w:iCs w:val="0"/>
                <w:color w:val="000000"/>
                <w:kern w:val="0"/>
                <w:sz w:val="22"/>
                <w:szCs w:val="22"/>
                <w:u w:val="none"/>
                <w:lang w:val="en-US" w:eastAsia="zh-CN" w:bidi="ar"/>
              </w:rPr>
              <w:t>以上</w:t>
            </w:r>
            <w:r>
              <w:rPr>
                <w:rFonts w:hint="eastAsia" w:ascii="宋体" w:hAnsi="宋体" w:eastAsia="宋体" w:cs="宋体"/>
                <w:i w:val="0"/>
                <w:iCs w:val="0"/>
                <w:color w:val="000000"/>
                <w:kern w:val="0"/>
                <w:sz w:val="22"/>
                <w:szCs w:val="22"/>
                <w:u w:val="none"/>
                <w:lang w:val="en-US" w:eastAsia="zh-CN" w:bidi="ar"/>
              </w:rPr>
              <w:t>产品</w:t>
            </w:r>
            <w:r>
              <w:rPr>
                <w:rFonts w:hint="eastAsia" w:cs="宋体"/>
                <w:i w:val="0"/>
                <w:iCs w:val="0"/>
                <w:color w:val="000000"/>
                <w:kern w:val="0"/>
                <w:sz w:val="22"/>
                <w:szCs w:val="22"/>
                <w:u w:val="none"/>
                <w:lang w:val="en-US" w:eastAsia="zh-CN" w:bidi="ar"/>
              </w:rPr>
              <w:t>（1-84）项</w:t>
            </w:r>
            <w:r>
              <w:rPr>
                <w:rFonts w:hint="eastAsia" w:ascii="宋体" w:hAnsi="宋体" w:eastAsia="宋体" w:cs="宋体"/>
                <w:i w:val="0"/>
                <w:iCs w:val="0"/>
                <w:color w:val="000000"/>
                <w:kern w:val="0"/>
                <w:sz w:val="22"/>
                <w:szCs w:val="22"/>
                <w:u w:val="none"/>
                <w:lang w:val="en-US" w:eastAsia="zh-CN" w:bidi="ar"/>
              </w:rPr>
              <w:t>报价的含税单价之和</w:t>
            </w:r>
          </w:p>
        </w:tc>
        <w:tc>
          <w:tcPr>
            <w:tcW w:w="1666" w:type="dxa"/>
            <w:tcBorders>
              <w:top w:val="single" w:color="000000" w:sz="4" w:space="0"/>
              <w:left w:val="single" w:color="000000" w:sz="4" w:space="0"/>
              <w:bottom w:val="single" w:color="000000" w:sz="4" w:space="0"/>
              <w:right w:val="single" w:color="000000" w:sz="4" w:space="0"/>
            </w:tcBorders>
            <w:shd w:val="clear" w:color="auto" w:fill="auto"/>
            <w:vAlign w:val="center"/>
          </w:tcPr>
          <w:p>
            <w:pPr>
              <w:jc w:val="center"/>
              <w:rPr>
                <w:rFonts w:hint="default" w:ascii="宋体" w:hAnsi="宋体" w:eastAsia="宋体" w:cs="宋体"/>
                <w:i w:val="0"/>
                <w:iCs w:val="0"/>
                <w:color w:val="000000"/>
                <w:kern w:val="0"/>
                <w:sz w:val="22"/>
                <w:szCs w:val="22"/>
                <w:u w:val="none"/>
                <w:lang w:val="en-US" w:eastAsia="zh-CN" w:bidi="ar"/>
              </w:rPr>
            </w:pPr>
            <w:r>
              <w:rPr>
                <w:rFonts w:hint="eastAsia" w:cs="宋体"/>
                <w:i w:val="0"/>
                <w:iCs w:val="0"/>
                <w:color w:val="000000"/>
                <w:kern w:val="0"/>
                <w:sz w:val="22"/>
                <w:szCs w:val="22"/>
                <w:u w:val="none"/>
                <w:lang w:val="en-US" w:eastAsia="zh-CN" w:bidi="ar"/>
              </w:rPr>
              <w:t>合计</w:t>
            </w:r>
          </w:p>
        </w:tc>
        <w:tc>
          <w:tcPr>
            <w:tcW w:w="1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ind w:firstLine="1200" w:firstLineChars="500"/>
              <w:jc w:val="both"/>
              <w:textAlignment w:val="center"/>
              <w:rPr>
                <w:rFonts w:hint="default" w:ascii="宋体" w:hAnsi="宋体" w:eastAsia="宋体" w:cs="宋体"/>
                <w:i w:val="0"/>
                <w:iCs w:val="0"/>
                <w:color w:val="000000"/>
                <w:sz w:val="24"/>
                <w:szCs w:val="24"/>
                <w:u w:val="none"/>
                <w:lang w:val="en-US" w:eastAsia="zh-CN"/>
              </w:rPr>
            </w:pPr>
            <w:r>
              <w:rPr>
                <w:rFonts w:hint="eastAsia" w:cs="宋体"/>
                <w:i w:val="0"/>
                <w:iCs w:val="0"/>
                <w:color w:val="000000"/>
                <w:sz w:val="24"/>
                <w:szCs w:val="24"/>
                <w:u w:val="none"/>
                <w:lang w:val="en-US" w:eastAsia="zh-CN"/>
              </w:rPr>
              <w:t>元</w:t>
            </w:r>
          </w:p>
        </w:tc>
      </w:tr>
    </w:tbl>
    <w:p>
      <w:pPr>
        <w:spacing w:line="360" w:lineRule="exact"/>
        <w:rPr>
          <w:szCs w:val="21"/>
        </w:rPr>
      </w:pPr>
    </w:p>
    <w:p>
      <w:pPr>
        <w:spacing w:line="720" w:lineRule="auto"/>
        <w:rPr>
          <w:rFonts w:hint="eastAsia"/>
          <w:szCs w:val="16"/>
          <w:lang w:eastAsia="zh-CN"/>
        </w:rPr>
      </w:pPr>
    </w:p>
    <w:p>
      <w:pPr>
        <w:spacing w:line="720" w:lineRule="auto"/>
        <w:rPr>
          <w:rFonts w:hint="eastAsia"/>
          <w:szCs w:val="16"/>
          <w:lang w:eastAsia="zh-CN"/>
        </w:rPr>
      </w:pPr>
    </w:p>
    <w:p>
      <w:pPr>
        <w:spacing w:line="720" w:lineRule="auto"/>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720" w:lineRule="auto"/>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720" w:lineRule="auto"/>
        <w:rPr>
          <w:szCs w:val="16"/>
        </w:rPr>
      </w:pPr>
      <w:r>
        <w:rPr>
          <w:rFonts w:hint="eastAsia"/>
          <w:szCs w:val="16"/>
        </w:rPr>
        <w:t>日期：</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rPr>
          <w:rFonts w:cs="Times New Roman"/>
          <w:szCs w:val="21"/>
        </w:rPr>
      </w:pPr>
      <w:r>
        <w:rPr>
          <w:rFonts w:cs="Times New Roman"/>
          <w:szCs w:val="21"/>
        </w:rPr>
        <w:br w:type="page"/>
      </w:r>
    </w:p>
    <w:p>
      <w:pPr>
        <w:pStyle w:val="2"/>
        <w:spacing w:before="0" w:after="0" w:line="360" w:lineRule="auto"/>
        <w:rPr>
          <w:sz w:val="28"/>
          <w:szCs w:val="28"/>
        </w:rPr>
      </w:pPr>
      <w:r>
        <w:rPr>
          <w:rFonts w:hint="eastAsia"/>
          <w:sz w:val="28"/>
          <w:szCs w:val="28"/>
        </w:rPr>
        <w:t>1.2.1</w:t>
      </w:r>
      <w:r>
        <w:rPr>
          <w:rFonts w:hint="eastAsia"/>
          <w:sz w:val="28"/>
          <w:szCs w:val="28"/>
          <w:lang w:eastAsia="zh-CN"/>
        </w:rPr>
        <w:t>报价一览表</w:t>
      </w:r>
      <w:r>
        <w:rPr>
          <w:sz w:val="28"/>
          <w:szCs w:val="28"/>
        </w:rPr>
        <w:t>（</w:t>
      </w:r>
      <w:r>
        <w:rPr>
          <w:rFonts w:hint="eastAsia"/>
          <w:sz w:val="28"/>
          <w:szCs w:val="28"/>
          <w:lang w:val="en-US" w:eastAsia="zh-CN"/>
        </w:rPr>
        <w:t>第9包</w:t>
      </w:r>
      <w:r>
        <w:rPr>
          <w:sz w:val="28"/>
          <w:szCs w:val="28"/>
        </w:rPr>
        <w:t>-</w:t>
      </w:r>
      <w:r>
        <w:rPr>
          <w:rFonts w:hint="eastAsia"/>
          <w:sz w:val="28"/>
          <w:szCs w:val="28"/>
          <w:lang w:val="en-US" w:eastAsia="zh-CN"/>
        </w:rPr>
        <w:t>日用品</w:t>
      </w:r>
      <w:r>
        <w:rPr>
          <w:sz w:val="28"/>
          <w:szCs w:val="28"/>
        </w:rPr>
        <w:t>）</w:t>
      </w:r>
    </w:p>
    <w:p>
      <w:pPr>
        <w:rPr>
          <w:rFonts w:hint="eastAsia"/>
          <w:szCs w:val="16"/>
          <w:u w:val="single"/>
        </w:rPr>
      </w:pPr>
      <w:r>
        <w:rPr>
          <w:rFonts w:hint="eastAsia" w:ascii="宋体" w:hAnsi="宋体" w:eastAsia="宋体" w:cs="宋体"/>
          <w:b w:val="0"/>
          <w:bCs w:val="0"/>
          <w:sz w:val="24"/>
          <w:szCs w:val="16"/>
          <w:lang w:val="en-US" w:eastAsia="zh-CN" w:bidi="ar-SA"/>
        </w:rPr>
        <w:t>项目名称：</w:t>
      </w:r>
      <w:r>
        <w:rPr>
          <w:rFonts w:hint="eastAsia" w:ascii="宋体" w:hAnsi="宋体" w:eastAsia="宋体" w:cs="宋体"/>
          <w:b w:val="0"/>
          <w:bCs w:val="0"/>
          <w:sz w:val="24"/>
          <w:szCs w:val="16"/>
          <w:u w:val="single"/>
          <w:lang w:val="en-US" w:eastAsia="zh-CN" w:bidi="ar-SA"/>
        </w:rPr>
        <w:t xml:space="preserve">                       </w:t>
      </w:r>
      <w:r>
        <w:rPr>
          <w:rFonts w:hint="eastAsia" w:ascii="宋体" w:hAnsi="宋体" w:eastAsia="宋体" w:cs="宋体"/>
          <w:b w:val="0"/>
          <w:bCs w:val="0"/>
          <w:sz w:val="24"/>
          <w:szCs w:val="16"/>
          <w:lang w:val="en-US" w:eastAsia="zh-CN" w:bidi="ar-SA"/>
        </w:rPr>
        <w:t>（第</w:t>
      </w:r>
      <w:r>
        <w:rPr>
          <w:rFonts w:hint="eastAsia" w:cs="宋体"/>
          <w:b w:val="0"/>
          <w:bCs w:val="0"/>
          <w:sz w:val="24"/>
          <w:szCs w:val="16"/>
          <w:lang w:val="en-US" w:eastAsia="zh-CN" w:bidi="ar-SA"/>
        </w:rPr>
        <w:t>9</w:t>
      </w:r>
      <w:r>
        <w:rPr>
          <w:rFonts w:hint="eastAsia" w:ascii="宋体" w:hAnsi="宋体" w:eastAsia="宋体" w:cs="宋体"/>
          <w:b w:val="0"/>
          <w:bCs w:val="0"/>
          <w:sz w:val="24"/>
          <w:szCs w:val="16"/>
          <w:lang w:val="en-US" w:eastAsia="zh-CN" w:bidi="ar-SA"/>
        </w:rPr>
        <w:t>包）；项目编号：</w:t>
      </w:r>
      <w:r>
        <w:rPr>
          <w:rFonts w:hint="eastAsia" w:ascii="宋体" w:hAnsi="宋体" w:eastAsia="宋体" w:cs="宋体"/>
          <w:b w:val="0"/>
          <w:bCs w:val="0"/>
          <w:sz w:val="24"/>
          <w:szCs w:val="16"/>
          <w:u w:val="single"/>
          <w:lang w:val="en-US" w:eastAsia="zh-CN" w:bidi="ar-SA"/>
        </w:rPr>
        <w:t xml:space="preserve">           </w:t>
      </w:r>
      <w:r>
        <w:rPr>
          <w:rFonts w:hint="eastAsia" w:cs="宋体"/>
          <w:b w:val="0"/>
          <w:bCs w:val="0"/>
          <w:sz w:val="24"/>
          <w:szCs w:val="16"/>
          <w:u w:val="single"/>
          <w:lang w:val="en-US" w:eastAsia="zh-CN" w:bidi="ar-SA"/>
        </w:rPr>
        <w:t xml:space="preserve">  </w:t>
      </w:r>
      <w:r>
        <w:rPr>
          <w:rFonts w:hint="eastAsia"/>
          <w:szCs w:val="16"/>
          <w:u w:val="single"/>
        </w:rPr>
        <w:t xml:space="preserve">    </w:t>
      </w:r>
    </w:p>
    <w:p>
      <w:pPr>
        <w:pStyle w:val="5"/>
        <w:rPr>
          <w:rFonts w:hint="eastAsia"/>
        </w:rPr>
      </w:pPr>
    </w:p>
    <w:tbl>
      <w:tblPr>
        <w:tblStyle w:val="32"/>
        <w:tblpPr w:leftFromText="180" w:rightFromText="180" w:vertAnchor="text" w:horzAnchor="page" w:tblpXSpec="center" w:tblpY="164"/>
        <w:tblOverlap w:val="never"/>
        <w:tblW w:w="8614" w:type="dxa"/>
        <w:jc w:val="center"/>
        <w:tblLayout w:type="fixed"/>
        <w:tblCellMar>
          <w:top w:w="0" w:type="dxa"/>
          <w:left w:w="0" w:type="dxa"/>
          <w:bottom w:w="0" w:type="dxa"/>
          <w:right w:w="0" w:type="dxa"/>
        </w:tblCellMar>
      </w:tblPr>
      <w:tblGrid>
        <w:gridCol w:w="2230"/>
        <w:gridCol w:w="6384"/>
      </w:tblGrid>
      <w:tr>
        <w:trPr>
          <w:trHeight w:val="1023" w:hRule="exact"/>
          <w:jc w:val="center"/>
        </w:trPr>
        <w:tc>
          <w:tcPr>
            <w:tcW w:w="2230" w:type="dxa"/>
            <w:tcBorders>
              <w:top w:val="single" w:color="auto" w:sz="8" w:space="0"/>
              <w:left w:val="single" w:color="auto" w:sz="8" w:space="0"/>
              <w:bottom w:val="single" w:color="auto" w:sz="8" w:space="0"/>
              <w:right w:val="single" w:color="auto" w:sz="8" w:space="0"/>
            </w:tcBorders>
            <w:vAlign w:val="center"/>
          </w:tcPr>
          <w:p>
            <w:pPr>
              <w:ind w:right="-72" w:rightChars="-30"/>
              <w:jc w:val="center"/>
              <w:rPr>
                <w:rFonts w:hint="eastAsia" w:asciiTheme="minorEastAsia" w:hAnsiTheme="minorEastAsia" w:eastAsiaTheme="minorEastAsia" w:cstheme="minorEastAsia"/>
                <w:bCs/>
                <w:color w:val="000000"/>
                <w:sz w:val="24"/>
                <w:szCs w:val="24"/>
              </w:rPr>
            </w:pPr>
            <w:r>
              <w:rPr>
                <w:rFonts w:hint="eastAsia" w:asciiTheme="minorEastAsia" w:hAnsiTheme="minorEastAsia" w:eastAsiaTheme="minorEastAsia" w:cstheme="minorEastAsia"/>
                <w:bCs/>
                <w:color w:val="000000"/>
                <w:sz w:val="24"/>
                <w:szCs w:val="24"/>
                <w:lang w:eastAsia="zh-CN"/>
              </w:rPr>
              <w:t>供应商</w:t>
            </w:r>
            <w:r>
              <w:rPr>
                <w:rFonts w:hint="eastAsia" w:asciiTheme="minorEastAsia" w:hAnsiTheme="minorEastAsia" w:eastAsiaTheme="minorEastAsia" w:cstheme="minorEastAsia"/>
                <w:bCs/>
                <w:color w:val="000000"/>
                <w:sz w:val="24"/>
                <w:szCs w:val="24"/>
              </w:rPr>
              <w:t>名称</w:t>
            </w:r>
          </w:p>
        </w:tc>
        <w:tc>
          <w:tcPr>
            <w:tcW w:w="6384" w:type="dxa"/>
            <w:tcBorders>
              <w:top w:val="single" w:color="auto" w:sz="8" w:space="0"/>
              <w:left w:val="single" w:color="auto" w:sz="8" w:space="0"/>
              <w:bottom w:val="single" w:color="auto" w:sz="8" w:space="0"/>
              <w:right w:val="single" w:color="auto" w:sz="8" w:space="0"/>
            </w:tcBorders>
            <w:vAlign w:val="center"/>
          </w:tcPr>
          <w:p>
            <w:pPr>
              <w:ind w:right="-72" w:rightChars="-30"/>
              <w:jc w:val="center"/>
              <w:rPr>
                <w:rFonts w:hint="eastAsia" w:asciiTheme="minorEastAsia" w:hAnsiTheme="minorEastAsia" w:eastAsiaTheme="minorEastAsia" w:cstheme="minorEastAsia"/>
                <w:bCs/>
                <w:color w:val="000000"/>
                <w:sz w:val="24"/>
                <w:szCs w:val="24"/>
              </w:rPr>
            </w:pPr>
          </w:p>
        </w:tc>
      </w:tr>
      <w:tr>
        <w:tblPrEx>
          <w:tblCellMar>
            <w:top w:w="0" w:type="dxa"/>
            <w:left w:w="0" w:type="dxa"/>
            <w:bottom w:w="0" w:type="dxa"/>
            <w:right w:w="0" w:type="dxa"/>
          </w:tblCellMar>
        </w:tblPrEx>
        <w:trPr>
          <w:trHeight w:val="1178" w:hRule="atLeast"/>
          <w:jc w:val="center"/>
        </w:trPr>
        <w:tc>
          <w:tcPr>
            <w:tcW w:w="2230" w:type="dxa"/>
            <w:tcBorders>
              <w:top w:val="single" w:color="auto" w:sz="8" w:space="0"/>
              <w:left w:val="single" w:color="auto" w:sz="8" w:space="0"/>
              <w:right w:val="single" w:color="auto" w:sz="8" w:space="0"/>
            </w:tcBorders>
            <w:vAlign w:val="center"/>
          </w:tcPr>
          <w:p>
            <w:pPr>
              <w:pStyle w:val="77"/>
              <w:jc w:val="center"/>
              <w:rPr>
                <w:rFonts w:hint="eastAsia" w:asciiTheme="minorEastAsia" w:hAnsiTheme="minorEastAsia" w:eastAsiaTheme="minorEastAsia" w:cstheme="minorEastAsia"/>
                <w:bCs/>
                <w:color w:val="000000"/>
                <w:sz w:val="24"/>
                <w:szCs w:val="24"/>
                <w:lang w:eastAsia="zh-CN"/>
              </w:rPr>
            </w:pPr>
            <w:r>
              <w:rPr>
                <w:rFonts w:hint="eastAsia" w:asciiTheme="minorEastAsia" w:hAnsiTheme="minorEastAsia" w:eastAsiaTheme="minorEastAsia" w:cstheme="minorEastAsia"/>
                <w:sz w:val="24"/>
                <w:szCs w:val="24"/>
                <w:lang w:eastAsia="zh-CN"/>
              </w:rPr>
              <w:t>投标</w:t>
            </w:r>
            <w:r>
              <w:rPr>
                <w:rFonts w:hint="eastAsia" w:asciiTheme="minorEastAsia" w:hAnsiTheme="minorEastAsia" w:eastAsiaTheme="minorEastAsia" w:cstheme="minorEastAsia"/>
                <w:sz w:val="24"/>
                <w:szCs w:val="24"/>
                <w:lang w:val="en-US" w:eastAsia="zh-CN"/>
              </w:rPr>
              <w:t>总报价（元）</w:t>
            </w:r>
          </w:p>
        </w:tc>
        <w:tc>
          <w:tcPr>
            <w:tcW w:w="6384" w:type="dxa"/>
            <w:tcBorders>
              <w:top w:val="single" w:color="auto" w:sz="8" w:space="0"/>
              <w:left w:val="single" w:color="auto" w:sz="8" w:space="0"/>
              <w:bottom w:val="single" w:color="auto" w:sz="8" w:space="0"/>
              <w:right w:val="single" w:color="auto" w:sz="8" w:space="0"/>
            </w:tcBorders>
            <w:vAlign w:val="center"/>
          </w:tcPr>
          <w:p>
            <w:pPr>
              <w:ind w:right="-72" w:rightChars="-30"/>
              <w:jc w:val="center"/>
              <w:rPr>
                <w:rFonts w:hint="eastAsia" w:asciiTheme="minorEastAsia" w:hAnsiTheme="minorEastAsia" w:eastAsiaTheme="minorEastAsia" w:cstheme="minorEastAsia"/>
                <w:bCs/>
                <w:color w:val="000000"/>
                <w:sz w:val="24"/>
                <w:szCs w:val="24"/>
                <w:lang w:val="en-US" w:eastAsia="zh-CN"/>
              </w:rPr>
            </w:pPr>
            <w:r>
              <w:rPr>
                <w:rFonts w:hint="eastAsia" w:asciiTheme="minorEastAsia" w:hAnsiTheme="minorEastAsia" w:eastAsiaTheme="minorEastAsia" w:cstheme="minorEastAsia"/>
                <w:bCs/>
                <w:color w:val="000000"/>
                <w:sz w:val="24"/>
                <w:szCs w:val="24"/>
                <w:lang w:val="en-US" w:eastAsia="zh-CN"/>
              </w:rPr>
              <w:t>小写：</w:t>
            </w:r>
          </w:p>
          <w:p>
            <w:pPr>
              <w:pStyle w:val="5"/>
              <w:ind w:left="0" w:leftChars="0" w:firstLine="0" w:firstLineChars="0"/>
              <w:jc w:val="center"/>
              <w:rPr>
                <w:rFonts w:hint="eastAsia" w:asciiTheme="minorEastAsia" w:hAnsiTheme="minorEastAsia" w:eastAsiaTheme="minorEastAsia" w:cstheme="minorEastAsia"/>
                <w:bCs/>
                <w:color w:val="000000"/>
                <w:sz w:val="24"/>
                <w:szCs w:val="24"/>
                <w:lang w:val="en-US" w:eastAsia="zh-CN"/>
              </w:rPr>
            </w:pPr>
          </w:p>
          <w:p>
            <w:pPr>
              <w:pStyle w:val="5"/>
              <w:ind w:left="0" w:leftChars="0" w:firstLine="0" w:firstLineChars="0"/>
              <w:jc w:val="center"/>
              <w:rPr>
                <w:rFonts w:hint="default"/>
                <w:lang w:val="en-US" w:eastAsia="zh-CN"/>
              </w:rPr>
            </w:pPr>
            <w:r>
              <w:rPr>
                <w:rFonts w:hint="eastAsia" w:asciiTheme="minorEastAsia" w:hAnsiTheme="minorEastAsia" w:eastAsiaTheme="minorEastAsia" w:cstheme="minorEastAsia"/>
                <w:bCs/>
                <w:color w:val="000000"/>
                <w:sz w:val="24"/>
                <w:szCs w:val="24"/>
                <w:lang w:val="en-US" w:eastAsia="zh-CN"/>
              </w:rPr>
              <w:t>大写：</w:t>
            </w:r>
          </w:p>
        </w:tc>
      </w:tr>
      <w:tr>
        <w:tblPrEx>
          <w:tblCellMar>
            <w:top w:w="0" w:type="dxa"/>
            <w:left w:w="0" w:type="dxa"/>
            <w:bottom w:w="0" w:type="dxa"/>
            <w:right w:w="0" w:type="dxa"/>
          </w:tblCellMar>
        </w:tblPrEx>
        <w:trPr>
          <w:trHeight w:val="1055" w:hRule="atLeast"/>
          <w:jc w:val="center"/>
        </w:trPr>
        <w:tc>
          <w:tcPr>
            <w:tcW w:w="2230" w:type="dxa"/>
            <w:tcBorders>
              <w:top w:val="single" w:color="auto" w:sz="8" w:space="0"/>
              <w:left w:val="single" w:color="auto" w:sz="8" w:space="0"/>
              <w:right w:val="single" w:color="auto" w:sz="8" w:space="0"/>
            </w:tcBorders>
            <w:vAlign w:val="center"/>
          </w:tcPr>
          <w:p>
            <w:pPr>
              <w:pStyle w:val="77"/>
              <w:jc w:val="center"/>
              <w:rPr>
                <w:rFonts w:hint="eastAsia" w:asciiTheme="minorEastAsia" w:hAnsiTheme="minorEastAsia" w:eastAsiaTheme="minorEastAsia" w:cstheme="minorEastAsia"/>
                <w:sz w:val="24"/>
                <w:szCs w:val="24"/>
                <w:lang w:eastAsia="zh-CN"/>
              </w:rPr>
            </w:pPr>
            <w:r>
              <w:rPr>
                <w:rFonts w:hint="eastAsia"/>
                <w:color w:val="000000"/>
                <w:lang w:val="en-US" w:eastAsia="zh-CN"/>
              </w:rPr>
              <w:t>服务期限</w:t>
            </w:r>
          </w:p>
        </w:tc>
        <w:tc>
          <w:tcPr>
            <w:tcW w:w="6384" w:type="dxa"/>
            <w:tcBorders>
              <w:top w:val="single" w:color="auto" w:sz="8" w:space="0"/>
              <w:left w:val="single" w:color="auto" w:sz="8" w:space="0"/>
              <w:bottom w:val="single" w:color="auto" w:sz="8" w:space="0"/>
              <w:right w:val="single" w:color="auto" w:sz="8" w:space="0"/>
            </w:tcBorders>
            <w:vAlign w:val="center"/>
          </w:tcPr>
          <w:p>
            <w:pPr>
              <w:pStyle w:val="5"/>
              <w:ind w:left="0" w:leftChars="0" w:firstLine="0" w:firstLineChars="0"/>
              <w:jc w:val="center"/>
              <w:rPr>
                <w:rFonts w:hint="eastAsia" w:asciiTheme="minorEastAsia" w:hAnsiTheme="minorEastAsia" w:eastAsiaTheme="minorEastAsia" w:cstheme="minorEastAsia"/>
                <w:bCs/>
                <w:color w:val="000000"/>
                <w:sz w:val="24"/>
                <w:szCs w:val="24"/>
                <w:lang w:val="en-US" w:eastAsia="zh-CN"/>
              </w:rPr>
            </w:pPr>
          </w:p>
        </w:tc>
      </w:tr>
      <w:tr>
        <w:tblPrEx>
          <w:tblCellMar>
            <w:top w:w="0" w:type="dxa"/>
            <w:left w:w="0" w:type="dxa"/>
            <w:bottom w:w="0" w:type="dxa"/>
            <w:right w:w="0" w:type="dxa"/>
          </w:tblCellMar>
        </w:tblPrEx>
        <w:trPr>
          <w:trHeight w:val="855" w:hRule="atLeast"/>
          <w:jc w:val="center"/>
        </w:trPr>
        <w:tc>
          <w:tcPr>
            <w:tcW w:w="2230" w:type="dxa"/>
            <w:tcBorders>
              <w:top w:val="single" w:color="auto" w:sz="8" w:space="0"/>
              <w:left w:val="single" w:color="auto" w:sz="8" w:space="0"/>
              <w:right w:val="single" w:color="auto" w:sz="8" w:space="0"/>
            </w:tcBorders>
            <w:vAlign w:val="center"/>
          </w:tcPr>
          <w:p>
            <w:pPr>
              <w:pStyle w:val="77"/>
              <w:jc w:val="center"/>
              <w:rPr>
                <w:rFonts w:hint="default"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lang w:val="en-US" w:eastAsia="zh-CN"/>
              </w:rPr>
              <w:t>备注</w:t>
            </w:r>
          </w:p>
        </w:tc>
        <w:tc>
          <w:tcPr>
            <w:tcW w:w="6384" w:type="dxa"/>
            <w:tcBorders>
              <w:top w:val="single" w:color="auto" w:sz="8" w:space="0"/>
              <w:left w:val="single" w:color="auto" w:sz="8" w:space="0"/>
              <w:bottom w:val="single" w:color="auto" w:sz="8" w:space="0"/>
              <w:right w:val="single" w:color="auto" w:sz="8" w:space="0"/>
            </w:tcBorders>
            <w:vAlign w:val="center"/>
          </w:tcPr>
          <w:p>
            <w:pPr>
              <w:pStyle w:val="5"/>
              <w:ind w:left="0" w:leftChars="0" w:firstLine="0" w:firstLineChars="0"/>
              <w:jc w:val="center"/>
              <w:rPr>
                <w:rFonts w:hint="eastAsia" w:asciiTheme="minorEastAsia" w:hAnsiTheme="minorEastAsia" w:eastAsiaTheme="minorEastAsia" w:cstheme="minorEastAsia"/>
                <w:bCs/>
                <w:color w:val="000000"/>
                <w:sz w:val="24"/>
                <w:szCs w:val="24"/>
                <w:lang w:val="en-US" w:eastAsia="zh-CN"/>
              </w:rPr>
            </w:pPr>
          </w:p>
        </w:tc>
      </w:tr>
      <w:tr>
        <w:tblPrEx>
          <w:tblCellMar>
            <w:top w:w="0" w:type="dxa"/>
            <w:left w:w="0" w:type="dxa"/>
            <w:bottom w:w="0" w:type="dxa"/>
            <w:right w:w="0" w:type="dxa"/>
          </w:tblCellMar>
        </w:tblPrEx>
        <w:trPr>
          <w:trHeight w:val="3220" w:hRule="exact"/>
          <w:jc w:val="center"/>
        </w:trPr>
        <w:tc>
          <w:tcPr>
            <w:tcW w:w="8614" w:type="dxa"/>
            <w:gridSpan w:val="2"/>
            <w:tcBorders>
              <w:top w:val="single" w:color="auto" w:sz="8" w:space="0"/>
              <w:left w:val="single" w:color="auto" w:sz="8" w:space="0"/>
              <w:bottom w:val="single" w:color="auto" w:sz="8" w:space="0"/>
              <w:right w:val="single" w:color="auto" w:sz="8" w:space="0"/>
            </w:tcBorders>
            <w:vAlign w:val="center"/>
          </w:tcPr>
          <w:p>
            <w:pPr>
              <w:spacing w:line="360" w:lineRule="auto"/>
            </w:pPr>
            <w:r>
              <w:rPr>
                <w:rFonts w:hint="eastAsia"/>
              </w:rPr>
              <w:t>说明：</w:t>
            </w:r>
          </w:p>
          <w:p>
            <w:pPr>
              <w:spacing w:line="360" w:lineRule="auto"/>
            </w:pPr>
            <w:r>
              <w:rPr>
                <w:rFonts w:hint="eastAsia"/>
              </w:rPr>
              <w:t>1</w:t>
            </w:r>
            <w:r>
              <w:t>.</w:t>
            </w:r>
            <w:r>
              <w:rPr>
                <w:rFonts w:hint="eastAsia"/>
              </w:rPr>
              <w:t>报价</w:t>
            </w:r>
            <w:r>
              <w:t>包括全部货品、税费、包装费、运输、装卸等费用，以及己支付或将支付的营业税和其它税费等所有费用</w:t>
            </w:r>
            <w:r>
              <w:rPr>
                <w:rFonts w:hint="eastAsia"/>
              </w:rPr>
              <w:t>。</w:t>
            </w:r>
          </w:p>
          <w:p>
            <w:pPr>
              <w:spacing w:line="360" w:lineRule="auto"/>
            </w:pPr>
            <w:r>
              <w:t>2.报价最多保留两位小数，对于小数点后第三位数字，无论大小，一律按舍去处理。</w:t>
            </w:r>
          </w:p>
          <w:p>
            <w:pPr>
              <w:pStyle w:val="5"/>
              <w:ind w:left="0" w:leftChars="0" w:firstLine="0" w:firstLineChars="0"/>
              <w:rPr>
                <w:rFonts w:hint="default" w:eastAsia="宋体"/>
                <w:lang w:val="en-US" w:eastAsia="zh-CN"/>
              </w:rPr>
            </w:pPr>
            <w:r>
              <w:rPr>
                <w:rFonts w:hint="eastAsia"/>
              </w:rPr>
              <w:t>3</w:t>
            </w:r>
            <w:r>
              <w:t>.</w:t>
            </w:r>
            <w:r>
              <w:rPr>
                <w:rFonts w:hint="eastAsia"/>
              </w:rPr>
              <w:t>综合小计仅为经济分的评审依据，综合小计为</w:t>
            </w:r>
            <w:r>
              <w:rPr>
                <w:rFonts w:hint="eastAsia"/>
                <w:lang w:val="en-US" w:eastAsia="zh-CN"/>
              </w:rPr>
              <w:t>以上</w:t>
            </w:r>
            <w:r>
              <w:rPr>
                <w:rFonts w:hint="eastAsia"/>
              </w:rPr>
              <w:t>产品报价的含税单价之和。</w:t>
            </w:r>
          </w:p>
        </w:tc>
      </w:tr>
    </w:tbl>
    <w:p>
      <w:pPr>
        <w:rPr>
          <w:rFonts w:hint="eastAsia"/>
          <w:szCs w:val="16"/>
        </w:rPr>
      </w:pPr>
    </w:p>
    <w:p>
      <w:pPr>
        <w:spacing w:line="360" w:lineRule="auto"/>
        <w:rPr>
          <w:rFonts w:hint="eastAsia"/>
          <w:szCs w:val="16"/>
        </w:rPr>
      </w:pPr>
      <w:r>
        <w:rPr>
          <w:rFonts w:hint="eastAsia"/>
          <w:szCs w:val="16"/>
        </w:rPr>
        <w:t xml:space="preserve">   注：1.表中大小写不一致时，以大写为准。     </w:t>
      </w:r>
    </w:p>
    <w:p>
      <w:pPr>
        <w:spacing w:line="360" w:lineRule="auto"/>
        <w:rPr>
          <w:rFonts w:hint="eastAsia"/>
          <w:szCs w:val="16"/>
        </w:rPr>
      </w:pPr>
      <w:r>
        <w:rPr>
          <w:rFonts w:hint="eastAsia"/>
          <w:szCs w:val="16"/>
        </w:rPr>
        <w:t xml:space="preserve">    2.此表</w:t>
      </w:r>
      <w:r>
        <w:rPr>
          <w:rFonts w:hint="eastAsia"/>
          <w:szCs w:val="16"/>
          <w:lang w:val="en-US" w:eastAsia="zh-CN"/>
        </w:rPr>
        <w:t>及报价明细表</w:t>
      </w:r>
      <w:r>
        <w:rPr>
          <w:rFonts w:hint="eastAsia"/>
          <w:szCs w:val="16"/>
        </w:rPr>
        <w:t xml:space="preserve">一式两份，一份用信封单独密封，另一份装订在响应文件正本中，两个表须内容必须一致。 </w:t>
      </w:r>
    </w:p>
    <w:p>
      <w:pPr>
        <w:spacing w:line="360" w:lineRule="auto"/>
        <w:rPr>
          <w:rFonts w:hint="eastAsia"/>
          <w:szCs w:val="16"/>
        </w:rPr>
      </w:pPr>
      <w:r>
        <w:rPr>
          <w:rFonts w:hint="eastAsia"/>
          <w:szCs w:val="16"/>
        </w:rPr>
        <w:t xml:space="preserve">         </w:t>
      </w:r>
    </w:p>
    <w:p>
      <w:pPr>
        <w:spacing w:line="600" w:lineRule="auto"/>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600" w:lineRule="auto"/>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600" w:lineRule="auto"/>
        <w:rPr>
          <w:szCs w:val="16"/>
        </w:rPr>
      </w:pPr>
      <w:r>
        <w:rPr>
          <w:rFonts w:hint="eastAsia"/>
          <w:szCs w:val="16"/>
        </w:rPr>
        <w:t>日期：</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rPr>
          <w:rFonts w:hint="eastAsia"/>
          <w:szCs w:val="16"/>
        </w:rPr>
      </w:pPr>
      <w:r>
        <w:rPr>
          <w:rFonts w:hint="eastAsia"/>
          <w:szCs w:val="16"/>
        </w:rPr>
        <w:br w:type="page"/>
      </w:r>
    </w:p>
    <w:p>
      <w:pPr>
        <w:pStyle w:val="2"/>
        <w:spacing w:before="0" w:after="0" w:line="360" w:lineRule="auto"/>
        <w:jc w:val="center"/>
        <w:rPr>
          <w:rFonts w:hint="eastAsia" w:ascii="宋体" w:hAnsi="宋体" w:eastAsia="宋体" w:cs="宋体"/>
          <w:sz w:val="28"/>
          <w:szCs w:val="18"/>
          <w:lang w:val="en-US" w:eastAsia="zh-CN" w:bidi="ar-SA"/>
        </w:rPr>
      </w:pPr>
      <w:r>
        <w:rPr>
          <w:sz w:val="28"/>
          <w:szCs w:val="28"/>
        </w:rPr>
        <w:t>（</w:t>
      </w:r>
      <w:r>
        <w:rPr>
          <w:rFonts w:hint="eastAsia"/>
          <w:sz w:val="28"/>
          <w:szCs w:val="28"/>
          <w:lang w:val="en-US" w:eastAsia="zh-CN"/>
        </w:rPr>
        <w:t>第9包</w:t>
      </w:r>
      <w:r>
        <w:rPr>
          <w:sz w:val="28"/>
          <w:szCs w:val="28"/>
        </w:rPr>
        <w:t>-</w:t>
      </w:r>
      <w:r>
        <w:rPr>
          <w:rFonts w:hint="eastAsia"/>
          <w:sz w:val="28"/>
          <w:szCs w:val="28"/>
          <w:lang w:val="en-US" w:eastAsia="zh-CN"/>
        </w:rPr>
        <w:t>日用品</w:t>
      </w:r>
      <w:r>
        <w:rPr>
          <w:sz w:val="28"/>
          <w:szCs w:val="28"/>
        </w:rPr>
        <w:t>）</w:t>
      </w:r>
      <w:r>
        <w:rPr>
          <w:rFonts w:hint="eastAsia" w:ascii="宋体" w:hAnsi="宋体" w:eastAsia="宋体" w:cs="宋体"/>
          <w:sz w:val="28"/>
          <w:szCs w:val="18"/>
          <w:lang w:val="en-US" w:eastAsia="zh-CN" w:bidi="ar-SA"/>
        </w:rPr>
        <w:t>报价明细表</w:t>
      </w:r>
    </w:p>
    <w:tbl>
      <w:tblPr>
        <w:tblStyle w:val="32"/>
        <w:tblW w:w="8535" w:type="dxa"/>
        <w:tblInd w:w="91"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735"/>
        <w:gridCol w:w="2602"/>
        <w:gridCol w:w="2204"/>
        <w:gridCol w:w="1083"/>
        <w:gridCol w:w="191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序号</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品名</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规格</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单位</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left"/>
              <w:textAlignment w:val="center"/>
              <w:rPr>
                <w:rFonts w:hint="eastAsia" w:ascii="宋体" w:hAnsi="宋体" w:eastAsia="宋体" w:cs="宋体"/>
                <w:i w:val="0"/>
                <w:iCs w:val="0"/>
                <w:color w:val="000000"/>
                <w:sz w:val="24"/>
                <w:szCs w:val="24"/>
                <w:u w:val="none"/>
              </w:rPr>
            </w:pPr>
            <w:r>
              <w:rPr>
                <w:rFonts w:hint="eastAsia"/>
                <w:lang w:val="en-US" w:eastAsia="zh-CN"/>
              </w:rPr>
              <w:t>含税单价（元）</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康师傅方便面</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1*24*113克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玉润火腿肠</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55克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双汇火腿肠</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雀巢咖啡</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1*48袋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老新疆奶茶</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天山蜂蜜</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1公斤</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鹰哥鹰嘴豆粉</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牧工奶皮子粉</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牧工奶茶粉</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牧工营养核桃粉</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喀秋莎即食营养麦片</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750克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维维豆奶粉</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13</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黑芝麻糊</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　360克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熙牛蛙牛肉干</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玉龙蛟玫瑰花酱</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16</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玉龙藿香、无花果酱</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17</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双佳山楂条</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220克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金丝蜜枣</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125克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19</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大黄油饼干</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香美克桃酥</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115克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21</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香美克早餐饼干</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168克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22</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米多奇馍片</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盒</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23</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东芝洋葵瓜子</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24</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乡伯佬卤蛋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25</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七一腐乳</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26</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奥皇橄榄菜</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27</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府尚沙琪玛</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160克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28</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老童家花生米</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29</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鹰哥油炸鹰嘴豆</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鹰哥鹰嘴豆</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31</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德全白沙糖</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250克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32</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德全红糖</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33</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德全单晶冰糖</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34</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老干妈香辣菜</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35</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吉香居下饭菜</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106克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36</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巴旦木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37</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红枣</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38</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核桃仁</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39</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益阳茯砖</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铁观音</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100克</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41</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鞋垫</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纯棉、中档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42</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纯棉床单</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115*220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43</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毛巾</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全棉、25*25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44</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男士袜子</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纯棉</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45</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男士内裤</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纯棉</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46</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肥佬内裤</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中档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47</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莫代尔内裤</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低档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48</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莫代尔肥佬内裤</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中档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49</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布鞋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黑色、中档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拖鞋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蓝色、中档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双</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51</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塑料整理箱</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52.5*37.7*30.5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52</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牙刷缸</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软塑</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53</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手指牙刷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全塑</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54</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香皂盒</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软塑</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55</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搓澡巾</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洁神、中档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56</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小饭勺</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塑料</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57</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碗（含小勺子）</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软塑</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58</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脸盆</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37cm</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59</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水桶</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可食用、37cm*35cm</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高凳子</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49cm</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61</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凳子</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27cm</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62</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太空杯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1000ml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63</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信纸</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20页</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64</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笔芯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0.5mm</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根</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65</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软皮本</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148*210、40页</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66</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加厚软皮本</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148*210、60页</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67</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小学生多功能字典</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第11版、双色本</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本</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68</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邮资封</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邮资1.2元</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69</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港兴纸</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1*8</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洁柔卷纸</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卷</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71</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大宝SOD蜜</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72</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郁美净</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20g</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73</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六神花露水</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80ml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74</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止汗露</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75</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中华牙膏</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90g</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76</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纳爱斯牙膏</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120g</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77</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指甲刀</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钢制、5cm</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78</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南孚电池</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节</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79</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南孚电池</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7号</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节</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真汉子剃须刀</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低档、电池</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81</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飞科剃须刀</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中档</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82</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飞科理发器</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中档、带线</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83</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百年润发洗发水</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200ml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84</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海鸥洗发膏</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340ml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85</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上海硫磺皂</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100g</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86</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中华抑菌香皂</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100g</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87</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奇强洗衣粉</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260g</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88</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立白洗衣粉</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245g</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袋</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89</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奇强洗洁精</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500ml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瓶</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编织袋</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中号、70*52</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91</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被子</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16"/>
                <w:szCs w:val="16"/>
                <w:u w:val="none"/>
                <w:lang w:val="en-US" w:eastAsia="zh-CN" w:bidi="ar"/>
              </w:rPr>
              <w:t>2.5kg,（二级棉）带套、150*200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92</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褥子</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16"/>
                <w:szCs w:val="16"/>
                <w:u w:val="none"/>
                <w:lang w:val="en-US" w:eastAsia="zh-CN" w:bidi="ar"/>
              </w:rPr>
              <w:t>1.5kg,</w:t>
            </w:r>
            <w:r>
              <w:rPr>
                <w:rFonts w:hint="eastAsia" w:ascii="宋体" w:hAnsi="宋体" w:eastAsia="宋体" w:cs="宋体"/>
                <w:b/>
                <w:i w:val="0"/>
                <w:color w:val="000000"/>
                <w:kern w:val="0"/>
                <w:sz w:val="16"/>
                <w:szCs w:val="16"/>
                <w:u w:val="none"/>
                <w:lang w:val="en-US" w:eastAsia="zh-CN" w:bidi="ar"/>
              </w:rPr>
              <w:t>(二</w:t>
            </w:r>
            <w:r>
              <w:rPr>
                <w:rFonts w:hint="eastAsia" w:ascii="宋体" w:hAnsi="宋体" w:eastAsia="宋体" w:cs="宋体"/>
                <w:i w:val="0"/>
                <w:color w:val="000000"/>
                <w:kern w:val="0"/>
                <w:sz w:val="16"/>
                <w:szCs w:val="16"/>
                <w:u w:val="none"/>
                <w:lang w:val="en-US" w:eastAsia="zh-CN" w:bidi="ar"/>
              </w:rPr>
              <w:t>级棉）带套、90*200</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93</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床单</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115*220、纯棉</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94</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被套</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150*200、纯棉</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95</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脸盆</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37cm</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96</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太空杯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1000ml</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97</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指套牙刷</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全塑</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98</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牙刷杯</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软塑</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99</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中华牙膏</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90g</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支</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香皂盒</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软塑</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101</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硫磺皂</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100g</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块</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102</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碗（含小勺子）</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软塑</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套</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103</w:t>
            </w:r>
          </w:p>
        </w:tc>
        <w:tc>
          <w:tcPr>
            <w:tcW w:w="260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毛巾</w:t>
            </w:r>
          </w:p>
        </w:tc>
        <w:tc>
          <w:tcPr>
            <w:tcW w:w="2204"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sz w:val="24"/>
                <w:szCs w:val="24"/>
                <w:u w:val="none"/>
              </w:rPr>
            </w:pPr>
            <w:r>
              <w:rPr>
                <w:rFonts w:hint="eastAsia" w:ascii="宋体" w:hAnsi="宋体" w:eastAsia="宋体" w:cs="宋体"/>
                <w:i w:val="0"/>
                <w:color w:val="000000"/>
                <w:kern w:val="0"/>
                <w:sz w:val="24"/>
                <w:szCs w:val="24"/>
                <w:u w:val="none"/>
                <w:lang w:val="en-US" w:eastAsia="zh-CN" w:bidi="ar"/>
              </w:rPr>
              <w:t>全棉、25*25</w:t>
            </w:r>
          </w:p>
        </w:tc>
        <w:tc>
          <w:tcPr>
            <w:tcW w:w="108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4"/>
                <w:szCs w:val="24"/>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191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right"/>
              <w:textAlignment w:val="center"/>
              <w:rPr>
                <w:rFonts w:hint="eastAsia" w:ascii="宋体" w:hAnsi="宋体" w:eastAsia="宋体" w:cs="宋体"/>
                <w:i w:val="0"/>
                <w:iCs w:val="0"/>
                <w:color w:val="000000"/>
                <w:sz w:val="24"/>
                <w:szCs w:val="24"/>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104</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垃圾桶（塑料）</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45*27</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个</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105</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color w:val="000000"/>
                <w:kern w:val="0"/>
                <w:sz w:val="24"/>
                <w:szCs w:val="24"/>
                <w:u w:val="none"/>
                <w:lang w:val="en-US" w:eastAsia="zh-CN" w:bidi="ar"/>
              </w:rPr>
              <w:t>美伦纸</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sz w:val="22"/>
                <w:szCs w:val="22"/>
                <w:u w:val="none"/>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包</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106</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短袖速干型运动T恤</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件</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107</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速干型运动短裤</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jc w:val="center"/>
              <w:rPr>
                <w:rFonts w:hint="eastAsia" w:ascii="宋体" w:hAnsi="宋体" w:eastAsia="宋体" w:cs="宋体"/>
                <w:i w:val="0"/>
                <w:iCs w:val="0"/>
                <w:color w:val="000000"/>
                <w:kern w:val="0"/>
                <w:sz w:val="22"/>
                <w:szCs w:val="22"/>
                <w:u w:val="none"/>
                <w:lang w:val="en-US" w:eastAsia="zh-CN" w:bidi="ar"/>
              </w:rPr>
            </w:pP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条</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108</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运动鞋</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2"/>
                <w:szCs w:val="22"/>
                <w:u w:val="none"/>
                <w:lang w:val="en-US" w:eastAsia="zh-CN" w:bidi="ar"/>
              </w:rPr>
              <w:t>不带鞋带、一脚蹬</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color w:val="000000"/>
                <w:kern w:val="0"/>
                <w:sz w:val="24"/>
                <w:szCs w:val="24"/>
                <w:u w:val="none"/>
                <w:lang w:val="en-US" w:eastAsia="zh-CN" w:bidi="ar"/>
              </w:rPr>
              <w:t>双</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735"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color w:val="000000"/>
                <w:kern w:val="0"/>
                <w:sz w:val="24"/>
                <w:szCs w:val="24"/>
                <w:u w:val="none"/>
                <w:lang w:val="en-US" w:eastAsia="zh-CN" w:bidi="ar"/>
              </w:rPr>
              <w:t>109</w:t>
            </w:r>
          </w:p>
        </w:tc>
        <w:tc>
          <w:tcPr>
            <w:tcW w:w="2602"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color w:val="000000"/>
                <w:kern w:val="0"/>
                <w:sz w:val="24"/>
                <w:szCs w:val="24"/>
                <w:u w:val="none"/>
                <w:lang w:val="en-US" w:eastAsia="zh-CN" w:bidi="ar"/>
              </w:rPr>
              <w:t>运动鞋</w:t>
            </w:r>
          </w:p>
        </w:tc>
        <w:tc>
          <w:tcPr>
            <w:tcW w:w="2204"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color w:val="000000"/>
                <w:kern w:val="0"/>
                <w:sz w:val="22"/>
                <w:szCs w:val="22"/>
                <w:u w:val="none"/>
                <w:lang w:val="en-US" w:eastAsia="zh-CN" w:bidi="ar"/>
              </w:rPr>
              <w:t>不带鞋带、一脚蹬</w:t>
            </w:r>
          </w:p>
        </w:tc>
        <w:tc>
          <w:tcPr>
            <w:tcW w:w="1083"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default" w:ascii="宋体" w:hAnsi="宋体" w:eastAsia="宋体" w:cs="宋体"/>
                <w:i w:val="0"/>
                <w:color w:val="000000"/>
                <w:kern w:val="0"/>
                <w:sz w:val="24"/>
                <w:szCs w:val="24"/>
                <w:u w:val="none"/>
                <w:lang w:val="en-US" w:eastAsia="zh-CN" w:bidi="ar"/>
              </w:rPr>
              <w:t>双</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33" w:hRule="atLeast"/>
        </w:trPr>
        <w:tc>
          <w:tcPr>
            <w:tcW w:w="6624" w:type="dxa"/>
            <w:gridSpan w:val="4"/>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center"/>
              <w:textAlignment w:val="center"/>
              <w:rPr>
                <w:rFonts w:hint="eastAsia" w:ascii="宋体" w:hAnsi="宋体" w:eastAsia="宋体" w:cs="宋体"/>
                <w:i w:val="0"/>
                <w:iCs w:val="0"/>
                <w:color w:val="000000"/>
                <w:kern w:val="0"/>
                <w:sz w:val="22"/>
                <w:szCs w:val="22"/>
                <w:u w:val="none"/>
                <w:lang w:val="en-US" w:eastAsia="zh-CN" w:bidi="ar"/>
              </w:rPr>
            </w:pPr>
            <w:r>
              <w:rPr>
                <w:rFonts w:hint="eastAsia" w:ascii="宋体" w:hAnsi="宋体" w:eastAsia="宋体" w:cs="宋体"/>
                <w:i w:val="0"/>
                <w:iCs w:val="0"/>
                <w:color w:val="000000"/>
                <w:kern w:val="0"/>
                <w:sz w:val="22"/>
                <w:szCs w:val="22"/>
                <w:u w:val="none"/>
                <w:lang w:val="en-US" w:eastAsia="zh-CN" w:bidi="ar"/>
              </w:rPr>
              <w:t>综合小计价格</w:t>
            </w:r>
            <w:r>
              <w:rPr>
                <w:rFonts w:hint="eastAsia" w:cs="宋体"/>
                <w:i w:val="0"/>
                <w:iCs w:val="0"/>
                <w:color w:val="000000"/>
                <w:kern w:val="0"/>
                <w:sz w:val="22"/>
                <w:szCs w:val="22"/>
                <w:u w:val="none"/>
                <w:lang w:val="en-US" w:eastAsia="zh-CN" w:bidi="ar"/>
              </w:rPr>
              <w:t>以上</w:t>
            </w:r>
            <w:r>
              <w:rPr>
                <w:rFonts w:hint="eastAsia" w:ascii="宋体" w:hAnsi="宋体" w:eastAsia="宋体" w:cs="宋体"/>
                <w:i w:val="0"/>
                <w:iCs w:val="0"/>
                <w:color w:val="000000"/>
                <w:kern w:val="0"/>
                <w:sz w:val="22"/>
                <w:szCs w:val="22"/>
                <w:u w:val="none"/>
                <w:lang w:val="en-US" w:eastAsia="zh-CN" w:bidi="ar"/>
              </w:rPr>
              <w:t>产品</w:t>
            </w:r>
            <w:r>
              <w:rPr>
                <w:rFonts w:hint="eastAsia" w:cs="宋体"/>
                <w:i w:val="0"/>
                <w:iCs w:val="0"/>
                <w:color w:val="000000"/>
                <w:kern w:val="0"/>
                <w:sz w:val="22"/>
                <w:szCs w:val="22"/>
                <w:u w:val="none"/>
                <w:lang w:val="en-US" w:eastAsia="zh-CN" w:bidi="ar"/>
              </w:rPr>
              <w:t>（1-109）项</w:t>
            </w:r>
            <w:r>
              <w:rPr>
                <w:rFonts w:hint="eastAsia" w:ascii="宋体" w:hAnsi="宋体" w:eastAsia="宋体" w:cs="宋体"/>
                <w:i w:val="0"/>
                <w:iCs w:val="0"/>
                <w:color w:val="000000"/>
                <w:kern w:val="0"/>
                <w:sz w:val="22"/>
                <w:szCs w:val="22"/>
                <w:u w:val="none"/>
                <w:lang w:val="en-US" w:eastAsia="zh-CN" w:bidi="ar"/>
              </w:rPr>
              <w:t>报价的含税单价之和</w:t>
            </w:r>
          </w:p>
        </w:tc>
        <w:tc>
          <w:tcPr>
            <w:tcW w:w="1911" w:type="dxa"/>
            <w:tcBorders>
              <w:top w:val="single" w:color="000000" w:sz="4" w:space="0"/>
              <w:left w:val="single" w:color="000000" w:sz="4" w:space="0"/>
              <w:bottom w:val="single" w:color="000000" w:sz="4" w:space="0"/>
              <w:right w:val="single" w:color="000000" w:sz="4" w:space="0"/>
            </w:tcBorders>
            <w:shd w:val="clear" w:color="auto" w:fill="auto"/>
            <w:noWrap/>
            <w:vAlign w:val="center"/>
          </w:tcPr>
          <w:p>
            <w:pPr>
              <w:keepNext w:val="0"/>
              <w:keepLines w:val="0"/>
              <w:widowControl/>
              <w:suppressLineNumbers w:val="0"/>
              <w:jc w:val="right"/>
              <w:textAlignment w:val="center"/>
              <w:rPr>
                <w:rFonts w:hint="eastAsia" w:ascii="宋体" w:hAnsi="宋体" w:eastAsia="宋体" w:cs="宋体"/>
                <w:i w:val="0"/>
                <w:iCs w:val="0"/>
                <w:color w:val="000000"/>
                <w:sz w:val="22"/>
                <w:szCs w:val="22"/>
                <w:u w:val="none"/>
                <w:lang w:val="en-US" w:eastAsia="zh-CN"/>
              </w:rPr>
            </w:pPr>
            <w:r>
              <w:rPr>
                <w:rFonts w:hint="eastAsia" w:cs="宋体"/>
                <w:i w:val="0"/>
                <w:iCs w:val="0"/>
                <w:color w:val="000000"/>
                <w:sz w:val="22"/>
                <w:szCs w:val="22"/>
                <w:u w:val="none"/>
                <w:lang w:val="en-US" w:eastAsia="zh-CN"/>
              </w:rPr>
              <w:t>元</w:t>
            </w:r>
          </w:p>
        </w:tc>
      </w:tr>
    </w:tbl>
    <w:p>
      <w:pPr>
        <w:spacing w:line="360" w:lineRule="exact"/>
        <w:rPr>
          <w:szCs w:val="21"/>
        </w:rPr>
      </w:pPr>
    </w:p>
    <w:p>
      <w:pPr>
        <w:spacing w:line="720" w:lineRule="auto"/>
        <w:rPr>
          <w:rFonts w:hint="eastAsia"/>
          <w:szCs w:val="16"/>
          <w:lang w:eastAsia="zh-CN"/>
        </w:rPr>
      </w:pPr>
    </w:p>
    <w:p>
      <w:pPr>
        <w:spacing w:line="720" w:lineRule="auto"/>
        <w:rPr>
          <w:rFonts w:hint="eastAsia"/>
          <w:szCs w:val="16"/>
          <w:lang w:eastAsia="zh-CN"/>
        </w:rPr>
      </w:pPr>
    </w:p>
    <w:p>
      <w:pPr>
        <w:spacing w:line="720" w:lineRule="auto"/>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720" w:lineRule="auto"/>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720" w:lineRule="auto"/>
        <w:rPr>
          <w:szCs w:val="16"/>
        </w:rPr>
      </w:pPr>
      <w:r>
        <w:rPr>
          <w:rFonts w:hint="eastAsia"/>
          <w:szCs w:val="16"/>
        </w:rPr>
        <w:t>日期：</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rPr>
          <w:rFonts w:hint="eastAsia" w:cs="Times New Roman"/>
          <w:szCs w:val="21"/>
        </w:rPr>
        <w:sectPr>
          <w:pgSz w:w="11906" w:h="16838"/>
          <w:pgMar w:top="1440" w:right="1800" w:bottom="1440" w:left="1800" w:header="851" w:footer="992" w:gutter="0"/>
          <w:pgNumType w:fmt="decimal"/>
          <w:cols w:space="425" w:num="1"/>
          <w:docGrid w:type="lines" w:linePitch="326" w:charSpace="0"/>
        </w:sectPr>
      </w:pPr>
    </w:p>
    <w:bookmarkEnd w:id="52"/>
    <w:bookmarkEnd w:id="53"/>
    <w:bookmarkEnd w:id="54"/>
    <w:bookmarkEnd w:id="55"/>
    <w:p>
      <w:pPr>
        <w:pStyle w:val="2"/>
        <w:spacing w:before="0" w:after="0" w:line="360" w:lineRule="auto"/>
        <w:rPr>
          <w:sz w:val="24"/>
          <w:szCs w:val="24"/>
        </w:rPr>
      </w:pPr>
      <w:bookmarkStart w:id="56" w:name="_Toc36625609"/>
      <w:bookmarkStart w:id="57" w:name="_Toc70068633"/>
      <w:bookmarkStart w:id="58" w:name="_Toc67046919"/>
      <w:r>
        <w:rPr>
          <w:sz w:val="24"/>
          <w:szCs w:val="24"/>
        </w:rPr>
        <w:t>1.2.2</w:t>
      </w:r>
      <w:r>
        <w:rPr>
          <w:rFonts w:hint="eastAsia"/>
          <w:sz w:val="24"/>
          <w:szCs w:val="24"/>
        </w:rPr>
        <w:t>节能产品明细表（样表，如有）</w:t>
      </w:r>
    </w:p>
    <w:p>
      <w:pPr>
        <w:autoSpaceDE w:val="0"/>
        <w:autoSpaceDN w:val="0"/>
        <w:adjustRightInd w:val="0"/>
        <w:spacing w:line="600" w:lineRule="exact"/>
        <w:ind w:firstLine="482" w:firstLineChars="200"/>
        <w:jc w:val="center"/>
        <w:rPr>
          <w:b/>
          <w:bCs/>
        </w:rPr>
      </w:pPr>
      <w:r>
        <w:rPr>
          <w:rFonts w:hint="eastAsia"/>
          <w:b/>
          <w:bCs/>
        </w:rPr>
        <w:t>节能产品明细表</w:t>
      </w:r>
    </w:p>
    <w:p>
      <w:pPr>
        <w:autoSpaceDE w:val="0"/>
        <w:autoSpaceDN w:val="0"/>
        <w:adjustRightInd w:val="0"/>
        <w:spacing w:line="600" w:lineRule="exact"/>
      </w:pPr>
      <w:r>
        <w:rPr>
          <w:rFonts w:hint="eastAsia"/>
          <w:szCs w:val="16"/>
        </w:rPr>
        <w:t>项目名称（</w:t>
      </w:r>
      <w:r>
        <w:rPr>
          <w:rFonts w:hint="eastAsia"/>
          <w:i/>
          <w:iCs/>
          <w:color w:val="FF0000"/>
          <w:szCs w:val="16"/>
        </w:rPr>
        <w:t>第X包</w:t>
      </w:r>
      <w:r>
        <w:rPr>
          <w:rFonts w:hint="eastAsia"/>
          <w:szCs w:val="16"/>
        </w:rPr>
        <w:t>）：                                 项目编号： </w:t>
      </w:r>
    </w:p>
    <w:tbl>
      <w:tblPr>
        <w:tblStyle w:val="32"/>
        <w:tblpPr w:leftFromText="180" w:rightFromText="180" w:vertAnchor="text" w:horzAnchor="margin" w:tblpXSpec="center"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701"/>
        <w:gridCol w:w="2593"/>
        <w:gridCol w:w="855"/>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7" w:type="dxa"/>
            <w:vMerge w:val="restart"/>
            <w:tcBorders>
              <w:top w:val="single" w:color="auto" w:sz="12" w:space="0"/>
              <w:left w:val="single" w:color="auto" w:sz="12" w:space="0"/>
            </w:tcBorders>
            <w:vAlign w:val="center"/>
          </w:tcPr>
          <w:p>
            <w:pPr>
              <w:spacing w:line="360" w:lineRule="auto"/>
              <w:rPr>
                <w:szCs w:val="16"/>
              </w:rPr>
            </w:pPr>
            <w:r>
              <w:rPr>
                <w:rFonts w:hint="eastAsia"/>
                <w:szCs w:val="16"/>
              </w:rPr>
              <w:t>编号</w:t>
            </w:r>
          </w:p>
        </w:tc>
        <w:tc>
          <w:tcPr>
            <w:tcW w:w="1843" w:type="dxa"/>
            <w:vMerge w:val="restart"/>
            <w:tcBorders>
              <w:top w:val="single" w:color="auto" w:sz="12" w:space="0"/>
            </w:tcBorders>
            <w:vAlign w:val="center"/>
          </w:tcPr>
          <w:p>
            <w:pPr>
              <w:spacing w:line="360" w:lineRule="auto"/>
              <w:rPr>
                <w:szCs w:val="16"/>
              </w:rPr>
            </w:pPr>
            <w:r>
              <w:rPr>
                <w:rFonts w:hint="eastAsia"/>
                <w:szCs w:val="16"/>
              </w:rPr>
              <w:t>货物名称</w:t>
            </w:r>
          </w:p>
        </w:tc>
        <w:tc>
          <w:tcPr>
            <w:tcW w:w="1701" w:type="dxa"/>
            <w:vMerge w:val="restart"/>
            <w:tcBorders>
              <w:top w:val="single" w:color="auto" w:sz="12" w:space="0"/>
            </w:tcBorders>
            <w:vAlign w:val="center"/>
          </w:tcPr>
          <w:p>
            <w:pPr>
              <w:spacing w:line="360" w:lineRule="auto"/>
              <w:rPr>
                <w:szCs w:val="16"/>
              </w:rPr>
            </w:pPr>
            <w:r>
              <w:rPr>
                <w:rFonts w:hint="eastAsia"/>
                <w:szCs w:val="16"/>
              </w:rPr>
              <w:t>规格型号</w:t>
            </w:r>
          </w:p>
        </w:tc>
        <w:tc>
          <w:tcPr>
            <w:tcW w:w="2593" w:type="dxa"/>
            <w:vMerge w:val="restart"/>
            <w:tcBorders>
              <w:top w:val="single" w:color="auto" w:sz="12" w:space="0"/>
            </w:tcBorders>
            <w:vAlign w:val="center"/>
          </w:tcPr>
          <w:p>
            <w:pPr>
              <w:spacing w:line="360" w:lineRule="auto"/>
              <w:rPr>
                <w:szCs w:val="16"/>
              </w:rPr>
            </w:pPr>
            <w:r>
              <w:rPr>
                <w:rFonts w:hint="eastAsia"/>
                <w:szCs w:val="16"/>
              </w:rPr>
              <w:t>节字标志认证证书编号</w:t>
            </w:r>
          </w:p>
        </w:tc>
        <w:tc>
          <w:tcPr>
            <w:tcW w:w="2765" w:type="dxa"/>
            <w:gridSpan w:val="3"/>
            <w:tcBorders>
              <w:top w:val="single" w:color="auto" w:sz="12" w:space="0"/>
              <w:right w:val="single" w:color="auto" w:sz="12" w:space="0"/>
            </w:tcBorders>
            <w:vAlign w:val="center"/>
          </w:tcPr>
          <w:p>
            <w:pPr>
              <w:spacing w:line="360" w:lineRule="auto"/>
              <w:rPr>
                <w:szCs w:val="16"/>
              </w:rPr>
            </w:pPr>
            <w:r>
              <w:rPr>
                <w:rFonts w:hint="eastAsia"/>
                <w:szCs w:val="16"/>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7" w:type="dxa"/>
            <w:vMerge w:val="continue"/>
            <w:tcBorders>
              <w:left w:val="single" w:color="auto" w:sz="12" w:space="0"/>
            </w:tcBorders>
            <w:vAlign w:val="center"/>
          </w:tcPr>
          <w:p>
            <w:pPr>
              <w:spacing w:line="360" w:lineRule="auto"/>
              <w:rPr>
                <w:szCs w:val="16"/>
              </w:rPr>
            </w:pPr>
          </w:p>
        </w:tc>
        <w:tc>
          <w:tcPr>
            <w:tcW w:w="1843" w:type="dxa"/>
            <w:vMerge w:val="continue"/>
            <w:vAlign w:val="center"/>
          </w:tcPr>
          <w:p>
            <w:pPr>
              <w:spacing w:line="360" w:lineRule="auto"/>
              <w:rPr>
                <w:szCs w:val="16"/>
              </w:rPr>
            </w:pPr>
          </w:p>
        </w:tc>
        <w:tc>
          <w:tcPr>
            <w:tcW w:w="1701" w:type="dxa"/>
            <w:vMerge w:val="continue"/>
            <w:vAlign w:val="center"/>
          </w:tcPr>
          <w:p>
            <w:pPr>
              <w:spacing w:line="360" w:lineRule="auto"/>
              <w:rPr>
                <w:szCs w:val="16"/>
              </w:rPr>
            </w:pPr>
          </w:p>
        </w:tc>
        <w:tc>
          <w:tcPr>
            <w:tcW w:w="2593" w:type="dxa"/>
            <w:vMerge w:val="continue"/>
            <w:vAlign w:val="center"/>
          </w:tcPr>
          <w:p>
            <w:pPr>
              <w:spacing w:line="360" w:lineRule="auto"/>
              <w:rPr>
                <w:szCs w:val="16"/>
              </w:rPr>
            </w:pPr>
          </w:p>
        </w:tc>
        <w:tc>
          <w:tcPr>
            <w:tcW w:w="855" w:type="dxa"/>
            <w:vAlign w:val="center"/>
          </w:tcPr>
          <w:p>
            <w:pPr>
              <w:spacing w:line="360" w:lineRule="auto"/>
              <w:rPr>
                <w:szCs w:val="16"/>
              </w:rPr>
            </w:pPr>
            <w:r>
              <w:rPr>
                <w:rFonts w:hint="eastAsia"/>
                <w:szCs w:val="16"/>
              </w:rPr>
              <w:t>单价</w:t>
            </w:r>
          </w:p>
        </w:tc>
        <w:tc>
          <w:tcPr>
            <w:tcW w:w="955" w:type="dxa"/>
            <w:vAlign w:val="center"/>
          </w:tcPr>
          <w:p>
            <w:pPr>
              <w:spacing w:line="360" w:lineRule="auto"/>
              <w:rPr>
                <w:szCs w:val="16"/>
              </w:rPr>
            </w:pPr>
            <w:r>
              <w:rPr>
                <w:rFonts w:hint="eastAsia"/>
                <w:szCs w:val="16"/>
              </w:rPr>
              <w:t>数量</w:t>
            </w:r>
          </w:p>
        </w:tc>
        <w:tc>
          <w:tcPr>
            <w:tcW w:w="955" w:type="dxa"/>
            <w:tcBorders>
              <w:right w:val="single" w:color="auto" w:sz="12" w:space="0"/>
            </w:tcBorders>
            <w:vAlign w:val="center"/>
          </w:tcPr>
          <w:p>
            <w:pPr>
              <w:spacing w:line="360" w:lineRule="auto"/>
              <w:rPr>
                <w:szCs w:val="16"/>
              </w:rPr>
            </w:pPr>
            <w:r>
              <w:rPr>
                <w:rFonts w:hint="eastAsia"/>
                <w:szCs w:val="16"/>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tcBorders>
              <w:left w:val="single" w:color="auto" w:sz="12" w:space="0"/>
            </w:tcBorders>
            <w:vAlign w:val="center"/>
          </w:tcPr>
          <w:p>
            <w:pPr>
              <w:autoSpaceDE w:val="0"/>
              <w:autoSpaceDN w:val="0"/>
              <w:adjustRightInd w:val="0"/>
              <w:spacing w:line="600" w:lineRule="exact"/>
            </w:pPr>
            <w:r>
              <w:rPr>
                <w:rFonts w:hint="eastAsia"/>
              </w:rPr>
              <w:t>1</w:t>
            </w:r>
          </w:p>
        </w:tc>
        <w:tc>
          <w:tcPr>
            <w:tcW w:w="1843" w:type="dxa"/>
            <w:vAlign w:val="center"/>
          </w:tcPr>
          <w:p>
            <w:pPr>
              <w:autoSpaceDE w:val="0"/>
              <w:autoSpaceDN w:val="0"/>
              <w:adjustRightInd w:val="0"/>
              <w:spacing w:line="600" w:lineRule="exact"/>
              <w:ind w:firstLine="480" w:firstLineChars="200"/>
            </w:pPr>
          </w:p>
        </w:tc>
        <w:tc>
          <w:tcPr>
            <w:tcW w:w="1701" w:type="dxa"/>
            <w:vAlign w:val="center"/>
          </w:tcPr>
          <w:p>
            <w:pPr>
              <w:autoSpaceDE w:val="0"/>
              <w:autoSpaceDN w:val="0"/>
              <w:adjustRightInd w:val="0"/>
              <w:spacing w:line="600" w:lineRule="exact"/>
              <w:ind w:firstLine="480" w:firstLineChars="200"/>
            </w:pPr>
          </w:p>
        </w:tc>
        <w:tc>
          <w:tcPr>
            <w:tcW w:w="2593" w:type="dxa"/>
            <w:vAlign w:val="center"/>
          </w:tcPr>
          <w:p>
            <w:pPr>
              <w:autoSpaceDE w:val="0"/>
              <w:autoSpaceDN w:val="0"/>
              <w:adjustRightInd w:val="0"/>
              <w:spacing w:line="600" w:lineRule="exact"/>
              <w:ind w:firstLine="480" w:firstLineChars="200"/>
            </w:pPr>
          </w:p>
        </w:tc>
        <w:tc>
          <w:tcPr>
            <w:tcW w:w="855" w:type="dxa"/>
            <w:vAlign w:val="center"/>
          </w:tcPr>
          <w:p>
            <w:pPr>
              <w:autoSpaceDE w:val="0"/>
              <w:autoSpaceDN w:val="0"/>
              <w:adjustRightInd w:val="0"/>
              <w:spacing w:line="600" w:lineRule="exact"/>
              <w:ind w:firstLine="480" w:firstLineChars="200"/>
            </w:pPr>
          </w:p>
        </w:tc>
        <w:tc>
          <w:tcPr>
            <w:tcW w:w="955" w:type="dxa"/>
            <w:vAlign w:val="center"/>
          </w:tcPr>
          <w:p>
            <w:pPr>
              <w:autoSpaceDE w:val="0"/>
              <w:autoSpaceDN w:val="0"/>
              <w:adjustRightInd w:val="0"/>
              <w:spacing w:line="600" w:lineRule="exact"/>
              <w:ind w:firstLine="480" w:firstLineChars="200"/>
            </w:pPr>
          </w:p>
        </w:tc>
        <w:tc>
          <w:tcPr>
            <w:tcW w:w="955" w:type="dxa"/>
            <w:tcBorders>
              <w:right w:val="single" w:color="auto" w:sz="12" w:space="0"/>
            </w:tcBorders>
            <w:vAlign w:val="center"/>
          </w:tcPr>
          <w:p>
            <w:pPr>
              <w:autoSpaceDE w:val="0"/>
              <w:autoSpaceDN w:val="0"/>
              <w:adjustRightInd w:val="0"/>
              <w:spacing w:line="60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tcBorders>
              <w:left w:val="single" w:color="auto" w:sz="12" w:space="0"/>
            </w:tcBorders>
            <w:vAlign w:val="center"/>
          </w:tcPr>
          <w:p>
            <w:pPr>
              <w:autoSpaceDE w:val="0"/>
              <w:autoSpaceDN w:val="0"/>
              <w:adjustRightInd w:val="0"/>
              <w:spacing w:line="600" w:lineRule="exact"/>
            </w:pPr>
            <w:r>
              <w:rPr>
                <w:rFonts w:hint="eastAsia"/>
              </w:rPr>
              <w:t>2</w:t>
            </w:r>
          </w:p>
        </w:tc>
        <w:tc>
          <w:tcPr>
            <w:tcW w:w="1843" w:type="dxa"/>
            <w:vAlign w:val="center"/>
          </w:tcPr>
          <w:p>
            <w:pPr>
              <w:autoSpaceDE w:val="0"/>
              <w:autoSpaceDN w:val="0"/>
              <w:adjustRightInd w:val="0"/>
              <w:spacing w:line="600" w:lineRule="exact"/>
              <w:ind w:firstLine="480" w:firstLineChars="200"/>
            </w:pPr>
          </w:p>
        </w:tc>
        <w:tc>
          <w:tcPr>
            <w:tcW w:w="1701" w:type="dxa"/>
            <w:vAlign w:val="center"/>
          </w:tcPr>
          <w:p>
            <w:pPr>
              <w:autoSpaceDE w:val="0"/>
              <w:autoSpaceDN w:val="0"/>
              <w:adjustRightInd w:val="0"/>
              <w:spacing w:line="600" w:lineRule="exact"/>
              <w:ind w:firstLine="480" w:firstLineChars="200"/>
            </w:pPr>
          </w:p>
        </w:tc>
        <w:tc>
          <w:tcPr>
            <w:tcW w:w="2593" w:type="dxa"/>
            <w:vAlign w:val="center"/>
          </w:tcPr>
          <w:p>
            <w:pPr>
              <w:autoSpaceDE w:val="0"/>
              <w:autoSpaceDN w:val="0"/>
              <w:adjustRightInd w:val="0"/>
              <w:spacing w:line="600" w:lineRule="exact"/>
              <w:ind w:firstLine="480" w:firstLineChars="200"/>
            </w:pPr>
          </w:p>
        </w:tc>
        <w:tc>
          <w:tcPr>
            <w:tcW w:w="855" w:type="dxa"/>
            <w:vAlign w:val="center"/>
          </w:tcPr>
          <w:p>
            <w:pPr>
              <w:autoSpaceDE w:val="0"/>
              <w:autoSpaceDN w:val="0"/>
              <w:adjustRightInd w:val="0"/>
              <w:spacing w:line="600" w:lineRule="exact"/>
              <w:ind w:firstLine="480" w:firstLineChars="200"/>
            </w:pPr>
          </w:p>
        </w:tc>
        <w:tc>
          <w:tcPr>
            <w:tcW w:w="955" w:type="dxa"/>
            <w:vAlign w:val="center"/>
          </w:tcPr>
          <w:p>
            <w:pPr>
              <w:autoSpaceDE w:val="0"/>
              <w:autoSpaceDN w:val="0"/>
              <w:adjustRightInd w:val="0"/>
              <w:spacing w:line="600" w:lineRule="exact"/>
              <w:ind w:firstLine="480" w:firstLineChars="200"/>
            </w:pPr>
          </w:p>
        </w:tc>
        <w:tc>
          <w:tcPr>
            <w:tcW w:w="955" w:type="dxa"/>
            <w:tcBorders>
              <w:right w:val="single" w:color="auto" w:sz="12" w:space="0"/>
            </w:tcBorders>
            <w:vAlign w:val="center"/>
          </w:tcPr>
          <w:p>
            <w:pPr>
              <w:autoSpaceDE w:val="0"/>
              <w:autoSpaceDN w:val="0"/>
              <w:adjustRightInd w:val="0"/>
              <w:spacing w:line="60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tcBorders>
              <w:left w:val="single" w:color="auto" w:sz="12" w:space="0"/>
            </w:tcBorders>
            <w:vAlign w:val="center"/>
          </w:tcPr>
          <w:p>
            <w:pPr>
              <w:autoSpaceDE w:val="0"/>
              <w:autoSpaceDN w:val="0"/>
              <w:adjustRightInd w:val="0"/>
              <w:spacing w:line="600" w:lineRule="exact"/>
            </w:pPr>
            <w:r>
              <w:rPr>
                <w:rFonts w:hint="eastAsia"/>
              </w:rPr>
              <w:t>3</w:t>
            </w:r>
          </w:p>
        </w:tc>
        <w:tc>
          <w:tcPr>
            <w:tcW w:w="1843" w:type="dxa"/>
            <w:vAlign w:val="center"/>
          </w:tcPr>
          <w:p>
            <w:pPr>
              <w:autoSpaceDE w:val="0"/>
              <w:autoSpaceDN w:val="0"/>
              <w:adjustRightInd w:val="0"/>
              <w:spacing w:line="600" w:lineRule="exact"/>
              <w:ind w:firstLine="480" w:firstLineChars="200"/>
            </w:pPr>
            <w:r>
              <w:rPr>
                <w:rFonts w:hint="eastAsia"/>
              </w:rPr>
              <w:t>…</w:t>
            </w:r>
          </w:p>
        </w:tc>
        <w:tc>
          <w:tcPr>
            <w:tcW w:w="1701" w:type="dxa"/>
            <w:vAlign w:val="center"/>
          </w:tcPr>
          <w:p>
            <w:pPr>
              <w:autoSpaceDE w:val="0"/>
              <w:autoSpaceDN w:val="0"/>
              <w:adjustRightInd w:val="0"/>
              <w:spacing w:line="600" w:lineRule="exact"/>
              <w:ind w:firstLine="480" w:firstLineChars="200"/>
            </w:pPr>
          </w:p>
        </w:tc>
        <w:tc>
          <w:tcPr>
            <w:tcW w:w="2593" w:type="dxa"/>
            <w:vAlign w:val="center"/>
          </w:tcPr>
          <w:p>
            <w:pPr>
              <w:autoSpaceDE w:val="0"/>
              <w:autoSpaceDN w:val="0"/>
              <w:adjustRightInd w:val="0"/>
              <w:spacing w:line="600" w:lineRule="exact"/>
              <w:ind w:firstLine="480" w:firstLineChars="200"/>
            </w:pPr>
          </w:p>
        </w:tc>
        <w:tc>
          <w:tcPr>
            <w:tcW w:w="855" w:type="dxa"/>
            <w:vAlign w:val="center"/>
          </w:tcPr>
          <w:p>
            <w:pPr>
              <w:autoSpaceDE w:val="0"/>
              <w:autoSpaceDN w:val="0"/>
              <w:adjustRightInd w:val="0"/>
              <w:spacing w:line="600" w:lineRule="exact"/>
              <w:ind w:firstLine="480" w:firstLineChars="200"/>
            </w:pPr>
          </w:p>
        </w:tc>
        <w:tc>
          <w:tcPr>
            <w:tcW w:w="955" w:type="dxa"/>
            <w:vAlign w:val="center"/>
          </w:tcPr>
          <w:p>
            <w:pPr>
              <w:autoSpaceDE w:val="0"/>
              <w:autoSpaceDN w:val="0"/>
              <w:adjustRightInd w:val="0"/>
              <w:spacing w:line="600" w:lineRule="exact"/>
              <w:ind w:firstLine="480" w:firstLineChars="200"/>
            </w:pPr>
          </w:p>
        </w:tc>
        <w:tc>
          <w:tcPr>
            <w:tcW w:w="955" w:type="dxa"/>
            <w:tcBorders>
              <w:right w:val="single" w:color="auto" w:sz="12" w:space="0"/>
            </w:tcBorders>
            <w:vAlign w:val="center"/>
          </w:tcPr>
          <w:p>
            <w:pPr>
              <w:autoSpaceDE w:val="0"/>
              <w:autoSpaceDN w:val="0"/>
              <w:adjustRightInd w:val="0"/>
              <w:spacing w:line="600" w:lineRule="exact"/>
              <w:ind w:firstLine="480" w:firstLineChars="200"/>
            </w:pPr>
          </w:p>
        </w:tc>
      </w:tr>
    </w:tbl>
    <w:p>
      <w:pPr>
        <w:autoSpaceDE w:val="0"/>
        <w:autoSpaceDN w:val="0"/>
        <w:adjustRightInd w:val="0"/>
        <w:spacing w:line="600" w:lineRule="exact"/>
        <w:rPr>
          <w:szCs w:val="16"/>
        </w:rPr>
      </w:pPr>
      <w:r>
        <w:rPr>
          <w:rFonts w:hint="eastAsia"/>
          <w:szCs w:val="16"/>
        </w:rPr>
        <w:t xml:space="preserve">说明：1、如所投产品为节能产品，请按要求逐项填写； </w:t>
      </w:r>
    </w:p>
    <w:p>
      <w:pPr>
        <w:autoSpaceDE w:val="0"/>
        <w:autoSpaceDN w:val="0"/>
        <w:adjustRightInd w:val="0"/>
        <w:spacing w:line="600" w:lineRule="exact"/>
        <w:rPr>
          <w:szCs w:val="16"/>
        </w:rPr>
      </w:pPr>
      <w:r>
        <w:rPr>
          <w:rFonts w:hint="eastAsia"/>
          <w:szCs w:val="16"/>
        </w:rPr>
        <w:t>2、需提供PDF格式节能产品认证证书，且证书内产品型号与所投产品型号完全一致，否则评审时不予加分（非强制节能产品）；如为强制节能产品，未提供产品认证证书或证书内产品型号与所投产品型号不完全一致的，将被认定为投标无效。</w:t>
      </w:r>
    </w:p>
    <w:p>
      <w:pPr>
        <w:pStyle w:val="39"/>
        <w:ind w:firstLine="0" w:firstLineChars="0"/>
      </w:pPr>
    </w:p>
    <w:p>
      <w:pPr>
        <w:spacing w:line="720" w:lineRule="auto"/>
        <w:rPr>
          <w:rFonts w:hint="eastAsia"/>
          <w:szCs w:val="16"/>
          <w:lang w:eastAsia="zh-CN"/>
        </w:rPr>
      </w:pPr>
    </w:p>
    <w:p>
      <w:pPr>
        <w:spacing w:line="720" w:lineRule="auto"/>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720" w:lineRule="auto"/>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720" w:lineRule="auto"/>
        <w:rPr>
          <w:szCs w:val="16"/>
        </w:rPr>
      </w:pPr>
      <w:r>
        <w:rPr>
          <w:rFonts w:hint="eastAsia"/>
          <w:szCs w:val="16"/>
        </w:rPr>
        <w:t>日期：</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spacing w:line="720" w:lineRule="auto"/>
        <w:rPr>
          <w:rFonts w:cs="Times New Roman"/>
          <w:szCs w:val="21"/>
        </w:rPr>
      </w:pPr>
      <w:r>
        <w:rPr>
          <w:rFonts w:cs="Times New Roman"/>
          <w:szCs w:val="21"/>
        </w:rPr>
        <w:br w:type="page"/>
      </w:r>
    </w:p>
    <w:p>
      <w:pPr>
        <w:pStyle w:val="2"/>
        <w:spacing w:before="0" w:after="0" w:line="360" w:lineRule="auto"/>
        <w:rPr>
          <w:sz w:val="24"/>
          <w:szCs w:val="24"/>
        </w:rPr>
      </w:pPr>
      <w:r>
        <w:rPr>
          <w:sz w:val="24"/>
          <w:szCs w:val="24"/>
        </w:rPr>
        <w:t>1</w:t>
      </w:r>
      <w:r>
        <w:rPr>
          <w:rFonts w:hint="eastAsia"/>
          <w:sz w:val="24"/>
          <w:szCs w:val="24"/>
        </w:rPr>
        <w:t>.2</w:t>
      </w:r>
      <w:r>
        <w:rPr>
          <w:sz w:val="24"/>
          <w:szCs w:val="24"/>
        </w:rPr>
        <w:t>.3</w:t>
      </w:r>
      <w:r>
        <w:rPr>
          <w:rFonts w:hint="eastAsia"/>
          <w:sz w:val="24"/>
          <w:szCs w:val="24"/>
        </w:rPr>
        <w:t>环境标志产品明细表（样表，如有）</w:t>
      </w:r>
    </w:p>
    <w:p>
      <w:pPr>
        <w:pStyle w:val="31"/>
        <w:ind w:left="480" w:firstLine="480"/>
      </w:pPr>
    </w:p>
    <w:p>
      <w:pPr>
        <w:autoSpaceDE w:val="0"/>
        <w:autoSpaceDN w:val="0"/>
        <w:adjustRightInd w:val="0"/>
        <w:spacing w:line="600" w:lineRule="exact"/>
        <w:ind w:firstLine="482" w:firstLineChars="200"/>
        <w:jc w:val="center"/>
        <w:rPr>
          <w:b/>
          <w:bCs/>
        </w:rPr>
      </w:pPr>
      <w:r>
        <w:rPr>
          <w:rFonts w:hint="eastAsia"/>
          <w:b/>
          <w:bCs/>
        </w:rPr>
        <w:t>环境标志产品明细表</w:t>
      </w:r>
    </w:p>
    <w:p>
      <w:pPr>
        <w:autoSpaceDE w:val="0"/>
        <w:autoSpaceDN w:val="0"/>
        <w:adjustRightInd w:val="0"/>
        <w:spacing w:line="600" w:lineRule="exact"/>
      </w:pPr>
      <w:r>
        <w:rPr>
          <w:rFonts w:hint="eastAsia"/>
          <w:szCs w:val="16"/>
        </w:rPr>
        <w:t>项目名称（</w:t>
      </w:r>
      <w:r>
        <w:rPr>
          <w:rFonts w:hint="eastAsia"/>
          <w:i/>
          <w:iCs/>
          <w:color w:val="FF0000"/>
          <w:szCs w:val="16"/>
        </w:rPr>
        <w:t>第X包</w:t>
      </w:r>
      <w:r>
        <w:rPr>
          <w:rFonts w:hint="eastAsia"/>
          <w:szCs w:val="16"/>
        </w:rPr>
        <w:t>）：                                 项目编号： </w:t>
      </w:r>
    </w:p>
    <w:tbl>
      <w:tblPr>
        <w:tblStyle w:val="32"/>
        <w:tblpPr w:leftFromText="180" w:rightFromText="180" w:vertAnchor="text" w:horzAnchor="margin" w:tblpXSpec="center" w:tblpY="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1843"/>
        <w:gridCol w:w="1701"/>
        <w:gridCol w:w="2593"/>
        <w:gridCol w:w="855"/>
        <w:gridCol w:w="955"/>
        <w:gridCol w:w="95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1" w:hRule="atLeast"/>
        </w:trPr>
        <w:tc>
          <w:tcPr>
            <w:tcW w:w="817" w:type="dxa"/>
            <w:vMerge w:val="restart"/>
            <w:tcBorders>
              <w:top w:val="single" w:color="auto" w:sz="12" w:space="0"/>
              <w:left w:val="single" w:color="auto" w:sz="12" w:space="0"/>
            </w:tcBorders>
            <w:vAlign w:val="center"/>
          </w:tcPr>
          <w:p>
            <w:pPr>
              <w:spacing w:line="360" w:lineRule="auto"/>
              <w:rPr>
                <w:szCs w:val="16"/>
              </w:rPr>
            </w:pPr>
            <w:r>
              <w:rPr>
                <w:rFonts w:hint="eastAsia"/>
                <w:szCs w:val="16"/>
              </w:rPr>
              <w:t>编号</w:t>
            </w:r>
          </w:p>
        </w:tc>
        <w:tc>
          <w:tcPr>
            <w:tcW w:w="1843" w:type="dxa"/>
            <w:vMerge w:val="restart"/>
            <w:tcBorders>
              <w:top w:val="single" w:color="auto" w:sz="12" w:space="0"/>
            </w:tcBorders>
            <w:vAlign w:val="center"/>
          </w:tcPr>
          <w:p>
            <w:pPr>
              <w:spacing w:line="360" w:lineRule="auto"/>
              <w:rPr>
                <w:szCs w:val="16"/>
              </w:rPr>
            </w:pPr>
            <w:r>
              <w:rPr>
                <w:rFonts w:hint="eastAsia"/>
                <w:szCs w:val="16"/>
              </w:rPr>
              <w:t>货物名称</w:t>
            </w:r>
          </w:p>
        </w:tc>
        <w:tc>
          <w:tcPr>
            <w:tcW w:w="1701" w:type="dxa"/>
            <w:vMerge w:val="restart"/>
            <w:tcBorders>
              <w:top w:val="single" w:color="auto" w:sz="12" w:space="0"/>
            </w:tcBorders>
            <w:vAlign w:val="center"/>
          </w:tcPr>
          <w:p>
            <w:pPr>
              <w:spacing w:line="360" w:lineRule="auto"/>
              <w:rPr>
                <w:szCs w:val="16"/>
              </w:rPr>
            </w:pPr>
            <w:r>
              <w:rPr>
                <w:rFonts w:hint="eastAsia"/>
                <w:szCs w:val="16"/>
              </w:rPr>
              <w:t>规格型号</w:t>
            </w:r>
          </w:p>
        </w:tc>
        <w:tc>
          <w:tcPr>
            <w:tcW w:w="2593" w:type="dxa"/>
            <w:vMerge w:val="restart"/>
            <w:tcBorders>
              <w:top w:val="single" w:color="auto" w:sz="12" w:space="0"/>
            </w:tcBorders>
            <w:vAlign w:val="center"/>
          </w:tcPr>
          <w:p>
            <w:pPr>
              <w:spacing w:line="360" w:lineRule="auto"/>
              <w:rPr>
                <w:szCs w:val="16"/>
              </w:rPr>
            </w:pPr>
            <w:r>
              <w:rPr>
                <w:rFonts w:hint="eastAsia"/>
                <w:szCs w:val="16"/>
              </w:rPr>
              <w:t>中国环境标志认证证书编号</w:t>
            </w:r>
          </w:p>
        </w:tc>
        <w:tc>
          <w:tcPr>
            <w:tcW w:w="2765" w:type="dxa"/>
            <w:gridSpan w:val="3"/>
            <w:tcBorders>
              <w:top w:val="single" w:color="auto" w:sz="12" w:space="0"/>
              <w:right w:val="single" w:color="auto" w:sz="12" w:space="0"/>
            </w:tcBorders>
            <w:vAlign w:val="center"/>
          </w:tcPr>
          <w:p>
            <w:pPr>
              <w:spacing w:line="360" w:lineRule="auto"/>
              <w:rPr>
                <w:szCs w:val="16"/>
              </w:rPr>
            </w:pPr>
            <w:r>
              <w:rPr>
                <w:rFonts w:hint="eastAsia"/>
                <w:szCs w:val="16"/>
              </w:rPr>
              <w:t>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3" w:hRule="atLeast"/>
        </w:trPr>
        <w:tc>
          <w:tcPr>
            <w:tcW w:w="817" w:type="dxa"/>
            <w:vMerge w:val="continue"/>
            <w:tcBorders>
              <w:left w:val="single" w:color="auto" w:sz="12" w:space="0"/>
            </w:tcBorders>
            <w:vAlign w:val="center"/>
          </w:tcPr>
          <w:p>
            <w:pPr>
              <w:spacing w:line="360" w:lineRule="auto"/>
              <w:rPr>
                <w:szCs w:val="16"/>
              </w:rPr>
            </w:pPr>
          </w:p>
        </w:tc>
        <w:tc>
          <w:tcPr>
            <w:tcW w:w="1843" w:type="dxa"/>
            <w:vMerge w:val="continue"/>
            <w:vAlign w:val="center"/>
          </w:tcPr>
          <w:p>
            <w:pPr>
              <w:spacing w:line="360" w:lineRule="auto"/>
              <w:rPr>
                <w:szCs w:val="16"/>
              </w:rPr>
            </w:pPr>
          </w:p>
        </w:tc>
        <w:tc>
          <w:tcPr>
            <w:tcW w:w="1701" w:type="dxa"/>
            <w:vMerge w:val="continue"/>
            <w:vAlign w:val="center"/>
          </w:tcPr>
          <w:p>
            <w:pPr>
              <w:spacing w:line="360" w:lineRule="auto"/>
              <w:rPr>
                <w:szCs w:val="16"/>
              </w:rPr>
            </w:pPr>
          </w:p>
        </w:tc>
        <w:tc>
          <w:tcPr>
            <w:tcW w:w="2593" w:type="dxa"/>
            <w:vMerge w:val="continue"/>
            <w:vAlign w:val="center"/>
          </w:tcPr>
          <w:p>
            <w:pPr>
              <w:spacing w:line="360" w:lineRule="auto"/>
              <w:rPr>
                <w:szCs w:val="16"/>
              </w:rPr>
            </w:pPr>
          </w:p>
        </w:tc>
        <w:tc>
          <w:tcPr>
            <w:tcW w:w="855" w:type="dxa"/>
            <w:vAlign w:val="center"/>
          </w:tcPr>
          <w:p>
            <w:pPr>
              <w:spacing w:line="360" w:lineRule="auto"/>
              <w:rPr>
                <w:szCs w:val="16"/>
              </w:rPr>
            </w:pPr>
            <w:r>
              <w:rPr>
                <w:rFonts w:hint="eastAsia"/>
                <w:szCs w:val="16"/>
              </w:rPr>
              <w:t>单价</w:t>
            </w:r>
          </w:p>
        </w:tc>
        <w:tc>
          <w:tcPr>
            <w:tcW w:w="955" w:type="dxa"/>
            <w:vAlign w:val="center"/>
          </w:tcPr>
          <w:p>
            <w:pPr>
              <w:spacing w:line="360" w:lineRule="auto"/>
              <w:rPr>
                <w:szCs w:val="16"/>
              </w:rPr>
            </w:pPr>
            <w:r>
              <w:rPr>
                <w:rFonts w:hint="eastAsia"/>
                <w:szCs w:val="16"/>
              </w:rPr>
              <w:t>数量</w:t>
            </w:r>
          </w:p>
        </w:tc>
        <w:tc>
          <w:tcPr>
            <w:tcW w:w="955" w:type="dxa"/>
            <w:tcBorders>
              <w:right w:val="single" w:color="auto" w:sz="12" w:space="0"/>
            </w:tcBorders>
            <w:vAlign w:val="center"/>
          </w:tcPr>
          <w:p>
            <w:pPr>
              <w:spacing w:line="360" w:lineRule="auto"/>
              <w:rPr>
                <w:szCs w:val="16"/>
              </w:rPr>
            </w:pPr>
            <w:r>
              <w:rPr>
                <w:rFonts w:hint="eastAsia"/>
                <w:szCs w:val="16"/>
              </w:rPr>
              <w:t>小计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tcBorders>
              <w:left w:val="single" w:color="auto" w:sz="12" w:space="0"/>
            </w:tcBorders>
            <w:vAlign w:val="center"/>
          </w:tcPr>
          <w:p>
            <w:pPr>
              <w:autoSpaceDE w:val="0"/>
              <w:autoSpaceDN w:val="0"/>
              <w:adjustRightInd w:val="0"/>
              <w:spacing w:line="600" w:lineRule="exact"/>
            </w:pPr>
            <w:r>
              <w:rPr>
                <w:rFonts w:hint="eastAsia"/>
              </w:rPr>
              <w:t>1</w:t>
            </w:r>
          </w:p>
        </w:tc>
        <w:tc>
          <w:tcPr>
            <w:tcW w:w="1843" w:type="dxa"/>
            <w:vAlign w:val="center"/>
          </w:tcPr>
          <w:p>
            <w:pPr>
              <w:autoSpaceDE w:val="0"/>
              <w:autoSpaceDN w:val="0"/>
              <w:adjustRightInd w:val="0"/>
              <w:spacing w:line="600" w:lineRule="exact"/>
              <w:ind w:firstLine="480" w:firstLineChars="200"/>
            </w:pPr>
          </w:p>
        </w:tc>
        <w:tc>
          <w:tcPr>
            <w:tcW w:w="1701" w:type="dxa"/>
            <w:vAlign w:val="center"/>
          </w:tcPr>
          <w:p>
            <w:pPr>
              <w:autoSpaceDE w:val="0"/>
              <w:autoSpaceDN w:val="0"/>
              <w:adjustRightInd w:val="0"/>
              <w:spacing w:line="600" w:lineRule="exact"/>
              <w:ind w:firstLine="480" w:firstLineChars="200"/>
            </w:pPr>
          </w:p>
        </w:tc>
        <w:tc>
          <w:tcPr>
            <w:tcW w:w="2593" w:type="dxa"/>
            <w:vAlign w:val="center"/>
          </w:tcPr>
          <w:p>
            <w:pPr>
              <w:autoSpaceDE w:val="0"/>
              <w:autoSpaceDN w:val="0"/>
              <w:adjustRightInd w:val="0"/>
              <w:spacing w:line="600" w:lineRule="exact"/>
              <w:ind w:firstLine="480" w:firstLineChars="200"/>
            </w:pPr>
          </w:p>
        </w:tc>
        <w:tc>
          <w:tcPr>
            <w:tcW w:w="855" w:type="dxa"/>
            <w:vAlign w:val="center"/>
          </w:tcPr>
          <w:p>
            <w:pPr>
              <w:autoSpaceDE w:val="0"/>
              <w:autoSpaceDN w:val="0"/>
              <w:adjustRightInd w:val="0"/>
              <w:spacing w:line="600" w:lineRule="exact"/>
              <w:ind w:firstLine="480" w:firstLineChars="200"/>
            </w:pPr>
          </w:p>
        </w:tc>
        <w:tc>
          <w:tcPr>
            <w:tcW w:w="955" w:type="dxa"/>
            <w:vAlign w:val="center"/>
          </w:tcPr>
          <w:p>
            <w:pPr>
              <w:autoSpaceDE w:val="0"/>
              <w:autoSpaceDN w:val="0"/>
              <w:adjustRightInd w:val="0"/>
              <w:spacing w:line="600" w:lineRule="exact"/>
              <w:ind w:firstLine="480" w:firstLineChars="200"/>
            </w:pPr>
          </w:p>
        </w:tc>
        <w:tc>
          <w:tcPr>
            <w:tcW w:w="955" w:type="dxa"/>
            <w:tcBorders>
              <w:right w:val="single" w:color="auto" w:sz="12" w:space="0"/>
            </w:tcBorders>
            <w:vAlign w:val="center"/>
          </w:tcPr>
          <w:p>
            <w:pPr>
              <w:autoSpaceDE w:val="0"/>
              <w:autoSpaceDN w:val="0"/>
              <w:adjustRightInd w:val="0"/>
              <w:spacing w:line="60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tcBorders>
              <w:left w:val="single" w:color="auto" w:sz="12" w:space="0"/>
            </w:tcBorders>
            <w:vAlign w:val="center"/>
          </w:tcPr>
          <w:p>
            <w:pPr>
              <w:autoSpaceDE w:val="0"/>
              <w:autoSpaceDN w:val="0"/>
              <w:adjustRightInd w:val="0"/>
              <w:spacing w:line="600" w:lineRule="exact"/>
            </w:pPr>
            <w:r>
              <w:rPr>
                <w:rFonts w:hint="eastAsia"/>
              </w:rPr>
              <w:t>2</w:t>
            </w:r>
          </w:p>
        </w:tc>
        <w:tc>
          <w:tcPr>
            <w:tcW w:w="1843" w:type="dxa"/>
            <w:vAlign w:val="center"/>
          </w:tcPr>
          <w:p>
            <w:pPr>
              <w:autoSpaceDE w:val="0"/>
              <w:autoSpaceDN w:val="0"/>
              <w:adjustRightInd w:val="0"/>
              <w:spacing w:line="600" w:lineRule="exact"/>
              <w:ind w:firstLine="480" w:firstLineChars="200"/>
            </w:pPr>
          </w:p>
        </w:tc>
        <w:tc>
          <w:tcPr>
            <w:tcW w:w="1701" w:type="dxa"/>
            <w:vAlign w:val="center"/>
          </w:tcPr>
          <w:p>
            <w:pPr>
              <w:autoSpaceDE w:val="0"/>
              <w:autoSpaceDN w:val="0"/>
              <w:adjustRightInd w:val="0"/>
              <w:spacing w:line="600" w:lineRule="exact"/>
              <w:ind w:firstLine="480" w:firstLineChars="200"/>
            </w:pPr>
          </w:p>
        </w:tc>
        <w:tc>
          <w:tcPr>
            <w:tcW w:w="2593" w:type="dxa"/>
            <w:vAlign w:val="center"/>
          </w:tcPr>
          <w:p>
            <w:pPr>
              <w:autoSpaceDE w:val="0"/>
              <w:autoSpaceDN w:val="0"/>
              <w:adjustRightInd w:val="0"/>
              <w:spacing w:line="600" w:lineRule="exact"/>
              <w:ind w:firstLine="480" w:firstLineChars="200"/>
            </w:pPr>
          </w:p>
        </w:tc>
        <w:tc>
          <w:tcPr>
            <w:tcW w:w="855" w:type="dxa"/>
            <w:vAlign w:val="center"/>
          </w:tcPr>
          <w:p>
            <w:pPr>
              <w:autoSpaceDE w:val="0"/>
              <w:autoSpaceDN w:val="0"/>
              <w:adjustRightInd w:val="0"/>
              <w:spacing w:line="600" w:lineRule="exact"/>
              <w:ind w:firstLine="480" w:firstLineChars="200"/>
            </w:pPr>
          </w:p>
        </w:tc>
        <w:tc>
          <w:tcPr>
            <w:tcW w:w="955" w:type="dxa"/>
            <w:vAlign w:val="center"/>
          </w:tcPr>
          <w:p>
            <w:pPr>
              <w:autoSpaceDE w:val="0"/>
              <w:autoSpaceDN w:val="0"/>
              <w:adjustRightInd w:val="0"/>
              <w:spacing w:line="600" w:lineRule="exact"/>
              <w:ind w:firstLine="480" w:firstLineChars="200"/>
            </w:pPr>
          </w:p>
        </w:tc>
        <w:tc>
          <w:tcPr>
            <w:tcW w:w="955" w:type="dxa"/>
            <w:tcBorders>
              <w:right w:val="single" w:color="auto" w:sz="12" w:space="0"/>
            </w:tcBorders>
            <w:vAlign w:val="center"/>
          </w:tcPr>
          <w:p>
            <w:pPr>
              <w:autoSpaceDE w:val="0"/>
              <w:autoSpaceDN w:val="0"/>
              <w:adjustRightInd w:val="0"/>
              <w:spacing w:line="600" w:lineRule="exact"/>
              <w:ind w:firstLine="480" w:firstLineChars="200"/>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817" w:type="dxa"/>
            <w:tcBorders>
              <w:left w:val="single" w:color="auto" w:sz="12" w:space="0"/>
            </w:tcBorders>
            <w:vAlign w:val="center"/>
          </w:tcPr>
          <w:p>
            <w:pPr>
              <w:autoSpaceDE w:val="0"/>
              <w:autoSpaceDN w:val="0"/>
              <w:adjustRightInd w:val="0"/>
              <w:spacing w:line="600" w:lineRule="exact"/>
            </w:pPr>
            <w:r>
              <w:rPr>
                <w:rFonts w:hint="eastAsia"/>
              </w:rPr>
              <w:t>3</w:t>
            </w:r>
          </w:p>
        </w:tc>
        <w:tc>
          <w:tcPr>
            <w:tcW w:w="1843" w:type="dxa"/>
            <w:vAlign w:val="center"/>
          </w:tcPr>
          <w:p>
            <w:pPr>
              <w:autoSpaceDE w:val="0"/>
              <w:autoSpaceDN w:val="0"/>
              <w:adjustRightInd w:val="0"/>
              <w:spacing w:line="600" w:lineRule="exact"/>
              <w:ind w:firstLine="480" w:firstLineChars="200"/>
            </w:pPr>
            <w:r>
              <w:rPr>
                <w:rFonts w:hint="eastAsia"/>
              </w:rPr>
              <w:t>…</w:t>
            </w:r>
          </w:p>
        </w:tc>
        <w:tc>
          <w:tcPr>
            <w:tcW w:w="1701" w:type="dxa"/>
            <w:vAlign w:val="center"/>
          </w:tcPr>
          <w:p>
            <w:pPr>
              <w:autoSpaceDE w:val="0"/>
              <w:autoSpaceDN w:val="0"/>
              <w:adjustRightInd w:val="0"/>
              <w:spacing w:line="600" w:lineRule="exact"/>
              <w:ind w:firstLine="480" w:firstLineChars="200"/>
            </w:pPr>
          </w:p>
        </w:tc>
        <w:tc>
          <w:tcPr>
            <w:tcW w:w="2593" w:type="dxa"/>
            <w:vAlign w:val="center"/>
          </w:tcPr>
          <w:p>
            <w:pPr>
              <w:autoSpaceDE w:val="0"/>
              <w:autoSpaceDN w:val="0"/>
              <w:adjustRightInd w:val="0"/>
              <w:spacing w:line="600" w:lineRule="exact"/>
              <w:ind w:firstLine="480" w:firstLineChars="200"/>
            </w:pPr>
          </w:p>
        </w:tc>
        <w:tc>
          <w:tcPr>
            <w:tcW w:w="855" w:type="dxa"/>
            <w:vAlign w:val="center"/>
          </w:tcPr>
          <w:p>
            <w:pPr>
              <w:autoSpaceDE w:val="0"/>
              <w:autoSpaceDN w:val="0"/>
              <w:adjustRightInd w:val="0"/>
              <w:spacing w:line="600" w:lineRule="exact"/>
              <w:ind w:firstLine="480" w:firstLineChars="200"/>
            </w:pPr>
          </w:p>
        </w:tc>
        <w:tc>
          <w:tcPr>
            <w:tcW w:w="955" w:type="dxa"/>
            <w:vAlign w:val="center"/>
          </w:tcPr>
          <w:p>
            <w:pPr>
              <w:autoSpaceDE w:val="0"/>
              <w:autoSpaceDN w:val="0"/>
              <w:adjustRightInd w:val="0"/>
              <w:spacing w:line="600" w:lineRule="exact"/>
              <w:ind w:firstLine="480" w:firstLineChars="200"/>
            </w:pPr>
          </w:p>
        </w:tc>
        <w:tc>
          <w:tcPr>
            <w:tcW w:w="955" w:type="dxa"/>
            <w:tcBorders>
              <w:right w:val="single" w:color="auto" w:sz="12" w:space="0"/>
            </w:tcBorders>
            <w:vAlign w:val="center"/>
          </w:tcPr>
          <w:p>
            <w:pPr>
              <w:autoSpaceDE w:val="0"/>
              <w:autoSpaceDN w:val="0"/>
              <w:adjustRightInd w:val="0"/>
              <w:spacing w:line="600" w:lineRule="exact"/>
              <w:ind w:firstLine="480" w:firstLineChars="200"/>
            </w:pPr>
          </w:p>
        </w:tc>
      </w:tr>
    </w:tbl>
    <w:p>
      <w:pPr>
        <w:autoSpaceDE w:val="0"/>
        <w:autoSpaceDN w:val="0"/>
        <w:adjustRightInd w:val="0"/>
        <w:spacing w:line="600" w:lineRule="exact"/>
        <w:rPr>
          <w:szCs w:val="16"/>
        </w:rPr>
      </w:pPr>
      <w:r>
        <w:rPr>
          <w:rFonts w:hint="eastAsia"/>
          <w:szCs w:val="16"/>
        </w:rPr>
        <w:t xml:space="preserve">说明：1、如所投产品为环保产品，请按要求逐项填写； </w:t>
      </w:r>
    </w:p>
    <w:p>
      <w:pPr>
        <w:autoSpaceDE w:val="0"/>
        <w:autoSpaceDN w:val="0"/>
        <w:adjustRightInd w:val="0"/>
        <w:spacing w:line="600" w:lineRule="exact"/>
        <w:rPr>
          <w:szCs w:val="16"/>
        </w:rPr>
      </w:pPr>
      <w:r>
        <w:rPr>
          <w:rFonts w:hint="eastAsia"/>
          <w:szCs w:val="16"/>
        </w:rPr>
        <w:t>2、需提供PDF格式的环境标志产品认证证书，且证书内产品型号与所投产品型号完全一致，否则评审时不予加分。</w:t>
      </w:r>
    </w:p>
    <w:p>
      <w:pPr>
        <w:pStyle w:val="39"/>
        <w:ind w:firstLine="0" w:firstLineChars="0"/>
      </w:pPr>
    </w:p>
    <w:p>
      <w:pPr>
        <w:pStyle w:val="39"/>
        <w:ind w:firstLine="0" w:firstLineChars="0"/>
      </w:pPr>
    </w:p>
    <w:p>
      <w:pPr>
        <w:spacing w:line="720" w:lineRule="auto"/>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720" w:lineRule="auto"/>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720" w:lineRule="auto"/>
        <w:rPr>
          <w:szCs w:val="16"/>
        </w:rPr>
      </w:pPr>
      <w:r>
        <w:rPr>
          <w:rFonts w:hint="eastAsia"/>
          <w:szCs w:val="16"/>
        </w:rPr>
        <w:t>日期：</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pStyle w:val="31"/>
        <w:ind w:left="480" w:firstLine="480"/>
        <w:rPr>
          <w:sz w:val="28"/>
          <w:szCs w:val="28"/>
        </w:rPr>
      </w:pPr>
      <w:r>
        <w:rPr>
          <w:rFonts w:hint="eastAsia"/>
        </w:rPr>
        <w:br w:type="page"/>
      </w:r>
    </w:p>
    <w:bookmarkEnd w:id="56"/>
    <w:bookmarkEnd w:id="57"/>
    <w:bookmarkEnd w:id="58"/>
    <w:p>
      <w:pPr>
        <w:pStyle w:val="2"/>
        <w:spacing w:before="0" w:after="0" w:line="360" w:lineRule="auto"/>
        <w:ind w:firstLine="120" w:firstLineChars="50"/>
        <w:rPr>
          <w:sz w:val="24"/>
          <w:szCs w:val="24"/>
        </w:rPr>
      </w:pPr>
      <w:bookmarkStart w:id="59" w:name="_Toc276645581"/>
      <w:bookmarkStart w:id="60" w:name="_Toc259090984"/>
      <w:bookmarkStart w:id="61" w:name="_Toc462677236"/>
      <w:bookmarkStart w:id="62" w:name="_Toc67046896"/>
      <w:bookmarkStart w:id="63" w:name="_Toc6322298"/>
      <w:r>
        <w:rPr>
          <w:rFonts w:hint="eastAsia"/>
          <w:sz w:val="24"/>
          <w:szCs w:val="24"/>
        </w:rPr>
        <w:t>1.</w:t>
      </w:r>
      <w:r>
        <w:rPr>
          <w:sz w:val="24"/>
          <w:szCs w:val="24"/>
        </w:rPr>
        <w:t>3</w:t>
      </w:r>
      <w:r>
        <w:rPr>
          <w:rFonts w:hint="eastAsia"/>
          <w:sz w:val="24"/>
          <w:szCs w:val="24"/>
        </w:rPr>
        <w:t>法定代表人</w:t>
      </w:r>
      <w:bookmarkEnd w:id="59"/>
      <w:bookmarkEnd w:id="60"/>
      <w:bookmarkEnd w:id="61"/>
      <w:bookmarkEnd w:id="62"/>
      <w:bookmarkEnd w:id="63"/>
    </w:p>
    <w:p>
      <w:pPr>
        <w:spacing w:line="460" w:lineRule="exact"/>
        <w:jc w:val="center"/>
        <w:outlineLvl w:val="0"/>
        <w:rPr>
          <w:rFonts w:hint="eastAsia" w:ascii="宋体" w:hAnsi="宋体" w:cs="宋体"/>
          <w:b/>
          <w:bCs/>
          <w:kern w:val="28"/>
          <w:sz w:val="24"/>
          <w:szCs w:val="24"/>
        </w:rPr>
      </w:pPr>
      <w:r>
        <w:rPr>
          <w:rFonts w:hint="eastAsia"/>
          <w:b/>
          <w:bCs/>
        </w:rPr>
        <w:t>（1）</w:t>
      </w:r>
      <w:r>
        <w:rPr>
          <w:rFonts w:hint="eastAsia" w:ascii="宋体" w:hAnsi="宋体" w:cs="宋体"/>
          <w:b/>
          <w:bCs/>
          <w:kern w:val="28"/>
          <w:sz w:val="24"/>
          <w:szCs w:val="24"/>
        </w:rPr>
        <w:t>法定代表人身份证明书</w:t>
      </w:r>
    </w:p>
    <w:p>
      <w:pPr>
        <w:pStyle w:val="5"/>
        <w:spacing w:line="460" w:lineRule="exact"/>
        <w:ind w:firstLine="480"/>
        <w:rPr>
          <w:rFonts w:hint="eastAsia"/>
          <w:sz w:val="24"/>
          <w:szCs w:val="24"/>
        </w:rPr>
      </w:pPr>
    </w:p>
    <w:p>
      <w:pPr>
        <w:pStyle w:val="5"/>
        <w:spacing w:line="460" w:lineRule="exact"/>
        <w:ind w:firstLine="0" w:firstLineChars="0"/>
        <w:rPr>
          <w:rFonts w:hint="eastAsia"/>
          <w:sz w:val="24"/>
          <w:szCs w:val="24"/>
        </w:rPr>
      </w:pPr>
    </w:p>
    <w:p>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供应商名称：</w:t>
      </w:r>
      <w:r>
        <w:rPr>
          <w:rFonts w:hint="eastAsia" w:ascii="宋体" w:hAnsi="宋体" w:cs="宋体"/>
          <w:sz w:val="24"/>
          <w:szCs w:val="24"/>
          <w:u w:val="single"/>
        </w:rPr>
        <w:t xml:space="preserve">                                      </w:t>
      </w:r>
    </w:p>
    <w:p>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单位性质：</w:t>
      </w:r>
      <w:r>
        <w:rPr>
          <w:rFonts w:hint="eastAsia" w:ascii="宋体" w:hAnsi="宋体" w:cs="宋体"/>
          <w:sz w:val="24"/>
          <w:szCs w:val="24"/>
          <w:u w:val="single"/>
        </w:rPr>
        <w:t xml:space="preserve">                                        </w:t>
      </w:r>
    </w:p>
    <w:p>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地    址：</w:t>
      </w:r>
      <w:r>
        <w:rPr>
          <w:rFonts w:hint="eastAsia" w:ascii="宋体" w:hAnsi="宋体" w:cs="宋体"/>
          <w:sz w:val="24"/>
          <w:szCs w:val="24"/>
          <w:u w:val="single"/>
        </w:rPr>
        <w:t xml:space="preserve">                                        </w:t>
      </w:r>
    </w:p>
    <w:p>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成立时间：</w:t>
      </w:r>
      <w:r>
        <w:rPr>
          <w:rFonts w:hint="eastAsia" w:ascii="宋体" w:hAnsi="宋体" w:cs="宋体"/>
          <w:sz w:val="24"/>
          <w:szCs w:val="24"/>
          <w:u w:val="single"/>
        </w:rPr>
        <w:t xml:space="preserve">                                        </w:t>
      </w:r>
    </w:p>
    <w:p>
      <w:pPr>
        <w:spacing w:line="480" w:lineRule="auto"/>
        <w:ind w:firstLine="480" w:firstLineChars="200"/>
        <w:jc w:val="left"/>
        <w:rPr>
          <w:rFonts w:ascii="宋体" w:hAnsi="宋体" w:cs="宋体"/>
          <w:sz w:val="24"/>
          <w:szCs w:val="24"/>
        </w:rPr>
      </w:pPr>
      <w:r>
        <w:rPr>
          <w:rFonts w:hint="eastAsia" w:ascii="宋体" w:hAnsi="宋体" w:cs="宋体"/>
          <w:sz w:val="24"/>
          <w:szCs w:val="24"/>
        </w:rPr>
        <w:t>经营期限：</w:t>
      </w:r>
      <w:r>
        <w:rPr>
          <w:rFonts w:hint="eastAsia" w:ascii="宋体" w:hAnsi="宋体" w:cs="宋体"/>
          <w:sz w:val="24"/>
          <w:szCs w:val="24"/>
          <w:u w:val="single"/>
        </w:rPr>
        <w:t xml:space="preserve">                                        </w:t>
      </w:r>
    </w:p>
    <w:p>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姓  名：</w:t>
      </w:r>
      <w:r>
        <w:rPr>
          <w:rFonts w:hint="eastAsia" w:ascii="宋体" w:hAnsi="宋体" w:cs="宋体"/>
          <w:sz w:val="24"/>
          <w:szCs w:val="24"/>
          <w:u w:val="single"/>
        </w:rPr>
        <w:t xml:space="preserve">                 </w:t>
      </w:r>
      <w:r>
        <w:rPr>
          <w:rFonts w:hint="eastAsia" w:ascii="宋体" w:hAnsi="宋体" w:cs="宋体"/>
          <w:sz w:val="24"/>
          <w:szCs w:val="24"/>
        </w:rPr>
        <w:t xml:space="preserve"> 性  别：</w:t>
      </w:r>
      <w:r>
        <w:rPr>
          <w:rFonts w:hint="eastAsia" w:ascii="宋体" w:hAnsi="宋体" w:cs="宋体"/>
          <w:sz w:val="24"/>
          <w:szCs w:val="24"/>
          <w:u w:val="single"/>
        </w:rPr>
        <w:t xml:space="preserve">                </w:t>
      </w:r>
      <w:r>
        <w:rPr>
          <w:rFonts w:hint="eastAsia" w:ascii="宋体" w:hAnsi="宋体" w:cs="宋体"/>
          <w:sz w:val="24"/>
          <w:szCs w:val="24"/>
        </w:rPr>
        <w:t xml:space="preserve"> </w:t>
      </w:r>
    </w:p>
    <w:p>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年  龄：</w:t>
      </w:r>
      <w:r>
        <w:rPr>
          <w:rFonts w:hint="eastAsia" w:ascii="宋体" w:hAnsi="宋体" w:cs="宋体"/>
          <w:sz w:val="24"/>
          <w:szCs w:val="24"/>
          <w:u w:val="single"/>
        </w:rPr>
        <w:t xml:space="preserve">                  </w:t>
      </w:r>
      <w:r>
        <w:rPr>
          <w:rFonts w:hint="eastAsia" w:ascii="宋体" w:hAnsi="宋体" w:cs="宋体"/>
          <w:sz w:val="24"/>
          <w:szCs w:val="24"/>
        </w:rPr>
        <w:t>职  务：</w:t>
      </w:r>
      <w:r>
        <w:rPr>
          <w:rFonts w:hint="eastAsia" w:ascii="宋体" w:hAnsi="宋体" w:cs="宋体"/>
          <w:sz w:val="24"/>
          <w:szCs w:val="24"/>
          <w:u w:val="single"/>
        </w:rPr>
        <w:t xml:space="preserve">                 </w:t>
      </w:r>
    </w:p>
    <w:p>
      <w:pPr>
        <w:spacing w:line="480" w:lineRule="auto"/>
        <w:ind w:firstLine="480" w:firstLineChars="200"/>
        <w:jc w:val="left"/>
        <w:rPr>
          <w:rFonts w:hint="eastAsia" w:ascii="宋体" w:hAnsi="宋体" w:cs="宋体"/>
          <w:sz w:val="24"/>
          <w:szCs w:val="24"/>
        </w:rPr>
      </w:pPr>
      <w:r>
        <w:rPr>
          <w:rFonts w:hint="eastAsia" w:ascii="宋体" w:hAnsi="宋体" w:cs="宋体"/>
          <w:sz w:val="24"/>
          <w:szCs w:val="24"/>
        </w:rPr>
        <w:t>系</w:t>
      </w:r>
      <w:r>
        <w:rPr>
          <w:rFonts w:hint="eastAsia" w:ascii="宋体" w:hAnsi="宋体" w:cs="宋体"/>
          <w:sz w:val="24"/>
          <w:szCs w:val="24"/>
          <w:u w:val="single"/>
        </w:rPr>
        <w:t xml:space="preserve">                       </w:t>
      </w:r>
      <w:r>
        <w:rPr>
          <w:rFonts w:hint="eastAsia" w:ascii="宋体" w:hAnsi="宋体" w:cs="宋体"/>
          <w:sz w:val="24"/>
          <w:szCs w:val="24"/>
        </w:rPr>
        <w:t xml:space="preserve"> （供应商名称）的法定代表人。</w:t>
      </w:r>
    </w:p>
    <w:p>
      <w:pPr>
        <w:spacing w:line="480" w:lineRule="auto"/>
        <w:ind w:firstLine="496" w:firstLineChars="207"/>
        <w:jc w:val="left"/>
        <w:rPr>
          <w:rFonts w:hint="eastAsia" w:ascii="宋体" w:hAnsi="宋体" w:cs="宋体"/>
          <w:sz w:val="24"/>
          <w:szCs w:val="24"/>
        </w:rPr>
      </w:pPr>
      <w:r>
        <w:rPr>
          <w:rFonts w:hint="eastAsia" w:ascii="宋体" w:hAnsi="宋体" w:cs="宋体"/>
          <w:sz w:val="24"/>
          <w:szCs w:val="24"/>
        </w:rPr>
        <w:t>特此证明。</w:t>
      </w:r>
    </w:p>
    <w:p>
      <w:pPr>
        <w:ind w:firstLine="435"/>
        <w:rPr>
          <w:b/>
          <w:bCs/>
          <w:szCs w:val="16"/>
        </w:rPr>
      </w:pPr>
    </w:p>
    <w:tbl>
      <w:tblPr>
        <w:tblStyle w:val="32"/>
        <w:tblpPr w:leftFromText="180" w:rightFromText="180" w:vertAnchor="text" w:horzAnchor="margin" w:tblpXSpec="center" w:tblpY="4"/>
        <w:tblOverlap w:val="never"/>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2"/>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exact"/>
        </w:trPr>
        <w:tc>
          <w:tcPr>
            <w:tcW w:w="5482" w:type="dxa"/>
            <w:vAlign w:val="center"/>
          </w:tcPr>
          <w:p>
            <w:pPr>
              <w:jc w:val="center"/>
              <w:rPr>
                <w:szCs w:val="16"/>
              </w:rPr>
            </w:pPr>
            <w:r>
              <w:rPr>
                <w:rFonts w:hint="eastAsia"/>
                <w:szCs w:val="16"/>
              </w:rPr>
              <w:t>身份证复印件（正面）</w:t>
            </w:r>
          </w:p>
        </w:tc>
        <w:tc>
          <w:tcPr>
            <w:tcW w:w="5335" w:type="dxa"/>
            <w:vAlign w:val="center"/>
          </w:tcPr>
          <w:p>
            <w:pPr>
              <w:jc w:val="center"/>
              <w:rPr>
                <w:szCs w:val="16"/>
              </w:rPr>
            </w:pPr>
            <w:r>
              <w:rPr>
                <w:rFonts w:hint="eastAsia"/>
                <w:szCs w:val="16"/>
              </w:rPr>
              <w:t>身份证复印件（反面）</w:t>
            </w:r>
          </w:p>
        </w:tc>
      </w:tr>
    </w:tbl>
    <w:p>
      <w:pPr>
        <w:spacing w:line="360" w:lineRule="auto"/>
        <w:ind w:firstLine="435"/>
        <w:rPr>
          <w:szCs w:val="16"/>
        </w:rPr>
      </w:pPr>
    </w:p>
    <w:p>
      <w:pPr>
        <w:spacing w:line="360" w:lineRule="auto"/>
        <w:ind w:firstLine="435"/>
        <w:rPr>
          <w:szCs w:val="16"/>
        </w:rPr>
      </w:pPr>
      <w:r>
        <w:rPr>
          <w:rFonts w:hint="eastAsia"/>
          <w:szCs w:val="16"/>
          <w:lang w:eastAsia="zh-CN"/>
        </w:rPr>
        <w:t>供应商</w:t>
      </w:r>
      <w:r>
        <w:rPr>
          <w:rFonts w:hint="eastAsia"/>
          <w:szCs w:val="16"/>
        </w:rPr>
        <w:t xml:space="preserve">名称（加盖公章）： </w:t>
      </w:r>
      <w:r>
        <w:rPr>
          <w:rFonts w:hint="eastAsia"/>
          <w:szCs w:val="16"/>
          <w:u w:val="single"/>
        </w:rPr>
        <w:t xml:space="preserve">                         </w:t>
      </w:r>
    </w:p>
    <w:p>
      <w:pPr>
        <w:spacing w:line="360" w:lineRule="auto"/>
        <w:ind w:firstLine="435"/>
        <w:rPr>
          <w:szCs w:val="16"/>
        </w:rPr>
      </w:pPr>
    </w:p>
    <w:p>
      <w:pPr>
        <w:pStyle w:val="31"/>
        <w:ind w:left="0" w:leftChars="0" w:firstLine="480"/>
        <w:rPr>
          <w:u w:val="single"/>
        </w:rPr>
      </w:pPr>
      <w:r>
        <w:rPr>
          <w:rFonts w:hint="eastAsia"/>
          <w:szCs w:val="16"/>
          <w:lang w:eastAsia="zh-CN"/>
        </w:rPr>
        <w:t>日</w:t>
      </w:r>
      <w:r>
        <w:rPr>
          <w:rFonts w:hint="eastAsia"/>
          <w:szCs w:val="16"/>
          <w:lang w:val="en-US" w:eastAsia="zh-CN"/>
        </w:rPr>
        <w:t xml:space="preserve">          </w:t>
      </w:r>
      <w:r>
        <w:rPr>
          <w:rFonts w:hint="eastAsia"/>
          <w:szCs w:val="16"/>
          <w:lang w:eastAsia="zh-CN"/>
        </w:rPr>
        <w:t>期</w:t>
      </w:r>
      <w:r>
        <w:rPr>
          <w:rFonts w:hint="eastAsia"/>
          <w:szCs w:val="16"/>
        </w:rPr>
        <w:t>：</w:t>
      </w:r>
      <w:r>
        <w:rPr>
          <w:rFonts w:hint="eastAsia"/>
          <w:szCs w:val="16"/>
          <w:u w:val="single"/>
        </w:rPr>
        <w:t xml:space="preserve">    </w:t>
      </w:r>
      <w:r>
        <w:rPr>
          <w:rFonts w:hint="eastAsia"/>
          <w:szCs w:val="16"/>
          <w:u w:val="single"/>
          <w:lang w:val="en-US" w:eastAsia="zh-CN"/>
        </w:rPr>
        <w:t xml:space="preserve">            </w:t>
      </w:r>
      <w:r>
        <w:rPr>
          <w:rFonts w:hint="eastAsia"/>
          <w:szCs w:val="16"/>
          <w:u w:val="single"/>
        </w:rPr>
        <w:t xml:space="preserve">      </w:t>
      </w:r>
    </w:p>
    <w:p>
      <w:pPr>
        <w:jc w:val="left"/>
        <w:rPr>
          <w:b/>
          <w:bCs/>
          <w:sz w:val="28"/>
          <w:szCs w:val="28"/>
        </w:rPr>
      </w:pPr>
      <w:r>
        <w:rPr>
          <w:rFonts w:hint="eastAsia"/>
          <w:b/>
          <w:sz w:val="28"/>
          <w:szCs w:val="28"/>
        </w:rPr>
        <w:br w:type="page"/>
      </w:r>
      <w:r>
        <w:rPr>
          <w:rFonts w:hint="eastAsia"/>
          <w:b/>
          <w:bCs/>
        </w:rPr>
        <w:t>（2）法定代表人授权委托书</w:t>
      </w:r>
    </w:p>
    <w:p>
      <w:pPr>
        <w:spacing w:line="460" w:lineRule="exact"/>
        <w:jc w:val="center"/>
        <w:outlineLvl w:val="0"/>
        <w:rPr>
          <w:rFonts w:hint="eastAsia" w:ascii="宋体" w:hAnsi="宋体" w:cs="宋体"/>
          <w:b/>
          <w:bCs/>
          <w:kern w:val="28"/>
          <w:sz w:val="24"/>
          <w:szCs w:val="24"/>
          <w:lang w:eastAsia="zh-CN"/>
        </w:rPr>
      </w:pPr>
    </w:p>
    <w:p>
      <w:pPr>
        <w:spacing w:line="460" w:lineRule="exact"/>
        <w:jc w:val="center"/>
        <w:outlineLvl w:val="0"/>
        <w:rPr>
          <w:rFonts w:hint="eastAsia" w:ascii="宋体" w:hAnsi="宋体" w:cs="宋体"/>
          <w:b/>
          <w:bCs/>
          <w:kern w:val="28"/>
          <w:sz w:val="24"/>
          <w:szCs w:val="24"/>
        </w:rPr>
      </w:pPr>
      <w:r>
        <w:rPr>
          <w:rFonts w:hint="eastAsia" w:ascii="宋体" w:hAnsi="宋体" w:cs="宋体"/>
          <w:b/>
          <w:bCs/>
          <w:kern w:val="28"/>
          <w:sz w:val="24"/>
          <w:szCs w:val="24"/>
          <w:lang w:eastAsia="zh-CN"/>
        </w:rPr>
        <w:t>（</w:t>
      </w:r>
      <w:r>
        <w:rPr>
          <w:rFonts w:hint="eastAsia" w:ascii="宋体" w:hAnsi="宋体" w:cs="宋体"/>
          <w:b/>
          <w:bCs/>
          <w:kern w:val="28"/>
          <w:sz w:val="24"/>
          <w:szCs w:val="24"/>
          <w:lang w:val="en-US" w:eastAsia="zh-CN"/>
        </w:rPr>
        <w:t>2</w:t>
      </w:r>
      <w:r>
        <w:rPr>
          <w:rFonts w:hint="eastAsia" w:ascii="宋体" w:hAnsi="宋体" w:cs="宋体"/>
          <w:b/>
          <w:bCs/>
          <w:kern w:val="28"/>
          <w:sz w:val="24"/>
          <w:szCs w:val="24"/>
          <w:lang w:eastAsia="zh-CN"/>
        </w:rPr>
        <w:t>）</w:t>
      </w:r>
      <w:r>
        <w:rPr>
          <w:rFonts w:hint="eastAsia" w:ascii="宋体" w:hAnsi="宋体" w:cs="宋体"/>
          <w:b/>
          <w:bCs/>
          <w:kern w:val="28"/>
          <w:sz w:val="24"/>
          <w:szCs w:val="24"/>
        </w:rPr>
        <w:t>法定代表人授权委托书</w:t>
      </w:r>
    </w:p>
    <w:p>
      <w:pPr>
        <w:pStyle w:val="10"/>
        <w:spacing w:line="460" w:lineRule="exact"/>
        <w:rPr>
          <w:rFonts w:hint="eastAsia"/>
          <w:szCs w:val="24"/>
        </w:rPr>
      </w:pPr>
    </w:p>
    <w:p>
      <w:pPr>
        <w:spacing w:line="460" w:lineRule="exact"/>
        <w:ind w:firstLine="630"/>
        <w:jc w:val="left"/>
        <w:rPr>
          <w:rFonts w:hint="eastAsia" w:ascii="宋体" w:hAnsi="宋体" w:cs="宋体"/>
          <w:sz w:val="24"/>
          <w:szCs w:val="24"/>
        </w:rPr>
      </w:pPr>
      <w:r>
        <w:rPr>
          <w:rFonts w:hint="eastAsia" w:ascii="宋体" w:hAnsi="宋体" w:cs="宋体"/>
          <w:sz w:val="24"/>
          <w:szCs w:val="24"/>
        </w:rPr>
        <w:t>本授权委托书声明：我</w:t>
      </w:r>
      <w:r>
        <w:rPr>
          <w:rFonts w:hint="eastAsia" w:ascii="宋体" w:hAnsi="宋体" w:cs="宋体"/>
          <w:sz w:val="24"/>
          <w:szCs w:val="24"/>
          <w:u w:val="single"/>
        </w:rPr>
        <w:t xml:space="preserve">         </w:t>
      </w:r>
      <w:r>
        <w:rPr>
          <w:rFonts w:hint="eastAsia" w:ascii="宋体" w:hAnsi="宋体" w:cs="宋体"/>
          <w:sz w:val="24"/>
          <w:szCs w:val="24"/>
        </w:rPr>
        <w:t>（姓名）系</w:t>
      </w:r>
      <w:r>
        <w:rPr>
          <w:rFonts w:hint="eastAsia" w:ascii="宋体" w:hAnsi="宋体" w:cs="宋体"/>
          <w:sz w:val="24"/>
          <w:szCs w:val="24"/>
          <w:u w:val="single"/>
        </w:rPr>
        <w:t xml:space="preserve">               </w:t>
      </w:r>
      <w:r>
        <w:rPr>
          <w:rFonts w:hint="eastAsia" w:ascii="宋体" w:hAnsi="宋体" w:cs="宋体"/>
          <w:sz w:val="24"/>
          <w:szCs w:val="24"/>
        </w:rPr>
        <w:t>（供应商名称）的法定代表人，现授权委托</w:t>
      </w:r>
      <w:r>
        <w:rPr>
          <w:rFonts w:hint="eastAsia" w:ascii="宋体" w:hAnsi="宋体" w:cs="宋体"/>
          <w:sz w:val="24"/>
          <w:szCs w:val="24"/>
          <w:u w:val="single"/>
        </w:rPr>
        <w:t xml:space="preserve">                      </w:t>
      </w:r>
      <w:r>
        <w:rPr>
          <w:rFonts w:hint="eastAsia" w:ascii="宋体" w:hAnsi="宋体" w:cs="宋体"/>
          <w:sz w:val="24"/>
          <w:szCs w:val="24"/>
        </w:rPr>
        <w:t>（供应商名称）的</w:t>
      </w:r>
      <w:r>
        <w:rPr>
          <w:rFonts w:hint="eastAsia" w:ascii="宋体" w:hAnsi="宋体" w:cs="宋体"/>
          <w:sz w:val="24"/>
          <w:szCs w:val="24"/>
          <w:u w:val="single"/>
        </w:rPr>
        <w:t xml:space="preserve">            </w:t>
      </w:r>
      <w:r>
        <w:rPr>
          <w:rFonts w:hint="eastAsia" w:ascii="宋体" w:hAnsi="宋体" w:cs="宋体"/>
          <w:sz w:val="24"/>
          <w:szCs w:val="24"/>
        </w:rPr>
        <w:t>（姓名）为我公司代理人，以本公司的名义参加</w:t>
      </w:r>
      <w:r>
        <w:rPr>
          <w:rFonts w:hint="eastAsia" w:ascii="宋体" w:hAnsi="宋体" w:cs="宋体"/>
          <w:sz w:val="24"/>
          <w:szCs w:val="24"/>
          <w:u w:val="single"/>
        </w:rPr>
        <w:t xml:space="preserve">          </w:t>
      </w:r>
      <w:r>
        <w:rPr>
          <w:rFonts w:hint="eastAsia" w:ascii="宋体" w:hAnsi="宋体" w:cs="宋体"/>
          <w:sz w:val="24"/>
          <w:szCs w:val="24"/>
        </w:rPr>
        <w:t>（招标方）的</w:t>
      </w:r>
      <w:r>
        <w:rPr>
          <w:rFonts w:hint="eastAsia" w:ascii="宋体" w:hAnsi="宋体" w:cs="宋体"/>
          <w:sz w:val="24"/>
          <w:szCs w:val="24"/>
          <w:u w:val="single"/>
        </w:rPr>
        <w:t xml:space="preserve">                 </w:t>
      </w:r>
      <w:r>
        <w:rPr>
          <w:rFonts w:hint="eastAsia" w:ascii="宋体" w:hAnsi="宋体" w:cs="宋体"/>
          <w:sz w:val="24"/>
          <w:szCs w:val="24"/>
        </w:rPr>
        <w:t>招标项目的投标活动。代理人签署的响应文件和参加整个工程招标投标活动中所签署的一切文件和处理与之有关的一切事物，我均予以承认。</w:t>
      </w:r>
    </w:p>
    <w:p>
      <w:pPr>
        <w:spacing w:line="460" w:lineRule="exact"/>
        <w:ind w:firstLine="630"/>
        <w:rPr>
          <w:rFonts w:hint="eastAsia" w:ascii="宋体" w:hAnsi="宋体" w:cs="宋体"/>
          <w:sz w:val="24"/>
          <w:szCs w:val="24"/>
        </w:rPr>
      </w:pPr>
    </w:p>
    <w:p>
      <w:pPr>
        <w:spacing w:line="460" w:lineRule="exact"/>
        <w:rPr>
          <w:rFonts w:hint="eastAsia" w:ascii="宋体" w:hAnsi="宋体" w:cs="宋体"/>
          <w:sz w:val="24"/>
          <w:szCs w:val="24"/>
        </w:rPr>
      </w:pPr>
      <w:r>
        <w:rPr>
          <w:rFonts w:hint="eastAsia" w:ascii="宋体" w:hAnsi="宋体" w:cs="宋体"/>
          <w:sz w:val="24"/>
          <w:szCs w:val="24"/>
        </w:rPr>
        <w:t>代理人：</w:t>
      </w:r>
      <w:r>
        <w:rPr>
          <w:rFonts w:hint="eastAsia" w:ascii="宋体" w:hAnsi="宋体" w:cs="宋体"/>
          <w:sz w:val="24"/>
          <w:szCs w:val="24"/>
          <w:u w:val="single"/>
        </w:rPr>
        <w:t xml:space="preserve">              </w:t>
      </w:r>
      <w:r>
        <w:rPr>
          <w:rFonts w:hint="eastAsia" w:ascii="宋体" w:hAnsi="宋体" w:cs="宋体"/>
          <w:sz w:val="24"/>
          <w:szCs w:val="24"/>
        </w:rPr>
        <w:t>性别：</w:t>
      </w:r>
      <w:r>
        <w:rPr>
          <w:rFonts w:hint="eastAsia" w:ascii="宋体" w:hAnsi="宋体" w:cs="宋体"/>
          <w:sz w:val="24"/>
          <w:szCs w:val="24"/>
          <w:u w:val="single"/>
        </w:rPr>
        <w:t xml:space="preserve">             </w:t>
      </w:r>
      <w:r>
        <w:rPr>
          <w:rFonts w:hint="eastAsia" w:ascii="宋体" w:hAnsi="宋体" w:cs="宋体"/>
          <w:sz w:val="24"/>
          <w:szCs w:val="24"/>
        </w:rPr>
        <w:t>年龄：</w:t>
      </w:r>
      <w:r>
        <w:rPr>
          <w:rFonts w:hint="eastAsia" w:ascii="宋体" w:hAnsi="宋体" w:cs="宋体"/>
          <w:sz w:val="24"/>
          <w:szCs w:val="24"/>
          <w:u w:val="single"/>
        </w:rPr>
        <w:t xml:space="preserve">             </w:t>
      </w: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r>
        <w:rPr>
          <w:rFonts w:hint="eastAsia" w:ascii="宋体" w:hAnsi="宋体" w:cs="宋体"/>
          <w:sz w:val="24"/>
          <w:szCs w:val="24"/>
        </w:rPr>
        <w:t>单  位：</w:t>
      </w:r>
      <w:r>
        <w:rPr>
          <w:rFonts w:hint="eastAsia" w:ascii="宋体" w:hAnsi="宋体" w:cs="宋体"/>
          <w:sz w:val="24"/>
          <w:szCs w:val="24"/>
          <w:u w:val="single"/>
        </w:rPr>
        <w:t xml:space="preserve">              </w:t>
      </w:r>
      <w:r>
        <w:rPr>
          <w:rFonts w:hint="eastAsia" w:ascii="宋体" w:hAnsi="宋体" w:cs="宋体"/>
          <w:sz w:val="24"/>
          <w:szCs w:val="24"/>
        </w:rPr>
        <w:t>部门：</w:t>
      </w:r>
      <w:r>
        <w:rPr>
          <w:rFonts w:hint="eastAsia" w:ascii="宋体" w:hAnsi="宋体" w:cs="宋体"/>
          <w:sz w:val="24"/>
          <w:szCs w:val="24"/>
          <w:u w:val="single"/>
        </w:rPr>
        <w:t xml:space="preserve">             </w:t>
      </w:r>
      <w:r>
        <w:rPr>
          <w:rFonts w:hint="eastAsia" w:ascii="宋体" w:hAnsi="宋体" w:cs="宋体"/>
          <w:sz w:val="24"/>
          <w:szCs w:val="24"/>
        </w:rPr>
        <w:t>职务：</w:t>
      </w:r>
      <w:r>
        <w:rPr>
          <w:rFonts w:hint="eastAsia" w:ascii="宋体" w:hAnsi="宋体" w:cs="宋体"/>
          <w:sz w:val="24"/>
          <w:szCs w:val="24"/>
          <w:u w:val="single"/>
        </w:rPr>
        <w:t xml:space="preserve">             </w:t>
      </w:r>
    </w:p>
    <w:p>
      <w:pPr>
        <w:spacing w:line="460" w:lineRule="exact"/>
        <w:rPr>
          <w:rFonts w:hint="eastAsia" w:ascii="宋体" w:hAnsi="宋体" w:cs="宋体"/>
          <w:sz w:val="24"/>
          <w:szCs w:val="24"/>
        </w:rPr>
      </w:pPr>
    </w:p>
    <w:p>
      <w:pPr>
        <w:spacing w:line="460" w:lineRule="exact"/>
        <w:rPr>
          <w:rFonts w:hint="eastAsia" w:ascii="宋体" w:hAnsi="宋体" w:cs="宋体"/>
          <w:sz w:val="24"/>
          <w:szCs w:val="24"/>
        </w:rPr>
      </w:pPr>
      <w:r>
        <w:rPr>
          <w:rFonts w:hint="eastAsia" w:ascii="宋体" w:hAnsi="宋体" w:cs="宋体"/>
          <w:sz w:val="24"/>
          <w:szCs w:val="24"/>
        </w:rPr>
        <w:t>代理人无转委权。特此委托。</w:t>
      </w:r>
    </w:p>
    <w:tbl>
      <w:tblPr>
        <w:tblStyle w:val="32"/>
        <w:tblpPr w:leftFromText="180" w:rightFromText="180" w:vertAnchor="text" w:horzAnchor="margin" w:tblpXSpec="center" w:tblpY="4"/>
        <w:tblOverlap w:val="never"/>
        <w:tblW w:w="1081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82"/>
        <w:gridCol w:w="533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20" w:hRule="exact"/>
        </w:trPr>
        <w:tc>
          <w:tcPr>
            <w:tcW w:w="5482" w:type="dxa"/>
            <w:vAlign w:val="center"/>
          </w:tcPr>
          <w:p>
            <w:pPr>
              <w:jc w:val="center"/>
              <w:rPr>
                <w:szCs w:val="16"/>
              </w:rPr>
            </w:pPr>
            <w:bookmarkStart w:id="64" w:name="_Toc462677237"/>
            <w:bookmarkStart w:id="65" w:name="_Toc259090986"/>
            <w:bookmarkStart w:id="66" w:name="_Toc276645582"/>
            <w:r>
              <w:rPr>
                <w:rFonts w:hint="eastAsia"/>
                <w:szCs w:val="16"/>
              </w:rPr>
              <w:t>身份证复印件（正面）</w:t>
            </w:r>
          </w:p>
        </w:tc>
        <w:tc>
          <w:tcPr>
            <w:tcW w:w="5335" w:type="dxa"/>
            <w:vAlign w:val="center"/>
          </w:tcPr>
          <w:p>
            <w:pPr>
              <w:jc w:val="center"/>
              <w:rPr>
                <w:szCs w:val="16"/>
              </w:rPr>
            </w:pPr>
            <w:r>
              <w:rPr>
                <w:rFonts w:hint="eastAsia"/>
                <w:szCs w:val="16"/>
              </w:rPr>
              <w:t>身份证复印件（反面）</w:t>
            </w:r>
          </w:p>
        </w:tc>
      </w:tr>
    </w:tbl>
    <w:p>
      <w:pPr>
        <w:spacing w:line="460" w:lineRule="exact"/>
        <w:rPr>
          <w:rFonts w:hint="eastAsia" w:ascii="宋体" w:hAnsi="宋体" w:cs="宋体"/>
          <w:sz w:val="24"/>
          <w:szCs w:val="24"/>
        </w:rPr>
      </w:pPr>
      <w:bookmarkStart w:id="67" w:name="_Toc67046897"/>
      <w:bookmarkStart w:id="68" w:name="_Toc6322299"/>
    </w:p>
    <w:p>
      <w:pPr>
        <w:spacing w:line="460" w:lineRule="exact"/>
        <w:rPr>
          <w:rFonts w:hint="eastAsia" w:ascii="宋体" w:hAnsi="宋体" w:cs="宋体"/>
          <w:sz w:val="24"/>
          <w:szCs w:val="24"/>
        </w:rPr>
      </w:pPr>
      <w:r>
        <w:rPr>
          <w:rFonts w:hint="eastAsia" w:ascii="宋体" w:hAnsi="宋体" w:cs="宋体"/>
          <w:sz w:val="24"/>
          <w:szCs w:val="24"/>
        </w:rPr>
        <w:t>供应商：（盖章）</w:t>
      </w:r>
    </w:p>
    <w:p>
      <w:pPr>
        <w:spacing w:line="460" w:lineRule="exact"/>
        <w:rPr>
          <w:rFonts w:hint="eastAsia" w:ascii="宋体" w:hAnsi="宋体" w:cs="宋体"/>
          <w:sz w:val="24"/>
          <w:szCs w:val="24"/>
        </w:rPr>
      </w:pPr>
    </w:p>
    <w:p>
      <w:pPr>
        <w:spacing w:line="460" w:lineRule="exact"/>
        <w:jc w:val="left"/>
        <w:rPr>
          <w:rFonts w:hint="eastAsia" w:ascii="宋体" w:hAnsi="宋体" w:cs="宋体"/>
          <w:sz w:val="24"/>
          <w:szCs w:val="24"/>
        </w:rPr>
      </w:pPr>
      <w:r>
        <w:rPr>
          <w:rFonts w:hint="eastAsia" w:ascii="宋体" w:hAnsi="宋体" w:cs="宋体"/>
          <w:sz w:val="24"/>
          <w:szCs w:val="24"/>
        </w:rPr>
        <w:t>法定代表人：（签字或盖章）</w:t>
      </w:r>
    </w:p>
    <w:p>
      <w:pPr>
        <w:spacing w:line="460" w:lineRule="exact"/>
        <w:jc w:val="left"/>
        <w:rPr>
          <w:rFonts w:hint="eastAsia" w:ascii="宋体" w:hAnsi="宋体" w:cs="宋体"/>
          <w:sz w:val="24"/>
          <w:szCs w:val="24"/>
        </w:rPr>
      </w:pPr>
    </w:p>
    <w:p>
      <w:pPr>
        <w:spacing w:line="460" w:lineRule="exact"/>
        <w:jc w:val="left"/>
        <w:rPr>
          <w:rFonts w:hint="eastAsia" w:ascii="宋体" w:hAnsi="宋体" w:cs="宋体"/>
          <w:sz w:val="24"/>
          <w:szCs w:val="24"/>
        </w:rPr>
      </w:pPr>
      <w:r>
        <w:rPr>
          <w:rFonts w:hint="eastAsia" w:ascii="宋体" w:hAnsi="宋体" w:cs="宋体"/>
          <w:sz w:val="24"/>
          <w:szCs w:val="24"/>
        </w:rPr>
        <w:t>授权委托人：（签字或盖章）</w:t>
      </w:r>
    </w:p>
    <w:p>
      <w:pPr>
        <w:spacing w:line="460" w:lineRule="exact"/>
        <w:rPr>
          <w:rFonts w:ascii="宋体" w:hAnsi="宋体" w:cs="宋体"/>
          <w:sz w:val="24"/>
          <w:szCs w:val="24"/>
        </w:rPr>
      </w:pPr>
    </w:p>
    <w:p>
      <w:pPr>
        <w:spacing w:line="460" w:lineRule="exact"/>
        <w:jc w:val="left"/>
        <w:rPr>
          <w:rFonts w:hint="eastAsia" w:ascii="宋体" w:hAnsi="宋体" w:cs="宋体"/>
          <w:b/>
          <w:bCs/>
          <w:sz w:val="24"/>
          <w:szCs w:val="24"/>
        </w:rPr>
      </w:pPr>
      <w:r>
        <w:rPr>
          <w:rFonts w:hint="eastAsia" w:ascii="宋体" w:hAnsi="宋体" w:cs="宋体"/>
          <w:sz w:val="24"/>
          <w:szCs w:val="24"/>
        </w:rPr>
        <w:t>日</w:t>
      </w:r>
      <w:r>
        <w:rPr>
          <w:rFonts w:hint="eastAsia" w:ascii="宋体" w:hAnsi="宋体" w:cs="宋体"/>
          <w:sz w:val="24"/>
          <w:szCs w:val="24"/>
          <w:lang w:val="en-US" w:eastAsia="zh-CN"/>
        </w:rPr>
        <w:t xml:space="preserve">     </w:t>
      </w:r>
      <w:r>
        <w:rPr>
          <w:rFonts w:hint="eastAsia" w:ascii="宋体" w:hAnsi="宋体" w:cs="宋体"/>
          <w:sz w:val="24"/>
          <w:szCs w:val="24"/>
        </w:rPr>
        <w:t>期：</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年</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月</w:t>
      </w:r>
      <w:r>
        <w:rPr>
          <w:rFonts w:hint="eastAsia" w:ascii="宋体" w:hAnsi="宋体" w:cs="宋体"/>
          <w:sz w:val="24"/>
          <w:szCs w:val="24"/>
          <w:u w:val="single"/>
        </w:rPr>
        <w:t xml:space="preserve">  </w:t>
      </w:r>
      <w:r>
        <w:rPr>
          <w:rFonts w:hint="eastAsia" w:ascii="宋体" w:hAnsi="宋体" w:cs="宋体"/>
          <w:sz w:val="24"/>
          <w:szCs w:val="24"/>
          <w:u w:val="single"/>
          <w:lang w:val="en-US" w:eastAsia="zh-CN"/>
        </w:rPr>
        <w:t xml:space="preserve"> </w:t>
      </w:r>
      <w:r>
        <w:rPr>
          <w:rFonts w:hint="eastAsia" w:ascii="宋体" w:hAnsi="宋体" w:cs="宋体"/>
          <w:sz w:val="24"/>
          <w:szCs w:val="24"/>
          <w:u w:val="single"/>
        </w:rPr>
        <w:t xml:space="preserve">  </w:t>
      </w:r>
      <w:r>
        <w:rPr>
          <w:rFonts w:hint="eastAsia" w:ascii="宋体" w:hAnsi="宋体" w:cs="宋体"/>
          <w:sz w:val="24"/>
          <w:szCs w:val="24"/>
        </w:rPr>
        <w:t xml:space="preserve">日 </w:t>
      </w:r>
    </w:p>
    <w:p>
      <w:pPr>
        <w:pStyle w:val="2"/>
        <w:spacing w:before="0" w:after="0" w:line="360" w:lineRule="auto"/>
        <w:ind w:firstLine="482" w:firstLineChars="200"/>
        <w:rPr>
          <w:sz w:val="24"/>
          <w:szCs w:val="24"/>
        </w:rPr>
      </w:pPr>
      <w:r>
        <w:rPr>
          <w:rFonts w:hint="eastAsia"/>
          <w:sz w:val="24"/>
          <w:szCs w:val="24"/>
        </w:rPr>
        <w:t>1.</w:t>
      </w:r>
      <w:r>
        <w:rPr>
          <w:sz w:val="24"/>
          <w:szCs w:val="24"/>
        </w:rPr>
        <w:t>4</w:t>
      </w:r>
      <w:r>
        <w:rPr>
          <w:rFonts w:hint="eastAsia"/>
          <w:sz w:val="24"/>
          <w:szCs w:val="24"/>
        </w:rPr>
        <w:t>关于资格的声明函</w:t>
      </w:r>
      <w:bookmarkEnd w:id="64"/>
      <w:bookmarkEnd w:id="65"/>
      <w:bookmarkEnd w:id="66"/>
      <w:bookmarkEnd w:id="67"/>
      <w:bookmarkEnd w:id="68"/>
    </w:p>
    <w:p>
      <w:pPr>
        <w:spacing w:line="360" w:lineRule="auto"/>
        <w:ind w:firstLine="435"/>
        <w:rPr>
          <w:i/>
          <w:iCs/>
          <w:szCs w:val="16"/>
          <w:u w:val="single"/>
        </w:rPr>
      </w:pPr>
      <w:bookmarkStart w:id="69" w:name="_Hlk24380869"/>
      <w:r>
        <w:rPr>
          <w:rFonts w:hint="eastAsia"/>
          <w:szCs w:val="16"/>
        </w:rPr>
        <w:t xml:space="preserve">致： </w:t>
      </w:r>
      <w:r>
        <w:rPr>
          <w:rFonts w:hint="eastAsia"/>
          <w:szCs w:val="16"/>
          <w:u w:val="single"/>
        </w:rPr>
        <w:t xml:space="preserve">    </w:t>
      </w:r>
      <w:r>
        <w:rPr>
          <w:rFonts w:hint="eastAsia"/>
          <w:i/>
          <w:iCs/>
          <w:szCs w:val="16"/>
          <w:u w:val="single"/>
        </w:rPr>
        <w:t>（采购人名称）</w:t>
      </w:r>
    </w:p>
    <w:p>
      <w:pPr>
        <w:spacing w:line="360" w:lineRule="auto"/>
        <w:ind w:firstLine="435"/>
        <w:rPr>
          <w:szCs w:val="16"/>
        </w:rPr>
      </w:pPr>
      <w:r>
        <w:rPr>
          <w:rFonts w:hint="eastAsia"/>
          <w:szCs w:val="16"/>
        </w:rPr>
        <w:t xml:space="preserve">    关于贵方</w:t>
      </w:r>
      <w:r>
        <w:rPr>
          <w:rFonts w:hint="eastAsia"/>
          <w:szCs w:val="16"/>
          <w:u w:val="single"/>
        </w:rPr>
        <w:t xml:space="preserve">      （项目名称、项目编号）</w:t>
      </w:r>
      <w:r>
        <w:rPr>
          <w:rFonts w:hint="eastAsia"/>
          <w:szCs w:val="16"/>
        </w:rPr>
        <w:t>的招标公告，本单位愿意参加投标，提供招标文件中规定的货物及服务，并声明：</w:t>
      </w:r>
    </w:p>
    <w:p>
      <w:pPr>
        <w:spacing w:line="360" w:lineRule="auto"/>
        <w:ind w:firstLine="435"/>
        <w:rPr>
          <w:szCs w:val="16"/>
        </w:rPr>
      </w:pPr>
      <w:r>
        <w:rPr>
          <w:rFonts w:hint="eastAsia"/>
          <w:szCs w:val="16"/>
        </w:rPr>
        <w:t xml:space="preserve">1. 本单位具备以下条件： </w:t>
      </w:r>
    </w:p>
    <w:p>
      <w:pPr>
        <w:spacing w:line="360" w:lineRule="auto"/>
        <w:ind w:firstLine="435"/>
        <w:rPr>
          <w:szCs w:val="16"/>
        </w:rPr>
      </w:pPr>
      <w:r>
        <w:rPr>
          <w:rFonts w:hint="eastAsia"/>
          <w:szCs w:val="16"/>
        </w:rPr>
        <w:t xml:space="preserve">1.1 具有履行合同所必需的设备和专业技术能力； </w:t>
      </w:r>
    </w:p>
    <w:p>
      <w:pPr>
        <w:spacing w:line="360" w:lineRule="auto"/>
        <w:ind w:firstLine="435"/>
        <w:rPr>
          <w:szCs w:val="16"/>
        </w:rPr>
      </w:pPr>
      <w:r>
        <w:rPr>
          <w:rFonts w:hint="eastAsia"/>
          <w:szCs w:val="16"/>
        </w:rPr>
        <w:t xml:space="preserve">1.2 法律、行政法规规定的其他条件。 </w:t>
      </w:r>
    </w:p>
    <w:p>
      <w:pPr>
        <w:spacing w:line="360" w:lineRule="auto"/>
        <w:ind w:firstLine="435"/>
        <w:rPr>
          <w:szCs w:val="16"/>
        </w:rPr>
      </w:pPr>
      <w:r>
        <w:rPr>
          <w:rFonts w:hint="eastAsia"/>
          <w:szCs w:val="16"/>
        </w:rPr>
        <w:t>2. 根据《中华人民共和国政府采购法实施条例》的规定，本单位如为采购项目提供整体设计、规范编制或者项目管理、监理、检测等服务的供应商，不再参加该采购项目的其他采购活动。</w:t>
      </w:r>
    </w:p>
    <w:p>
      <w:pPr>
        <w:spacing w:line="360" w:lineRule="auto"/>
        <w:ind w:firstLine="435"/>
        <w:rPr>
          <w:szCs w:val="16"/>
        </w:rPr>
      </w:pPr>
      <w:bookmarkStart w:id="70" w:name="_Hlk16582271"/>
      <w:r>
        <w:rPr>
          <w:rFonts w:hint="eastAsia"/>
          <w:szCs w:val="16"/>
        </w:rPr>
        <w:t>3. 本单位承诺如与本项目同一合同项下其他</w:t>
      </w:r>
      <w:r>
        <w:rPr>
          <w:rFonts w:hint="eastAsia"/>
          <w:szCs w:val="16"/>
          <w:lang w:eastAsia="zh-CN"/>
        </w:rPr>
        <w:t>供应商</w:t>
      </w:r>
      <w:r>
        <w:rPr>
          <w:rFonts w:hint="eastAsia"/>
          <w:szCs w:val="16"/>
        </w:rPr>
        <w:t>的法定代表人/负责人为同一人或存在直接控股或管理关系的情形，同意按投标无效处理。</w:t>
      </w:r>
      <w:bookmarkEnd w:id="70"/>
    </w:p>
    <w:p>
      <w:pPr>
        <w:spacing w:line="360" w:lineRule="auto"/>
        <w:ind w:firstLine="435"/>
        <w:rPr>
          <w:szCs w:val="16"/>
        </w:rPr>
      </w:pPr>
      <w:r>
        <w:rPr>
          <w:rFonts w:hint="eastAsia"/>
          <w:szCs w:val="16"/>
        </w:rPr>
        <w:t>本单位承诺在本次招标采购活动中如有违法、违规、弄虚作假行为，所造成的损失、不良后果及法律责任，一律由我单位承担。</w:t>
      </w:r>
    </w:p>
    <w:p>
      <w:pPr>
        <w:spacing w:line="360" w:lineRule="auto"/>
        <w:ind w:firstLine="435"/>
        <w:rPr>
          <w:szCs w:val="16"/>
        </w:rPr>
      </w:pPr>
      <w:r>
        <w:rPr>
          <w:rFonts w:hint="eastAsia"/>
          <w:szCs w:val="16"/>
        </w:rPr>
        <w:t>特此声明！</w:t>
      </w:r>
    </w:p>
    <w:p>
      <w:pPr>
        <w:spacing w:line="360" w:lineRule="auto"/>
        <w:ind w:firstLine="435"/>
        <w:rPr>
          <w:b/>
          <w:bCs/>
          <w:szCs w:val="16"/>
        </w:rPr>
      </w:pPr>
      <w:r>
        <w:rPr>
          <w:rFonts w:hint="eastAsia"/>
          <w:b/>
          <w:bCs/>
          <w:szCs w:val="16"/>
        </w:rPr>
        <w:t>说明：</w:t>
      </w:r>
    </w:p>
    <w:p>
      <w:pPr>
        <w:spacing w:line="360" w:lineRule="auto"/>
        <w:ind w:firstLine="435"/>
        <w:rPr>
          <w:szCs w:val="16"/>
        </w:rPr>
      </w:pPr>
      <w:r>
        <w:rPr>
          <w:rFonts w:hint="eastAsia"/>
          <w:szCs w:val="16"/>
        </w:rPr>
        <w:t>1.本声明函必须提供且内容不得擅自删改，否则视为无效投标。</w:t>
      </w:r>
    </w:p>
    <w:p>
      <w:pPr>
        <w:spacing w:line="360" w:lineRule="auto"/>
        <w:ind w:firstLine="435"/>
        <w:rPr>
          <w:szCs w:val="16"/>
        </w:rPr>
      </w:pPr>
      <w:r>
        <w:rPr>
          <w:rFonts w:hint="eastAsia"/>
          <w:szCs w:val="16"/>
        </w:rPr>
        <w:t>2.本声明函如有虚假或与事实不符的，做无效投标处理。</w:t>
      </w:r>
    </w:p>
    <w:p>
      <w:pPr>
        <w:spacing w:line="360" w:lineRule="auto"/>
        <w:ind w:firstLine="435"/>
        <w:rPr>
          <w:szCs w:val="16"/>
        </w:rPr>
      </w:pPr>
    </w:p>
    <w:p>
      <w:pPr>
        <w:spacing w:line="720" w:lineRule="auto"/>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720" w:lineRule="auto"/>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720" w:lineRule="auto"/>
        <w:rPr>
          <w:szCs w:val="16"/>
        </w:rPr>
      </w:pPr>
      <w:r>
        <w:rPr>
          <w:rFonts w:hint="eastAsia"/>
          <w:szCs w:val="16"/>
        </w:rPr>
        <w:t>日</w:t>
      </w:r>
      <w:r>
        <w:rPr>
          <w:rFonts w:hint="eastAsia"/>
          <w:szCs w:val="16"/>
          <w:lang w:val="en-US" w:eastAsia="zh-CN"/>
        </w:rPr>
        <w:t xml:space="preserve">    </w:t>
      </w:r>
      <w:r>
        <w:rPr>
          <w:rFonts w:hint="eastAsia"/>
          <w:szCs w:val="16"/>
        </w:rPr>
        <w:t>期：</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adjustRightInd w:val="0"/>
        <w:snapToGrid w:val="0"/>
        <w:spacing w:line="360" w:lineRule="auto"/>
      </w:pPr>
    </w:p>
    <w:bookmarkEnd w:id="69"/>
    <w:p>
      <w:pPr>
        <w:rPr>
          <w:rFonts w:hint="eastAsia"/>
          <w:lang w:val="en-GB"/>
        </w:rPr>
      </w:pPr>
      <w:r>
        <w:rPr>
          <w:rFonts w:hint="eastAsia"/>
          <w:lang w:val="en-GB"/>
        </w:rPr>
        <w:br w:type="page"/>
      </w:r>
    </w:p>
    <w:p>
      <w:pPr>
        <w:rPr>
          <w:rFonts w:hint="eastAsia"/>
          <w:lang w:val="en-GB"/>
        </w:rPr>
      </w:pPr>
    </w:p>
    <w:p>
      <w:pPr>
        <w:rPr>
          <w:rFonts w:hint="default" w:eastAsia="宋体"/>
          <w:lang w:val="en-US" w:eastAsia="zh-CN"/>
        </w:rPr>
      </w:pPr>
      <w:r>
        <w:rPr>
          <w:b/>
          <w:bCs/>
          <w:lang w:val="en-GB"/>
        </w:rPr>
        <w:t>1.4.1</w:t>
      </w:r>
      <w:r>
        <w:rPr>
          <w:rFonts w:hint="eastAsia"/>
          <w:b/>
          <w:bCs/>
        </w:rPr>
        <w:t>营业执照或登记证书复印件等</w:t>
      </w:r>
    </w:p>
    <w:p>
      <w:pPr>
        <w:pStyle w:val="31"/>
        <w:ind w:left="0" w:leftChars="0" w:firstLine="0" w:firstLineChars="0"/>
      </w:pPr>
    </w:p>
    <w:p>
      <w:pPr>
        <w:rPr>
          <w:b/>
          <w:bCs/>
        </w:rPr>
      </w:pPr>
      <w:r>
        <w:rPr>
          <w:rFonts w:hint="eastAsia"/>
          <w:b/>
          <w:bCs/>
        </w:rPr>
        <w:t>1</w:t>
      </w:r>
      <w:r>
        <w:rPr>
          <w:b/>
          <w:bCs/>
        </w:rPr>
        <w:t>.4.2</w:t>
      </w:r>
      <w:r>
        <w:rPr>
          <w:rFonts w:hint="eastAsia"/>
          <w:b/>
          <w:bCs/>
        </w:rPr>
        <w:t>缴纳税收和社会保障资金记录</w:t>
      </w:r>
    </w:p>
    <w:p>
      <w:pPr>
        <w:spacing w:line="360" w:lineRule="auto"/>
        <w:ind w:firstLine="435"/>
        <w:rPr>
          <w:rFonts w:hint="eastAsia"/>
          <w:szCs w:val="16"/>
        </w:rPr>
      </w:pPr>
      <w:r>
        <w:rPr>
          <w:szCs w:val="16"/>
        </w:rPr>
        <w:t>有依法缴纳税收和社会保障资金的良好记录；</w:t>
      </w:r>
      <w:r>
        <w:rPr>
          <w:szCs w:val="16"/>
          <w:highlight w:val="none"/>
        </w:rPr>
        <w:t>提供近2021年6月1日以来</w:t>
      </w:r>
      <w:r>
        <w:rPr>
          <w:szCs w:val="16"/>
        </w:rPr>
        <w:t>任意一个月的缴纳税收和社会保障资金</w:t>
      </w:r>
      <w:r>
        <w:rPr>
          <w:rFonts w:hint="eastAsia"/>
          <w:szCs w:val="16"/>
        </w:rPr>
        <w:t>的缴纳记录相关证明材料。如依法免税的，应提供相应文件证明其依法免税；如依法不需要缴纳社会保障资金的，应提供相应文件证明其依法不需要缴纳社会保障资金；</w:t>
      </w:r>
      <w:bookmarkStart w:id="71" w:name="_Toc67046898"/>
      <w:bookmarkStart w:id="72" w:name="_Toc6322300"/>
      <w:bookmarkStart w:id="73" w:name="_Toc462677238"/>
      <w:bookmarkStart w:id="74" w:name="_Toc370802478"/>
      <w:bookmarkStart w:id="75" w:name="_Toc371489960"/>
    </w:p>
    <w:p>
      <w:pPr>
        <w:spacing w:line="360" w:lineRule="auto"/>
      </w:pPr>
      <w:r>
        <w:rPr>
          <w:rFonts w:hint="eastAsia"/>
        </w:rPr>
        <w:br w:type="page"/>
      </w:r>
    </w:p>
    <w:bookmarkEnd w:id="71"/>
    <w:p>
      <w:pPr>
        <w:pStyle w:val="2"/>
        <w:spacing w:before="0" w:after="0" w:line="360" w:lineRule="auto"/>
        <w:rPr>
          <w:sz w:val="24"/>
          <w:szCs w:val="24"/>
        </w:rPr>
      </w:pPr>
      <w:bookmarkStart w:id="76" w:name="_Toc67046899"/>
      <w:r>
        <w:rPr>
          <w:rFonts w:hint="eastAsia"/>
          <w:sz w:val="24"/>
          <w:szCs w:val="24"/>
        </w:rPr>
        <w:t>1.5中小企业声明函</w:t>
      </w:r>
      <w:bookmarkEnd w:id="72"/>
      <w:bookmarkEnd w:id="73"/>
      <w:bookmarkEnd w:id="74"/>
      <w:bookmarkEnd w:id="75"/>
      <w:bookmarkEnd w:id="76"/>
      <w:r>
        <w:rPr>
          <w:rFonts w:hint="eastAsia"/>
          <w:sz w:val="24"/>
          <w:szCs w:val="24"/>
        </w:rPr>
        <w:t>（如有）</w:t>
      </w:r>
    </w:p>
    <w:p>
      <w:pPr>
        <w:pStyle w:val="31"/>
        <w:ind w:left="480" w:firstLine="2168" w:firstLineChars="900"/>
        <w:rPr>
          <w:b/>
          <w:bCs/>
          <w:sz w:val="28"/>
          <w:szCs w:val="28"/>
        </w:rPr>
      </w:pPr>
      <w:r>
        <w:rPr>
          <w:rFonts w:hint="eastAsia"/>
          <w:b/>
          <w:bCs/>
        </w:rPr>
        <w:t xml:space="preserve">中小企业声明函（货物） </w:t>
      </w:r>
    </w:p>
    <w:p>
      <w:pPr>
        <w:pStyle w:val="68"/>
        <w:spacing w:line="360" w:lineRule="auto"/>
        <w:ind w:firstLine="562"/>
        <w:rPr>
          <w:rStyle w:val="59"/>
          <w:rFonts w:hint="default"/>
          <w:sz w:val="21"/>
          <w:szCs w:val="21"/>
        </w:rPr>
      </w:pPr>
      <w:r>
        <w:rPr>
          <w:rStyle w:val="59"/>
          <w:rFonts w:hint="default"/>
          <w:sz w:val="21"/>
          <w:szCs w:val="21"/>
        </w:rPr>
        <w:t>本公司郑重声明，根据《政府采购促进中小企业发展管理办法》（财库</w:t>
      </w:r>
      <w:r>
        <w:rPr>
          <w:rStyle w:val="60"/>
          <w:sz w:val="21"/>
          <w:szCs w:val="21"/>
        </w:rPr>
        <w:t>﹝</w:t>
      </w:r>
      <w:r>
        <w:rPr>
          <w:rStyle w:val="59"/>
          <w:rFonts w:hint="default"/>
          <w:sz w:val="21"/>
          <w:szCs w:val="21"/>
        </w:rPr>
        <w:t>2020</w:t>
      </w:r>
      <w:r>
        <w:rPr>
          <w:rStyle w:val="60"/>
          <w:sz w:val="21"/>
          <w:szCs w:val="21"/>
        </w:rPr>
        <w:t>﹞</w:t>
      </w:r>
      <w:r>
        <w:rPr>
          <w:rStyle w:val="59"/>
          <w:rFonts w:hint="default"/>
          <w:sz w:val="21"/>
          <w:szCs w:val="21"/>
        </w:rPr>
        <w:t>46 号）的规定，本公司（联合体）参加</w:t>
      </w:r>
      <w:r>
        <w:rPr>
          <w:rStyle w:val="59"/>
          <w:rFonts w:hint="default"/>
          <w:i/>
          <w:iCs/>
          <w:sz w:val="21"/>
          <w:szCs w:val="21"/>
          <w:u w:val="single"/>
        </w:rPr>
        <w:t>（单位名称）</w:t>
      </w:r>
      <w:r>
        <w:rPr>
          <w:rStyle w:val="59"/>
          <w:rFonts w:hint="default"/>
          <w:sz w:val="21"/>
          <w:szCs w:val="21"/>
        </w:rPr>
        <w:t xml:space="preserve"> 的</w:t>
      </w:r>
      <w:r>
        <w:rPr>
          <w:rStyle w:val="59"/>
          <w:rFonts w:hint="default"/>
          <w:i/>
          <w:iCs/>
          <w:sz w:val="21"/>
          <w:szCs w:val="21"/>
          <w:u w:val="single"/>
        </w:rPr>
        <w:t>（项目名称）</w:t>
      </w:r>
      <w:r>
        <w:rPr>
          <w:rStyle w:val="59"/>
          <w:rFonts w:hint="default"/>
          <w:sz w:val="21"/>
          <w:szCs w:val="21"/>
        </w:rPr>
        <w:t>采购活动，提供的货物全部由符合政策要求的中小企业制造。相关企业（含联合体中的中小企业、 签订分包意向协议的中小企业的具体情况如下：</w:t>
      </w:r>
    </w:p>
    <w:p>
      <w:pPr>
        <w:pStyle w:val="68"/>
        <w:spacing w:line="360" w:lineRule="auto"/>
        <w:ind w:firstLine="420"/>
        <w:rPr>
          <w:rStyle w:val="59"/>
          <w:rFonts w:hint="default"/>
          <w:sz w:val="21"/>
          <w:szCs w:val="21"/>
        </w:rPr>
      </w:pPr>
      <w:r>
        <w:rPr>
          <w:rStyle w:val="59"/>
          <w:rFonts w:hint="default"/>
          <w:sz w:val="21"/>
          <w:szCs w:val="21"/>
        </w:rPr>
        <w:t xml:space="preserve">1. </w:t>
      </w:r>
      <w:r>
        <w:rPr>
          <w:rStyle w:val="59"/>
          <w:rFonts w:hint="default"/>
          <w:i/>
          <w:iCs/>
          <w:sz w:val="21"/>
          <w:szCs w:val="21"/>
          <w:u w:val="single"/>
        </w:rPr>
        <w:t>（标的名称）</w:t>
      </w:r>
      <w:r>
        <w:rPr>
          <w:rStyle w:val="59"/>
          <w:rFonts w:hint="default"/>
          <w:sz w:val="21"/>
          <w:szCs w:val="21"/>
        </w:rPr>
        <w:t>，属于</w:t>
      </w:r>
      <w:r>
        <w:rPr>
          <w:rStyle w:val="59"/>
          <w:rFonts w:hint="default"/>
          <w:i/>
          <w:iCs/>
          <w:sz w:val="21"/>
          <w:szCs w:val="21"/>
          <w:u w:val="single"/>
        </w:rPr>
        <w:t>（明确的所属行业）</w:t>
      </w:r>
      <w:r>
        <w:rPr>
          <w:rStyle w:val="59"/>
          <w:rFonts w:hint="default"/>
          <w:sz w:val="21"/>
          <w:szCs w:val="21"/>
        </w:rPr>
        <w:t>行业；制造商为</w:t>
      </w:r>
      <w:r>
        <w:rPr>
          <w:rStyle w:val="59"/>
          <w:rFonts w:hint="default"/>
          <w:i/>
          <w:iCs/>
          <w:sz w:val="21"/>
          <w:szCs w:val="21"/>
          <w:u w:val="single"/>
        </w:rPr>
        <w:t>（企业名称）</w:t>
      </w:r>
      <w:r>
        <w:rPr>
          <w:rStyle w:val="59"/>
          <w:rFonts w:hint="default"/>
          <w:sz w:val="21"/>
          <w:szCs w:val="21"/>
        </w:rPr>
        <w:t>，从业人员</w:t>
      </w:r>
      <w:r>
        <w:rPr>
          <w:rStyle w:val="59"/>
          <w:rFonts w:hint="default"/>
          <w:sz w:val="21"/>
          <w:szCs w:val="21"/>
          <w:u w:val="single"/>
        </w:rPr>
        <w:t xml:space="preserve">    </w:t>
      </w:r>
      <w:r>
        <w:rPr>
          <w:rStyle w:val="59"/>
          <w:rFonts w:hint="default"/>
          <w:sz w:val="21"/>
          <w:szCs w:val="21"/>
        </w:rPr>
        <w:t>人， 营业收入为</w:t>
      </w:r>
      <w:r>
        <w:rPr>
          <w:rStyle w:val="59"/>
          <w:rFonts w:hint="default"/>
          <w:sz w:val="21"/>
          <w:szCs w:val="21"/>
          <w:u w:val="single"/>
        </w:rPr>
        <w:t xml:space="preserve">   </w:t>
      </w:r>
      <w:r>
        <w:rPr>
          <w:rStyle w:val="59"/>
          <w:rFonts w:hint="default"/>
          <w:sz w:val="21"/>
          <w:szCs w:val="21"/>
        </w:rPr>
        <w:t>万元， 资产总额为</w:t>
      </w:r>
      <w:r>
        <w:rPr>
          <w:rStyle w:val="59"/>
          <w:rFonts w:hint="default"/>
          <w:sz w:val="21"/>
          <w:szCs w:val="21"/>
          <w:u w:val="single"/>
        </w:rPr>
        <w:t xml:space="preserve">   </w:t>
      </w:r>
      <w:r>
        <w:rPr>
          <w:rStyle w:val="59"/>
          <w:rFonts w:hint="default"/>
          <w:sz w:val="21"/>
          <w:szCs w:val="21"/>
        </w:rPr>
        <w:t>万元</w:t>
      </w:r>
      <w:r>
        <w:rPr>
          <w:rStyle w:val="59"/>
          <w:rFonts w:hint="default"/>
          <w:sz w:val="21"/>
          <w:szCs w:val="21"/>
          <w:vertAlign w:val="superscript"/>
        </w:rPr>
        <w:t>1</w:t>
      </w:r>
      <w:r>
        <w:rPr>
          <w:rStyle w:val="59"/>
          <w:rFonts w:hint="default"/>
          <w:sz w:val="21"/>
          <w:szCs w:val="21"/>
        </w:rPr>
        <w:t>， 属于</w:t>
      </w:r>
      <w:r>
        <w:rPr>
          <w:rStyle w:val="59"/>
          <w:rFonts w:hint="default"/>
          <w:i/>
          <w:iCs/>
          <w:sz w:val="21"/>
          <w:szCs w:val="21"/>
          <w:u w:val="single"/>
        </w:rPr>
        <w:t>（中型企业、 小型企业、 微型企业）</w:t>
      </w:r>
      <w:r>
        <w:rPr>
          <w:rStyle w:val="59"/>
          <w:rFonts w:hint="default"/>
          <w:sz w:val="21"/>
          <w:szCs w:val="21"/>
        </w:rPr>
        <w:t>；</w:t>
      </w:r>
      <w:r>
        <w:rPr>
          <w:rFonts w:hint="eastAsia"/>
          <w:color w:val="000000"/>
          <w:szCs w:val="21"/>
        </w:rPr>
        <w:br w:type="textWrapping"/>
      </w:r>
      <w:r>
        <w:rPr>
          <w:rStyle w:val="59"/>
          <w:rFonts w:hint="default"/>
          <w:sz w:val="21"/>
          <w:szCs w:val="21"/>
        </w:rPr>
        <w:t xml:space="preserve">2. </w:t>
      </w:r>
      <w:r>
        <w:rPr>
          <w:rStyle w:val="59"/>
          <w:rFonts w:hint="default"/>
          <w:i/>
          <w:iCs/>
          <w:sz w:val="21"/>
          <w:szCs w:val="21"/>
          <w:u w:val="single"/>
        </w:rPr>
        <w:t>（标的名称）</w:t>
      </w:r>
      <w:r>
        <w:rPr>
          <w:rStyle w:val="59"/>
          <w:rFonts w:hint="default"/>
          <w:sz w:val="21"/>
          <w:szCs w:val="21"/>
        </w:rPr>
        <w:t>，属于</w:t>
      </w:r>
      <w:r>
        <w:rPr>
          <w:rStyle w:val="59"/>
          <w:rFonts w:hint="default"/>
          <w:i/>
          <w:iCs/>
          <w:sz w:val="21"/>
          <w:szCs w:val="21"/>
          <w:u w:val="single"/>
        </w:rPr>
        <w:t>（明确的所属行业）</w:t>
      </w:r>
      <w:r>
        <w:rPr>
          <w:rStyle w:val="59"/>
          <w:rFonts w:hint="default"/>
          <w:sz w:val="21"/>
          <w:szCs w:val="21"/>
        </w:rPr>
        <w:t>行业；制造商为</w:t>
      </w:r>
      <w:r>
        <w:rPr>
          <w:rStyle w:val="59"/>
          <w:rFonts w:hint="default"/>
          <w:i/>
          <w:iCs/>
          <w:sz w:val="21"/>
          <w:szCs w:val="21"/>
          <w:u w:val="single"/>
        </w:rPr>
        <w:t>（企业名称）</w:t>
      </w:r>
      <w:r>
        <w:rPr>
          <w:rStyle w:val="59"/>
          <w:rFonts w:hint="default"/>
          <w:sz w:val="21"/>
          <w:szCs w:val="21"/>
        </w:rPr>
        <w:t>，从业人员</w:t>
      </w:r>
      <w:r>
        <w:rPr>
          <w:rStyle w:val="59"/>
          <w:rFonts w:hint="default"/>
          <w:sz w:val="21"/>
          <w:szCs w:val="21"/>
          <w:u w:val="single"/>
        </w:rPr>
        <w:t xml:space="preserve">   </w:t>
      </w:r>
      <w:r>
        <w:rPr>
          <w:rStyle w:val="59"/>
          <w:rFonts w:hint="default"/>
          <w:sz w:val="21"/>
          <w:szCs w:val="21"/>
        </w:rPr>
        <w:t>人，营业收入为</w:t>
      </w:r>
      <w:r>
        <w:rPr>
          <w:rStyle w:val="59"/>
          <w:rFonts w:hint="default"/>
          <w:sz w:val="21"/>
          <w:szCs w:val="21"/>
          <w:u w:val="single"/>
        </w:rPr>
        <w:t xml:space="preserve">   </w:t>
      </w:r>
      <w:r>
        <w:rPr>
          <w:rStyle w:val="59"/>
          <w:rFonts w:hint="default"/>
          <w:sz w:val="21"/>
          <w:szCs w:val="21"/>
        </w:rPr>
        <w:t>万元，资产总额为</w:t>
      </w:r>
      <w:r>
        <w:rPr>
          <w:rStyle w:val="59"/>
          <w:rFonts w:hint="default"/>
          <w:sz w:val="21"/>
          <w:szCs w:val="21"/>
          <w:u w:val="single"/>
        </w:rPr>
        <w:t xml:space="preserve">   </w:t>
      </w:r>
      <w:r>
        <w:rPr>
          <w:rStyle w:val="59"/>
          <w:rFonts w:hint="default"/>
          <w:sz w:val="21"/>
          <w:szCs w:val="21"/>
        </w:rPr>
        <w:t>万元，属于</w:t>
      </w:r>
      <w:r>
        <w:rPr>
          <w:rStyle w:val="59"/>
          <w:rFonts w:hint="default"/>
          <w:i/>
          <w:iCs/>
          <w:sz w:val="21"/>
          <w:szCs w:val="21"/>
          <w:u w:val="single"/>
        </w:rPr>
        <w:t>（中型企业、 小型企业、 微型企业）</w:t>
      </w:r>
      <w:r>
        <w:rPr>
          <w:rStyle w:val="59"/>
          <w:rFonts w:hint="default"/>
          <w:sz w:val="21"/>
          <w:szCs w:val="21"/>
        </w:rPr>
        <w:t>；</w:t>
      </w:r>
      <w:r>
        <w:rPr>
          <w:rFonts w:hint="eastAsia"/>
          <w:color w:val="000000"/>
          <w:szCs w:val="21"/>
        </w:rPr>
        <w:br w:type="textWrapping"/>
      </w:r>
      <w:r>
        <w:rPr>
          <w:rStyle w:val="59"/>
          <w:rFonts w:hint="default"/>
          <w:sz w:val="21"/>
          <w:szCs w:val="21"/>
        </w:rPr>
        <w:t xml:space="preserve">    ……</w:t>
      </w:r>
    </w:p>
    <w:p>
      <w:pPr>
        <w:pStyle w:val="68"/>
        <w:spacing w:line="360" w:lineRule="auto"/>
        <w:ind w:firstLine="420"/>
        <w:rPr>
          <w:rStyle w:val="59"/>
          <w:rFonts w:hint="default"/>
          <w:sz w:val="21"/>
          <w:szCs w:val="21"/>
        </w:rPr>
      </w:pPr>
      <w:r>
        <w:rPr>
          <w:rStyle w:val="59"/>
          <w:rFonts w:hint="default"/>
          <w:sz w:val="21"/>
          <w:szCs w:val="21"/>
        </w:rPr>
        <w:t>以上企业，不属于大企业的分支机构，不存在控股股东为大企业的情形， 也不存在与大企业的负责人为同一人的情形。</w:t>
      </w:r>
    </w:p>
    <w:p>
      <w:pPr>
        <w:spacing w:line="360" w:lineRule="auto"/>
        <w:ind w:firstLine="435"/>
        <w:rPr>
          <w:szCs w:val="16"/>
        </w:rPr>
      </w:pPr>
      <w:r>
        <w:rPr>
          <w:rStyle w:val="59"/>
          <w:rFonts w:hint="default"/>
          <w:sz w:val="21"/>
          <w:szCs w:val="21"/>
        </w:rPr>
        <w:t>本企业对上述声明内容的真实性负责。如有虚假，将依法承担相应责任。</w:t>
      </w:r>
    </w:p>
    <w:p>
      <w:pPr>
        <w:spacing w:line="360" w:lineRule="auto"/>
        <w:ind w:firstLine="435"/>
        <w:jc w:val="right"/>
        <w:rPr>
          <w:szCs w:val="16"/>
        </w:rPr>
      </w:pPr>
    </w:p>
    <w:p>
      <w:pPr>
        <w:spacing w:line="360" w:lineRule="auto"/>
        <w:ind w:firstLine="435"/>
        <w:jc w:val="right"/>
        <w:rPr>
          <w:szCs w:val="16"/>
        </w:rPr>
      </w:pPr>
      <w:r>
        <w:rPr>
          <w:rFonts w:hint="eastAsia"/>
          <w:szCs w:val="16"/>
        </w:rPr>
        <w:t>企业名称（盖章）：</w:t>
      </w:r>
      <w:r>
        <w:rPr>
          <w:rFonts w:hint="eastAsia"/>
          <w:szCs w:val="16"/>
          <w:u w:val="single"/>
        </w:rPr>
        <w:t xml:space="preserve">                 </w:t>
      </w:r>
      <w:r>
        <w:rPr>
          <w:rFonts w:hint="eastAsia"/>
          <w:szCs w:val="16"/>
        </w:rPr>
        <w:t>.</w:t>
      </w:r>
    </w:p>
    <w:p>
      <w:pPr>
        <w:spacing w:line="360" w:lineRule="auto"/>
        <w:ind w:firstLine="435"/>
        <w:jc w:val="right"/>
        <w:rPr>
          <w:szCs w:val="16"/>
        </w:rPr>
      </w:pPr>
      <w:r>
        <w:rPr>
          <w:rFonts w:hint="eastAsia"/>
          <w:szCs w:val="16"/>
        </w:rPr>
        <w:t>日 期：</w:t>
      </w:r>
      <w:r>
        <w:rPr>
          <w:rFonts w:hint="eastAsia"/>
          <w:szCs w:val="16"/>
          <w:u w:val="single"/>
        </w:rPr>
        <w:t xml:space="preserve">                 </w:t>
      </w:r>
      <w:r>
        <w:rPr>
          <w:rFonts w:hint="eastAsia"/>
          <w:szCs w:val="16"/>
        </w:rPr>
        <w:t>.</w:t>
      </w:r>
    </w:p>
    <w:p>
      <w:pPr>
        <w:spacing w:line="360" w:lineRule="auto"/>
        <w:ind w:firstLine="435"/>
        <w:rPr>
          <w:sz w:val="20"/>
          <w:szCs w:val="15"/>
        </w:rPr>
      </w:pPr>
      <w:r>
        <w:rPr>
          <w:rFonts w:hint="eastAsia"/>
          <w:sz w:val="20"/>
          <w:szCs w:val="15"/>
        </w:rPr>
        <w:t>说明：</w:t>
      </w:r>
    </w:p>
    <w:p>
      <w:pPr>
        <w:spacing w:line="360" w:lineRule="auto"/>
        <w:ind w:firstLine="435"/>
        <w:rPr>
          <w:sz w:val="20"/>
          <w:szCs w:val="15"/>
        </w:rPr>
      </w:pPr>
      <w:r>
        <w:rPr>
          <w:rFonts w:hint="eastAsia"/>
          <w:sz w:val="20"/>
          <w:szCs w:val="15"/>
        </w:rPr>
        <w:t>1.从业人员、营业收入、资产总额填报上一年度数据，无上一年度数据的新成立企业可不填报。</w:t>
      </w:r>
    </w:p>
    <w:p>
      <w:pPr>
        <w:spacing w:line="360" w:lineRule="auto"/>
        <w:ind w:firstLine="435"/>
        <w:rPr>
          <w:sz w:val="20"/>
          <w:szCs w:val="15"/>
        </w:rPr>
      </w:pPr>
      <w:r>
        <w:rPr>
          <w:rFonts w:hint="eastAsia"/>
          <w:sz w:val="20"/>
          <w:szCs w:val="15"/>
        </w:rPr>
        <w:t>2.针对属于专门面向中小企业采购的项目，</w:t>
      </w:r>
      <w:r>
        <w:rPr>
          <w:rFonts w:hint="eastAsia"/>
          <w:sz w:val="20"/>
          <w:szCs w:val="15"/>
          <w:lang w:eastAsia="zh-CN"/>
        </w:rPr>
        <w:t>供应商</w:t>
      </w:r>
      <w:r>
        <w:rPr>
          <w:rFonts w:hint="eastAsia"/>
          <w:sz w:val="20"/>
          <w:szCs w:val="15"/>
        </w:rPr>
        <w:t>须提供本声明函。</w:t>
      </w:r>
    </w:p>
    <w:p>
      <w:pPr>
        <w:spacing w:line="360" w:lineRule="auto"/>
        <w:ind w:firstLine="435"/>
        <w:rPr>
          <w:sz w:val="20"/>
          <w:szCs w:val="15"/>
        </w:rPr>
      </w:pPr>
      <w:r>
        <w:rPr>
          <w:rFonts w:hint="eastAsia"/>
          <w:sz w:val="20"/>
          <w:szCs w:val="15"/>
        </w:rPr>
        <w:t>3.针对不属于专门面向中小企业采购的项目，如</w:t>
      </w:r>
      <w:r>
        <w:rPr>
          <w:rFonts w:hint="eastAsia"/>
          <w:sz w:val="20"/>
          <w:szCs w:val="15"/>
          <w:lang w:eastAsia="zh-CN"/>
        </w:rPr>
        <w:t>供应商</w:t>
      </w:r>
      <w:r>
        <w:rPr>
          <w:rFonts w:hint="eastAsia"/>
          <w:sz w:val="20"/>
          <w:szCs w:val="15"/>
        </w:rPr>
        <w:t>认为其所投所有货物均由中小企业生产且使用该中小企业商号或者注册商标，可提供本声明函，填写相应信息，并明确企业类型，否则评审时不能享受相应的价格扣除；如</w:t>
      </w:r>
      <w:r>
        <w:rPr>
          <w:rFonts w:hint="eastAsia"/>
          <w:sz w:val="20"/>
          <w:szCs w:val="15"/>
          <w:lang w:eastAsia="zh-CN"/>
        </w:rPr>
        <w:t>供应商</w:t>
      </w:r>
      <w:r>
        <w:rPr>
          <w:rFonts w:hint="eastAsia"/>
          <w:sz w:val="20"/>
          <w:szCs w:val="15"/>
        </w:rPr>
        <w:t>所投所有货物不由中小企业制造商制造的，则无须提供本声明函。</w:t>
      </w:r>
    </w:p>
    <w:p>
      <w:pPr>
        <w:spacing w:line="360" w:lineRule="auto"/>
        <w:ind w:firstLine="435"/>
        <w:rPr>
          <w:sz w:val="20"/>
          <w:szCs w:val="15"/>
        </w:rPr>
      </w:pPr>
      <w:r>
        <w:rPr>
          <w:rFonts w:hint="eastAsia"/>
          <w:sz w:val="20"/>
          <w:szCs w:val="15"/>
        </w:rPr>
        <w:t>4.</w:t>
      </w:r>
      <w:r>
        <w:rPr>
          <w:rFonts w:hint="eastAsia"/>
          <w:sz w:val="20"/>
          <w:szCs w:val="15"/>
          <w:lang w:eastAsia="zh-CN"/>
        </w:rPr>
        <w:t>供应商</w:t>
      </w:r>
      <w:r>
        <w:rPr>
          <w:rFonts w:hint="eastAsia"/>
          <w:sz w:val="20"/>
          <w:szCs w:val="15"/>
        </w:rPr>
        <w:t>应当对其出具的《中小企业声明函》真实性负责，</w:t>
      </w:r>
      <w:r>
        <w:rPr>
          <w:rFonts w:hint="eastAsia"/>
          <w:sz w:val="20"/>
          <w:szCs w:val="15"/>
          <w:lang w:eastAsia="zh-CN"/>
        </w:rPr>
        <w:t>供应商</w:t>
      </w:r>
      <w:r>
        <w:rPr>
          <w:rFonts w:hint="eastAsia"/>
          <w:sz w:val="20"/>
          <w:szCs w:val="15"/>
        </w:rPr>
        <w:t>出具的《中小企业声明函》内容不实的，属于提供虚假材料谋取中标。在实际操作中，</w:t>
      </w:r>
      <w:r>
        <w:rPr>
          <w:rFonts w:hint="eastAsia"/>
          <w:sz w:val="20"/>
          <w:szCs w:val="15"/>
          <w:lang w:eastAsia="zh-CN"/>
        </w:rPr>
        <w:t>供应商</w:t>
      </w:r>
      <w:r>
        <w:rPr>
          <w:rFonts w:hint="eastAsia"/>
          <w:sz w:val="20"/>
          <w:szCs w:val="15"/>
        </w:rPr>
        <w:t>希望获得中小企业扶持政策支持的，应从制造商处获得充分、准确的信息。对相关制造商信息了解不充分，或者不能确定相关信息真实、准确的，不建议出具《中小企业声明函》。</w:t>
      </w:r>
    </w:p>
    <w:p>
      <w:pPr>
        <w:spacing w:line="360" w:lineRule="auto"/>
        <w:ind w:firstLine="435"/>
        <w:rPr>
          <w:sz w:val="20"/>
          <w:szCs w:val="15"/>
        </w:rPr>
      </w:pPr>
      <w:r>
        <w:rPr>
          <w:rFonts w:hint="eastAsia"/>
          <w:sz w:val="20"/>
          <w:szCs w:val="15"/>
        </w:rPr>
        <w:t>5.</w:t>
      </w:r>
      <w:r>
        <w:rPr>
          <w:rFonts w:hint="eastAsia"/>
          <w:sz w:val="20"/>
          <w:szCs w:val="15"/>
          <w:lang w:eastAsia="zh-CN"/>
        </w:rPr>
        <w:t>供应商</w:t>
      </w:r>
      <w:r>
        <w:rPr>
          <w:rFonts w:hint="eastAsia"/>
          <w:sz w:val="20"/>
          <w:szCs w:val="15"/>
        </w:rPr>
        <w:t xml:space="preserve">根据招标文件中明确的行业所对应的划分标准，判断制造商是否属于中小企业，如属于中小企业，请根据自身情况三选一（中型企业、小型企业、微型企业）填写。 </w:t>
      </w:r>
    </w:p>
    <w:p>
      <w:pPr>
        <w:spacing w:line="360" w:lineRule="auto"/>
        <w:ind w:firstLine="435"/>
      </w:pPr>
      <w:r>
        <w:rPr>
          <w:rFonts w:hint="eastAsia"/>
          <w:sz w:val="20"/>
          <w:szCs w:val="15"/>
        </w:rPr>
        <w:t>6.为方便广大中小企业识别企业规模类型，可通过中小企业规模类型自测小程序（</w:t>
      </w:r>
      <w:r>
        <w:fldChar w:fldCharType="begin"/>
      </w:r>
      <w:r>
        <w:instrText xml:space="preserve"> HYPERLINK "http://202.106.120.146/baosong/appweb/orgScale.html" </w:instrText>
      </w:r>
      <w:r>
        <w:fldChar w:fldCharType="separate"/>
      </w:r>
      <w:r>
        <w:rPr>
          <w:rFonts w:hint="eastAsia"/>
          <w:sz w:val="20"/>
          <w:szCs w:val="15"/>
        </w:rPr>
        <w:t>http://202.106.120.146/baosong/appweb/orgScale.html</w:t>
      </w:r>
      <w:r>
        <w:rPr>
          <w:sz w:val="20"/>
          <w:szCs w:val="15"/>
        </w:rPr>
        <w:fldChar w:fldCharType="end"/>
      </w:r>
      <w:r>
        <w:rPr>
          <w:rFonts w:hint="eastAsia"/>
          <w:sz w:val="20"/>
          <w:szCs w:val="15"/>
        </w:rPr>
        <w:t>）进行查询。</w:t>
      </w:r>
      <w:r>
        <w:rPr>
          <w:rFonts w:hint="eastAsia"/>
        </w:rPr>
        <w:br w:type="page"/>
      </w:r>
    </w:p>
    <w:p>
      <w:pPr>
        <w:pStyle w:val="2"/>
        <w:spacing w:before="0" w:after="0" w:line="360" w:lineRule="auto"/>
        <w:rPr>
          <w:rFonts w:hint="eastAsia"/>
          <w:sz w:val="24"/>
          <w:szCs w:val="24"/>
        </w:rPr>
      </w:pPr>
      <w:bookmarkStart w:id="77" w:name="_Toc67046900"/>
    </w:p>
    <w:p>
      <w:pPr>
        <w:pStyle w:val="2"/>
        <w:spacing w:before="0" w:after="0" w:line="360" w:lineRule="auto"/>
        <w:rPr>
          <w:sz w:val="24"/>
          <w:szCs w:val="24"/>
        </w:rPr>
      </w:pPr>
      <w:r>
        <w:rPr>
          <w:rFonts w:hint="eastAsia"/>
          <w:sz w:val="24"/>
          <w:szCs w:val="24"/>
        </w:rPr>
        <w:t>1.6监狱企业的证明文件（如有）</w:t>
      </w:r>
      <w:bookmarkEnd w:id="77"/>
    </w:p>
    <w:p>
      <w:pPr>
        <w:pStyle w:val="27"/>
        <w:shd w:val="clear" w:color="auto" w:fill="FFFFFF"/>
        <w:spacing w:line="360" w:lineRule="auto"/>
        <w:jc w:val="center"/>
        <w:rPr>
          <w:rFonts w:ascii="宋体" w:hAnsi="宋体"/>
          <w:b/>
          <w:bCs/>
          <w:color w:val="auto"/>
          <w:spacing w:val="10"/>
        </w:rPr>
      </w:pPr>
      <w:r>
        <w:rPr>
          <w:rStyle w:val="35"/>
          <w:rFonts w:hint="eastAsia" w:ascii="宋体" w:hAnsi="宋体"/>
          <w:color w:val="auto"/>
        </w:rPr>
        <w:t>监狱企业的证明文件</w:t>
      </w:r>
    </w:p>
    <w:p>
      <w:pPr>
        <w:spacing w:line="360" w:lineRule="auto"/>
        <w:ind w:firstLine="435"/>
        <w:rPr>
          <w:szCs w:val="16"/>
        </w:rPr>
      </w:pPr>
      <w:r>
        <w:rPr>
          <w:rFonts w:hint="eastAsia"/>
          <w:szCs w:val="16"/>
        </w:rPr>
        <w:t>……（格式自拟）</w:t>
      </w:r>
    </w:p>
    <w:p>
      <w:pPr>
        <w:spacing w:line="480" w:lineRule="auto"/>
        <w:ind w:firstLine="435"/>
        <w:rPr>
          <w:szCs w:val="16"/>
        </w:rPr>
      </w:pPr>
    </w:p>
    <w:p>
      <w:pPr>
        <w:spacing w:line="480" w:lineRule="auto"/>
        <w:ind w:firstLine="435"/>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480" w:lineRule="auto"/>
        <w:ind w:firstLine="435"/>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480" w:lineRule="auto"/>
        <w:ind w:firstLine="435"/>
        <w:rPr>
          <w:szCs w:val="16"/>
        </w:rPr>
      </w:pPr>
      <w:r>
        <w:rPr>
          <w:rFonts w:hint="eastAsia"/>
          <w:szCs w:val="16"/>
        </w:rPr>
        <w:t>日期：</w:t>
      </w:r>
      <w:r>
        <w:rPr>
          <w:rFonts w:hint="eastAsia"/>
          <w:i/>
          <w:iCs/>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spacing w:line="360" w:lineRule="auto"/>
        <w:ind w:firstLine="435"/>
        <w:rPr>
          <w:szCs w:val="16"/>
        </w:rPr>
      </w:pPr>
    </w:p>
    <w:p>
      <w:pPr>
        <w:spacing w:line="600" w:lineRule="auto"/>
        <w:ind w:firstLine="435"/>
        <w:rPr>
          <w:sz w:val="20"/>
          <w:szCs w:val="15"/>
        </w:rPr>
      </w:pPr>
      <w:r>
        <w:rPr>
          <w:rFonts w:hint="eastAsia"/>
          <w:sz w:val="20"/>
          <w:szCs w:val="15"/>
        </w:rPr>
        <w:t>说明：</w:t>
      </w:r>
    </w:p>
    <w:p>
      <w:pPr>
        <w:spacing w:line="600" w:lineRule="auto"/>
        <w:ind w:firstLine="435"/>
        <w:rPr>
          <w:sz w:val="20"/>
          <w:szCs w:val="15"/>
        </w:rPr>
      </w:pPr>
      <w:r>
        <w:rPr>
          <w:rFonts w:hint="eastAsia"/>
          <w:sz w:val="20"/>
          <w:szCs w:val="15"/>
        </w:rPr>
        <w:t>1.监狱企业参加政府采购活动时，应当提供由省级以上监狱管理局、戒毒管理局（含新疆生产建设兵团）出具的属于监狱企业的证明文件；</w:t>
      </w:r>
    </w:p>
    <w:p>
      <w:pPr>
        <w:spacing w:line="600" w:lineRule="auto"/>
        <w:ind w:firstLine="435"/>
        <w:rPr>
          <w:sz w:val="20"/>
          <w:szCs w:val="15"/>
        </w:rPr>
      </w:pPr>
      <w:r>
        <w:rPr>
          <w:rFonts w:hint="eastAsia"/>
          <w:sz w:val="20"/>
          <w:szCs w:val="15"/>
        </w:rPr>
        <w:t>2.如</w:t>
      </w:r>
      <w:r>
        <w:rPr>
          <w:rFonts w:hint="eastAsia"/>
          <w:sz w:val="20"/>
          <w:szCs w:val="15"/>
          <w:lang w:eastAsia="zh-CN"/>
        </w:rPr>
        <w:t>供应商</w:t>
      </w:r>
      <w:r>
        <w:rPr>
          <w:rFonts w:hint="eastAsia"/>
          <w:sz w:val="20"/>
          <w:szCs w:val="15"/>
        </w:rPr>
        <w:t>不属于监狱企业，则无须提供。</w:t>
      </w:r>
    </w:p>
    <w:p>
      <w:pPr>
        <w:pStyle w:val="2"/>
        <w:spacing w:before="0" w:after="0" w:line="360" w:lineRule="auto"/>
        <w:rPr>
          <w:rFonts w:hint="eastAsia"/>
          <w:spacing w:val="4"/>
        </w:rPr>
      </w:pPr>
      <w:r>
        <w:rPr>
          <w:rFonts w:hint="eastAsia"/>
          <w:spacing w:val="4"/>
        </w:rPr>
        <w:br w:type="page"/>
      </w:r>
      <w:bookmarkStart w:id="78" w:name="_Toc67046901"/>
    </w:p>
    <w:p>
      <w:pPr>
        <w:pStyle w:val="2"/>
        <w:spacing w:before="0" w:after="0" w:line="360" w:lineRule="auto"/>
        <w:rPr>
          <w:rFonts w:hint="eastAsia"/>
          <w:spacing w:val="4"/>
        </w:rPr>
      </w:pPr>
    </w:p>
    <w:p>
      <w:pPr>
        <w:pStyle w:val="2"/>
        <w:spacing w:before="0" w:after="0" w:line="360" w:lineRule="auto"/>
        <w:rPr>
          <w:sz w:val="24"/>
          <w:szCs w:val="24"/>
        </w:rPr>
      </w:pPr>
      <w:r>
        <w:rPr>
          <w:rFonts w:hint="eastAsia"/>
          <w:sz w:val="24"/>
          <w:szCs w:val="24"/>
        </w:rPr>
        <w:t>1.7残疾人福利性单位声明函（如有）</w:t>
      </w:r>
      <w:bookmarkEnd w:id="78"/>
    </w:p>
    <w:p>
      <w:pPr>
        <w:pStyle w:val="27"/>
        <w:shd w:val="clear" w:color="auto" w:fill="FFFFFF"/>
        <w:spacing w:line="360" w:lineRule="auto"/>
        <w:jc w:val="center"/>
        <w:rPr>
          <w:rStyle w:val="35"/>
          <w:rFonts w:ascii="宋体" w:hAnsi="宋体"/>
          <w:color w:val="auto"/>
        </w:rPr>
      </w:pPr>
      <w:r>
        <w:rPr>
          <w:rStyle w:val="35"/>
          <w:rFonts w:hint="eastAsia" w:ascii="宋体" w:hAnsi="宋体"/>
          <w:color w:val="auto"/>
        </w:rPr>
        <w:t>残疾人福利性单位声明函</w:t>
      </w:r>
    </w:p>
    <w:p>
      <w:pPr>
        <w:spacing w:line="360" w:lineRule="auto"/>
        <w:ind w:firstLine="435"/>
        <w:rPr>
          <w:szCs w:val="16"/>
        </w:rPr>
      </w:pPr>
      <w:r>
        <w:rPr>
          <w:rFonts w:hint="eastAsia"/>
          <w:szCs w:val="16"/>
        </w:rPr>
        <w:t>本单位郑重声明，根据《财政部 民政部 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pPr>
        <w:spacing w:line="360" w:lineRule="auto"/>
        <w:ind w:firstLine="435"/>
        <w:rPr>
          <w:szCs w:val="16"/>
        </w:rPr>
      </w:pPr>
      <w:r>
        <w:rPr>
          <w:rFonts w:hint="eastAsia"/>
          <w:szCs w:val="16"/>
        </w:rPr>
        <w:t>本单位对上述声明的真实性负责。如有虚假，将依法承担相应责任。</w:t>
      </w:r>
    </w:p>
    <w:p>
      <w:pPr>
        <w:spacing w:line="360" w:lineRule="auto"/>
        <w:ind w:firstLine="435"/>
        <w:rPr>
          <w:szCs w:val="16"/>
        </w:rPr>
      </w:pPr>
    </w:p>
    <w:p>
      <w:pPr>
        <w:spacing w:line="360" w:lineRule="auto"/>
        <w:ind w:firstLine="435"/>
        <w:rPr>
          <w:szCs w:val="16"/>
        </w:rPr>
      </w:pPr>
    </w:p>
    <w:p>
      <w:pPr>
        <w:spacing w:line="720" w:lineRule="auto"/>
        <w:ind w:firstLine="435"/>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720" w:lineRule="auto"/>
        <w:ind w:firstLine="435"/>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720" w:lineRule="auto"/>
        <w:ind w:firstLine="435"/>
        <w:rPr>
          <w:szCs w:val="16"/>
        </w:rPr>
      </w:pPr>
      <w:r>
        <w:rPr>
          <w:rFonts w:hint="eastAsia"/>
          <w:szCs w:val="16"/>
        </w:rPr>
        <w:t>日期：</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spacing w:line="360" w:lineRule="auto"/>
        <w:ind w:firstLine="435"/>
        <w:rPr>
          <w:szCs w:val="16"/>
        </w:rPr>
      </w:pPr>
    </w:p>
    <w:p>
      <w:pPr>
        <w:spacing w:line="360" w:lineRule="auto"/>
        <w:ind w:firstLine="435"/>
        <w:rPr>
          <w:szCs w:val="16"/>
        </w:rPr>
      </w:pPr>
      <w:r>
        <w:rPr>
          <w:rFonts w:hint="eastAsia"/>
          <w:szCs w:val="16"/>
        </w:rPr>
        <w:t>注：如</w:t>
      </w:r>
      <w:r>
        <w:rPr>
          <w:rFonts w:hint="eastAsia"/>
          <w:szCs w:val="16"/>
          <w:lang w:eastAsia="zh-CN"/>
        </w:rPr>
        <w:t>供应商</w:t>
      </w:r>
      <w:r>
        <w:rPr>
          <w:rFonts w:hint="eastAsia"/>
          <w:szCs w:val="16"/>
        </w:rPr>
        <w:t>不属于残疾人福利单位，则无须提供。</w:t>
      </w:r>
    </w:p>
    <w:p>
      <w:pPr>
        <w:rPr>
          <w:szCs w:val="16"/>
        </w:rPr>
      </w:pPr>
      <w:r>
        <w:rPr>
          <w:szCs w:val="16"/>
        </w:rPr>
        <w:br w:type="page"/>
      </w:r>
    </w:p>
    <w:p>
      <w:pPr>
        <w:pStyle w:val="2"/>
        <w:spacing w:before="0" w:after="0" w:line="360" w:lineRule="auto"/>
        <w:rPr>
          <w:rFonts w:hint="eastAsia"/>
          <w:sz w:val="24"/>
          <w:szCs w:val="24"/>
        </w:rPr>
      </w:pPr>
    </w:p>
    <w:p>
      <w:pPr>
        <w:pStyle w:val="2"/>
        <w:spacing w:before="0" w:after="0" w:line="360" w:lineRule="auto"/>
        <w:rPr>
          <w:sz w:val="24"/>
          <w:szCs w:val="24"/>
        </w:rPr>
      </w:pPr>
      <w:r>
        <w:rPr>
          <w:rFonts w:hint="eastAsia"/>
          <w:sz w:val="24"/>
          <w:szCs w:val="24"/>
        </w:rPr>
        <w:t>1.</w:t>
      </w:r>
      <w:r>
        <w:rPr>
          <w:sz w:val="24"/>
          <w:szCs w:val="24"/>
        </w:rPr>
        <w:t>8</w:t>
      </w:r>
      <w:r>
        <w:rPr>
          <w:rFonts w:hint="eastAsia"/>
          <w:sz w:val="24"/>
          <w:szCs w:val="24"/>
        </w:rPr>
        <w:t>《食品卫生许可证》或《食品经营许可证》</w:t>
      </w:r>
    </w:p>
    <w:p>
      <w:pPr>
        <w:ind w:firstLine="480" w:firstLineChars="200"/>
      </w:pPr>
      <w:r>
        <w:rPr>
          <w:rFonts w:hint="eastAsia"/>
          <w:lang w:eastAsia="zh-CN"/>
        </w:rPr>
        <w:t>供应商</w:t>
      </w:r>
      <w:r>
        <w:t>须具备有效的《食品卫生许可证》或《食品经营许可证》，须提供相关资质证明材料。</w:t>
      </w:r>
    </w:p>
    <w:p/>
    <w:p>
      <w:pPr>
        <w:pStyle w:val="2"/>
        <w:spacing w:before="0" w:after="0" w:line="360" w:lineRule="auto"/>
        <w:rPr>
          <w:sz w:val="24"/>
          <w:szCs w:val="24"/>
        </w:rPr>
      </w:pPr>
      <w:r>
        <w:rPr>
          <w:rFonts w:hint="eastAsia"/>
          <w:sz w:val="24"/>
          <w:szCs w:val="24"/>
        </w:rPr>
        <w:t>1.</w:t>
      </w:r>
      <w:r>
        <w:rPr>
          <w:sz w:val="24"/>
          <w:szCs w:val="24"/>
        </w:rPr>
        <w:t>9</w:t>
      </w:r>
      <w:r>
        <w:rPr>
          <w:rFonts w:hint="eastAsia"/>
          <w:sz w:val="24"/>
          <w:szCs w:val="24"/>
        </w:rPr>
        <w:t>《动物防疫条件合格证》 （如为经销商则须同时提供《动物防疫条件合格证》及与生产商签订合作协议）仅第六包须提供</w:t>
      </w:r>
    </w:p>
    <w:p>
      <w:pPr>
        <w:spacing w:line="360" w:lineRule="auto"/>
        <w:rPr>
          <w:rFonts w:cs="Times New Roman"/>
          <w:color w:val="000000"/>
        </w:rPr>
      </w:pPr>
      <w:r>
        <w:rPr>
          <w:rFonts w:hint="eastAsia" w:cs="Times New Roman"/>
          <w:color w:val="000000"/>
          <w:lang w:eastAsia="zh-CN"/>
        </w:rPr>
        <w:t>供应商</w:t>
      </w:r>
      <w:r>
        <w:rPr>
          <w:rFonts w:hint="eastAsia" w:cs="Times New Roman"/>
          <w:color w:val="000000"/>
        </w:rPr>
        <w:t>须具备《动物防疫条件合格证》 （如为经销商则须同时提供《动物防疫条件合格证》及与生产商签订合作协议）仅第六包须提供，须提供相关资质证明材料。</w:t>
      </w:r>
    </w:p>
    <w:p>
      <w:pPr>
        <w:rPr>
          <w:rFonts w:hint="eastAsia" w:cs="Times New Roman"/>
          <w:color w:val="000000"/>
        </w:rPr>
      </w:pPr>
      <w:r>
        <w:rPr>
          <w:rFonts w:hint="eastAsia" w:cs="Times New Roman"/>
          <w:color w:val="000000"/>
        </w:rPr>
        <w:br w:type="page"/>
      </w:r>
    </w:p>
    <w:p>
      <w:pPr>
        <w:pStyle w:val="5"/>
        <w:rPr>
          <w:rFonts w:hint="eastAsia"/>
        </w:rPr>
      </w:pPr>
    </w:p>
    <w:p>
      <w:pPr>
        <w:spacing w:line="360" w:lineRule="auto"/>
        <w:rPr>
          <w:spacing w:val="4"/>
        </w:rPr>
      </w:pPr>
    </w:p>
    <w:p>
      <w:pPr>
        <w:pStyle w:val="2"/>
        <w:spacing w:before="0" w:after="0" w:line="360" w:lineRule="auto"/>
        <w:rPr>
          <w:sz w:val="24"/>
          <w:szCs w:val="24"/>
        </w:rPr>
      </w:pPr>
      <w:r>
        <w:rPr>
          <w:rFonts w:hint="eastAsia"/>
          <w:sz w:val="24"/>
          <w:szCs w:val="24"/>
        </w:rPr>
        <w:t>1.</w:t>
      </w:r>
      <w:r>
        <w:rPr>
          <w:sz w:val="24"/>
          <w:szCs w:val="24"/>
        </w:rPr>
        <w:t>1</w:t>
      </w:r>
      <w:r>
        <w:rPr>
          <w:rFonts w:hint="eastAsia"/>
          <w:sz w:val="24"/>
          <w:szCs w:val="24"/>
          <w:lang w:val="en-US" w:eastAsia="zh-CN"/>
        </w:rPr>
        <w:t>0</w:t>
      </w:r>
      <w:r>
        <w:rPr>
          <w:rFonts w:hint="eastAsia"/>
          <w:sz w:val="24"/>
          <w:szCs w:val="24"/>
        </w:rPr>
        <w:t>商务条款偏离表</w:t>
      </w:r>
    </w:p>
    <w:p>
      <w:pPr>
        <w:pStyle w:val="112"/>
        <w:spacing w:line="500" w:lineRule="exact"/>
        <w:ind w:left="480"/>
        <w:rPr>
          <w:rFonts w:ascii="宋体" w:hAnsi="宋体"/>
        </w:rPr>
      </w:pPr>
      <w:r>
        <w:rPr>
          <w:rFonts w:hint="eastAsia" w:ascii="宋体" w:hAnsi="宋体"/>
        </w:rPr>
        <w:t>供应商名称：</w:t>
      </w:r>
      <w:r>
        <w:rPr>
          <w:rFonts w:hint="eastAsia" w:ascii="宋体" w:hAnsi="宋体"/>
          <w:u w:val="single"/>
        </w:rPr>
        <w:t xml:space="preserve">                        </w:t>
      </w:r>
      <w:r>
        <w:rPr>
          <w:rFonts w:hint="eastAsia" w:ascii="宋体" w:hAnsi="宋体"/>
        </w:rPr>
        <w:t xml:space="preserve"> </w:t>
      </w:r>
    </w:p>
    <w:p>
      <w:pPr>
        <w:pStyle w:val="112"/>
        <w:spacing w:line="500" w:lineRule="exact"/>
        <w:ind w:left="480"/>
        <w:rPr>
          <w:rFonts w:ascii="宋体" w:hAnsi="宋体"/>
          <w:u w:val="single"/>
        </w:rPr>
      </w:pPr>
      <w:r>
        <w:rPr>
          <w:rFonts w:hint="eastAsia" w:ascii="宋体" w:hAnsi="宋体"/>
        </w:rPr>
        <w:t xml:space="preserve">项目编号： </w:t>
      </w:r>
      <w:r>
        <w:rPr>
          <w:rFonts w:hint="eastAsia" w:ascii="宋体" w:hAnsi="宋体"/>
          <w:u w:val="single"/>
        </w:rPr>
        <w:t xml:space="preserve">                        </w:t>
      </w:r>
    </w:p>
    <w:tbl>
      <w:tblPr>
        <w:tblStyle w:val="32"/>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4"/>
        <w:gridCol w:w="2552"/>
        <w:gridCol w:w="2409"/>
        <w:gridCol w:w="1588"/>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814" w:type="dxa"/>
            <w:vAlign w:val="center"/>
          </w:tcPr>
          <w:p>
            <w:pPr>
              <w:pStyle w:val="112"/>
              <w:spacing w:line="500" w:lineRule="exact"/>
              <w:jc w:val="center"/>
              <w:rPr>
                <w:rFonts w:ascii="宋体" w:hAnsi="宋体"/>
              </w:rPr>
            </w:pPr>
            <w:r>
              <w:rPr>
                <w:rFonts w:hint="eastAsia" w:ascii="宋体" w:hAnsi="宋体"/>
              </w:rPr>
              <w:t>序号</w:t>
            </w:r>
          </w:p>
        </w:tc>
        <w:tc>
          <w:tcPr>
            <w:tcW w:w="2552" w:type="dxa"/>
            <w:vAlign w:val="center"/>
          </w:tcPr>
          <w:p>
            <w:pPr>
              <w:pStyle w:val="112"/>
              <w:spacing w:line="500" w:lineRule="exact"/>
              <w:jc w:val="center"/>
              <w:rPr>
                <w:rFonts w:ascii="宋体" w:hAnsi="宋体"/>
              </w:rPr>
            </w:pPr>
            <w:r>
              <w:rPr>
                <w:rFonts w:hint="eastAsia" w:ascii="宋体" w:hAnsi="宋体"/>
              </w:rPr>
              <w:t>招标文件的商务条款</w:t>
            </w:r>
          </w:p>
        </w:tc>
        <w:tc>
          <w:tcPr>
            <w:tcW w:w="2409" w:type="dxa"/>
            <w:vAlign w:val="center"/>
          </w:tcPr>
          <w:p>
            <w:pPr>
              <w:pStyle w:val="112"/>
              <w:spacing w:line="500" w:lineRule="exact"/>
              <w:jc w:val="center"/>
              <w:rPr>
                <w:rFonts w:ascii="宋体" w:hAnsi="宋体"/>
              </w:rPr>
            </w:pPr>
            <w:r>
              <w:rPr>
                <w:rFonts w:hint="eastAsia" w:ascii="宋体" w:hAnsi="宋体"/>
                <w:lang w:eastAsia="zh-CN"/>
              </w:rPr>
              <w:t>响应文件</w:t>
            </w:r>
            <w:r>
              <w:rPr>
                <w:rFonts w:hint="eastAsia" w:ascii="宋体" w:hAnsi="宋体"/>
              </w:rPr>
              <w:t>的商务条款</w:t>
            </w:r>
          </w:p>
        </w:tc>
        <w:tc>
          <w:tcPr>
            <w:tcW w:w="1588" w:type="dxa"/>
            <w:vAlign w:val="center"/>
          </w:tcPr>
          <w:p>
            <w:pPr>
              <w:pStyle w:val="112"/>
              <w:spacing w:line="500" w:lineRule="exact"/>
              <w:jc w:val="center"/>
              <w:rPr>
                <w:rFonts w:ascii="宋体" w:hAnsi="宋体"/>
              </w:rPr>
            </w:pPr>
            <w:r>
              <w:rPr>
                <w:rFonts w:hint="eastAsia" w:ascii="宋体" w:hAnsi="宋体"/>
              </w:rPr>
              <w:t>偏离</w:t>
            </w:r>
          </w:p>
        </w:tc>
        <w:tc>
          <w:tcPr>
            <w:tcW w:w="1815" w:type="dxa"/>
            <w:vAlign w:val="center"/>
          </w:tcPr>
          <w:p>
            <w:pPr>
              <w:pStyle w:val="112"/>
              <w:spacing w:line="500" w:lineRule="exact"/>
              <w:jc w:val="center"/>
              <w:rPr>
                <w:rFonts w:ascii="宋体" w:hAnsi="宋体"/>
              </w:rPr>
            </w:pPr>
            <w:r>
              <w:rPr>
                <w:rFonts w:hint="eastAsia" w:ascii="宋体" w:hAnsi="宋体"/>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12"/>
              <w:spacing w:line="500" w:lineRule="exact"/>
              <w:ind w:left="480" w:firstLine="480"/>
              <w:jc w:val="center"/>
              <w:rPr>
                <w:rFonts w:ascii="宋体" w:hAnsi="宋体"/>
              </w:rPr>
            </w:pPr>
          </w:p>
        </w:tc>
        <w:tc>
          <w:tcPr>
            <w:tcW w:w="2552" w:type="dxa"/>
          </w:tcPr>
          <w:p>
            <w:pPr>
              <w:pStyle w:val="112"/>
              <w:spacing w:line="500" w:lineRule="exact"/>
              <w:ind w:left="480" w:firstLine="480"/>
              <w:jc w:val="center"/>
              <w:rPr>
                <w:rFonts w:ascii="宋体" w:hAnsi="宋体"/>
              </w:rPr>
            </w:pPr>
          </w:p>
        </w:tc>
        <w:tc>
          <w:tcPr>
            <w:tcW w:w="2409" w:type="dxa"/>
          </w:tcPr>
          <w:p>
            <w:pPr>
              <w:pStyle w:val="112"/>
              <w:spacing w:line="500" w:lineRule="exact"/>
              <w:ind w:left="480" w:firstLine="480"/>
              <w:jc w:val="center"/>
              <w:rPr>
                <w:rFonts w:ascii="宋体" w:hAnsi="宋体"/>
              </w:rPr>
            </w:pPr>
          </w:p>
        </w:tc>
        <w:tc>
          <w:tcPr>
            <w:tcW w:w="1588"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12"/>
              <w:spacing w:line="500" w:lineRule="exact"/>
              <w:ind w:left="480" w:firstLine="480"/>
              <w:jc w:val="center"/>
              <w:rPr>
                <w:rFonts w:ascii="宋体" w:hAnsi="宋体"/>
              </w:rPr>
            </w:pPr>
          </w:p>
        </w:tc>
        <w:tc>
          <w:tcPr>
            <w:tcW w:w="2552" w:type="dxa"/>
          </w:tcPr>
          <w:p>
            <w:pPr>
              <w:pStyle w:val="112"/>
              <w:spacing w:line="500" w:lineRule="exact"/>
              <w:ind w:left="480" w:firstLine="480"/>
              <w:jc w:val="center"/>
              <w:rPr>
                <w:rFonts w:ascii="宋体" w:hAnsi="宋体"/>
              </w:rPr>
            </w:pPr>
          </w:p>
        </w:tc>
        <w:tc>
          <w:tcPr>
            <w:tcW w:w="2409" w:type="dxa"/>
          </w:tcPr>
          <w:p>
            <w:pPr>
              <w:pStyle w:val="112"/>
              <w:spacing w:line="500" w:lineRule="exact"/>
              <w:ind w:left="480" w:firstLine="480"/>
              <w:jc w:val="center"/>
              <w:rPr>
                <w:rFonts w:ascii="宋体" w:hAnsi="宋体"/>
              </w:rPr>
            </w:pPr>
          </w:p>
        </w:tc>
        <w:tc>
          <w:tcPr>
            <w:tcW w:w="1588"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12"/>
              <w:spacing w:line="500" w:lineRule="exact"/>
              <w:ind w:left="480" w:firstLine="480"/>
              <w:jc w:val="center"/>
              <w:rPr>
                <w:rFonts w:ascii="宋体" w:hAnsi="宋体"/>
              </w:rPr>
            </w:pPr>
          </w:p>
        </w:tc>
        <w:tc>
          <w:tcPr>
            <w:tcW w:w="2552" w:type="dxa"/>
          </w:tcPr>
          <w:p>
            <w:pPr>
              <w:pStyle w:val="112"/>
              <w:spacing w:line="500" w:lineRule="exact"/>
              <w:ind w:left="480" w:firstLine="480"/>
              <w:jc w:val="center"/>
              <w:rPr>
                <w:rFonts w:ascii="宋体" w:hAnsi="宋体"/>
              </w:rPr>
            </w:pPr>
          </w:p>
        </w:tc>
        <w:tc>
          <w:tcPr>
            <w:tcW w:w="2409" w:type="dxa"/>
          </w:tcPr>
          <w:p>
            <w:pPr>
              <w:pStyle w:val="112"/>
              <w:spacing w:line="500" w:lineRule="exact"/>
              <w:ind w:left="480" w:firstLine="480"/>
              <w:jc w:val="center"/>
              <w:rPr>
                <w:rFonts w:ascii="宋体" w:hAnsi="宋体"/>
              </w:rPr>
            </w:pPr>
          </w:p>
        </w:tc>
        <w:tc>
          <w:tcPr>
            <w:tcW w:w="1588"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12"/>
              <w:spacing w:line="500" w:lineRule="exact"/>
              <w:ind w:left="480" w:firstLine="480"/>
              <w:jc w:val="center"/>
              <w:rPr>
                <w:rFonts w:ascii="宋体" w:hAnsi="宋体"/>
              </w:rPr>
            </w:pPr>
          </w:p>
        </w:tc>
        <w:tc>
          <w:tcPr>
            <w:tcW w:w="2552" w:type="dxa"/>
          </w:tcPr>
          <w:p>
            <w:pPr>
              <w:pStyle w:val="112"/>
              <w:spacing w:line="500" w:lineRule="exact"/>
              <w:ind w:left="480" w:firstLine="480"/>
              <w:jc w:val="center"/>
              <w:rPr>
                <w:rFonts w:ascii="宋体" w:hAnsi="宋体"/>
              </w:rPr>
            </w:pPr>
          </w:p>
        </w:tc>
        <w:tc>
          <w:tcPr>
            <w:tcW w:w="2409" w:type="dxa"/>
          </w:tcPr>
          <w:p>
            <w:pPr>
              <w:pStyle w:val="112"/>
              <w:spacing w:line="500" w:lineRule="exact"/>
              <w:ind w:left="480" w:firstLine="480"/>
              <w:jc w:val="center"/>
              <w:rPr>
                <w:rFonts w:ascii="宋体" w:hAnsi="宋体"/>
              </w:rPr>
            </w:pPr>
          </w:p>
        </w:tc>
        <w:tc>
          <w:tcPr>
            <w:tcW w:w="1588"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12"/>
              <w:spacing w:line="500" w:lineRule="exact"/>
              <w:ind w:left="480" w:firstLine="480"/>
              <w:jc w:val="center"/>
              <w:rPr>
                <w:rFonts w:ascii="宋体" w:hAnsi="宋体"/>
              </w:rPr>
            </w:pPr>
          </w:p>
        </w:tc>
        <w:tc>
          <w:tcPr>
            <w:tcW w:w="2552" w:type="dxa"/>
          </w:tcPr>
          <w:p>
            <w:pPr>
              <w:pStyle w:val="112"/>
              <w:spacing w:line="500" w:lineRule="exact"/>
              <w:ind w:left="480" w:firstLine="480"/>
              <w:jc w:val="center"/>
              <w:rPr>
                <w:rFonts w:ascii="宋体" w:hAnsi="宋体"/>
              </w:rPr>
            </w:pPr>
          </w:p>
        </w:tc>
        <w:tc>
          <w:tcPr>
            <w:tcW w:w="2409" w:type="dxa"/>
          </w:tcPr>
          <w:p>
            <w:pPr>
              <w:pStyle w:val="112"/>
              <w:spacing w:line="500" w:lineRule="exact"/>
              <w:ind w:left="480" w:firstLine="480"/>
              <w:jc w:val="center"/>
              <w:rPr>
                <w:rFonts w:ascii="宋体" w:hAnsi="宋体"/>
              </w:rPr>
            </w:pPr>
          </w:p>
        </w:tc>
        <w:tc>
          <w:tcPr>
            <w:tcW w:w="1588"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12"/>
              <w:spacing w:line="500" w:lineRule="exact"/>
              <w:ind w:left="480" w:firstLine="480"/>
              <w:jc w:val="center"/>
              <w:rPr>
                <w:rFonts w:ascii="宋体" w:hAnsi="宋体"/>
              </w:rPr>
            </w:pPr>
          </w:p>
        </w:tc>
        <w:tc>
          <w:tcPr>
            <w:tcW w:w="2552" w:type="dxa"/>
          </w:tcPr>
          <w:p>
            <w:pPr>
              <w:pStyle w:val="112"/>
              <w:spacing w:line="500" w:lineRule="exact"/>
              <w:ind w:left="480" w:firstLine="480"/>
              <w:jc w:val="center"/>
              <w:rPr>
                <w:rFonts w:ascii="宋体" w:hAnsi="宋体"/>
              </w:rPr>
            </w:pPr>
          </w:p>
        </w:tc>
        <w:tc>
          <w:tcPr>
            <w:tcW w:w="2409" w:type="dxa"/>
          </w:tcPr>
          <w:p>
            <w:pPr>
              <w:pStyle w:val="112"/>
              <w:spacing w:line="500" w:lineRule="exact"/>
              <w:ind w:left="480" w:firstLine="480"/>
              <w:jc w:val="center"/>
              <w:rPr>
                <w:rFonts w:ascii="宋体" w:hAnsi="宋体"/>
              </w:rPr>
            </w:pPr>
          </w:p>
        </w:tc>
        <w:tc>
          <w:tcPr>
            <w:tcW w:w="1588"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12"/>
              <w:spacing w:line="500" w:lineRule="exact"/>
              <w:ind w:left="480" w:firstLine="480"/>
              <w:jc w:val="center"/>
              <w:rPr>
                <w:rFonts w:ascii="宋体" w:hAnsi="宋体"/>
              </w:rPr>
            </w:pPr>
          </w:p>
        </w:tc>
        <w:tc>
          <w:tcPr>
            <w:tcW w:w="2552" w:type="dxa"/>
          </w:tcPr>
          <w:p>
            <w:pPr>
              <w:pStyle w:val="112"/>
              <w:spacing w:line="500" w:lineRule="exact"/>
              <w:ind w:left="480" w:firstLine="480"/>
              <w:jc w:val="center"/>
              <w:rPr>
                <w:rFonts w:ascii="宋体" w:hAnsi="宋体"/>
              </w:rPr>
            </w:pPr>
          </w:p>
        </w:tc>
        <w:tc>
          <w:tcPr>
            <w:tcW w:w="2409" w:type="dxa"/>
          </w:tcPr>
          <w:p>
            <w:pPr>
              <w:pStyle w:val="112"/>
              <w:spacing w:line="500" w:lineRule="exact"/>
              <w:ind w:left="480" w:firstLine="480"/>
              <w:jc w:val="center"/>
              <w:rPr>
                <w:rFonts w:ascii="宋体" w:hAnsi="宋体"/>
              </w:rPr>
            </w:pPr>
          </w:p>
        </w:tc>
        <w:tc>
          <w:tcPr>
            <w:tcW w:w="1588"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12"/>
              <w:spacing w:line="500" w:lineRule="exact"/>
              <w:ind w:left="480" w:firstLine="480"/>
              <w:jc w:val="center"/>
              <w:rPr>
                <w:rFonts w:ascii="宋体" w:hAnsi="宋体"/>
              </w:rPr>
            </w:pPr>
          </w:p>
        </w:tc>
        <w:tc>
          <w:tcPr>
            <w:tcW w:w="2552" w:type="dxa"/>
          </w:tcPr>
          <w:p>
            <w:pPr>
              <w:pStyle w:val="112"/>
              <w:spacing w:line="500" w:lineRule="exact"/>
              <w:ind w:left="480" w:firstLine="480"/>
              <w:jc w:val="center"/>
              <w:rPr>
                <w:rFonts w:ascii="宋体" w:hAnsi="宋体"/>
              </w:rPr>
            </w:pPr>
          </w:p>
        </w:tc>
        <w:tc>
          <w:tcPr>
            <w:tcW w:w="2409" w:type="dxa"/>
          </w:tcPr>
          <w:p>
            <w:pPr>
              <w:pStyle w:val="112"/>
              <w:spacing w:line="500" w:lineRule="exact"/>
              <w:ind w:left="480" w:firstLine="480"/>
              <w:jc w:val="center"/>
              <w:rPr>
                <w:rFonts w:ascii="宋体" w:hAnsi="宋体"/>
              </w:rPr>
            </w:pPr>
          </w:p>
        </w:tc>
        <w:tc>
          <w:tcPr>
            <w:tcW w:w="1588"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12"/>
              <w:spacing w:line="500" w:lineRule="exact"/>
              <w:ind w:left="480" w:firstLine="480"/>
              <w:jc w:val="center"/>
              <w:rPr>
                <w:rFonts w:ascii="宋体" w:hAnsi="宋体"/>
              </w:rPr>
            </w:pPr>
          </w:p>
        </w:tc>
        <w:tc>
          <w:tcPr>
            <w:tcW w:w="2552" w:type="dxa"/>
          </w:tcPr>
          <w:p>
            <w:pPr>
              <w:pStyle w:val="112"/>
              <w:spacing w:line="500" w:lineRule="exact"/>
              <w:ind w:left="480" w:firstLine="480"/>
              <w:jc w:val="center"/>
              <w:rPr>
                <w:rFonts w:ascii="宋体" w:hAnsi="宋体"/>
              </w:rPr>
            </w:pPr>
          </w:p>
        </w:tc>
        <w:tc>
          <w:tcPr>
            <w:tcW w:w="2409" w:type="dxa"/>
          </w:tcPr>
          <w:p>
            <w:pPr>
              <w:pStyle w:val="112"/>
              <w:spacing w:line="500" w:lineRule="exact"/>
              <w:ind w:left="480" w:firstLine="480"/>
              <w:jc w:val="center"/>
              <w:rPr>
                <w:rFonts w:ascii="宋体" w:hAnsi="宋体"/>
              </w:rPr>
            </w:pPr>
          </w:p>
        </w:tc>
        <w:tc>
          <w:tcPr>
            <w:tcW w:w="1588"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4" w:type="dxa"/>
          </w:tcPr>
          <w:p>
            <w:pPr>
              <w:pStyle w:val="112"/>
              <w:spacing w:line="500" w:lineRule="exact"/>
              <w:ind w:left="480" w:firstLine="480"/>
              <w:jc w:val="center"/>
              <w:rPr>
                <w:rFonts w:ascii="宋体" w:hAnsi="宋体"/>
              </w:rPr>
            </w:pPr>
          </w:p>
        </w:tc>
        <w:tc>
          <w:tcPr>
            <w:tcW w:w="2552" w:type="dxa"/>
          </w:tcPr>
          <w:p>
            <w:pPr>
              <w:pStyle w:val="112"/>
              <w:spacing w:line="500" w:lineRule="exact"/>
              <w:ind w:left="480" w:firstLine="480"/>
              <w:jc w:val="center"/>
              <w:rPr>
                <w:rFonts w:ascii="宋体" w:hAnsi="宋体"/>
              </w:rPr>
            </w:pPr>
          </w:p>
        </w:tc>
        <w:tc>
          <w:tcPr>
            <w:tcW w:w="2409" w:type="dxa"/>
          </w:tcPr>
          <w:p>
            <w:pPr>
              <w:pStyle w:val="112"/>
              <w:spacing w:line="500" w:lineRule="exact"/>
              <w:ind w:left="480" w:firstLine="480"/>
              <w:jc w:val="center"/>
              <w:rPr>
                <w:rFonts w:ascii="宋体" w:hAnsi="宋体"/>
              </w:rPr>
            </w:pPr>
          </w:p>
        </w:tc>
        <w:tc>
          <w:tcPr>
            <w:tcW w:w="1588"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bl>
    <w:p>
      <w:pPr>
        <w:pStyle w:val="112"/>
        <w:spacing w:line="500" w:lineRule="exact"/>
        <w:ind w:left="480" w:firstLine="480"/>
        <w:rPr>
          <w:rFonts w:ascii="宋体" w:hAnsi="宋体"/>
        </w:rPr>
      </w:pPr>
      <w:r>
        <w:rPr>
          <w:rFonts w:hint="eastAsia" w:ascii="宋体" w:hAnsi="宋体"/>
        </w:rPr>
        <w:t>注:若有偏离,请将具体偏离条款在</w:t>
      </w:r>
      <w:r>
        <w:rPr>
          <w:rFonts w:ascii="宋体" w:hAnsi="宋体"/>
        </w:rPr>
        <w:t>”</w:t>
      </w:r>
      <w:r>
        <w:rPr>
          <w:rFonts w:hint="eastAsia" w:ascii="宋体" w:hAnsi="宋体"/>
        </w:rPr>
        <w:t>偏离</w:t>
      </w:r>
      <w:r>
        <w:rPr>
          <w:rFonts w:ascii="宋体" w:hAnsi="宋体"/>
        </w:rPr>
        <w:t>”</w:t>
      </w:r>
      <w:r>
        <w:rPr>
          <w:rFonts w:hint="eastAsia" w:ascii="宋体" w:hAnsi="宋体"/>
        </w:rPr>
        <w:t>一栏中详细说明;若无偏离,请在</w:t>
      </w:r>
      <w:r>
        <w:rPr>
          <w:rFonts w:ascii="宋体" w:hAnsi="宋体"/>
        </w:rPr>
        <w:t>”</w:t>
      </w:r>
      <w:r>
        <w:rPr>
          <w:rFonts w:hint="eastAsia" w:ascii="宋体" w:hAnsi="宋体"/>
        </w:rPr>
        <w:t>偏离</w:t>
      </w:r>
      <w:r>
        <w:rPr>
          <w:rFonts w:ascii="宋体" w:hAnsi="宋体"/>
        </w:rPr>
        <w:t>”</w:t>
      </w:r>
      <w:r>
        <w:rPr>
          <w:rFonts w:hint="eastAsia" w:ascii="宋体" w:hAnsi="宋体"/>
        </w:rPr>
        <w:t>一栏中标注</w:t>
      </w:r>
      <w:r>
        <w:rPr>
          <w:rFonts w:ascii="宋体" w:hAnsi="宋体"/>
        </w:rPr>
        <w:t>”</w:t>
      </w:r>
      <w:r>
        <w:rPr>
          <w:rFonts w:hint="eastAsia" w:ascii="宋体" w:hAnsi="宋体"/>
        </w:rPr>
        <w:t>无</w:t>
      </w:r>
      <w:r>
        <w:rPr>
          <w:rFonts w:ascii="宋体" w:hAnsi="宋体"/>
        </w:rPr>
        <w:t>”</w:t>
      </w:r>
      <w:r>
        <w:rPr>
          <w:rFonts w:hint="eastAsia" w:ascii="宋体" w:hAnsi="宋体"/>
        </w:rPr>
        <w:t>字样.</w:t>
      </w:r>
    </w:p>
    <w:p>
      <w:pPr>
        <w:pStyle w:val="112"/>
        <w:spacing w:line="500" w:lineRule="exact"/>
        <w:ind w:left="480" w:firstLine="480"/>
        <w:rPr>
          <w:rFonts w:ascii="宋体" w:hAnsi="宋体"/>
        </w:rPr>
      </w:pPr>
    </w:p>
    <w:p>
      <w:pPr>
        <w:spacing w:line="720" w:lineRule="auto"/>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720" w:lineRule="auto"/>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720" w:lineRule="auto"/>
        <w:rPr>
          <w:szCs w:val="16"/>
        </w:rPr>
      </w:pPr>
      <w:r>
        <w:rPr>
          <w:rFonts w:hint="eastAsia"/>
          <w:szCs w:val="16"/>
        </w:rPr>
        <w:t>日</w:t>
      </w:r>
      <w:r>
        <w:rPr>
          <w:rFonts w:hint="eastAsia"/>
          <w:szCs w:val="16"/>
          <w:lang w:val="en-US" w:eastAsia="zh-CN"/>
        </w:rPr>
        <w:t xml:space="preserve">    </w:t>
      </w:r>
      <w:r>
        <w:rPr>
          <w:rFonts w:hint="eastAsia"/>
          <w:szCs w:val="16"/>
        </w:rPr>
        <w:t>期：</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snapToGrid w:val="0"/>
        <w:spacing w:line="440" w:lineRule="exact"/>
        <w:ind w:firstLine="1440" w:firstLineChars="600"/>
        <w:jc w:val="right"/>
        <w:rPr>
          <w:rFonts w:cs="Times New Roman"/>
          <w:szCs w:val="21"/>
        </w:rPr>
      </w:pPr>
      <w:r>
        <w:rPr>
          <w:rFonts w:cs="Times New Roman"/>
          <w:szCs w:val="21"/>
        </w:rPr>
        <w:br w:type="page"/>
      </w:r>
    </w:p>
    <w:p>
      <w:pPr>
        <w:pStyle w:val="2"/>
        <w:spacing w:before="0" w:after="0" w:line="360" w:lineRule="auto"/>
        <w:rPr>
          <w:rFonts w:hint="eastAsia"/>
          <w:sz w:val="24"/>
          <w:szCs w:val="24"/>
        </w:rPr>
      </w:pPr>
      <w:bookmarkStart w:id="79" w:name="_Toc16052"/>
      <w:bookmarkStart w:id="80" w:name="_Toc449387772"/>
    </w:p>
    <w:p>
      <w:pPr>
        <w:pStyle w:val="2"/>
        <w:spacing w:before="0" w:after="0" w:line="360" w:lineRule="auto"/>
        <w:rPr>
          <w:rFonts w:hint="eastAsia"/>
          <w:sz w:val="24"/>
          <w:szCs w:val="24"/>
        </w:rPr>
      </w:pPr>
    </w:p>
    <w:p>
      <w:pPr>
        <w:pStyle w:val="2"/>
        <w:spacing w:before="0" w:after="0" w:line="360" w:lineRule="auto"/>
        <w:rPr>
          <w:sz w:val="24"/>
          <w:szCs w:val="24"/>
        </w:rPr>
      </w:pPr>
      <w:r>
        <w:rPr>
          <w:rFonts w:hint="eastAsia"/>
          <w:sz w:val="24"/>
          <w:szCs w:val="24"/>
        </w:rPr>
        <w:t>1</w:t>
      </w:r>
      <w:r>
        <w:rPr>
          <w:sz w:val="24"/>
          <w:szCs w:val="24"/>
        </w:rPr>
        <w:t>.1</w:t>
      </w:r>
      <w:r>
        <w:rPr>
          <w:rFonts w:hint="eastAsia"/>
          <w:sz w:val="24"/>
          <w:szCs w:val="24"/>
          <w:lang w:val="en-US" w:eastAsia="zh-CN"/>
        </w:rPr>
        <w:t>1</w:t>
      </w:r>
      <w:r>
        <w:rPr>
          <w:rFonts w:hint="eastAsia"/>
          <w:sz w:val="24"/>
          <w:szCs w:val="24"/>
        </w:rPr>
        <w:t>技术规格偏离表</w:t>
      </w:r>
      <w:bookmarkEnd w:id="79"/>
      <w:bookmarkEnd w:id="80"/>
    </w:p>
    <w:p>
      <w:pPr>
        <w:pStyle w:val="112"/>
        <w:spacing w:line="500" w:lineRule="exact"/>
        <w:ind w:left="480"/>
        <w:rPr>
          <w:rFonts w:ascii="宋体" w:hAnsi="宋体"/>
        </w:rPr>
      </w:pPr>
      <w:r>
        <w:rPr>
          <w:rFonts w:hint="eastAsia" w:ascii="宋体" w:hAnsi="宋体"/>
        </w:rPr>
        <w:t>供应商名称：</w:t>
      </w:r>
      <w:r>
        <w:rPr>
          <w:rFonts w:hint="eastAsia" w:ascii="宋体" w:hAnsi="宋体"/>
          <w:u w:val="single"/>
        </w:rPr>
        <w:t xml:space="preserve">                        </w:t>
      </w:r>
      <w:r>
        <w:rPr>
          <w:rFonts w:hint="eastAsia" w:ascii="宋体" w:hAnsi="宋体"/>
        </w:rPr>
        <w:t xml:space="preserve"> </w:t>
      </w:r>
    </w:p>
    <w:p>
      <w:pPr>
        <w:pStyle w:val="112"/>
        <w:spacing w:line="500" w:lineRule="exact"/>
        <w:ind w:left="480"/>
        <w:rPr>
          <w:rFonts w:ascii="宋体" w:hAnsi="宋体"/>
          <w:u w:val="single"/>
        </w:rPr>
      </w:pPr>
      <w:r>
        <w:rPr>
          <w:rFonts w:hint="eastAsia" w:ascii="宋体" w:hAnsi="宋体"/>
        </w:rPr>
        <w:t xml:space="preserve">项目编号：  </w:t>
      </w:r>
      <w:r>
        <w:rPr>
          <w:rFonts w:hint="eastAsia" w:ascii="宋体" w:hAnsi="宋体"/>
          <w:u w:val="single"/>
        </w:rPr>
        <w:t xml:space="preserve">                       </w:t>
      </w:r>
    </w:p>
    <w:tbl>
      <w:tblPr>
        <w:tblStyle w:val="32"/>
        <w:tblW w:w="9178" w:type="dxa"/>
        <w:tblInd w:w="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301"/>
        <w:gridCol w:w="2312"/>
        <w:gridCol w:w="1965"/>
        <w:gridCol w:w="1785"/>
        <w:gridCol w:w="181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vAlign w:val="center"/>
          </w:tcPr>
          <w:p>
            <w:pPr>
              <w:pStyle w:val="112"/>
              <w:spacing w:line="500" w:lineRule="exact"/>
              <w:jc w:val="center"/>
              <w:rPr>
                <w:rFonts w:ascii="宋体" w:hAnsi="宋体"/>
              </w:rPr>
            </w:pPr>
            <w:r>
              <w:rPr>
                <w:rFonts w:hint="eastAsia" w:ascii="宋体" w:hAnsi="宋体"/>
              </w:rPr>
              <w:t>序号</w:t>
            </w:r>
          </w:p>
        </w:tc>
        <w:tc>
          <w:tcPr>
            <w:tcW w:w="2312" w:type="dxa"/>
            <w:vAlign w:val="center"/>
          </w:tcPr>
          <w:p>
            <w:pPr>
              <w:pStyle w:val="112"/>
              <w:spacing w:line="500" w:lineRule="exact"/>
              <w:jc w:val="center"/>
              <w:rPr>
                <w:rFonts w:ascii="宋体" w:hAnsi="宋体"/>
              </w:rPr>
            </w:pPr>
            <w:r>
              <w:rPr>
                <w:rFonts w:hint="eastAsia" w:ascii="宋体" w:hAnsi="宋体"/>
              </w:rPr>
              <w:t>货物名称</w:t>
            </w:r>
          </w:p>
        </w:tc>
        <w:tc>
          <w:tcPr>
            <w:tcW w:w="1965" w:type="dxa"/>
            <w:vAlign w:val="center"/>
          </w:tcPr>
          <w:p>
            <w:pPr>
              <w:pStyle w:val="112"/>
              <w:spacing w:line="500" w:lineRule="exact"/>
              <w:jc w:val="center"/>
              <w:rPr>
                <w:rFonts w:ascii="宋体" w:hAnsi="宋体"/>
              </w:rPr>
            </w:pPr>
            <w:r>
              <w:rPr>
                <w:rFonts w:hint="eastAsia" w:ascii="宋体" w:hAnsi="宋体"/>
              </w:rPr>
              <w:t>招标规格</w:t>
            </w:r>
          </w:p>
        </w:tc>
        <w:tc>
          <w:tcPr>
            <w:tcW w:w="1785" w:type="dxa"/>
            <w:vAlign w:val="center"/>
          </w:tcPr>
          <w:p>
            <w:pPr>
              <w:pStyle w:val="112"/>
              <w:spacing w:line="500" w:lineRule="exact"/>
              <w:jc w:val="center"/>
              <w:rPr>
                <w:rFonts w:ascii="宋体" w:hAnsi="宋体"/>
              </w:rPr>
            </w:pPr>
            <w:r>
              <w:rPr>
                <w:rFonts w:hint="eastAsia" w:ascii="宋体" w:hAnsi="宋体"/>
              </w:rPr>
              <w:t>投标规格</w:t>
            </w:r>
          </w:p>
        </w:tc>
        <w:tc>
          <w:tcPr>
            <w:tcW w:w="1815" w:type="dxa"/>
            <w:vAlign w:val="center"/>
          </w:tcPr>
          <w:p>
            <w:pPr>
              <w:pStyle w:val="112"/>
              <w:spacing w:line="500" w:lineRule="exact"/>
              <w:jc w:val="center"/>
              <w:rPr>
                <w:rFonts w:ascii="宋体" w:hAnsi="宋体"/>
              </w:rPr>
            </w:pPr>
            <w:r>
              <w:rPr>
                <w:rFonts w:hint="eastAsia" w:ascii="宋体" w:hAnsi="宋体"/>
              </w:rPr>
              <w:t>偏离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112"/>
              <w:spacing w:line="500" w:lineRule="exact"/>
              <w:ind w:left="480" w:firstLine="480"/>
              <w:jc w:val="center"/>
              <w:rPr>
                <w:rFonts w:ascii="宋体" w:hAnsi="宋体"/>
              </w:rPr>
            </w:pPr>
          </w:p>
        </w:tc>
        <w:tc>
          <w:tcPr>
            <w:tcW w:w="2312" w:type="dxa"/>
          </w:tcPr>
          <w:p>
            <w:pPr>
              <w:pStyle w:val="112"/>
              <w:spacing w:line="500" w:lineRule="exact"/>
              <w:ind w:left="480" w:firstLine="480"/>
              <w:jc w:val="center"/>
              <w:rPr>
                <w:rFonts w:ascii="宋体" w:hAnsi="宋体"/>
              </w:rPr>
            </w:pPr>
          </w:p>
        </w:tc>
        <w:tc>
          <w:tcPr>
            <w:tcW w:w="1965" w:type="dxa"/>
          </w:tcPr>
          <w:p>
            <w:pPr>
              <w:pStyle w:val="112"/>
              <w:spacing w:line="500" w:lineRule="exact"/>
              <w:ind w:left="480" w:firstLine="480"/>
              <w:jc w:val="center"/>
              <w:rPr>
                <w:rFonts w:ascii="宋体" w:hAnsi="宋体"/>
              </w:rPr>
            </w:pPr>
          </w:p>
        </w:tc>
        <w:tc>
          <w:tcPr>
            <w:tcW w:w="1785"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112"/>
              <w:spacing w:line="500" w:lineRule="exact"/>
              <w:ind w:left="480" w:firstLine="480"/>
              <w:jc w:val="center"/>
              <w:rPr>
                <w:rFonts w:ascii="宋体" w:hAnsi="宋体"/>
              </w:rPr>
            </w:pPr>
          </w:p>
        </w:tc>
        <w:tc>
          <w:tcPr>
            <w:tcW w:w="2312" w:type="dxa"/>
          </w:tcPr>
          <w:p>
            <w:pPr>
              <w:pStyle w:val="112"/>
              <w:spacing w:line="500" w:lineRule="exact"/>
              <w:ind w:left="480" w:firstLine="480"/>
              <w:jc w:val="center"/>
              <w:rPr>
                <w:rFonts w:ascii="宋体" w:hAnsi="宋体"/>
              </w:rPr>
            </w:pPr>
          </w:p>
        </w:tc>
        <w:tc>
          <w:tcPr>
            <w:tcW w:w="1965" w:type="dxa"/>
          </w:tcPr>
          <w:p>
            <w:pPr>
              <w:pStyle w:val="112"/>
              <w:spacing w:line="500" w:lineRule="exact"/>
              <w:ind w:left="480" w:firstLine="480"/>
              <w:jc w:val="center"/>
              <w:rPr>
                <w:rFonts w:ascii="宋体" w:hAnsi="宋体"/>
              </w:rPr>
            </w:pPr>
          </w:p>
        </w:tc>
        <w:tc>
          <w:tcPr>
            <w:tcW w:w="1785"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112"/>
              <w:spacing w:line="500" w:lineRule="exact"/>
              <w:ind w:left="480" w:firstLine="480"/>
              <w:jc w:val="center"/>
              <w:rPr>
                <w:rFonts w:ascii="宋体" w:hAnsi="宋体"/>
              </w:rPr>
            </w:pPr>
          </w:p>
        </w:tc>
        <w:tc>
          <w:tcPr>
            <w:tcW w:w="2312" w:type="dxa"/>
          </w:tcPr>
          <w:p>
            <w:pPr>
              <w:pStyle w:val="112"/>
              <w:spacing w:line="500" w:lineRule="exact"/>
              <w:ind w:left="480" w:firstLine="480"/>
              <w:jc w:val="center"/>
              <w:rPr>
                <w:rFonts w:ascii="宋体" w:hAnsi="宋体"/>
              </w:rPr>
            </w:pPr>
          </w:p>
        </w:tc>
        <w:tc>
          <w:tcPr>
            <w:tcW w:w="1965" w:type="dxa"/>
          </w:tcPr>
          <w:p>
            <w:pPr>
              <w:pStyle w:val="112"/>
              <w:spacing w:line="500" w:lineRule="exact"/>
              <w:ind w:left="480" w:firstLine="480"/>
              <w:jc w:val="center"/>
              <w:rPr>
                <w:rFonts w:ascii="宋体" w:hAnsi="宋体"/>
              </w:rPr>
            </w:pPr>
          </w:p>
        </w:tc>
        <w:tc>
          <w:tcPr>
            <w:tcW w:w="1785"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112"/>
              <w:spacing w:line="500" w:lineRule="exact"/>
              <w:ind w:left="480" w:firstLine="480"/>
              <w:jc w:val="center"/>
              <w:rPr>
                <w:rFonts w:ascii="宋体" w:hAnsi="宋体"/>
              </w:rPr>
            </w:pPr>
          </w:p>
        </w:tc>
        <w:tc>
          <w:tcPr>
            <w:tcW w:w="2312" w:type="dxa"/>
          </w:tcPr>
          <w:p>
            <w:pPr>
              <w:pStyle w:val="112"/>
              <w:spacing w:line="500" w:lineRule="exact"/>
              <w:ind w:left="480" w:firstLine="480"/>
              <w:jc w:val="center"/>
              <w:rPr>
                <w:rFonts w:ascii="宋体" w:hAnsi="宋体"/>
              </w:rPr>
            </w:pPr>
          </w:p>
        </w:tc>
        <w:tc>
          <w:tcPr>
            <w:tcW w:w="1965" w:type="dxa"/>
          </w:tcPr>
          <w:p>
            <w:pPr>
              <w:pStyle w:val="112"/>
              <w:spacing w:line="500" w:lineRule="exact"/>
              <w:ind w:left="480" w:firstLine="480"/>
              <w:jc w:val="center"/>
              <w:rPr>
                <w:rFonts w:ascii="宋体" w:hAnsi="宋体"/>
              </w:rPr>
            </w:pPr>
          </w:p>
        </w:tc>
        <w:tc>
          <w:tcPr>
            <w:tcW w:w="1785"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112"/>
              <w:spacing w:line="500" w:lineRule="exact"/>
              <w:ind w:left="480" w:firstLine="480"/>
              <w:jc w:val="center"/>
              <w:rPr>
                <w:rFonts w:ascii="宋体" w:hAnsi="宋体"/>
              </w:rPr>
            </w:pPr>
          </w:p>
        </w:tc>
        <w:tc>
          <w:tcPr>
            <w:tcW w:w="2312" w:type="dxa"/>
          </w:tcPr>
          <w:p>
            <w:pPr>
              <w:pStyle w:val="112"/>
              <w:spacing w:line="500" w:lineRule="exact"/>
              <w:ind w:left="480" w:firstLine="480"/>
              <w:jc w:val="center"/>
              <w:rPr>
                <w:rFonts w:ascii="宋体" w:hAnsi="宋体"/>
              </w:rPr>
            </w:pPr>
          </w:p>
        </w:tc>
        <w:tc>
          <w:tcPr>
            <w:tcW w:w="1965" w:type="dxa"/>
          </w:tcPr>
          <w:p>
            <w:pPr>
              <w:pStyle w:val="112"/>
              <w:spacing w:line="500" w:lineRule="exact"/>
              <w:ind w:left="480" w:firstLine="480"/>
              <w:jc w:val="center"/>
              <w:rPr>
                <w:rFonts w:ascii="宋体" w:hAnsi="宋体"/>
              </w:rPr>
            </w:pPr>
          </w:p>
        </w:tc>
        <w:tc>
          <w:tcPr>
            <w:tcW w:w="1785"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112"/>
              <w:spacing w:line="500" w:lineRule="exact"/>
              <w:ind w:left="480" w:firstLine="480"/>
              <w:jc w:val="center"/>
              <w:rPr>
                <w:rFonts w:ascii="宋体" w:hAnsi="宋体"/>
              </w:rPr>
            </w:pPr>
          </w:p>
        </w:tc>
        <w:tc>
          <w:tcPr>
            <w:tcW w:w="2312" w:type="dxa"/>
          </w:tcPr>
          <w:p>
            <w:pPr>
              <w:pStyle w:val="112"/>
              <w:spacing w:line="500" w:lineRule="exact"/>
              <w:ind w:left="480" w:firstLine="480"/>
              <w:jc w:val="center"/>
              <w:rPr>
                <w:rFonts w:ascii="宋体" w:hAnsi="宋体"/>
              </w:rPr>
            </w:pPr>
          </w:p>
        </w:tc>
        <w:tc>
          <w:tcPr>
            <w:tcW w:w="1965" w:type="dxa"/>
          </w:tcPr>
          <w:p>
            <w:pPr>
              <w:pStyle w:val="112"/>
              <w:spacing w:line="500" w:lineRule="exact"/>
              <w:ind w:left="480" w:firstLine="480"/>
              <w:jc w:val="center"/>
              <w:rPr>
                <w:rFonts w:ascii="宋体" w:hAnsi="宋体"/>
              </w:rPr>
            </w:pPr>
          </w:p>
        </w:tc>
        <w:tc>
          <w:tcPr>
            <w:tcW w:w="1785"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112"/>
              <w:spacing w:line="500" w:lineRule="exact"/>
              <w:ind w:left="480" w:firstLine="480"/>
              <w:jc w:val="center"/>
              <w:rPr>
                <w:rFonts w:ascii="宋体" w:hAnsi="宋体"/>
              </w:rPr>
            </w:pPr>
          </w:p>
        </w:tc>
        <w:tc>
          <w:tcPr>
            <w:tcW w:w="2312" w:type="dxa"/>
          </w:tcPr>
          <w:p>
            <w:pPr>
              <w:pStyle w:val="112"/>
              <w:spacing w:line="500" w:lineRule="exact"/>
              <w:ind w:left="480" w:firstLine="480"/>
              <w:jc w:val="center"/>
              <w:rPr>
                <w:rFonts w:ascii="宋体" w:hAnsi="宋体"/>
              </w:rPr>
            </w:pPr>
          </w:p>
        </w:tc>
        <w:tc>
          <w:tcPr>
            <w:tcW w:w="1965" w:type="dxa"/>
          </w:tcPr>
          <w:p>
            <w:pPr>
              <w:pStyle w:val="112"/>
              <w:spacing w:line="500" w:lineRule="exact"/>
              <w:ind w:left="480" w:firstLine="480"/>
              <w:jc w:val="center"/>
              <w:rPr>
                <w:rFonts w:ascii="宋体" w:hAnsi="宋体"/>
              </w:rPr>
            </w:pPr>
          </w:p>
        </w:tc>
        <w:tc>
          <w:tcPr>
            <w:tcW w:w="1785"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pPr>
              <w:pStyle w:val="112"/>
              <w:spacing w:line="500" w:lineRule="exact"/>
              <w:ind w:left="480" w:firstLine="480"/>
              <w:jc w:val="center"/>
              <w:rPr>
                <w:rFonts w:ascii="宋体" w:hAnsi="宋体"/>
              </w:rPr>
            </w:pPr>
          </w:p>
        </w:tc>
        <w:tc>
          <w:tcPr>
            <w:tcW w:w="2312" w:type="dxa"/>
          </w:tcPr>
          <w:p>
            <w:pPr>
              <w:pStyle w:val="112"/>
              <w:spacing w:line="500" w:lineRule="exact"/>
              <w:ind w:left="480" w:firstLine="480"/>
              <w:jc w:val="center"/>
              <w:rPr>
                <w:rFonts w:ascii="宋体" w:hAnsi="宋体"/>
              </w:rPr>
            </w:pPr>
          </w:p>
        </w:tc>
        <w:tc>
          <w:tcPr>
            <w:tcW w:w="1965" w:type="dxa"/>
          </w:tcPr>
          <w:p>
            <w:pPr>
              <w:pStyle w:val="112"/>
              <w:spacing w:line="500" w:lineRule="exact"/>
              <w:ind w:left="480" w:firstLine="480"/>
              <w:jc w:val="center"/>
              <w:rPr>
                <w:rFonts w:ascii="宋体" w:hAnsi="宋体"/>
              </w:rPr>
            </w:pPr>
          </w:p>
        </w:tc>
        <w:tc>
          <w:tcPr>
            <w:tcW w:w="1785"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112"/>
              <w:spacing w:line="500" w:lineRule="exact"/>
              <w:ind w:left="480" w:firstLine="480"/>
              <w:jc w:val="center"/>
              <w:rPr>
                <w:rFonts w:ascii="宋体" w:hAnsi="宋体"/>
              </w:rPr>
            </w:pPr>
          </w:p>
        </w:tc>
        <w:tc>
          <w:tcPr>
            <w:tcW w:w="2312" w:type="dxa"/>
          </w:tcPr>
          <w:p>
            <w:pPr>
              <w:pStyle w:val="112"/>
              <w:spacing w:line="500" w:lineRule="exact"/>
              <w:ind w:left="480" w:firstLine="480"/>
              <w:jc w:val="center"/>
              <w:rPr>
                <w:rFonts w:ascii="宋体" w:hAnsi="宋体"/>
              </w:rPr>
            </w:pPr>
          </w:p>
        </w:tc>
        <w:tc>
          <w:tcPr>
            <w:tcW w:w="1965" w:type="dxa"/>
          </w:tcPr>
          <w:p>
            <w:pPr>
              <w:pStyle w:val="112"/>
              <w:spacing w:line="500" w:lineRule="exact"/>
              <w:ind w:left="480" w:firstLine="480"/>
              <w:jc w:val="center"/>
              <w:rPr>
                <w:rFonts w:ascii="宋体" w:hAnsi="宋体"/>
              </w:rPr>
            </w:pPr>
          </w:p>
        </w:tc>
        <w:tc>
          <w:tcPr>
            <w:tcW w:w="1785"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301" w:type="dxa"/>
          </w:tcPr>
          <w:p>
            <w:pPr>
              <w:pStyle w:val="112"/>
              <w:spacing w:line="500" w:lineRule="exact"/>
              <w:ind w:left="480" w:firstLine="480"/>
              <w:jc w:val="center"/>
              <w:rPr>
                <w:rFonts w:ascii="宋体" w:hAnsi="宋体"/>
              </w:rPr>
            </w:pPr>
          </w:p>
        </w:tc>
        <w:tc>
          <w:tcPr>
            <w:tcW w:w="2312" w:type="dxa"/>
          </w:tcPr>
          <w:p>
            <w:pPr>
              <w:pStyle w:val="112"/>
              <w:spacing w:line="500" w:lineRule="exact"/>
              <w:ind w:left="480" w:firstLine="480"/>
              <w:jc w:val="center"/>
              <w:rPr>
                <w:rFonts w:ascii="宋体" w:hAnsi="宋体"/>
              </w:rPr>
            </w:pPr>
          </w:p>
        </w:tc>
        <w:tc>
          <w:tcPr>
            <w:tcW w:w="1965" w:type="dxa"/>
          </w:tcPr>
          <w:p>
            <w:pPr>
              <w:pStyle w:val="112"/>
              <w:spacing w:line="500" w:lineRule="exact"/>
              <w:ind w:left="480" w:firstLine="480"/>
              <w:jc w:val="center"/>
              <w:rPr>
                <w:rFonts w:ascii="宋体" w:hAnsi="宋体"/>
              </w:rPr>
            </w:pPr>
          </w:p>
        </w:tc>
        <w:tc>
          <w:tcPr>
            <w:tcW w:w="1785"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301" w:type="dxa"/>
          </w:tcPr>
          <w:p>
            <w:pPr>
              <w:pStyle w:val="112"/>
              <w:spacing w:line="500" w:lineRule="exact"/>
              <w:ind w:left="480" w:firstLine="480"/>
              <w:jc w:val="center"/>
              <w:rPr>
                <w:rFonts w:ascii="宋体" w:hAnsi="宋体"/>
              </w:rPr>
            </w:pPr>
          </w:p>
        </w:tc>
        <w:tc>
          <w:tcPr>
            <w:tcW w:w="2312" w:type="dxa"/>
          </w:tcPr>
          <w:p>
            <w:pPr>
              <w:pStyle w:val="112"/>
              <w:spacing w:line="500" w:lineRule="exact"/>
              <w:ind w:left="480" w:firstLine="480"/>
              <w:jc w:val="center"/>
              <w:rPr>
                <w:rFonts w:ascii="宋体" w:hAnsi="宋体"/>
              </w:rPr>
            </w:pPr>
          </w:p>
        </w:tc>
        <w:tc>
          <w:tcPr>
            <w:tcW w:w="1965" w:type="dxa"/>
          </w:tcPr>
          <w:p>
            <w:pPr>
              <w:pStyle w:val="112"/>
              <w:spacing w:line="500" w:lineRule="exact"/>
              <w:ind w:left="480" w:firstLine="480"/>
              <w:jc w:val="center"/>
              <w:rPr>
                <w:rFonts w:ascii="宋体" w:hAnsi="宋体"/>
              </w:rPr>
            </w:pPr>
          </w:p>
        </w:tc>
        <w:tc>
          <w:tcPr>
            <w:tcW w:w="1785" w:type="dxa"/>
          </w:tcPr>
          <w:p>
            <w:pPr>
              <w:pStyle w:val="112"/>
              <w:spacing w:line="500" w:lineRule="exact"/>
              <w:ind w:left="480" w:firstLine="480"/>
              <w:jc w:val="center"/>
              <w:rPr>
                <w:rFonts w:ascii="宋体" w:hAnsi="宋体"/>
              </w:rPr>
            </w:pPr>
          </w:p>
        </w:tc>
        <w:tc>
          <w:tcPr>
            <w:tcW w:w="1815" w:type="dxa"/>
          </w:tcPr>
          <w:p>
            <w:pPr>
              <w:pStyle w:val="112"/>
              <w:spacing w:line="500" w:lineRule="exact"/>
              <w:ind w:left="480" w:firstLine="480"/>
              <w:jc w:val="center"/>
              <w:rPr>
                <w:rFonts w:ascii="宋体" w:hAnsi="宋体"/>
              </w:rPr>
            </w:pPr>
          </w:p>
        </w:tc>
      </w:tr>
    </w:tbl>
    <w:p>
      <w:pPr>
        <w:pStyle w:val="112"/>
        <w:spacing w:line="500" w:lineRule="exact"/>
        <w:ind w:left="480" w:firstLine="480"/>
        <w:rPr>
          <w:rFonts w:ascii="宋体" w:hAnsi="宋体"/>
          <w:b/>
        </w:rPr>
      </w:pPr>
      <w:r>
        <w:rPr>
          <w:rFonts w:hint="eastAsia" w:ascii="宋体" w:hAnsi="宋体"/>
        </w:rPr>
        <w:t>注:若有偏离,请将具体偏离条款在</w:t>
      </w:r>
      <w:r>
        <w:rPr>
          <w:rFonts w:ascii="宋体" w:hAnsi="宋体"/>
        </w:rPr>
        <w:t>”</w:t>
      </w:r>
      <w:r>
        <w:rPr>
          <w:rFonts w:hint="eastAsia" w:ascii="宋体" w:hAnsi="宋体"/>
        </w:rPr>
        <w:t>偏离</w:t>
      </w:r>
      <w:r>
        <w:rPr>
          <w:rFonts w:ascii="宋体" w:hAnsi="宋体"/>
        </w:rPr>
        <w:t>”</w:t>
      </w:r>
      <w:r>
        <w:rPr>
          <w:rFonts w:hint="eastAsia" w:ascii="宋体" w:hAnsi="宋体"/>
        </w:rPr>
        <w:t>一栏中详细说明;若无偏离,请在</w:t>
      </w:r>
      <w:r>
        <w:rPr>
          <w:rFonts w:ascii="宋体" w:hAnsi="宋体"/>
        </w:rPr>
        <w:t>”</w:t>
      </w:r>
      <w:r>
        <w:rPr>
          <w:rFonts w:hint="eastAsia" w:ascii="宋体" w:hAnsi="宋体"/>
        </w:rPr>
        <w:t>偏离</w:t>
      </w:r>
      <w:r>
        <w:rPr>
          <w:rFonts w:ascii="宋体" w:hAnsi="宋体"/>
        </w:rPr>
        <w:t>”</w:t>
      </w:r>
      <w:r>
        <w:rPr>
          <w:rFonts w:hint="eastAsia" w:ascii="宋体" w:hAnsi="宋体"/>
        </w:rPr>
        <w:t>一栏中标注</w:t>
      </w:r>
      <w:r>
        <w:rPr>
          <w:rFonts w:ascii="宋体" w:hAnsi="宋体"/>
        </w:rPr>
        <w:t>”</w:t>
      </w:r>
      <w:r>
        <w:rPr>
          <w:rFonts w:hint="eastAsia" w:ascii="宋体" w:hAnsi="宋体"/>
        </w:rPr>
        <w:t>无</w:t>
      </w:r>
      <w:r>
        <w:rPr>
          <w:rFonts w:ascii="宋体" w:hAnsi="宋体"/>
        </w:rPr>
        <w:t>”</w:t>
      </w:r>
      <w:r>
        <w:rPr>
          <w:rFonts w:hint="eastAsia" w:ascii="宋体" w:hAnsi="宋体"/>
        </w:rPr>
        <w:t>字样.</w:t>
      </w:r>
    </w:p>
    <w:p>
      <w:pPr>
        <w:pStyle w:val="112"/>
        <w:spacing w:line="720" w:lineRule="auto"/>
        <w:ind w:left="480" w:firstLine="482"/>
        <w:rPr>
          <w:rFonts w:ascii="宋体" w:hAnsi="宋体"/>
          <w:b/>
        </w:rPr>
      </w:pPr>
    </w:p>
    <w:p>
      <w:pPr>
        <w:spacing w:line="720" w:lineRule="auto"/>
        <w:rPr>
          <w:szCs w:val="16"/>
        </w:rPr>
      </w:pPr>
      <w:r>
        <w:rPr>
          <w:rFonts w:hint="eastAsia"/>
          <w:szCs w:val="16"/>
          <w:lang w:eastAsia="zh-CN"/>
        </w:rPr>
        <w:t>供应商</w:t>
      </w:r>
      <w:r>
        <w:rPr>
          <w:rFonts w:hint="eastAsia"/>
          <w:szCs w:val="16"/>
        </w:rPr>
        <w:t>法定代表人/授权代表（签字或盖私章）：</w:t>
      </w:r>
      <w:r>
        <w:rPr>
          <w:rFonts w:hint="eastAsia"/>
          <w:szCs w:val="16"/>
          <w:u w:val="single"/>
        </w:rPr>
        <w:t xml:space="preserve">                   </w:t>
      </w:r>
    </w:p>
    <w:p>
      <w:pPr>
        <w:spacing w:line="720" w:lineRule="auto"/>
        <w:rPr>
          <w:szCs w:val="16"/>
        </w:rPr>
      </w:pPr>
      <w:r>
        <w:rPr>
          <w:rFonts w:hint="eastAsia"/>
          <w:szCs w:val="16"/>
          <w:lang w:eastAsia="zh-CN"/>
        </w:rPr>
        <w:t>供应商</w:t>
      </w:r>
      <w:r>
        <w:rPr>
          <w:rFonts w:hint="eastAsia"/>
          <w:szCs w:val="16"/>
        </w:rPr>
        <w:t>名称（加盖公章）：</w:t>
      </w:r>
      <w:r>
        <w:rPr>
          <w:rFonts w:hint="eastAsia"/>
          <w:szCs w:val="16"/>
          <w:u w:val="single"/>
        </w:rPr>
        <w:t xml:space="preserve">                   </w:t>
      </w:r>
    </w:p>
    <w:p>
      <w:pPr>
        <w:spacing w:line="720" w:lineRule="auto"/>
        <w:rPr>
          <w:szCs w:val="16"/>
        </w:rPr>
      </w:pPr>
      <w:r>
        <w:rPr>
          <w:rFonts w:hint="eastAsia"/>
          <w:szCs w:val="16"/>
        </w:rPr>
        <w:t>日</w:t>
      </w:r>
      <w:r>
        <w:rPr>
          <w:rFonts w:hint="eastAsia"/>
          <w:szCs w:val="16"/>
          <w:lang w:val="en-US" w:eastAsia="zh-CN"/>
        </w:rPr>
        <w:t xml:space="preserve">   </w:t>
      </w:r>
      <w:r>
        <w:rPr>
          <w:rFonts w:hint="eastAsia"/>
          <w:szCs w:val="16"/>
        </w:rPr>
        <w:t>期：</w:t>
      </w:r>
      <w:r>
        <w:rPr>
          <w:rFonts w:hint="eastAsia"/>
          <w:szCs w:val="16"/>
          <w:u w:val="single"/>
        </w:rPr>
        <w:t xml:space="preserve">      </w:t>
      </w:r>
      <w:r>
        <w:rPr>
          <w:rFonts w:hint="eastAsia"/>
          <w:szCs w:val="16"/>
        </w:rPr>
        <w:t>年</w:t>
      </w:r>
      <w:r>
        <w:rPr>
          <w:rFonts w:hint="eastAsia"/>
          <w:szCs w:val="16"/>
          <w:u w:val="single"/>
        </w:rPr>
        <w:t xml:space="preserve">     </w:t>
      </w:r>
      <w:r>
        <w:rPr>
          <w:rFonts w:hint="eastAsia"/>
          <w:szCs w:val="16"/>
        </w:rPr>
        <w:t>月</w:t>
      </w:r>
      <w:r>
        <w:rPr>
          <w:rFonts w:hint="eastAsia"/>
          <w:szCs w:val="16"/>
          <w:u w:val="single"/>
        </w:rPr>
        <w:t xml:space="preserve">    </w:t>
      </w:r>
      <w:r>
        <w:rPr>
          <w:rFonts w:hint="eastAsia"/>
          <w:szCs w:val="16"/>
        </w:rPr>
        <w:t>日</w:t>
      </w:r>
    </w:p>
    <w:p>
      <w:pPr>
        <w:spacing w:line="720" w:lineRule="auto"/>
        <w:rPr>
          <w:szCs w:val="16"/>
        </w:rPr>
      </w:pPr>
      <w:r>
        <w:rPr>
          <w:szCs w:val="16"/>
        </w:rPr>
        <w:br w:type="page"/>
      </w:r>
    </w:p>
    <w:p>
      <w:pPr>
        <w:spacing w:line="360" w:lineRule="auto"/>
        <w:rPr>
          <w:szCs w:val="16"/>
        </w:rPr>
      </w:pPr>
    </w:p>
    <w:p>
      <w:pPr>
        <w:pStyle w:val="2"/>
        <w:spacing w:before="0" w:after="0" w:line="360" w:lineRule="auto"/>
        <w:rPr>
          <w:bCs w:val="0"/>
        </w:rPr>
      </w:pPr>
      <w:r>
        <w:rPr>
          <w:rFonts w:hint="eastAsia"/>
          <w:sz w:val="24"/>
          <w:szCs w:val="24"/>
        </w:rPr>
        <w:t>1</w:t>
      </w:r>
      <w:r>
        <w:rPr>
          <w:sz w:val="24"/>
          <w:szCs w:val="24"/>
        </w:rPr>
        <w:t>.1</w:t>
      </w:r>
      <w:r>
        <w:rPr>
          <w:rFonts w:hint="eastAsia"/>
          <w:sz w:val="24"/>
          <w:szCs w:val="24"/>
          <w:lang w:val="en-US" w:eastAsia="zh-CN"/>
        </w:rPr>
        <w:t>2</w:t>
      </w:r>
      <w:r>
        <w:rPr>
          <w:rFonts w:hint="eastAsia"/>
          <w:sz w:val="24"/>
          <w:szCs w:val="24"/>
        </w:rPr>
        <w:t>投标保证金</w:t>
      </w:r>
    </w:p>
    <w:p>
      <w:pPr>
        <w:spacing w:line="400" w:lineRule="exact"/>
        <w:rPr>
          <w:szCs w:val="21"/>
          <w:u w:val="single"/>
        </w:rPr>
      </w:pPr>
      <w:r>
        <w:rPr>
          <w:rFonts w:hint="eastAsia"/>
          <w:szCs w:val="21"/>
        </w:rPr>
        <w:t>致：</w:t>
      </w:r>
      <w:r>
        <w:rPr>
          <w:rFonts w:hint="eastAsia"/>
          <w:szCs w:val="21"/>
          <w:u w:val="single"/>
        </w:rPr>
        <w:t xml:space="preserve"> </w:t>
      </w:r>
      <w:r>
        <w:rPr>
          <w:szCs w:val="21"/>
          <w:u w:val="single"/>
        </w:rPr>
        <w:t xml:space="preserve">        </w:t>
      </w:r>
    </w:p>
    <w:p>
      <w:pPr>
        <w:spacing w:line="400" w:lineRule="exact"/>
        <w:rPr>
          <w:szCs w:val="21"/>
        </w:rPr>
      </w:pPr>
      <w:r>
        <w:rPr>
          <w:rFonts w:hint="eastAsia"/>
          <w:szCs w:val="21"/>
        </w:rPr>
        <w:t xml:space="preserve">    </w:t>
      </w:r>
      <w:r>
        <w:rPr>
          <w:rFonts w:hint="eastAsia"/>
          <w:szCs w:val="21"/>
          <w:u w:val="single"/>
        </w:rPr>
        <w:t>（</w:t>
      </w:r>
      <w:r>
        <w:rPr>
          <w:rFonts w:hint="eastAsia"/>
          <w:szCs w:val="21"/>
          <w:u w:val="single"/>
          <w:lang w:eastAsia="zh-CN"/>
        </w:rPr>
        <w:t>供应商</w:t>
      </w:r>
      <w:r>
        <w:rPr>
          <w:rFonts w:hint="eastAsia"/>
          <w:szCs w:val="21"/>
          <w:u w:val="single"/>
        </w:rPr>
        <w:t xml:space="preserve">全称) </w:t>
      </w:r>
      <w:r>
        <w:rPr>
          <w:rFonts w:hint="eastAsia"/>
          <w:szCs w:val="21"/>
        </w:rPr>
        <w:t>参加贵方组织的</w:t>
      </w:r>
      <w:r>
        <w:rPr>
          <w:sz w:val="21"/>
          <w:u w:val="single"/>
        </w:rPr>
        <w:t xml:space="preserve">  </w:t>
      </w:r>
      <w:r>
        <w:rPr>
          <w:rFonts w:hint="eastAsia"/>
          <w:sz w:val="21"/>
          <w:u w:val="single"/>
        </w:rPr>
        <w:t>项目名称（招标编号：</w:t>
      </w:r>
      <w:r>
        <w:rPr>
          <w:sz w:val="21"/>
          <w:u w:val="single"/>
        </w:rPr>
        <w:t xml:space="preserve">    </w:t>
      </w:r>
      <w:r>
        <w:rPr>
          <w:rFonts w:hint="eastAsia"/>
          <w:sz w:val="21"/>
          <w:u w:val="single"/>
        </w:rPr>
        <w:t>）</w:t>
      </w:r>
      <w:r>
        <w:rPr>
          <w:rFonts w:hint="eastAsia"/>
          <w:szCs w:val="21"/>
        </w:rPr>
        <w:t>的招标活动。按招标文件的规定，已通过银行保函/电汇等形式缴纳人民币</w:t>
      </w:r>
      <w:r>
        <w:rPr>
          <w:rFonts w:hint="eastAsia"/>
          <w:szCs w:val="21"/>
          <w:u w:val="single"/>
        </w:rPr>
        <w:t xml:space="preserve">（大写）  　　  </w:t>
      </w:r>
      <w:r>
        <w:rPr>
          <w:rFonts w:hint="eastAsia"/>
          <w:szCs w:val="21"/>
        </w:rPr>
        <w:t>元的保证金。</w:t>
      </w:r>
    </w:p>
    <w:p>
      <w:pPr>
        <w:spacing w:line="400" w:lineRule="exact"/>
        <w:rPr>
          <w:szCs w:val="21"/>
        </w:rPr>
      </w:pPr>
      <w:r>
        <w:rPr>
          <w:rFonts w:hint="eastAsia"/>
          <w:szCs w:val="21"/>
        </w:rPr>
        <w:t xml:space="preserve">附： </w:t>
      </w:r>
    </w:p>
    <w:tbl>
      <w:tblPr>
        <w:tblStyle w:val="32"/>
        <w:tblW w:w="4960" w:type="pct"/>
        <w:tblInd w:w="11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46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94" w:hRule="atLeast"/>
        </w:trPr>
        <w:tc>
          <w:tcPr>
            <w:tcW w:w="5000" w:type="pct"/>
            <w:vAlign w:val="center"/>
          </w:tcPr>
          <w:p>
            <w:pPr>
              <w:spacing w:line="400" w:lineRule="exact"/>
              <w:jc w:val="center"/>
              <w:rPr>
                <w:szCs w:val="21"/>
              </w:rPr>
            </w:pPr>
            <w:r>
              <w:rPr>
                <w:rFonts w:hint="eastAsia"/>
                <w:szCs w:val="21"/>
              </w:rPr>
              <w:t>（</w:t>
            </w:r>
            <w:r>
              <w:rPr>
                <w:rFonts w:hint="eastAsia"/>
                <w:szCs w:val="21"/>
                <w:lang w:val="en-US" w:eastAsia="zh-CN"/>
              </w:rPr>
              <w:t>汇款凭证或投标保证金收据</w:t>
            </w:r>
            <w:r>
              <w:rPr>
                <w:rFonts w:hint="eastAsia"/>
                <w:szCs w:val="21"/>
              </w:rPr>
              <w:t>复印件</w:t>
            </w:r>
            <w:r>
              <w:rPr>
                <w:rFonts w:hint="eastAsia"/>
                <w:szCs w:val="21"/>
                <w:lang w:val="en-US" w:eastAsia="zh-CN"/>
              </w:rPr>
              <w:t>加盖公章</w:t>
            </w:r>
            <w:r>
              <w:rPr>
                <w:rFonts w:hint="eastAsia"/>
                <w:szCs w:val="21"/>
              </w:rPr>
              <w:t>）</w:t>
            </w:r>
          </w:p>
        </w:tc>
      </w:tr>
    </w:tbl>
    <w:p>
      <w:r>
        <w:rPr>
          <w:rFonts w:hint="eastAsia"/>
          <w:szCs w:val="21"/>
        </w:rPr>
        <w:br w:type="page"/>
      </w:r>
    </w:p>
    <w:p>
      <w:pPr>
        <w:pStyle w:val="2"/>
        <w:spacing w:before="0" w:after="0" w:line="360" w:lineRule="auto"/>
        <w:rPr>
          <w:sz w:val="24"/>
          <w:szCs w:val="24"/>
        </w:rPr>
      </w:pPr>
      <w:r>
        <w:rPr>
          <w:rFonts w:hint="eastAsia"/>
          <w:sz w:val="24"/>
          <w:szCs w:val="24"/>
        </w:rPr>
        <w:t>1.</w:t>
      </w:r>
      <w:r>
        <w:rPr>
          <w:sz w:val="24"/>
          <w:szCs w:val="24"/>
        </w:rPr>
        <w:t>1</w:t>
      </w:r>
      <w:r>
        <w:rPr>
          <w:rFonts w:hint="eastAsia"/>
          <w:sz w:val="24"/>
          <w:szCs w:val="24"/>
          <w:lang w:val="en-US" w:eastAsia="zh-CN"/>
        </w:rPr>
        <w:t>3</w:t>
      </w:r>
      <w:r>
        <w:rPr>
          <w:rFonts w:hint="eastAsia"/>
          <w:sz w:val="24"/>
          <w:szCs w:val="24"/>
        </w:rPr>
        <w:t>其他补充材料</w:t>
      </w:r>
    </w:p>
    <w:p>
      <w:pPr>
        <w:pStyle w:val="31"/>
        <w:ind w:left="0" w:leftChars="0" w:firstLine="0" w:firstLineChars="0"/>
      </w:pPr>
      <w:r>
        <w:rPr>
          <w:rFonts w:hint="eastAsia"/>
          <w:szCs w:val="16"/>
        </w:rPr>
        <w:t>供应商认为需要提供的其他证明材料</w:t>
      </w:r>
      <w:r>
        <w:rPr>
          <w:rFonts w:hint="eastAsia"/>
          <w:szCs w:val="16"/>
        </w:rPr>
        <w:tab/>
      </w:r>
    </w:p>
    <w:p>
      <w:pPr>
        <w:spacing w:line="360" w:lineRule="auto"/>
        <w:sectPr>
          <w:headerReference r:id="rId6" w:type="first"/>
          <w:pgSz w:w="11906" w:h="16838"/>
          <w:pgMar w:top="1109" w:right="1797" w:bottom="1440" w:left="1797" w:header="851" w:footer="992" w:gutter="0"/>
          <w:paperSrc w:first="7"/>
          <w:pgNumType w:fmt="decimal"/>
          <w:cols w:space="720" w:num="1"/>
          <w:titlePg/>
          <w:docGrid w:linePitch="312" w:charSpace="0"/>
        </w:sectPr>
      </w:pPr>
    </w:p>
    <w:p>
      <w:pPr>
        <w:pStyle w:val="6"/>
        <w:spacing w:before="0" w:after="0" w:line="240" w:lineRule="auto"/>
      </w:pPr>
      <w:bookmarkStart w:id="81" w:name="_Toc202819879"/>
      <w:bookmarkStart w:id="82" w:name="_Toc202252035"/>
      <w:bookmarkStart w:id="83" w:name="_Toc202820352"/>
      <w:bookmarkStart w:id="84" w:name="_Toc259090987"/>
      <w:bookmarkStart w:id="85" w:name="_Toc202251076"/>
      <w:bookmarkStart w:id="86" w:name="_Toc202816997"/>
      <w:bookmarkStart w:id="87" w:name="_Toc202251701"/>
      <w:bookmarkStart w:id="88" w:name="_Toc202254106"/>
      <w:bookmarkStart w:id="89" w:name="_Toc462677240"/>
      <w:bookmarkStart w:id="90" w:name="_Toc276645584"/>
      <w:bookmarkStart w:id="91" w:name="_Toc66392091"/>
      <w:bookmarkStart w:id="92" w:name="_Toc70068630"/>
      <w:bookmarkStart w:id="93" w:name="_Toc66797397"/>
      <w:bookmarkStart w:id="94" w:name="_Hlk24378921"/>
      <w:bookmarkStart w:id="95" w:name="_Toc202251703"/>
      <w:bookmarkStart w:id="96" w:name="_Toc259090996"/>
      <w:bookmarkStart w:id="97" w:name="_Toc202252037"/>
      <w:bookmarkStart w:id="98" w:name="_Toc202820355"/>
      <w:bookmarkStart w:id="99" w:name="_Toc67046916"/>
      <w:bookmarkStart w:id="100" w:name="_Toc462677249"/>
      <w:bookmarkStart w:id="101" w:name="_Toc276645592"/>
      <w:bookmarkStart w:id="102" w:name="_Toc202819882"/>
      <w:bookmarkStart w:id="103" w:name="_Toc202817000"/>
      <w:bookmarkStart w:id="104" w:name="_Toc202254108"/>
      <w:bookmarkStart w:id="105" w:name="_Toc202251078"/>
      <w:bookmarkStart w:id="106" w:name="_Toc6322316"/>
      <w:r>
        <w:rPr>
          <w:rFonts w:hint="eastAsia"/>
          <w:bCs w:val="0"/>
          <w:sz w:val="28"/>
          <w:szCs w:val="28"/>
        </w:rPr>
        <w:t>二、商务</w:t>
      </w:r>
      <w:bookmarkEnd w:id="81"/>
      <w:bookmarkEnd w:id="82"/>
      <w:bookmarkEnd w:id="83"/>
      <w:bookmarkEnd w:id="84"/>
      <w:bookmarkEnd w:id="85"/>
      <w:bookmarkEnd w:id="86"/>
      <w:bookmarkEnd w:id="87"/>
      <w:bookmarkEnd w:id="88"/>
      <w:r>
        <w:rPr>
          <w:rFonts w:hint="eastAsia"/>
          <w:bCs w:val="0"/>
          <w:sz w:val="28"/>
          <w:szCs w:val="28"/>
        </w:rPr>
        <w:t>技术文件</w:t>
      </w:r>
      <w:bookmarkEnd w:id="89"/>
      <w:bookmarkEnd w:id="90"/>
      <w:bookmarkEnd w:id="91"/>
      <w:bookmarkEnd w:id="92"/>
      <w:bookmarkEnd w:id="93"/>
    </w:p>
    <w:p>
      <w:pPr>
        <w:pStyle w:val="2"/>
        <w:spacing w:before="0" w:after="0" w:line="360" w:lineRule="auto"/>
        <w:rPr>
          <w:sz w:val="24"/>
          <w:szCs w:val="24"/>
        </w:rPr>
      </w:pPr>
      <w:bookmarkStart w:id="107" w:name="_Toc66392092"/>
      <w:bookmarkStart w:id="108" w:name="_Toc6322303"/>
      <w:bookmarkStart w:id="109" w:name="_Toc462677241"/>
      <w:bookmarkStart w:id="110" w:name="_Toc351386963"/>
      <w:bookmarkStart w:id="111" w:name="_Toc259090991"/>
      <w:bookmarkStart w:id="112" w:name="_Toc202816998"/>
      <w:bookmarkStart w:id="113" w:name="_Toc425161124"/>
      <w:bookmarkStart w:id="114" w:name="_Toc202251702"/>
      <w:bookmarkStart w:id="115" w:name="_Toc202819880"/>
      <w:bookmarkStart w:id="116" w:name="_Toc202254107"/>
      <w:bookmarkStart w:id="117" w:name="_Toc202252036"/>
      <w:bookmarkStart w:id="118" w:name="_Toc202820353"/>
      <w:bookmarkStart w:id="119" w:name="_Toc462677246"/>
      <w:bookmarkStart w:id="120" w:name="_Toc202251077"/>
      <w:r>
        <w:rPr>
          <w:rFonts w:hint="eastAsia"/>
          <w:sz w:val="24"/>
          <w:szCs w:val="24"/>
        </w:rPr>
        <w:t>2</w:t>
      </w:r>
      <w:r>
        <w:rPr>
          <w:sz w:val="24"/>
          <w:szCs w:val="24"/>
        </w:rPr>
        <w:t>.1</w:t>
      </w:r>
      <w:r>
        <w:rPr>
          <w:rFonts w:hint="eastAsia"/>
          <w:sz w:val="24"/>
          <w:szCs w:val="24"/>
          <w:lang w:eastAsia="zh-CN"/>
        </w:rPr>
        <w:t>供应商</w:t>
      </w:r>
      <w:r>
        <w:rPr>
          <w:rFonts w:hint="eastAsia"/>
          <w:sz w:val="24"/>
          <w:szCs w:val="24"/>
        </w:rPr>
        <w:t>综合概况</w:t>
      </w:r>
      <w:bookmarkEnd w:id="107"/>
      <w:bookmarkEnd w:id="108"/>
      <w:bookmarkEnd w:id="109"/>
      <w:bookmarkEnd w:id="110"/>
    </w:p>
    <w:tbl>
      <w:tblPr>
        <w:tblStyle w:val="32"/>
        <w:tblW w:w="8733" w:type="dxa"/>
        <w:jc w:val="center"/>
        <w:tblBorders>
          <w:top w:val="single" w:color="auto" w:sz="4" w:space="0"/>
          <w:left w:val="single" w:color="auto" w:sz="4" w:space="0"/>
          <w:bottom w:val="single" w:color="auto" w:sz="4" w:space="0"/>
          <w:right w:val="single" w:color="auto" w:sz="4" w:space="0"/>
          <w:insideH w:val="none" w:color="auto" w:sz="0" w:space="0"/>
          <w:insideV w:val="none" w:color="auto" w:sz="0" w:space="0"/>
        </w:tblBorders>
        <w:tblLayout w:type="fixed"/>
        <w:tblCellMar>
          <w:top w:w="0" w:type="dxa"/>
          <w:left w:w="108" w:type="dxa"/>
          <w:bottom w:w="0" w:type="dxa"/>
          <w:right w:w="108" w:type="dxa"/>
        </w:tblCellMar>
      </w:tblPr>
      <w:tblGrid>
        <w:gridCol w:w="1760"/>
        <w:gridCol w:w="1088"/>
        <w:gridCol w:w="797"/>
        <w:gridCol w:w="1601"/>
        <w:gridCol w:w="13"/>
        <w:gridCol w:w="1086"/>
        <w:gridCol w:w="851"/>
        <w:gridCol w:w="1537"/>
      </w:tblGrid>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48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r>
              <w:rPr>
                <w:rFonts w:hint="eastAsia"/>
                <w:szCs w:val="16"/>
                <w:lang w:eastAsia="zh-CN"/>
              </w:rPr>
              <w:t>供应商</w:t>
            </w:r>
            <w:r>
              <w:rPr>
                <w:rFonts w:hint="eastAsia"/>
                <w:szCs w:val="16"/>
              </w:rPr>
              <w:t>名称</w:t>
            </w:r>
          </w:p>
        </w:tc>
        <w:tc>
          <w:tcPr>
            <w:tcW w:w="697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3"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r>
              <w:rPr>
                <w:rFonts w:hint="eastAsia"/>
                <w:szCs w:val="16"/>
              </w:rPr>
              <w:t>注册地址</w:t>
            </w:r>
          </w:p>
        </w:tc>
        <w:tc>
          <w:tcPr>
            <w:tcW w:w="3486"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16"/>
              </w:rPr>
            </w:pPr>
            <w:r>
              <w:rPr>
                <w:rFonts w:hint="eastAsia"/>
                <w:szCs w:val="16"/>
              </w:rPr>
              <w:t>邮政编码</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18" w:hRule="atLeast"/>
          <w:jc w:val="center"/>
        </w:trPr>
        <w:tc>
          <w:tcPr>
            <w:tcW w:w="1760" w:type="dxa"/>
            <w:vMerge w:val="restart"/>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r>
              <w:rPr>
                <w:rFonts w:hint="eastAsia"/>
                <w:szCs w:val="16"/>
              </w:rPr>
              <w:t>联系方式</w:t>
            </w:r>
          </w:p>
        </w:tc>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szCs w:val="16"/>
              </w:rPr>
            </w:pPr>
            <w:r>
              <w:rPr>
                <w:rFonts w:hint="eastAsia"/>
                <w:szCs w:val="16"/>
              </w:rPr>
              <w:t>联系人</w:t>
            </w:r>
          </w:p>
        </w:tc>
        <w:tc>
          <w:tcPr>
            <w:tcW w:w="239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16"/>
              </w:rPr>
            </w:pPr>
            <w:r>
              <w:rPr>
                <w:rFonts w:hint="eastAsia"/>
                <w:szCs w:val="16"/>
              </w:rPr>
              <w:t>电话</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cantSplit/>
          <w:trHeight w:val="524" w:hRule="atLeast"/>
          <w:jc w:val="center"/>
        </w:trPr>
        <w:tc>
          <w:tcPr>
            <w:tcW w:w="1760" w:type="dxa"/>
            <w:vMerge w:val="continue"/>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szCs w:val="16"/>
              </w:rPr>
            </w:pPr>
            <w:r>
              <w:rPr>
                <w:rFonts w:hint="eastAsia"/>
                <w:szCs w:val="16"/>
              </w:rPr>
              <w:t>传真</w:t>
            </w:r>
          </w:p>
        </w:tc>
        <w:tc>
          <w:tcPr>
            <w:tcW w:w="239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c>
          <w:tcPr>
            <w:tcW w:w="1099"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rPr>
                <w:szCs w:val="16"/>
              </w:rPr>
            </w:pPr>
            <w:r>
              <w:rPr>
                <w:rFonts w:hint="eastAsia"/>
                <w:szCs w:val="16"/>
              </w:rPr>
              <w:t>网址</w:t>
            </w:r>
          </w:p>
        </w:tc>
        <w:tc>
          <w:tcPr>
            <w:tcW w:w="2388"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5"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spacing w:line="360" w:lineRule="auto"/>
              <w:rPr>
                <w:szCs w:val="16"/>
              </w:rPr>
            </w:pPr>
            <w:r>
              <w:rPr>
                <w:rFonts w:hint="eastAsia"/>
                <w:szCs w:val="16"/>
              </w:rPr>
              <w:t>组织结构</w:t>
            </w:r>
          </w:p>
        </w:tc>
        <w:tc>
          <w:tcPr>
            <w:tcW w:w="697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0"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16"/>
              </w:rPr>
            </w:pPr>
            <w:r>
              <w:rPr>
                <w:rFonts w:hint="eastAsia"/>
                <w:szCs w:val="16"/>
              </w:rPr>
              <w:t>法定代表人</w:t>
            </w:r>
          </w:p>
        </w:tc>
        <w:tc>
          <w:tcPr>
            <w:tcW w:w="1088" w:type="dxa"/>
            <w:tcBorders>
              <w:top w:val="single" w:color="auto" w:sz="4" w:space="0"/>
              <w:left w:val="single" w:color="auto" w:sz="4" w:space="0"/>
              <w:bottom w:val="single" w:color="auto" w:sz="4" w:space="0"/>
              <w:right w:val="single" w:color="auto" w:sz="4" w:space="0"/>
            </w:tcBorders>
            <w:vAlign w:val="center"/>
          </w:tcPr>
          <w:p>
            <w:pPr>
              <w:spacing w:line="360" w:lineRule="auto"/>
              <w:rPr>
                <w:szCs w:val="16"/>
              </w:rPr>
            </w:pPr>
            <w:r>
              <w:rPr>
                <w:rFonts w:hint="eastAsia"/>
                <w:szCs w:val="16"/>
              </w:rPr>
              <w:t>姓名</w:t>
            </w:r>
          </w:p>
        </w:tc>
        <w:tc>
          <w:tcPr>
            <w:tcW w:w="79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16"/>
              </w:rPr>
            </w:pPr>
            <w:r>
              <w:rPr>
                <w:rFonts w:hint="eastAsia"/>
                <w:szCs w:val="16"/>
              </w:rPr>
              <w:t>技术职称</w:t>
            </w:r>
          </w:p>
        </w:tc>
        <w:tc>
          <w:tcPr>
            <w:tcW w:w="1086" w:type="dxa"/>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c>
          <w:tcPr>
            <w:tcW w:w="851" w:type="dxa"/>
            <w:tcBorders>
              <w:top w:val="single" w:color="auto" w:sz="4" w:space="0"/>
              <w:left w:val="single" w:color="auto" w:sz="4" w:space="0"/>
              <w:bottom w:val="single" w:color="auto" w:sz="4" w:space="0"/>
              <w:right w:val="single" w:color="auto" w:sz="4" w:space="0"/>
            </w:tcBorders>
            <w:vAlign w:val="center"/>
          </w:tcPr>
          <w:p>
            <w:pPr>
              <w:spacing w:line="360" w:lineRule="auto"/>
              <w:rPr>
                <w:szCs w:val="16"/>
              </w:rPr>
            </w:pPr>
            <w:r>
              <w:rPr>
                <w:rFonts w:hint="eastAsia"/>
                <w:szCs w:val="16"/>
              </w:rPr>
              <w:t>电话</w:t>
            </w:r>
          </w:p>
        </w:tc>
        <w:tc>
          <w:tcPr>
            <w:tcW w:w="1537" w:type="dxa"/>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16"/>
              </w:rPr>
            </w:pPr>
            <w:r>
              <w:rPr>
                <w:rFonts w:hint="eastAsia"/>
                <w:szCs w:val="16"/>
              </w:rPr>
              <w:t>成立时间</w:t>
            </w:r>
          </w:p>
        </w:tc>
        <w:tc>
          <w:tcPr>
            <w:tcW w:w="18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16"/>
              </w:rPr>
            </w:pPr>
            <w:r>
              <w:rPr>
                <w:rFonts w:hint="eastAsia"/>
                <w:szCs w:val="16"/>
              </w:rPr>
              <w:t>员工总人数</w:t>
            </w:r>
          </w:p>
        </w:tc>
        <w:tc>
          <w:tcPr>
            <w:tcW w:w="347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16"/>
              </w:rPr>
            </w:pPr>
            <w:r>
              <w:rPr>
                <w:rFonts w:hint="eastAsia"/>
                <w:szCs w:val="16"/>
              </w:rPr>
              <w:t>营业执照号</w:t>
            </w:r>
          </w:p>
        </w:tc>
        <w:tc>
          <w:tcPr>
            <w:tcW w:w="18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16"/>
              </w:rPr>
            </w:pPr>
            <w:r>
              <w:rPr>
                <w:rFonts w:hint="eastAsia"/>
                <w:szCs w:val="16"/>
              </w:rPr>
              <w:t>注册资金</w:t>
            </w:r>
          </w:p>
        </w:tc>
        <w:tc>
          <w:tcPr>
            <w:tcW w:w="347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34"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16"/>
              </w:rPr>
            </w:pPr>
            <w:r>
              <w:rPr>
                <w:rFonts w:hint="eastAsia"/>
                <w:szCs w:val="16"/>
              </w:rPr>
              <w:t>开户银行</w:t>
            </w:r>
          </w:p>
        </w:tc>
        <w:tc>
          <w:tcPr>
            <w:tcW w:w="1885"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c>
          <w:tcPr>
            <w:tcW w:w="1614" w:type="dxa"/>
            <w:gridSpan w:val="2"/>
            <w:tcBorders>
              <w:top w:val="single" w:color="auto" w:sz="4" w:space="0"/>
              <w:left w:val="single" w:color="auto" w:sz="4" w:space="0"/>
              <w:bottom w:val="single" w:color="auto" w:sz="4" w:space="0"/>
              <w:right w:val="single" w:color="auto" w:sz="4" w:space="0"/>
            </w:tcBorders>
            <w:vAlign w:val="center"/>
          </w:tcPr>
          <w:p>
            <w:pPr>
              <w:spacing w:line="360" w:lineRule="auto"/>
              <w:jc w:val="center"/>
              <w:rPr>
                <w:szCs w:val="16"/>
              </w:rPr>
            </w:pPr>
            <w:r>
              <w:rPr>
                <w:rFonts w:hint="eastAsia"/>
                <w:szCs w:val="16"/>
              </w:rPr>
              <w:t>账号</w:t>
            </w:r>
          </w:p>
        </w:tc>
        <w:tc>
          <w:tcPr>
            <w:tcW w:w="3474" w:type="dxa"/>
            <w:gridSpan w:val="3"/>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2218" w:hRule="atLeast"/>
          <w:jc w:val="center"/>
        </w:trPr>
        <w:tc>
          <w:tcPr>
            <w:tcW w:w="1760" w:type="dxa"/>
            <w:tcBorders>
              <w:top w:val="single" w:color="auto" w:sz="4" w:space="0"/>
              <w:left w:val="single" w:color="auto" w:sz="4" w:space="0"/>
              <w:right w:val="single" w:color="auto" w:sz="4" w:space="0"/>
            </w:tcBorders>
            <w:vAlign w:val="center"/>
          </w:tcPr>
          <w:p>
            <w:pPr>
              <w:spacing w:line="360" w:lineRule="auto"/>
              <w:ind w:firstLine="435"/>
              <w:rPr>
                <w:szCs w:val="16"/>
              </w:rPr>
            </w:pPr>
            <w:r>
              <w:rPr>
                <w:rFonts w:hint="eastAsia"/>
                <w:szCs w:val="16"/>
              </w:rPr>
              <w:t>经营范围</w:t>
            </w:r>
          </w:p>
        </w:tc>
        <w:tc>
          <w:tcPr>
            <w:tcW w:w="6973" w:type="dxa"/>
            <w:gridSpan w:val="7"/>
            <w:tcBorders>
              <w:top w:val="single" w:color="auto" w:sz="4" w:space="0"/>
              <w:left w:val="single" w:color="auto" w:sz="4" w:space="0"/>
              <w:right w:val="single" w:color="auto" w:sz="4" w:space="0"/>
            </w:tcBorders>
            <w:vAlign w:val="center"/>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26" w:hRule="atLeast"/>
          <w:jc w:val="center"/>
        </w:trPr>
        <w:tc>
          <w:tcPr>
            <w:tcW w:w="1760" w:type="dxa"/>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r>
              <w:rPr>
                <w:rFonts w:hint="eastAsia"/>
                <w:szCs w:val="16"/>
              </w:rPr>
              <w:t>备注</w:t>
            </w:r>
          </w:p>
        </w:tc>
        <w:tc>
          <w:tcPr>
            <w:tcW w:w="6973" w:type="dxa"/>
            <w:gridSpan w:val="7"/>
            <w:tcBorders>
              <w:top w:val="single" w:color="auto" w:sz="4" w:space="0"/>
              <w:left w:val="single" w:color="auto" w:sz="4" w:space="0"/>
              <w:bottom w:val="single" w:color="auto" w:sz="4" w:space="0"/>
              <w:right w:val="single" w:color="auto" w:sz="4" w:space="0"/>
            </w:tcBorders>
            <w:vAlign w:val="center"/>
          </w:tcPr>
          <w:p>
            <w:pPr>
              <w:spacing w:line="360" w:lineRule="auto"/>
              <w:ind w:firstLine="435"/>
              <w:rPr>
                <w:szCs w:val="16"/>
              </w:rPr>
            </w:pPr>
          </w:p>
        </w:tc>
      </w:tr>
    </w:tbl>
    <w:p>
      <w:pPr>
        <w:spacing w:line="360" w:lineRule="auto"/>
        <w:ind w:firstLine="435"/>
        <w:rPr>
          <w:szCs w:val="16"/>
        </w:rPr>
      </w:pPr>
    </w:p>
    <w:p>
      <w:pPr>
        <w:spacing w:line="360" w:lineRule="auto"/>
        <w:ind w:firstLine="435"/>
        <w:rPr>
          <w:szCs w:val="16"/>
        </w:rPr>
      </w:pPr>
      <w:r>
        <w:rPr>
          <w:rFonts w:hint="eastAsia"/>
          <w:szCs w:val="16"/>
        </w:rPr>
        <w:t>注：</w:t>
      </w:r>
    </w:p>
    <w:p>
      <w:pPr>
        <w:numPr>
          <w:ilvl w:val="255"/>
          <w:numId w:val="0"/>
        </w:numPr>
        <w:spacing w:line="360" w:lineRule="auto"/>
        <w:ind w:firstLine="435"/>
        <w:rPr>
          <w:szCs w:val="16"/>
          <w:lang w:val="en-GB"/>
        </w:rPr>
      </w:pPr>
      <w:r>
        <w:rPr>
          <w:rFonts w:hint="eastAsia"/>
          <w:szCs w:val="16"/>
        </w:rPr>
        <w:t>1、招标文件要求或</w:t>
      </w:r>
      <w:r>
        <w:rPr>
          <w:rFonts w:hint="eastAsia"/>
          <w:szCs w:val="16"/>
          <w:lang w:eastAsia="zh-CN"/>
        </w:rPr>
        <w:t>供应商</w:t>
      </w:r>
      <w:r>
        <w:rPr>
          <w:rFonts w:hint="eastAsia"/>
          <w:szCs w:val="16"/>
        </w:rPr>
        <w:t>认为必要的有关资质、资格、荣誉、认证等证明材料的复印件</w:t>
      </w:r>
      <w:r>
        <w:rPr>
          <w:rFonts w:hint="eastAsia"/>
          <w:szCs w:val="16"/>
          <w:lang w:val="en-GB"/>
        </w:rPr>
        <w:t>。</w:t>
      </w:r>
      <w:r>
        <w:rPr>
          <w:rFonts w:hint="eastAsia"/>
          <w:szCs w:val="16"/>
        </w:rPr>
        <w:t>复印件须加盖</w:t>
      </w:r>
      <w:r>
        <w:rPr>
          <w:rFonts w:hint="eastAsia"/>
          <w:szCs w:val="16"/>
          <w:lang w:eastAsia="zh-CN"/>
        </w:rPr>
        <w:t>供应商</w:t>
      </w:r>
      <w:r>
        <w:rPr>
          <w:rFonts w:hint="eastAsia"/>
          <w:szCs w:val="16"/>
        </w:rPr>
        <w:t>单位公章。</w:t>
      </w:r>
    </w:p>
    <w:p>
      <w:pPr>
        <w:numPr>
          <w:ilvl w:val="255"/>
          <w:numId w:val="0"/>
        </w:numPr>
        <w:spacing w:line="360" w:lineRule="auto"/>
        <w:ind w:firstLine="435"/>
        <w:rPr>
          <w:szCs w:val="16"/>
          <w:lang w:val="en-GB"/>
        </w:rPr>
      </w:pPr>
      <w:r>
        <w:rPr>
          <w:rFonts w:hint="eastAsia"/>
          <w:szCs w:val="16"/>
        </w:rPr>
        <w:t>2、</w:t>
      </w:r>
      <w:r>
        <w:rPr>
          <w:rFonts w:hint="eastAsia"/>
          <w:szCs w:val="16"/>
          <w:lang w:val="en-GB"/>
        </w:rPr>
        <w:t>如</w:t>
      </w:r>
      <w:r>
        <w:rPr>
          <w:rFonts w:hint="eastAsia"/>
          <w:szCs w:val="16"/>
          <w:lang w:val="en-GB" w:eastAsia="zh-CN"/>
        </w:rPr>
        <w:t>供应商</w:t>
      </w:r>
      <w:r>
        <w:rPr>
          <w:rFonts w:hint="eastAsia"/>
          <w:szCs w:val="16"/>
          <w:lang w:val="en-GB"/>
        </w:rPr>
        <w:t>此表数据有虚假，一经查实，自行承担相关责任。</w:t>
      </w:r>
    </w:p>
    <w:bookmarkEnd w:id="94"/>
    <w:p>
      <w:pPr>
        <w:rPr>
          <w:szCs w:val="16"/>
        </w:rPr>
      </w:pPr>
      <w:r>
        <w:rPr>
          <w:szCs w:val="16"/>
        </w:rPr>
        <w:br w:type="page"/>
      </w:r>
    </w:p>
    <w:p>
      <w:pPr>
        <w:pStyle w:val="2"/>
        <w:spacing w:before="0" w:after="0" w:line="360" w:lineRule="auto"/>
        <w:rPr>
          <w:sz w:val="24"/>
          <w:szCs w:val="24"/>
        </w:rPr>
      </w:pPr>
      <w:bookmarkStart w:id="121" w:name="_Toc66392093"/>
      <w:r>
        <w:rPr>
          <w:rFonts w:hint="eastAsia"/>
          <w:sz w:val="24"/>
          <w:szCs w:val="24"/>
        </w:rPr>
        <w:t>2</w:t>
      </w:r>
      <w:r>
        <w:rPr>
          <w:sz w:val="24"/>
          <w:szCs w:val="24"/>
        </w:rPr>
        <w:t>.2</w:t>
      </w:r>
      <w:r>
        <w:rPr>
          <w:rFonts w:hint="eastAsia"/>
          <w:sz w:val="24"/>
          <w:szCs w:val="24"/>
        </w:rPr>
        <w:t>同类项目经验</w:t>
      </w:r>
    </w:p>
    <w:p>
      <w:pPr>
        <w:spacing w:line="360" w:lineRule="auto"/>
        <w:jc w:val="center"/>
        <w:rPr>
          <w:b/>
          <w:bCs/>
        </w:rPr>
      </w:pPr>
      <w:r>
        <w:rPr>
          <w:rFonts w:hint="eastAsia"/>
          <w:b/>
          <w:bCs/>
        </w:rPr>
        <w:t>同类项目表</w:t>
      </w:r>
    </w:p>
    <w:tbl>
      <w:tblPr>
        <w:tblStyle w:val="33"/>
        <w:tblW w:w="954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176"/>
        <w:gridCol w:w="1459"/>
        <w:gridCol w:w="1355"/>
        <w:gridCol w:w="1582"/>
        <w:gridCol w:w="1265"/>
        <w:gridCol w:w="1531"/>
        <w:gridCol w:w="11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5" w:hRule="atLeast"/>
        </w:trPr>
        <w:tc>
          <w:tcPr>
            <w:tcW w:w="817" w:type="dxa"/>
            <w:vAlign w:val="center"/>
          </w:tcPr>
          <w:p>
            <w:pPr>
              <w:pStyle w:val="31"/>
              <w:ind w:left="0" w:leftChars="0" w:firstLine="0" w:firstLineChars="0"/>
              <w:jc w:val="center"/>
              <w:rPr>
                <w:szCs w:val="16"/>
              </w:rPr>
            </w:pPr>
            <w:r>
              <w:rPr>
                <w:rFonts w:hint="eastAsia"/>
                <w:szCs w:val="16"/>
              </w:rPr>
              <w:t>序号</w:t>
            </w:r>
          </w:p>
        </w:tc>
        <w:tc>
          <w:tcPr>
            <w:tcW w:w="1559" w:type="dxa"/>
            <w:vAlign w:val="center"/>
          </w:tcPr>
          <w:p>
            <w:pPr>
              <w:pStyle w:val="31"/>
              <w:ind w:left="0" w:leftChars="0" w:firstLine="0" w:firstLineChars="0"/>
              <w:jc w:val="center"/>
              <w:rPr>
                <w:szCs w:val="16"/>
              </w:rPr>
            </w:pPr>
            <w:r>
              <w:rPr>
                <w:rFonts w:hint="eastAsia"/>
                <w:szCs w:val="16"/>
              </w:rPr>
              <w:t>合同名称</w:t>
            </w:r>
          </w:p>
        </w:tc>
        <w:tc>
          <w:tcPr>
            <w:tcW w:w="1418" w:type="dxa"/>
            <w:vAlign w:val="center"/>
          </w:tcPr>
          <w:p>
            <w:pPr>
              <w:pStyle w:val="31"/>
              <w:ind w:left="0" w:leftChars="0" w:firstLine="0" w:firstLineChars="0"/>
              <w:jc w:val="center"/>
              <w:rPr>
                <w:szCs w:val="16"/>
              </w:rPr>
            </w:pPr>
            <w:r>
              <w:rPr>
                <w:rFonts w:hint="eastAsia"/>
                <w:szCs w:val="16"/>
              </w:rPr>
              <w:t>合同金额</w:t>
            </w:r>
          </w:p>
        </w:tc>
        <w:tc>
          <w:tcPr>
            <w:tcW w:w="1725" w:type="dxa"/>
            <w:vAlign w:val="center"/>
          </w:tcPr>
          <w:p>
            <w:pPr>
              <w:pStyle w:val="31"/>
              <w:ind w:left="0" w:leftChars="0" w:firstLine="0" w:firstLineChars="0"/>
              <w:jc w:val="center"/>
              <w:rPr>
                <w:szCs w:val="16"/>
              </w:rPr>
            </w:pPr>
            <w:r>
              <w:rPr>
                <w:rFonts w:hint="eastAsia"/>
                <w:szCs w:val="16"/>
              </w:rPr>
              <w:t>合同签订时间</w:t>
            </w:r>
          </w:p>
        </w:tc>
        <w:tc>
          <w:tcPr>
            <w:tcW w:w="1297" w:type="dxa"/>
            <w:vAlign w:val="center"/>
          </w:tcPr>
          <w:p>
            <w:pPr>
              <w:pStyle w:val="31"/>
              <w:ind w:left="0" w:leftChars="0" w:firstLine="0" w:firstLineChars="0"/>
              <w:jc w:val="center"/>
              <w:rPr>
                <w:szCs w:val="16"/>
              </w:rPr>
            </w:pPr>
            <w:r>
              <w:rPr>
                <w:rFonts w:hint="eastAsia"/>
                <w:szCs w:val="16"/>
              </w:rPr>
              <w:t>甲方名称</w:t>
            </w:r>
          </w:p>
        </w:tc>
        <w:tc>
          <w:tcPr>
            <w:tcW w:w="1656" w:type="dxa"/>
            <w:vAlign w:val="center"/>
          </w:tcPr>
          <w:p>
            <w:pPr>
              <w:pStyle w:val="31"/>
              <w:ind w:left="0" w:leftChars="0" w:firstLine="0" w:firstLineChars="0"/>
              <w:jc w:val="center"/>
              <w:rPr>
                <w:szCs w:val="16"/>
              </w:rPr>
            </w:pPr>
            <w:r>
              <w:rPr>
                <w:rFonts w:hint="eastAsia"/>
                <w:szCs w:val="16"/>
              </w:rPr>
              <w:t>甲方负责人</w:t>
            </w:r>
          </w:p>
        </w:tc>
        <w:tc>
          <w:tcPr>
            <w:tcW w:w="1072" w:type="dxa"/>
            <w:vAlign w:val="center"/>
          </w:tcPr>
          <w:p>
            <w:pPr>
              <w:pStyle w:val="31"/>
              <w:ind w:left="0" w:leftChars="0" w:firstLine="0" w:firstLineChars="0"/>
              <w:jc w:val="center"/>
              <w:rPr>
                <w:szCs w:val="16"/>
              </w:rPr>
            </w:pPr>
            <w:r>
              <w:rPr>
                <w:rFonts w:hint="eastAsia"/>
                <w:szCs w:val="16"/>
              </w:rPr>
              <w:t>证明材料页码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7" w:type="dxa"/>
            <w:vAlign w:val="center"/>
          </w:tcPr>
          <w:p>
            <w:pPr>
              <w:pStyle w:val="31"/>
              <w:ind w:left="0" w:leftChars="0" w:firstLine="0" w:firstLineChars="0"/>
              <w:rPr>
                <w:rFonts w:hint="eastAsia"/>
              </w:rPr>
            </w:pPr>
          </w:p>
        </w:tc>
        <w:tc>
          <w:tcPr>
            <w:tcW w:w="1559" w:type="dxa"/>
            <w:vAlign w:val="center"/>
          </w:tcPr>
          <w:p>
            <w:pPr>
              <w:pStyle w:val="31"/>
              <w:ind w:left="480" w:firstLine="480"/>
              <w:jc w:val="center"/>
            </w:pPr>
          </w:p>
        </w:tc>
        <w:tc>
          <w:tcPr>
            <w:tcW w:w="1418" w:type="dxa"/>
            <w:vAlign w:val="center"/>
          </w:tcPr>
          <w:p>
            <w:pPr>
              <w:pStyle w:val="31"/>
              <w:ind w:left="480" w:firstLine="480"/>
              <w:jc w:val="center"/>
            </w:pPr>
          </w:p>
        </w:tc>
        <w:tc>
          <w:tcPr>
            <w:tcW w:w="1725" w:type="dxa"/>
            <w:vAlign w:val="center"/>
          </w:tcPr>
          <w:p>
            <w:pPr>
              <w:pStyle w:val="31"/>
              <w:ind w:left="480" w:firstLine="480"/>
              <w:jc w:val="center"/>
            </w:pPr>
          </w:p>
        </w:tc>
        <w:tc>
          <w:tcPr>
            <w:tcW w:w="1297" w:type="dxa"/>
            <w:vAlign w:val="center"/>
          </w:tcPr>
          <w:p>
            <w:pPr>
              <w:pStyle w:val="31"/>
              <w:ind w:left="480" w:firstLine="480"/>
              <w:jc w:val="center"/>
            </w:pPr>
          </w:p>
        </w:tc>
        <w:tc>
          <w:tcPr>
            <w:tcW w:w="1656" w:type="dxa"/>
            <w:vAlign w:val="center"/>
          </w:tcPr>
          <w:p>
            <w:pPr>
              <w:pStyle w:val="31"/>
              <w:ind w:left="480" w:firstLine="480"/>
              <w:jc w:val="center"/>
            </w:pPr>
          </w:p>
        </w:tc>
        <w:tc>
          <w:tcPr>
            <w:tcW w:w="1072" w:type="dxa"/>
            <w:vAlign w:val="center"/>
          </w:tcPr>
          <w:p>
            <w:pPr>
              <w:pStyle w:val="31"/>
              <w:ind w:left="480"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7" w:type="dxa"/>
            <w:vAlign w:val="center"/>
          </w:tcPr>
          <w:p>
            <w:pPr>
              <w:pStyle w:val="31"/>
              <w:ind w:left="0" w:leftChars="0" w:firstLine="0" w:firstLineChars="0"/>
              <w:rPr>
                <w:rFonts w:hint="eastAsia"/>
              </w:rPr>
            </w:pPr>
          </w:p>
        </w:tc>
        <w:tc>
          <w:tcPr>
            <w:tcW w:w="1559" w:type="dxa"/>
            <w:vAlign w:val="center"/>
          </w:tcPr>
          <w:p>
            <w:pPr>
              <w:pStyle w:val="31"/>
              <w:ind w:left="480" w:firstLine="480"/>
              <w:jc w:val="center"/>
            </w:pPr>
          </w:p>
        </w:tc>
        <w:tc>
          <w:tcPr>
            <w:tcW w:w="1418" w:type="dxa"/>
            <w:vAlign w:val="center"/>
          </w:tcPr>
          <w:p>
            <w:pPr>
              <w:pStyle w:val="31"/>
              <w:ind w:left="480" w:firstLine="480"/>
              <w:jc w:val="center"/>
            </w:pPr>
          </w:p>
        </w:tc>
        <w:tc>
          <w:tcPr>
            <w:tcW w:w="1725" w:type="dxa"/>
            <w:vAlign w:val="center"/>
          </w:tcPr>
          <w:p>
            <w:pPr>
              <w:pStyle w:val="31"/>
              <w:ind w:left="480" w:firstLine="480"/>
              <w:jc w:val="center"/>
            </w:pPr>
          </w:p>
        </w:tc>
        <w:tc>
          <w:tcPr>
            <w:tcW w:w="1297" w:type="dxa"/>
            <w:vAlign w:val="center"/>
          </w:tcPr>
          <w:p>
            <w:pPr>
              <w:pStyle w:val="31"/>
              <w:ind w:left="480" w:firstLine="480"/>
              <w:jc w:val="center"/>
            </w:pPr>
          </w:p>
        </w:tc>
        <w:tc>
          <w:tcPr>
            <w:tcW w:w="1656" w:type="dxa"/>
            <w:vAlign w:val="center"/>
          </w:tcPr>
          <w:p>
            <w:pPr>
              <w:pStyle w:val="31"/>
              <w:ind w:left="480" w:firstLine="480"/>
              <w:jc w:val="center"/>
            </w:pPr>
          </w:p>
        </w:tc>
        <w:tc>
          <w:tcPr>
            <w:tcW w:w="1072" w:type="dxa"/>
            <w:vAlign w:val="center"/>
          </w:tcPr>
          <w:p>
            <w:pPr>
              <w:pStyle w:val="31"/>
              <w:ind w:left="480" w:firstLine="480"/>
              <w:jc w:val="cente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7" w:type="dxa"/>
            <w:vAlign w:val="center"/>
          </w:tcPr>
          <w:p>
            <w:pPr>
              <w:pStyle w:val="31"/>
              <w:ind w:left="480" w:firstLine="480"/>
              <w:jc w:val="center"/>
            </w:pPr>
          </w:p>
        </w:tc>
        <w:tc>
          <w:tcPr>
            <w:tcW w:w="1559" w:type="dxa"/>
            <w:vAlign w:val="center"/>
          </w:tcPr>
          <w:p>
            <w:pPr>
              <w:pStyle w:val="31"/>
              <w:ind w:left="480" w:firstLine="480"/>
              <w:jc w:val="center"/>
            </w:pPr>
          </w:p>
        </w:tc>
        <w:tc>
          <w:tcPr>
            <w:tcW w:w="1418" w:type="dxa"/>
            <w:vAlign w:val="center"/>
          </w:tcPr>
          <w:p>
            <w:pPr>
              <w:pStyle w:val="31"/>
              <w:ind w:left="480" w:firstLine="480"/>
              <w:jc w:val="center"/>
            </w:pPr>
          </w:p>
        </w:tc>
        <w:tc>
          <w:tcPr>
            <w:tcW w:w="1725" w:type="dxa"/>
            <w:vAlign w:val="center"/>
          </w:tcPr>
          <w:p>
            <w:pPr>
              <w:pStyle w:val="31"/>
              <w:ind w:left="480" w:firstLine="480"/>
              <w:jc w:val="center"/>
            </w:pPr>
          </w:p>
        </w:tc>
        <w:tc>
          <w:tcPr>
            <w:tcW w:w="1297" w:type="dxa"/>
            <w:vAlign w:val="center"/>
          </w:tcPr>
          <w:p>
            <w:pPr>
              <w:pStyle w:val="31"/>
              <w:ind w:left="480" w:firstLine="480"/>
              <w:jc w:val="center"/>
            </w:pPr>
          </w:p>
        </w:tc>
        <w:tc>
          <w:tcPr>
            <w:tcW w:w="1656" w:type="dxa"/>
            <w:vAlign w:val="center"/>
          </w:tcPr>
          <w:p>
            <w:pPr>
              <w:pStyle w:val="31"/>
              <w:ind w:left="480" w:firstLine="480"/>
              <w:jc w:val="center"/>
            </w:pPr>
          </w:p>
        </w:tc>
        <w:tc>
          <w:tcPr>
            <w:tcW w:w="1072" w:type="dxa"/>
            <w:vAlign w:val="center"/>
          </w:tcPr>
          <w:p>
            <w:pPr>
              <w:pStyle w:val="31"/>
              <w:ind w:left="480" w:firstLine="48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7" w:type="dxa"/>
            <w:vAlign w:val="center"/>
          </w:tcPr>
          <w:p>
            <w:pPr>
              <w:pStyle w:val="31"/>
              <w:ind w:left="480" w:firstLine="480"/>
              <w:jc w:val="center"/>
            </w:pPr>
          </w:p>
        </w:tc>
        <w:tc>
          <w:tcPr>
            <w:tcW w:w="1559" w:type="dxa"/>
            <w:vAlign w:val="center"/>
          </w:tcPr>
          <w:p>
            <w:pPr>
              <w:pStyle w:val="31"/>
              <w:ind w:left="480" w:firstLine="480"/>
              <w:jc w:val="center"/>
            </w:pPr>
          </w:p>
        </w:tc>
        <w:tc>
          <w:tcPr>
            <w:tcW w:w="1418" w:type="dxa"/>
            <w:vAlign w:val="center"/>
          </w:tcPr>
          <w:p>
            <w:pPr>
              <w:pStyle w:val="31"/>
              <w:ind w:left="480" w:firstLine="480"/>
              <w:jc w:val="center"/>
            </w:pPr>
          </w:p>
        </w:tc>
        <w:tc>
          <w:tcPr>
            <w:tcW w:w="1725" w:type="dxa"/>
            <w:vAlign w:val="center"/>
          </w:tcPr>
          <w:p>
            <w:pPr>
              <w:pStyle w:val="31"/>
              <w:ind w:left="480" w:firstLine="480"/>
              <w:jc w:val="center"/>
            </w:pPr>
          </w:p>
        </w:tc>
        <w:tc>
          <w:tcPr>
            <w:tcW w:w="1297" w:type="dxa"/>
            <w:vAlign w:val="center"/>
          </w:tcPr>
          <w:p>
            <w:pPr>
              <w:pStyle w:val="31"/>
              <w:ind w:left="480" w:firstLine="480"/>
              <w:jc w:val="center"/>
            </w:pPr>
          </w:p>
        </w:tc>
        <w:tc>
          <w:tcPr>
            <w:tcW w:w="1656" w:type="dxa"/>
            <w:vAlign w:val="center"/>
          </w:tcPr>
          <w:p>
            <w:pPr>
              <w:pStyle w:val="31"/>
              <w:ind w:left="480" w:firstLine="480"/>
              <w:jc w:val="center"/>
            </w:pPr>
          </w:p>
        </w:tc>
        <w:tc>
          <w:tcPr>
            <w:tcW w:w="1072" w:type="dxa"/>
            <w:vAlign w:val="center"/>
          </w:tcPr>
          <w:p>
            <w:pPr>
              <w:pStyle w:val="31"/>
              <w:ind w:left="480" w:firstLine="480"/>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5" w:hRule="atLeast"/>
        </w:trPr>
        <w:tc>
          <w:tcPr>
            <w:tcW w:w="817" w:type="dxa"/>
            <w:vAlign w:val="center"/>
          </w:tcPr>
          <w:p>
            <w:pPr>
              <w:pStyle w:val="31"/>
              <w:ind w:left="480" w:firstLine="0" w:firstLineChars="0"/>
            </w:pPr>
            <w:r>
              <w:rPr>
                <w:rFonts w:hint="eastAsia"/>
                <w:color w:val="000000"/>
              </w:rPr>
              <w:t>……</w:t>
            </w:r>
          </w:p>
        </w:tc>
        <w:tc>
          <w:tcPr>
            <w:tcW w:w="1559" w:type="dxa"/>
            <w:vAlign w:val="center"/>
          </w:tcPr>
          <w:p>
            <w:pPr>
              <w:pStyle w:val="31"/>
              <w:ind w:left="480" w:firstLine="0" w:firstLineChars="0"/>
            </w:pPr>
            <w:r>
              <w:rPr>
                <w:rFonts w:hint="eastAsia"/>
                <w:color w:val="000000"/>
              </w:rPr>
              <w:t>……</w:t>
            </w:r>
          </w:p>
        </w:tc>
        <w:tc>
          <w:tcPr>
            <w:tcW w:w="1418" w:type="dxa"/>
            <w:vAlign w:val="center"/>
          </w:tcPr>
          <w:p>
            <w:pPr>
              <w:pStyle w:val="31"/>
              <w:ind w:left="480" w:firstLine="0" w:firstLineChars="0"/>
            </w:pPr>
            <w:r>
              <w:rPr>
                <w:rFonts w:hint="eastAsia"/>
                <w:color w:val="000000"/>
              </w:rPr>
              <w:t>……</w:t>
            </w:r>
          </w:p>
        </w:tc>
        <w:tc>
          <w:tcPr>
            <w:tcW w:w="1725" w:type="dxa"/>
            <w:vAlign w:val="center"/>
          </w:tcPr>
          <w:p>
            <w:pPr>
              <w:pStyle w:val="31"/>
              <w:ind w:left="480" w:firstLine="0" w:firstLineChars="0"/>
            </w:pPr>
            <w:r>
              <w:rPr>
                <w:rFonts w:hint="eastAsia"/>
                <w:color w:val="000000"/>
              </w:rPr>
              <w:t>……</w:t>
            </w:r>
          </w:p>
        </w:tc>
        <w:tc>
          <w:tcPr>
            <w:tcW w:w="1297" w:type="dxa"/>
            <w:vAlign w:val="center"/>
          </w:tcPr>
          <w:p>
            <w:pPr>
              <w:pStyle w:val="31"/>
              <w:ind w:left="480" w:firstLine="0" w:firstLineChars="0"/>
            </w:pPr>
            <w:r>
              <w:rPr>
                <w:rFonts w:hint="eastAsia"/>
                <w:color w:val="000000"/>
              </w:rPr>
              <w:t>……</w:t>
            </w:r>
          </w:p>
        </w:tc>
        <w:tc>
          <w:tcPr>
            <w:tcW w:w="1656" w:type="dxa"/>
            <w:vAlign w:val="center"/>
          </w:tcPr>
          <w:p>
            <w:pPr>
              <w:pStyle w:val="31"/>
              <w:ind w:left="480" w:firstLine="0" w:firstLineChars="0"/>
            </w:pPr>
            <w:r>
              <w:rPr>
                <w:rFonts w:hint="eastAsia"/>
                <w:color w:val="000000"/>
              </w:rPr>
              <w:t>……</w:t>
            </w:r>
          </w:p>
        </w:tc>
        <w:tc>
          <w:tcPr>
            <w:tcW w:w="1072" w:type="dxa"/>
            <w:vAlign w:val="center"/>
          </w:tcPr>
          <w:p>
            <w:pPr>
              <w:pStyle w:val="31"/>
              <w:ind w:left="480" w:firstLine="0" w:firstLineChars="0"/>
            </w:pPr>
            <w:r>
              <w:rPr>
                <w:rFonts w:hint="eastAsia"/>
                <w:color w:val="000000"/>
              </w:rPr>
              <w:t>……</w:t>
            </w:r>
          </w:p>
        </w:tc>
      </w:tr>
    </w:tbl>
    <w:p>
      <w:pPr>
        <w:spacing w:line="360" w:lineRule="auto"/>
        <w:rPr>
          <w:b/>
          <w:bCs/>
          <w:szCs w:val="16"/>
        </w:rPr>
      </w:pPr>
      <w:r>
        <w:rPr>
          <w:rFonts w:hint="eastAsia"/>
          <w:b/>
          <w:bCs/>
          <w:szCs w:val="16"/>
        </w:rPr>
        <w:t>说明：</w:t>
      </w:r>
    </w:p>
    <w:p>
      <w:pPr>
        <w:numPr>
          <w:ilvl w:val="0"/>
          <w:numId w:val="1"/>
        </w:numPr>
        <w:spacing w:line="360" w:lineRule="auto"/>
        <w:rPr>
          <w:rFonts w:hint="eastAsia"/>
          <w:szCs w:val="16"/>
          <w:lang w:eastAsia="zh-CN"/>
        </w:rPr>
      </w:pPr>
      <w:r>
        <w:rPr>
          <w:rFonts w:hint="eastAsia"/>
          <w:szCs w:val="16"/>
          <w:lang w:eastAsia="zh-CN"/>
        </w:rPr>
        <w:t>供应商提供近3年（2019年1月1日至今）每提供一个同类项目业绩得2分。</w:t>
      </w:r>
    </w:p>
    <w:p>
      <w:pPr>
        <w:numPr>
          <w:ilvl w:val="0"/>
          <w:numId w:val="0"/>
        </w:numPr>
        <w:spacing w:line="360" w:lineRule="auto"/>
        <w:rPr>
          <w:rFonts w:hint="eastAsia"/>
          <w:szCs w:val="16"/>
          <w:lang w:eastAsia="zh-CN"/>
        </w:rPr>
      </w:pPr>
      <w:r>
        <w:rPr>
          <w:rFonts w:hint="eastAsia"/>
          <w:szCs w:val="16"/>
          <w:lang w:eastAsia="zh-CN"/>
        </w:rPr>
        <w:t>须提供合同关键页（金额页、内容页、盖章页、日期页等，合同未能体现金额的提供合同期内实际开具的发票扫描件且完整清晰及具有电子二维码）或其他有效证明材料（如中标通知书等）扫描件，否则不得分。</w:t>
      </w:r>
    </w:p>
    <w:p>
      <w:pPr>
        <w:numPr>
          <w:ilvl w:val="0"/>
          <w:numId w:val="1"/>
        </w:numPr>
        <w:spacing w:line="360" w:lineRule="auto"/>
        <w:rPr>
          <w:szCs w:val="16"/>
        </w:rPr>
      </w:pPr>
      <w:r>
        <w:rPr>
          <w:rFonts w:hint="eastAsia"/>
          <w:szCs w:val="16"/>
          <w:lang w:eastAsia="zh-CN"/>
        </w:rPr>
        <w:t>注：未提供或内容模糊不清的，其业绩不予认定。</w:t>
      </w:r>
      <w:r>
        <w:rPr>
          <w:rFonts w:hint="eastAsia"/>
          <w:szCs w:val="16"/>
        </w:rPr>
        <w:t xml:space="preserve">一经发现业绩列表内的合同为伪造，投标做无效处理。 </w:t>
      </w:r>
    </w:p>
    <w:p>
      <w:pPr>
        <w:numPr>
          <w:ilvl w:val="0"/>
          <w:numId w:val="1"/>
        </w:numPr>
        <w:spacing w:line="360" w:lineRule="auto"/>
        <w:rPr>
          <w:szCs w:val="16"/>
        </w:rPr>
      </w:pPr>
      <w:r>
        <w:rPr>
          <w:rFonts w:hint="eastAsia"/>
          <w:szCs w:val="16"/>
        </w:rPr>
        <w:t xml:space="preserve">未附有证明材料的业绩不予认可。 </w:t>
      </w:r>
    </w:p>
    <w:p>
      <w:pPr>
        <w:adjustRightInd w:val="0"/>
        <w:snapToGrid w:val="0"/>
        <w:spacing w:line="360" w:lineRule="auto"/>
        <w:rPr>
          <w:szCs w:val="21"/>
        </w:rPr>
      </w:pPr>
    </w:p>
    <w:bookmarkEnd w:id="121"/>
    <w:p>
      <w:pPr>
        <w:pStyle w:val="2"/>
        <w:spacing w:before="0" w:after="0" w:line="360" w:lineRule="auto"/>
        <w:rPr>
          <w:sz w:val="24"/>
          <w:szCs w:val="24"/>
        </w:rPr>
      </w:pPr>
      <w:r>
        <w:rPr>
          <w:rFonts w:hint="eastAsia"/>
          <w:sz w:val="24"/>
          <w:szCs w:val="24"/>
        </w:rPr>
        <w:t>2</w:t>
      </w:r>
      <w:r>
        <w:rPr>
          <w:sz w:val="24"/>
          <w:szCs w:val="24"/>
        </w:rPr>
        <w:t>.3</w:t>
      </w:r>
      <w:r>
        <w:rPr>
          <w:rFonts w:hint="eastAsia"/>
          <w:sz w:val="24"/>
          <w:szCs w:val="24"/>
        </w:rPr>
        <w:t>配送车辆</w:t>
      </w:r>
    </w:p>
    <w:tbl>
      <w:tblPr>
        <w:tblStyle w:val="32"/>
        <w:tblW w:w="8290" w:type="dxa"/>
        <w:tblInd w:w="1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58"/>
        <w:gridCol w:w="1658"/>
        <w:gridCol w:w="1658"/>
        <w:gridCol w:w="1658"/>
        <w:gridCol w:w="165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58" w:type="dxa"/>
            <w:shd w:val="clear" w:color="auto" w:fill="auto"/>
            <w:vAlign w:val="center"/>
          </w:tcPr>
          <w:p>
            <w:pPr>
              <w:jc w:val="center"/>
              <w:rPr>
                <w:color w:val="000000"/>
              </w:rPr>
            </w:pPr>
            <w:r>
              <w:rPr>
                <w:rFonts w:hint="eastAsia"/>
                <w:color w:val="000000"/>
              </w:rPr>
              <w:t>序号</w:t>
            </w:r>
          </w:p>
        </w:tc>
        <w:tc>
          <w:tcPr>
            <w:tcW w:w="1658" w:type="dxa"/>
            <w:shd w:val="clear" w:color="auto" w:fill="auto"/>
            <w:vAlign w:val="center"/>
          </w:tcPr>
          <w:p>
            <w:pPr>
              <w:jc w:val="center"/>
              <w:rPr>
                <w:color w:val="000000"/>
              </w:rPr>
            </w:pPr>
            <w:r>
              <w:rPr>
                <w:rFonts w:hint="eastAsia"/>
                <w:color w:val="000000"/>
              </w:rPr>
              <w:t>设备名称</w:t>
            </w:r>
          </w:p>
        </w:tc>
        <w:tc>
          <w:tcPr>
            <w:tcW w:w="1658" w:type="dxa"/>
            <w:shd w:val="clear" w:color="auto" w:fill="auto"/>
            <w:vAlign w:val="center"/>
          </w:tcPr>
          <w:p>
            <w:pPr>
              <w:jc w:val="center"/>
              <w:rPr>
                <w:color w:val="000000"/>
              </w:rPr>
            </w:pPr>
            <w:r>
              <w:rPr>
                <w:rFonts w:hint="eastAsia"/>
                <w:color w:val="000000"/>
              </w:rPr>
              <w:t>车牌号</w:t>
            </w:r>
          </w:p>
        </w:tc>
        <w:tc>
          <w:tcPr>
            <w:tcW w:w="1658" w:type="dxa"/>
            <w:shd w:val="clear" w:color="auto" w:fill="auto"/>
            <w:vAlign w:val="center"/>
          </w:tcPr>
          <w:p>
            <w:pPr>
              <w:jc w:val="center"/>
              <w:rPr>
                <w:color w:val="000000"/>
              </w:rPr>
            </w:pPr>
            <w:r>
              <w:rPr>
                <w:rFonts w:hint="eastAsia"/>
                <w:color w:val="000000"/>
              </w:rPr>
              <w:t>型号</w:t>
            </w:r>
          </w:p>
        </w:tc>
        <w:tc>
          <w:tcPr>
            <w:tcW w:w="1658" w:type="dxa"/>
            <w:shd w:val="clear" w:color="auto" w:fill="auto"/>
            <w:vAlign w:val="center"/>
          </w:tcPr>
          <w:p>
            <w:pPr>
              <w:jc w:val="center"/>
              <w:rPr>
                <w:color w:val="000000"/>
              </w:rPr>
            </w:pPr>
            <w:r>
              <w:rPr>
                <w:rFonts w:hint="eastAsia"/>
                <w:color w:val="000000"/>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7" w:hRule="atLeast"/>
        </w:trPr>
        <w:tc>
          <w:tcPr>
            <w:tcW w:w="1658" w:type="dxa"/>
            <w:shd w:val="clear" w:color="auto" w:fill="auto"/>
            <w:vAlign w:val="center"/>
          </w:tcPr>
          <w:p>
            <w:pPr>
              <w:jc w:val="center"/>
              <w:rPr>
                <w:color w:val="000000"/>
              </w:rPr>
            </w:pPr>
            <w:r>
              <w:rPr>
                <w:rFonts w:hint="eastAsia"/>
                <w:color w:val="000000"/>
              </w:rPr>
              <w:t>1</w:t>
            </w:r>
          </w:p>
        </w:tc>
        <w:tc>
          <w:tcPr>
            <w:tcW w:w="1658" w:type="dxa"/>
            <w:shd w:val="clear" w:color="auto" w:fill="auto"/>
            <w:vAlign w:val="center"/>
          </w:tcPr>
          <w:p>
            <w:pPr>
              <w:jc w:val="center"/>
              <w:rPr>
                <w:color w:val="000000"/>
              </w:rPr>
            </w:pPr>
          </w:p>
        </w:tc>
        <w:tc>
          <w:tcPr>
            <w:tcW w:w="1658" w:type="dxa"/>
            <w:shd w:val="clear" w:color="auto" w:fill="auto"/>
            <w:vAlign w:val="center"/>
          </w:tcPr>
          <w:p>
            <w:pPr>
              <w:jc w:val="center"/>
              <w:rPr>
                <w:color w:val="000000"/>
              </w:rPr>
            </w:pPr>
          </w:p>
        </w:tc>
        <w:tc>
          <w:tcPr>
            <w:tcW w:w="1658" w:type="dxa"/>
            <w:shd w:val="clear" w:color="auto" w:fill="auto"/>
            <w:vAlign w:val="center"/>
          </w:tcPr>
          <w:p>
            <w:pPr>
              <w:jc w:val="center"/>
              <w:rPr>
                <w:color w:val="000000"/>
              </w:rPr>
            </w:pPr>
          </w:p>
        </w:tc>
        <w:tc>
          <w:tcPr>
            <w:tcW w:w="165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2" w:hRule="atLeast"/>
        </w:trPr>
        <w:tc>
          <w:tcPr>
            <w:tcW w:w="1658" w:type="dxa"/>
            <w:shd w:val="clear" w:color="auto" w:fill="auto"/>
            <w:vAlign w:val="center"/>
          </w:tcPr>
          <w:p>
            <w:pPr>
              <w:jc w:val="center"/>
              <w:rPr>
                <w:color w:val="000000"/>
              </w:rPr>
            </w:pPr>
            <w:r>
              <w:rPr>
                <w:rFonts w:hint="eastAsia"/>
                <w:color w:val="000000"/>
              </w:rPr>
              <w:t>2</w:t>
            </w:r>
          </w:p>
        </w:tc>
        <w:tc>
          <w:tcPr>
            <w:tcW w:w="1658" w:type="dxa"/>
            <w:shd w:val="clear" w:color="auto" w:fill="auto"/>
            <w:vAlign w:val="center"/>
          </w:tcPr>
          <w:p>
            <w:pPr>
              <w:jc w:val="center"/>
              <w:rPr>
                <w:color w:val="000000"/>
              </w:rPr>
            </w:pPr>
          </w:p>
        </w:tc>
        <w:tc>
          <w:tcPr>
            <w:tcW w:w="1658" w:type="dxa"/>
            <w:shd w:val="clear" w:color="auto" w:fill="auto"/>
            <w:vAlign w:val="center"/>
          </w:tcPr>
          <w:p>
            <w:pPr>
              <w:jc w:val="center"/>
              <w:rPr>
                <w:color w:val="000000"/>
              </w:rPr>
            </w:pPr>
          </w:p>
        </w:tc>
        <w:tc>
          <w:tcPr>
            <w:tcW w:w="1658" w:type="dxa"/>
            <w:shd w:val="clear" w:color="auto" w:fill="auto"/>
            <w:vAlign w:val="center"/>
          </w:tcPr>
          <w:p>
            <w:pPr>
              <w:jc w:val="center"/>
              <w:rPr>
                <w:color w:val="000000"/>
              </w:rPr>
            </w:pPr>
          </w:p>
        </w:tc>
        <w:tc>
          <w:tcPr>
            <w:tcW w:w="1658" w:type="dxa"/>
            <w:shd w:val="clear" w:color="auto" w:fill="auto"/>
            <w:vAlign w:val="center"/>
          </w:tcPr>
          <w:p>
            <w:pPr>
              <w:jc w:val="center"/>
              <w:rPr>
                <w:color w:val="00000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58" w:type="dxa"/>
            <w:shd w:val="clear" w:color="auto" w:fill="auto"/>
            <w:vAlign w:val="center"/>
          </w:tcPr>
          <w:p>
            <w:pPr>
              <w:jc w:val="center"/>
              <w:rPr>
                <w:color w:val="000000"/>
              </w:rPr>
            </w:pPr>
            <w:r>
              <w:rPr>
                <w:rFonts w:hint="eastAsia"/>
                <w:color w:val="000000"/>
              </w:rPr>
              <w:t>3</w:t>
            </w:r>
          </w:p>
        </w:tc>
        <w:tc>
          <w:tcPr>
            <w:tcW w:w="1658" w:type="dxa"/>
            <w:shd w:val="clear" w:color="auto" w:fill="auto"/>
            <w:vAlign w:val="center"/>
          </w:tcPr>
          <w:p>
            <w:pPr>
              <w:jc w:val="center"/>
              <w:rPr>
                <w:color w:val="000000"/>
              </w:rPr>
            </w:pPr>
            <w:r>
              <w:rPr>
                <w:rFonts w:hint="eastAsia"/>
                <w:color w:val="000000"/>
              </w:rPr>
              <w:t>……</w:t>
            </w:r>
          </w:p>
        </w:tc>
        <w:tc>
          <w:tcPr>
            <w:tcW w:w="1658" w:type="dxa"/>
            <w:shd w:val="clear" w:color="auto" w:fill="auto"/>
            <w:vAlign w:val="center"/>
          </w:tcPr>
          <w:p>
            <w:pPr>
              <w:jc w:val="center"/>
              <w:rPr>
                <w:color w:val="000000"/>
              </w:rPr>
            </w:pPr>
            <w:r>
              <w:rPr>
                <w:rFonts w:hint="eastAsia"/>
                <w:color w:val="000000"/>
              </w:rPr>
              <w:t>……</w:t>
            </w:r>
          </w:p>
        </w:tc>
        <w:tc>
          <w:tcPr>
            <w:tcW w:w="1658" w:type="dxa"/>
            <w:shd w:val="clear" w:color="auto" w:fill="auto"/>
            <w:vAlign w:val="center"/>
          </w:tcPr>
          <w:p>
            <w:pPr>
              <w:jc w:val="center"/>
              <w:rPr>
                <w:color w:val="000000"/>
              </w:rPr>
            </w:pPr>
            <w:r>
              <w:rPr>
                <w:rFonts w:hint="eastAsia"/>
                <w:color w:val="000000"/>
              </w:rPr>
              <w:t>……</w:t>
            </w:r>
          </w:p>
        </w:tc>
        <w:tc>
          <w:tcPr>
            <w:tcW w:w="1658" w:type="dxa"/>
            <w:shd w:val="clear" w:color="auto" w:fill="auto"/>
            <w:vAlign w:val="center"/>
          </w:tcPr>
          <w:p>
            <w:pPr>
              <w:jc w:val="center"/>
              <w:rPr>
                <w:color w:val="000000"/>
              </w:rPr>
            </w:pPr>
            <w:r>
              <w:rPr>
                <w:rFonts w:hint="eastAsia"/>
                <w:color w:val="000000"/>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9" w:hRule="atLeast"/>
        </w:trPr>
        <w:tc>
          <w:tcPr>
            <w:tcW w:w="1658" w:type="dxa"/>
            <w:shd w:val="clear" w:color="auto" w:fill="auto"/>
            <w:vAlign w:val="center"/>
          </w:tcPr>
          <w:p>
            <w:pPr>
              <w:jc w:val="center"/>
              <w:rPr>
                <w:color w:val="000000"/>
              </w:rPr>
            </w:pPr>
            <w:r>
              <w:rPr>
                <w:rFonts w:hint="eastAsia"/>
                <w:color w:val="000000"/>
              </w:rPr>
              <w:t>4</w:t>
            </w:r>
          </w:p>
        </w:tc>
        <w:tc>
          <w:tcPr>
            <w:tcW w:w="1658" w:type="dxa"/>
            <w:shd w:val="clear" w:color="auto" w:fill="auto"/>
            <w:vAlign w:val="center"/>
          </w:tcPr>
          <w:p>
            <w:pPr>
              <w:jc w:val="center"/>
              <w:rPr>
                <w:color w:val="000000"/>
              </w:rPr>
            </w:pPr>
            <w:r>
              <w:rPr>
                <w:rFonts w:hint="eastAsia"/>
                <w:color w:val="000000"/>
              </w:rPr>
              <w:t>……</w:t>
            </w:r>
          </w:p>
        </w:tc>
        <w:tc>
          <w:tcPr>
            <w:tcW w:w="1658" w:type="dxa"/>
            <w:shd w:val="clear" w:color="auto" w:fill="auto"/>
            <w:vAlign w:val="center"/>
          </w:tcPr>
          <w:p>
            <w:pPr>
              <w:jc w:val="center"/>
              <w:rPr>
                <w:color w:val="000000"/>
              </w:rPr>
            </w:pPr>
            <w:r>
              <w:rPr>
                <w:rFonts w:hint="eastAsia"/>
                <w:color w:val="000000"/>
              </w:rPr>
              <w:t>……</w:t>
            </w:r>
          </w:p>
        </w:tc>
        <w:tc>
          <w:tcPr>
            <w:tcW w:w="1658" w:type="dxa"/>
            <w:shd w:val="clear" w:color="auto" w:fill="auto"/>
            <w:vAlign w:val="center"/>
          </w:tcPr>
          <w:p>
            <w:pPr>
              <w:jc w:val="center"/>
              <w:rPr>
                <w:color w:val="000000"/>
              </w:rPr>
            </w:pPr>
            <w:r>
              <w:rPr>
                <w:rFonts w:hint="eastAsia"/>
                <w:color w:val="000000"/>
              </w:rPr>
              <w:t>……</w:t>
            </w:r>
          </w:p>
        </w:tc>
        <w:tc>
          <w:tcPr>
            <w:tcW w:w="1658" w:type="dxa"/>
            <w:shd w:val="clear" w:color="auto" w:fill="auto"/>
            <w:vAlign w:val="center"/>
          </w:tcPr>
          <w:p>
            <w:pPr>
              <w:jc w:val="center"/>
              <w:rPr>
                <w:color w:val="000000"/>
              </w:rPr>
            </w:pPr>
            <w:r>
              <w:rPr>
                <w:rFonts w:hint="eastAsia"/>
                <w:color w:val="000000"/>
              </w:rPr>
              <w:t>……</w:t>
            </w:r>
          </w:p>
        </w:tc>
      </w:tr>
    </w:tbl>
    <w:p>
      <w:pPr>
        <w:adjustRightInd w:val="0"/>
        <w:spacing w:line="360" w:lineRule="auto"/>
        <w:textAlignment w:val="baseline"/>
        <w:rPr>
          <w:rFonts w:ascii="Times New Roman" w:hAnsi="Times New Roman" w:cs="Times New Roman"/>
        </w:rPr>
      </w:pPr>
      <w:r>
        <w:rPr>
          <w:rFonts w:hint="eastAsia"/>
        </w:rPr>
        <w:t>注：</w:t>
      </w:r>
      <w:r>
        <w:rPr>
          <w:rFonts w:hint="eastAsia" w:ascii="Times New Roman" w:hAnsi="Times New Roman" w:cs="Times New Roman"/>
        </w:rPr>
        <w:t>根据</w:t>
      </w:r>
      <w:r>
        <w:rPr>
          <w:rFonts w:hint="eastAsia" w:ascii="Times New Roman" w:hAnsi="Times New Roman" w:cs="Times New Roman"/>
          <w:lang w:eastAsia="zh-CN"/>
        </w:rPr>
        <w:t>供应商</w:t>
      </w:r>
      <w:r>
        <w:rPr>
          <w:rFonts w:hint="eastAsia" w:ascii="Times New Roman" w:hAnsi="Times New Roman" w:cs="Times New Roman"/>
        </w:rPr>
        <w:t>拟用于本项目的配送车辆（</w:t>
      </w:r>
      <w:r>
        <w:rPr>
          <w:rFonts w:hint="eastAsia" w:ascii="Times New Roman" w:hAnsi="Times New Roman" w:cs="Times New Roman"/>
          <w:lang w:val="en-US" w:eastAsia="zh-CN"/>
        </w:rPr>
        <w:t>第六包肉类;</w:t>
      </w:r>
      <w:r>
        <w:rPr>
          <w:rFonts w:hint="eastAsia" w:ascii="Times New Roman" w:hAnsi="Times New Roman" w:cs="Times New Roman"/>
        </w:rPr>
        <w:t>冷藏车）进行评分；</w:t>
      </w:r>
    </w:p>
    <w:p>
      <w:pPr>
        <w:rPr>
          <w:rFonts w:ascii="Times New Roman" w:hAnsi="Times New Roman" w:cs="Times New Roman"/>
        </w:rPr>
      </w:pPr>
      <w:r>
        <w:rPr>
          <w:rFonts w:hint="eastAsia" w:ascii="Times New Roman" w:hAnsi="Times New Roman" w:cs="Times New Roman"/>
        </w:rPr>
        <w:t>评分认定标准：</w:t>
      </w:r>
      <w:r>
        <w:rPr>
          <w:rFonts w:ascii="Times New Roman" w:hAnsi="Times New Roman" w:cs="Times New Roman"/>
        </w:rPr>
        <w:t>1.</w:t>
      </w:r>
      <w:r>
        <w:rPr>
          <w:rFonts w:hint="eastAsia" w:ascii="Times New Roman" w:hAnsi="Times New Roman" w:cs="Times New Roman"/>
        </w:rPr>
        <w:t>提供机动车行驶证及车辆登记证复印件才可得分；</w:t>
      </w:r>
      <w:r>
        <w:rPr>
          <w:rFonts w:ascii="Times New Roman" w:hAnsi="Times New Roman" w:cs="Times New Roman"/>
        </w:rPr>
        <w:t>2.</w:t>
      </w:r>
      <w:r>
        <w:rPr>
          <w:rFonts w:hint="eastAsia" w:ascii="Times New Roman" w:hAnsi="Times New Roman" w:cs="Times New Roman"/>
        </w:rPr>
        <w:t>配送车辆如为租赁的，须提供租赁合同，不提供者上述材料者本项不得分。</w:t>
      </w:r>
    </w:p>
    <w:p>
      <w:pPr>
        <w:rPr>
          <w:rFonts w:ascii="Times New Roman" w:hAnsi="Times New Roman" w:cs="Times New Roman"/>
        </w:rPr>
      </w:pPr>
      <w:r>
        <w:rPr>
          <w:rFonts w:ascii="Times New Roman" w:hAnsi="Times New Roman" w:cs="Times New Roman"/>
        </w:rPr>
        <w:br w:type="page"/>
      </w:r>
    </w:p>
    <w:p>
      <w:pPr>
        <w:pStyle w:val="2"/>
        <w:spacing w:before="0" w:after="0" w:line="360" w:lineRule="auto"/>
        <w:rPr>
          <w:sz w:val="24"/>
          <w:szCs w:val="24"/>
        </w:rPr>
      </w:pPr>
      <w:r>
        <w:rPr>
          <w:rFonts w:hint="eastAsia"/>
          <w:sz w:val="24"/>
          <w:szCs w:val="24"/>
        </w:rPr>
        <w:t>2</w:t>
      </w:r>
      <w:r>
        <w:rPr>
          <w:sz w:val="24"/>
          <w:szCs w:val="24"/>
        </w:rPr>
        <w:t>.4配送人员</w:t>
      </w:r>
    </w:p>
    <w:tbl>
      <w:tblPr>
        <w:tblStyle w:val="32"/>
        <w:tblW w:w="822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4"/>
        <w:gridCol w:w="1764"/>
        <w:gridCol w:w="1384"/>
        <w:gridCol w:w="1446"/>
        <w:gridCol w:w="1479"/>
        <w:gridCol w:w="115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7" w:hRule="atLeast"/>
        </w:trPr>
        <w:tc>
          <w:tcPr>
            <w:tcW w:w="994" w:type="dxa"/>
            <w:vAlign w:val="center"/>
          </w:tcPr>
          <w:p>
            <w:pPr>
              <w:pStyle w:val="9"/>
              <w:jc w:val="center"/>
              <w:rPr>
                <w:szCs w:val="16"/>
              </w:rPr>
            </w:pPr>
            <w:r>
              <w:rPr>
                <w:rFonts w:hint="eastAsia"/>
                <w:szCs w:val="16"/>
              </w:rPr>
              <w:t>序号</w:t>
            </w:r>
          </w:p>
        </w:tc>
        <w:tc>
          <w:tcPr>
            <w:tcW w:w="1764" w:type="dxa"/>
            <w:vAlign w:val="center"/>
          </w:tcPr>
          <w:p>
            <w:pPr>
              <w:pStyle w:val="9"/>
              <w:jc w:val="center"/>
              <w:rPr>
                <w:szCs w:val="16"/>
              </w:rPr>
            </w:pPr>
            <w:r>
              <w:rPr>
                <w:rFonts w:hint="eastAsia"/>
                <w:szCs w:val="16"/>
              </w:rPr>
              <w:t>姓名</w:t>
            </w:r>
          </w:p>
        </w:tc>
        <w:tc>
          <w:tcPr>
            <w:tcW w:w="1384" w:type="dxa"/>
            <w:vAlign w:val="center"/>
          </w:tcPr>
          <w:p>
            <w:pPr>
              <w:pStyle w:val="9"/>
              <w:jc w:val="center"/>
              <w:rPr>
                <w:szCs w:val="16"/>
              </w:rPr>
            </w:pPr>
            <w:r>
              <w:rPr>
                <w:rFonts w:hint="eastAsia"/>
                <w:szCs w:val="16"/>
              </w:rPr>
              <w:t>身份证号</w:t>
            </w:r>
          </w:p>
        </w:tc>
        <w:tc>
          <w:tcPr>
            <w:tcW w:w="1446" w:type="dxa"/>
            <w:vAlign w:val="center"/>
          </w:tcPr>
          <w:p>
            <w:pPr>
              <w:pStyle w:val="9"/>
              <w:jc w:val="center"/>
              <w:rPr>
                <w:szCs w:val="16"/>
              </w:rPr>
            </w:pPr>
            <w:r>
              <w:rPr>
                <w:rFonts w:hint="eastAsia"/>
                <w:szCs w:val="16"/>
              </w:rPr>
              <w:t>工作年限</w:t>
            </w:r>
          </w:p>
        </w:tc>
        <w:tc>
          <w:tcPr>
            <w:tcW w:w="1479" w:type="dxa"/>
            <w:vAlign w:val="center"/>
          </w:tcPr>
          <w:p>
            <w:pPr>
              <w:pStyle w:val="9"/>
              <w:jc w:val="center"/>
              <w:rPr>
                <w:szCs w:val="16"/>
              </w:rPr>
            </w:pPr>
            <w:r>
              <w:rPr>
                <w:rFonts w:hint="eastAsia"/>
                <w:szCs w:val="16"/>
              </w:rPr>
              <w:t>投入本项目分工</w:t>
            </w:r>
          </w:p>
        </w:tc>
        <w:tc>
          <w:tcPr>
            <w:tcW w:w="1153" w:type="dxa"/>
            <w:vAlign w:val="center"/>
          </w:tcPr>
          <w:p>
            <w:pPr>
              <w:pStyle w:val="9"/>
              <w:jc w:val="center"/>
              <w:rPr>
                <w:szCs w:val="16"/>
              </w:rPr>
            </w:pPr>
            <w:r>
              <w:rPr>
                <w:rFonts w:hint="eastAsia"/>
                <w:szCs w:val="16"/>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94" w:type="dxa"/>
          </w:tcPr>
          <w:p>
            <w:pPr>
              <w:spacing w:line="360" w:lineRule="auto"/>
              <w:ind w:firstLine="435"/>
              <w:rPr>
                <w:szCs w:val="16"/>
              </w:rPr>
            </w:pPr>
          </w:p>
        </w:tc>
        <w:tc>
          <w:tcPr>
            <w:tcW w:w="1764" w:type="dxa"/>
          </w:tcPr>
          <w:p>
            <w:pPr>
              <w:spacing w:line="360" w:lineRule="auto"/>
              <w:ind w:firstLine="435"/>
              <w:rPr>
                <w:szCs w:val="16"/>
              </w:rPr>
            </w:pPr>
          </w:p>
        </w:tc>
        <w:tc>
          <w:tcPr>
            <w:tcW w:w="1384" w:type="dxa"/>
          </w:tcPr>
          <w:p>
            <w:pPr>
              <w:spacing w:line="360" w:lineRule="auto"/>
              <w:ind w:firstLine="435"/>
              <w:rPr>
                <w:szCs w:val="16"/>
              </w:rPr>
            </w:pPr>
          </w:p>
        </w:tc>
        <w:tc>
          <w:tcPr>
            <w:tcW w:w="1446" w:type="dxa"/>
          </w:tcPr>
          <w:p>
            <w:pPr>
              <w:spacing w:line="360" w:lineRule="auto"/>
              <w:ind w:firstLine="435"/>
              <w:rPr>
                <w:szCs w:val="16"/>
              </w:rPr>
            </w:pPr>
          </w:p>
        </w:tc>
        <w:tc>
          <w:tcPr>
            <w:tcW w:w="1479" w:type="dxa"/>
          </w:tcPr>
          <w:p>
            <w:pPr>
              <w:spacing w:line="360" w:lineRule="auto"/>
              <w:ind w:firstLine="435"/>
              <w:rPr>
                <w:szCs w:val="16"/>
              </w:rPr>
            </w:pPr>
          </w:p>
        </w:tc>
        <w:tc>
          <w:tcPr>
            <w:tcW w:w="1153" w:type="dxa"/>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94" w:type="dxa"/>
          </w:tcPr>
          <w:p>
            <w:pPr>
              <w:spacing w:line="360" w:lineRule="auto"/>
              <w:ind w:firstLine="435"/>
              <w:rPr>
                <w:szCs w:val="16"/>
              </w:rPr>
            </w:pPr>
          </w:p>
        </w:tc>
        <w:tc>
          <w:tcPr>
            <w:tcW w:w="1764" w:type="dxa"/>
          </w:tcPr>
          <w:p>
            <w:pPr>
              <w:spacing w:line="360" w:lineRule="auto"/>
              <w:ind w:firstLine="435"/>
              <w:rPr>
                <w:szCs w:val="16"/>
              </w:rPr>
            </w:pPr>
          </w:p>
        </w:tc>
        <w:tc>
          <w:tcPr>
            <w:tcW w:w="1384" w:type="dxa"/>
          </w:tcPr>
          <w:p>
            <w:pPr>
              <w:spacing w:line="360" w:lineRule="auto"/>
              <w:ind w:firstLine="435"/>
              <w:rPr>
                <w:szCs w:val="16"/>
              </w:rPr>
            </w:pPr>
          </w:p>
        </w:tc>
        <w:tc>
          <w:tcPr>
            <w:tcW w:w="1446" w:type="dxa"/>
          </w:tcPr>
          <w:p>
            <w:pPr>
              <w:spacing w:line="360" w:lineRule="auto"/>
              <w:ind w:firstLine="435"/>
              <w:rPr>
                <w:szCs w:val="16"/>
              </w:rPr>
            </w:pPr>
          </w:p>
        </w:tc>
        <w:tc>
          <w:tcPr>
            <w:tcW w:w="1479" w:type="dxa"/>
          </w:tcPr>
          <w:p>
            <w:pPr>
              <w:spacing w:line="360" w:lineRule="auto"/>
              <w:ind w:firstLine="435"/>
              <w:rPr>
                <w:szCs w:val="16"/>
              </w:rPr>
            </w:pPr>
          </w:p>
        </w:tc>
        <w:tc>
          <w:tcPr>
            <w:tcW w:w="1153" w:type="dxa"/>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94" w:type="dxa"/>
          </w:tcPr>
          <w:p>
            <w:pPr>
              <w:spacing w:line="360" w:lineRule="auto"/>
              <w:ind w:firstLine="435"/>
              <w:rPr>
                <w:szCs w:val="16"/>
              </w:rPr>
            </w:pPr>
          </w:p>
        </w:tc>
        <w:tc>
          <w:tcPr>
            <w:tcW w:w="1764" w:type="dxa"/>
          </w:tcPr>
          <w:p>
            <w:pPr>
              <w:spacing w:line="360" w:lineRule="auto"/>
              <w:ind w:firstLine="435"/>
              <w:rPr>
                <w:szCs w:val="16"/>
              </w:rPr>
            </w:pPr>
          </w:p>
        </w:tc>
        <w:tc>
          <w:tcPr>
            <w:tcW w:w="1384" w:type="dxa"/>
          </w:tcPr>
          <w:p>
            <w:pPr>
              <w:spacing w:line="360" w:lineRule="auto"/>
              <w:ind w:firstLine="435"/>
              <w:rPr>
                <w:szCs w:val="16"/>
              </w:rPr>
            </w:pPr>
          </w:p>
        </w:tc>
        <w:tc>
          <w:tcPr>
            <w:tcW w:w="1446" w:type="dxa"/>
          </w:tcPr>
          <w:p>
            <w:pPr>
              <w:spacing w:line="360" w:lineRule="auto"/>
              <w:ind w:firstLine="435"/>
              <w:rPr>
                <w:szCs w:val="16"/>
              </w:rPr>
            </w:pPr>
          </w:p>
        </w:tc>
        <w:tc>
          <w:tcPr>
            <w:tcW w:w="1479" w:type="dxa"/>
          </w:tcPr>
          <w:p>
            <w:pPr>
              <w:spacing w:line="360" w:lineRule="auto"/>
              <w:ind w:firstLine="435"/>
              <w:rPr>
                <w:szCs w:val="16"/>
              </w:rPr>
            </w:pPr>
          </w:p>
        </w:tc>
        <w:tc>
          <w:tcPr>
            <w:tcW w:w="1153" w:type="dxa"/>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994" w:type="dxa"/>
          </w:tcPr>
          <w:p>
            <w:pPr>
              <w:spacing w:line="360" w:lineRule="auto"/>
              <w:ind w:firstLine="435"/>
              <w:rPr>
                <w:szCs w:val="16"/>
              </w:rPr>
            </w:pPr>
          </w:p>
        </w:tc>
        <w:tc>
          <w:tcPr>
            <w:tcW w:w="1764" w:type="dxa"/>
          </w:tcPr>
          <w:p>
            <w:pPr>
              <w:spacing w:line="360" w:lineRule="auto"/>
              <w:ind w:firstLine="435"/>
              <w:rPr>
                <w:szCs w:val="16"/>
              </w:rPr>
            </w:pPr>
          </w:p>
        </w:tc>
        <w:tc>
          <w:tcPr>
            <w:tcW w:w="1384" w:type="dxa"/>
          </w:tcPr>
          <w:p>
            <w:pPr>
              <w:spacing w:line="360" w:lineRule="auto"/>
              <w:ind w:firstLine="435"/>
              <w:rPr>
                <w:szCs w:val="16"/>
              </w:rPr>
            </w:pPr>
          </w:p>
        </w:tc>
        <w:tc>
          <w:tcPr>
            <w:tcW w:w="1446" w:type="dxa"/>
          </w:tcPr>
          <w:p>
            <w:pPr>
              <w:spacing w:line="360" w:lineRule="auto"/>
              <w:ind w:firstLine="435"/>
              <w:rPr>
                <w:szCs w:val="16"/>
              </w:rPr>
            </w:pPr>
          </w:p>
        </w:tc>
        <w:tc>
          <w:tcPr>
            <w:tcW w:w="1479" w:type="dxa"/>
          </w:tcPr>
          <w:p>
            <w:pPr>
              <w:spacing w:line="360" w:lineRule="auto"/>
              <w:ind w:firstLine="435"/>
              <w:rPr>
                <w:szCs w:val="16"/>
              </w:rPr>
            </w:pPr>
          </w:p>
        </w:tc>
        <w:tc>
          <w:tcPr>
            <w:tcW w:w="1153" w:type="dxa"/>
          </w:tcPr>
          <w:p>
            <w:pPr>
              <w:spacing w:line="360" w:lineRule="auto"/>
              <w:ind w:firstLine="435"/>
              <w:rPr>
                <w:szCs w:val="16"/>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3" w:hRule="atLeast"/>
        </w:trPr>
        <w:tc>
          <w:tcPr>
            <w:tcW w:w="994" w:type="dxa"/>
          </w:tcPr>
          <w:p>
            <w:pPr>
              <w:spacing w:line="360" w:lineRule="auto"/>
              <w:ind w:firstLine="435"/>
              <w:rPr>
                <w:szCs w:val="16"/>
              </w:rPr>
            </w:pPr>
            <w:r>
              <w:rPr>
                <w:rFonts w:hint="eastAsia"/>
                <w:szCs w:val="16"/>
              </w:rPr>
              <w:t>…</w:t>
            </w:r>
          </w:p>
        </w:tc>
        <w:tc>
          <w:tcPr>
            <w:tcW w:w="1764" w:type="dxa"/>
          </w:tcPr>
          <w:p>
            <w:pPr>
              <w:spacing w:line="360" w:lineRule="auto"/>
              <w:ind w:firstLine="435"/>
              <w:rPr>
                <w:szCs w:val="16"/>
              </w:rPr>
            </w:pPr>
            <w:r>
              <w:rPr>
                <w:rFonts w:hint="eastAsia"/>
                <w:color w:val="000000"/>
              </w:rPr>
              <w:t>……</w:t>
            </w:r>
          </w:p>
        </w:tc>
        <w:tc>
          <w:tcPr>
            <w:tcW w:w="1384" w:type="dxa"/>
          </w:tcPr>
          <w:p>
            <w:pPr>
              <w:spacing w:line="360" w:lineRule="auto"/>
              <w:ind w:firstLine="435"/>
              <w:rPr>
                <w:szCs w:val="16"/>
              </w:rPr>
            </w:pPr>
            <w:r>
              <w:rPr>
                <w:rFonts w:hint="eastAsia"/>
                <w:color w:val="000000"/>
              </w:rPr>
              <w:t>……</w:t>
            </w:r>
          </w:p>
        </w:tc>
        <w:tc>
          <w:tcPr>
            <w:tcW w:w="1446" w:type="dxa"/>
          </w:tcPr>
          <w:p>
            <w:pPr>
              <w:spacing w:line="360" w:lineRule="auto"/>
              <w:ind w:firstLine="435"/>
              <w:rPr>
                <w:szCs w:val="16"/>
              </w:rPr>
            </w:pPr>
            <w:r>
              <w:rPr>
                <w:rFonts w:hint="eastAsia"/>
                <w:color w:val="000000"/>
              </w:rPr>
              <w:t>……</w:t>
            </w:r>
          </w:p>
        </w:tc>
        <w:tc>
          <w:tcPr>
            <w:tcW w:w="1479" w:type="dxa"/>
          </w:tcPr>
          <w:p>
            <w:pPr>
              <w:spacing w:line="360" w:lineRule="auto"/>
              <w:ind w:firstLine="435"/>
              <w:rPr>
                <w:szCs w:val="16"/>
              </w:rPr>
            </w:pPr>
            <w:r>
              <w:rPr>
                <w:rFonts w:hint="eastAsia"/>
                <w:color w:val="000000"/>
              </w:rPr>
              <w:t>……</w:t>
            </w:r>
          </w:p>
        </w:tc>
        <w:tc>
          <w:tcPr>
            <w:tcW w:w="1153" w:type="dxa"/>
          </w:tcPr>
          <w:p>
            <w:pPr>
              <w:spacing w:line="360" w:lineRule="auto"/>
              <w:ind w:firstLine="435"/>
              <w:rPr>
                <w:szCs w:val="16"/>
              </w:rPr>
            </w:pPr>
            <w:r>
              <w:rPr>
                <w:rFonts w:hint="eastAsia"/>
                <w:color w:val="000000"/>
              </w:rPr>
              <w:t>……</w:t>
            </w:r>
          </w:p>
        </w:tc>
      </w:tr>
    </w:tbl>
    <w:p>
      <w:r>
        <w:rPr>
          <w:rFonts w:hint="eastAsia"/>
        </w:rPr>
        <w:t>注：</w:t>
      </w:r>
      <w:r>
        <w:rPr>
          <w:rFonts w:hint="eastAsia" w:ascii="Times New Roman" w:hAnsi="Times New Roman" w:cs="Times New Roman"/>
          <w:lang w:eastAsia="zh-CN"/>
        </w:rPr>
        <w:t>供应商</w:t>
      </w:r>
      <w:r>
        <w:rPr>
          <w:rFonts w:hint="eastAsia" w:ascii="Times New Roman" w:hAnsi="Times New Roman" w:cs="Times New Roman"/>
        </w:rPr>
        <w:t>拟投入本项目的配送人员须提供以上人员的健康证、劳动合同（或者2</w:t>
      </w:r>
      <w:r>
        <w:rPr>
          <w:rFonts w:ascii="Times New Roman" w:hAnsi="Times New Roman" w:cs="Times New Roman"/>
        </w:rPr>
        <w:t>021</w:t>
      </w:r>
      <w:r>
        <w:rPr>
          <w:rFonts w:hint="eastAsia" w:ascii="Times New Roman" w:hAnsi="Times New Roman" w:cs="Times New Roman"/>
        </w:rPr>
        <w:t>年</w:t>
      </w:r>
      <w:r>
        <w:rPr>
          <w:rFonts w:hint="eastAsia" w:ascii="Times New Roman" w:hAnsi="Times New Roman" w:cs="Times New Roman"/>
          <w:lang w:val="en-US" w:eastAsia="zh-CN"/>
        </w:rPr>
        <w:t>10</w:t>
      </w:r>
      <w:r>
        <w:rPr>
          <w:rFonts w:hint="eastAsia" w:ascii="Times New Roman" w:hAnsi="Times New Roman" w:cs="Times New Roman"/>
        </w:rPr>
        <w:t>月至今连续3个月的社保缴纳证明材料）。</w:t>
      </w:r>
    </w:p>
    <w:p>
      <w:pPr>
        <w:pStyle w:val="2"/>
        <w:spacing w:before="0" w:after="0" w:line="360" w:lineRule="auto"/>
        <w:rPr>
          <w:sz w:val="24"/>
          <w:szCs w:val="24"/>
        </w:rPr>
      </w:pPr>
      <w:r>
        <w:rPr>
          <w:rFonts w:hint="eastAsia"/>
          <w:sz w:val="24"/>
          <w:szCs w:val="24"/>
        </w:rPr>
        <w:t>2</w:t>
      </w:r>
      <w:r>
        <w:rPr>
          <w:sz w:val="24"/>
          <w:szCs w:val="24"/>
        </w:rPr>
        <w:t>.5仓储能力</w:t>
      </w:r>
    </w:p>
    <w:p>
      <w:pPr>
        <w:rPr>
          <w:bCs/>
        </w:rPr>
      </w:pPr>
      <w:r>
        <w:rPr>
          <w:rFonts w:hint="eastAsia"/>
          <w:bCs/>
          <w:lang w:eastAsia="zh-CN"/>
        </w:rPr>
        <w:t>供应商</w:t>
      </w:r>
      <w:r>
        <w:rPr>
          <w:bCs/>
        </w:rPr>
        <w:t>在项目实施地点的仓储能力，配备仓库具备冷藏、冷冻条件得满分，否则不得分。自有仓库库须提供产权证明，如是租赁仓储，则提供租赁合同复印件，不提供不得分</w:t>
      </w:r>
      <w:r>
        <w:rPr>
          <w:rFonts w:hint="eastAsia"/>
          <w:bCs/>
        </w:rPr>
        <w:t>。</w:t>
      </w:r>
    </w:p>
    <w:p>
      <w:pPr>
        <w:rPr>
          <w:bCs/>
        </w:rPr>
      </w:pPr>
      <w:r>
        <w:rPr>
          <w:rFonts w:hint="eastAsia"/>
          <w:bCs/>
        </w:rPr>
        <w:t>应答：格式自拟。</w:t>
      </w:r>
    </w:p>
    <w:p>
      <w:pPr>
        <w:rPr>
          <w:szCs w:val="21"/>
        </w:rPr>
      </w:pPr>
    </w:p>
    <w:p>
      <w:pPr>
        <w:rPr>
          <w:rFonts w:hint="eastAsia"/>
          <w:szCs w:val="21"/>
        </w:rPr>
      </w:pPr>
    </w:p>
    <w:bookmarkEnd w:id="111"/>
    <w:bookmarkEnd w:id="112"/>
    <w:bookmarkEnd w:id="113"/>
    <w:bookmarkEnd w:id="114"/>
    <w:bookmarkEnd w:id="115"/>
    <w:bookmarkEnd w:id="116"/>
    <w:bookmarkEnd w:id="117"/>
    <w:bookmarkEnd w:id="118"/>
    <w:bookmarkEnd w:id="119"/>
    <w:bookmarkEnd w:id="120"/>
    <w:p>
      <w:pPr>
        <w:pStyle w:val="2"/>
        <w:spacing w:before="0" w:after="0" w:line="360" w:lineRule="auto"/>
        <w:rPr>
          <w:sz w:val="24"/>
          <w:szCs w:val="24"/>
        </w:rPr>
      </w:pPr>
      <w:r>
        <w:rPr>
          <w:rFonts w:hint="eastAsia"/>
          <w:sz w:val="24"/>
          <w:szCs w:val="24"/>
        </w:rPr>
        <w:t>2</w:t>
      </w:r>
      <w:r>
        <w:rPr>
          <w:sz w:val="24"/>
          <w:szCs w:val="24"/>
        </w:rPr>
        <w:t>.6货物配送方案</w:t>
      </w:r>
    </w:p>
    <w:p>
      <w:pPr>
        <w:rPr>
          <w:rFonts w:ascii="Tahoma" w:hAnsi="Tahoma" w:cs="Tahoma"/>
          <w:bCs/>
        </w:rPr>
      </w:pPr>
      <w:r>
        <w:t>货物</w:t>
      </w:r>
      <w:r>
        <w:rPr>
          <w:rFonts w:hint="eastAsia"/>
        </w:rPr>
        <w:t>配送方案：</w:t>
      </w:r>
      <w:r>
        <w:rPr>
          <w:rFonts w:hint="eastAsia"/>
          <w:lang w:eastAsia="zh-CN"/>
        </w:rPr>
        <w:t>供应商</w:t>
      </w:r>
      <w:r>
        <w:rPr>
          <w:rFonts w:hint="eastAsia"/>
        </w:rPr>
        <w:t>对货物的运输、配送、装卸等有具体方案。</w:t>
      </w:r>
    </w:p>
    <w:p>
      <w:r>
        <w:rPr>
          <w:rFonts w:hint="eastAsia"/>
        </w:rPr>
        <w:t>应答：格式自拟。</w:t>
      </w:r>
    </w:p>
    <w:p/>
    <w:p>
      <w:pPr>
        <w:rPr>
          <w:rFonts w:hint="eastAsia"/>
        </w:rPr>
      </w:pPr>
    </w:p>
    <w:p>
      <w:pPr>
        <w:pStyle w:val="2"/>
        <w:spacing w:before="0" w:after="0" w:line="360" w:lineRule="auto"/>
        <w:rPr>
          <w:sz w:val="24"/>
          <w:szCs w:val="24"/>
        </w:rPr>
      </w:pPr>
      <w:r>
        <w:rPr>
          <w:rFonts w:hint="eastAsia"/>
          <w:sz w:val="24"/>
          <w:szCs w:val="24"/>
        </w:rPr>
        <w:t>2</w:t>
      </w:r>
      <w:r>
        <w:rPr>
          <w:sz w:val="24"/>
          <w:szCs w:val="24"/>
        </w:rPr>
        <w:t>.7</w:t>
      </w:r>
      <w:r>
        <w:rPr>
          <w:rFonts w:hint="eastAsia"/>
          <w:sz w:val="24"/>
          <w:szCs w:val="24"/>
        </w:rPr>
        <w:t>安全质量</w:t>
      </w:r>
    </w:p>
    <w:p>
      <w:pPr>
        <w:adjustRightInd w:val="0"/>
        <w:spacing w:line="360" w:lineRule="exact"/>
        <w:textAlignment w:val="baseline"/>
        <w:rPr>
          <w:rFonts w:cs="Times New Roman"/>
        </w:rPr>
      </w:pPr>
      <w:r>
        <w:rPr>
          <w:rFonts w:cs="Times New Roman"/>
        </w:rPr>
        <w:t>（1）针对质量安全控制的操作流程、下游控制流程的方案介绍。</w:t>
      </w:r>
    </w:p>
    <w:p>
      <w:pPr>
        <w:adjustRightInd w:val="0"/>
        <w:spacing w:line="360" w:lineRule="exact"/>
        <w:textAlignment w:val="baseline"/>
        <w:rPr>
          <w:rFonts w:cs="仿宋_GB2312"/>
        </w:rPr>
      </w:pPr>
      <w:r>
        <w:rPr>
          <w:rFonts w:hint="eastAsia" w:cs="Times New Roman"/>
        </w:rPr>
        <w:t>（2）针对安全控制的安全举措，</w:t>
      </w:r>
      <w:r>
        <w:rPr>
          <w:rFonts w:hint="eastAsia" w:cs="仿宋_GB2312"/>
        </w:rPr>
        <w:t>包括但不限于食品可追溯性、各类产品检测结果</w:t>
      </w:r>
      <w:r>
        <w:rPr>
          <w:rFonts w:hint="eastAsia"/>
          <w:bCs/>
          <w:szCs w:val="21"/>
        </w:rPr>
        <w:t>（例如农残、水份、重</w:t>
      </w:r>
      <w:r>
        <w:rPr>
          <w:rFonts w:hint="eastAsia"/>
          <w:szCs w:val="21"/>
        </w:rPr>
        <w:t>金属、非法添加剂、非转基因成分等等</w:t>
      </w:r>
      <w:r>
        <w:rPr>
          <w:rFonts w:hint="eastAsia" w:cs="仿宋_GB2312"/>
        </w:rPr>
        <w:t>）。</w:t>
      </w:r>
    </w:p>
    <w:p>
      <w:r>
        <w:rPr>
          <w:rFonts w:hint="eastAsia"/>
        </w:rPr>
        <w:t>应答：格式自拟。</w:t>
      </w:r>
    </w:p>
    <w:p/>
    <w:p>
      <w:pPr>
        <w:rPr>
          <w:rFonts w:hint="eastAsia"/>
        </w:rPr>
      </w:pPr>
    </w:p>
    <w:p>
      <w:pPr>
        <w:pStyle w:val="2"/>
        <w:spacing w:before="0" w:after="0" w:line="360" w:lineRule="auto"/>
        <w:rPr>
          <w:sz w:val="24"/>
          <w:szCs w:val="24"/>
        </w:rPr>
      </w:pPr>
      <w:r>
        <w:rPr>
          <w:rFonts w:hint="eastAsia"/>
          <w:sz w:val="24"/>
          <w:szCs w:val="24"/>
        </w:rPr>
        <w:t>2</w:t>
      </w:r>
      <w:r>
        <w:rPr>
          <w:sz w:val="24"/>
          <w:szCs w:val="24"/>
        </w:rPr>
        <w:t>.8服务管控</w:t>
      </w:r>
    </w:p>
    <w:p>
      <w:pPr>
        <w:adjustRightInd w:val="0"/>
        <w:spacing w:line="360" w:lineRule="exact"/>
        <w:textAlignment w:val="baseline"/>
        <w:rPr>
          <w:rFonts w:cs="Times New Roman"/>
        </w:rPr>
      </w:pPr>
      <w:r>
        <w:rPr>
          <w:rFonts w:hint="eastAsia" w:cs="Times New Roman"/>
          <w:lang w:eastAsia="zh-CN"/>
        </w:rPr>
        <w:t>供应商</w:t>
      </w:r>
      <w:r>
        <w:rPr>
          <w:rFonts w:hint="eastAsia" w:cs="Times New Roman"/>
        </w:rPr>
        <w:t>按项目理解制定详细服务方案，如每个环节合理安排专职人员推进各项工作有序开展，保证项目按计划交付的基本承诺内容，包括不限于：订单、到货、退换、报账。</w:t>
      </w:r>
    </w:p>
    <w:p>
      <w:r>
        <w:rPr>
          <w:rFonts w:hint="eastAsia"/>
        </w:rPr>
        <w:t>应答：格式自拟。</w:t>
      </w:r>
    </w:p>
    <w:p/>
    <w:p>
      <w:pPr>
        <w:rPr>
          <w:rFonts w:hint="eastAsia"/>
        </w:rPr>
      </w:pPr>
    </w:p>
    <w:p>
      <w:pPr>
        <w:pStyle w:val="2"/>
        <w:spacing w:before="0" w:after="0" w:line="360" w:lineRule="auto"/>
        <w:rPr>
          <w:sz w:val="24"/>
          <w:szCs w:val="24"/>
        </w:rPr>
      </w:pPr>
      <w:r>
        <w:rPr>
          <w:rFonts w:hint="eastAsia"/>
          <w:sz w:val="24"/>
          <w:szCs w:val="24"/>
        </w:rPr>
        <w:t>2</w:t>
      </w:r>
      <w:r>
        <w:rPr>
          <w:sz w:val="24"/>
          <w:szCs w:val="24"/>
        </w:rPr>
        <w:t>.9</w:t>
      </w:r>
      <w:r>
        <w:rPr>
          <w:rFonts w:hint="eastAsia"/>
          <w:sz w:val="24"/>
          <w:szCs w:val="24"/>
        </w:rPr>
        <w:t>配送方案及特殊情况应急方案</w:t>
      </w:r>
    </w:p>
    <w:p>
      <w:pPr>
        <w:adjustRightInd w:val="0"/>
        <w:snapToGrid w:val="0"/>
        <w:spacing w:line="360" w:lineRule="auto"/>
        <w:rPr>
          <w:rFonts w:cs="仿宋_GB2312"/>
        </w:rPr>
      </w:pPr>
      <w:r>
        <w:rPr>
          <w:rFonts w:hint="eastAsia"/>
          <w:bCs/>
          <w:szCs w:val="21"/>
        </w:rPr>
        <w:t>（1）应急采购措施方案包括</w:t>
      </w:r>
      <w:r>
        <w:rPr>
          <w:rFonts w:hint="eastAsia" w:cs="仿宋_GB2312"/>
        </w:rPr>
        <w:t>在自然灾害、公共卫生事件、停水、停电等情况下供应物资应急方案。</w:t>
      </w:r>
    </w:p>
    <w:p>
      <w:pPr>
        <w:spacing w:line="360" w:lineRule="auto"/>
        <w:rPr>
          <w:bCs/>
          <w:szCs w:val="21"/>
        </w:rPr>
      </w:pPr>
      <w:r>
        <w:rPr>
          <w:rFonts w:hint="eastAsia"/>
          <w:bCs/>
          <w:szCs w:val="21"/>
        </w:rPr>
        <w:t>（2）后期提供持续的零星增补供应保障方案。</w:t>
      </w:r>
    </w:p>
    <w:p>
      <w:r>
        <w:rPr>
          <w:rFonts w:hint="eastAsia"/>
        </w:rPr>
        <w:t>应答：格式自拟。</w:t>
      </w:r>
    </w:p>
    <w:p/>
    <w:p>
      <w:pPr>
        <w:rPr>
          <w:rFonts w:hint="eastAsia"/>
        </w:rPr>
      </w:pPr>
    </w:p>
    <w:p>
      <w:pPr>
        <w:pStyle w:val="2"/>
        <w:spacing w:before="0" w:after="0" w:line="360" w:lineRule="auto"/>
        <w:rPr>
          <w:sz w:val="24"/>
          <w:szCs w:val="24"/>
        </w:rPr>
      </w:pPr>
      <w:r>
        <w:rPr>
          <w:rFonts w:hint="eastAsia"/>
          <w:sz w:val="24"/>
          <w:szCs w:val="24"/>
        </w:rPr>
        <w:t>2</w:t>
      </w:r>
      <w:r>
        <w:rPr>
          <w:sz w:val="24"/>
          <w:szCs w:val="24"/>
        </w:rPr>
        <w:t>.10售后服务</w:t>
      </w:r>
    </w:p>
    <w:p>
      <w:pPr>
        <w:adjustRightInd w:val="0"/>
        <w:snapToGrid w:val="0"/>
        <w:spacing w:line="360" w:lineRule="auto"/>
        <w:rPr>
          <w:bCs/>
          <w:szCs w:val="21"/>
        </w:rPr>
      </w:pPr>
      <w:r>
        <w:rPr>
          <w:rFonts w:hint="eastAsia"/>
          <w:bCs/>
          <w:szCs w:val="21"/>
        </w:rPr>
        <w:t>根据</w:t>
      </w:r>
      <w:r>
        <w:rPr>
          <w:rFonts w:hint="eastAsia"/>
          <w:bCs/>
          <w:szCs w:val="21"/>
          <w:lang w:eastAsia="zh-CN"/>
        </w:rPr>
        <w:t>供应商</w:t>
      </w:r>
      <w:r>
        <w:rPr>
          <w:rFonts w:hint="eastAsia"/>
          <w:bCs/>
          <w:szCs w:val="21"/>
        </w:rPr>
        <w:t>售后服务方案和管理水平和服务响应时间等。</w:t>
      </w:r>
    </w:p>
    <w:p>
      <w:r>
        <w:rPr>
          <w:rFonts w:hint="eastAsia"/>
        </w:rPr>
        <w:t>应答：格式自拟。</w:t>
      </w:r>
    </w:p>
    <w:p/>
    <w:p>
      <w:pPr>
        <w:rPr>
          <w:rFonts w:hint="eastAsia"/>
        </w:rPr>
      </w:pPr>
    </w:p>
    <w:p>
      <w:pPr>
        <w:pStyle w:val="2"/>
        <w:spacing w:before="0" w:after="0" w:line="360" w:lineRule="auto"/>
        <w:rPr>
          <w:sz w:val="24"/>
          <w:szCs w:val="24"/>
        </w:rPr>
      </w:pPr>
      <w:r>
        <w:rPr>
          <w:rFonts w:hint="eastAsia"/>
          <w:sz w:val="24"/>
          <w:szCs w:val="24"/>
        </w:rPr>
        <w:t>2</w:t>
      </w:r>
      <w:r>
        <w:rPr>
          <w:sz w:val="24"/>
          <w:szCs w:val="24"/>
        </w:rPr>
        <w:t>.11服务承诺</w:t>
      </w:r>
    </w:p>
    <w:p>
      <w:pPr>
        <w:spacing w:line="360" w:lineRule="auto"/>
        <w:rPr>
          <w:rFonts w:cs="Times New Roman"/>
        </w:rPr>
      </w:pPr>
      <w:r>
        <w:rPr>
          <w:rFonts w:hint="eastAsia" w:cs="Times New Roman"/>
        </w:rPr>
        <w:t>项目基本服务要求以外的，对项目开展有利的资源、技术支撑手段或服务等，考察提供额外的增值服务承诺</w:t>
      </w:r>
    </w:p>
    <w:p>
      <w:r>
        <w:rPr>
          <w:rFonts w:hint="eastAsia"/>
        </w:rPr>
        <w:t>应答：格式自拟。</w:t>
      </w:r>
    </w:p>
    <w:p>
      <w:pPr>
        <w:pStyle w:val="2"/>
        <w:spacing w:before="0" w:after="0" w:line="360" w:lineRule="auto"/>
        <w:rPr>
          <w:rFonts w:hint="eastAsia"/>
          <w:sz w:val="24"/>
          <w:szCs w:val="24"/>
        </w:rPr>
      </w:pPr>
      <w:r>
        <w:rPr>
          <w:rFonts w:hint="eastAsia"/>
          <w:sz w:val="24"/>
          <w:szCs w:val="24"/>
        </w:rPr>
        <w:t>2.1</w:t>
      </w:r>
      <w:r>
        <w:rPr>
          <w:rFonts w:hint="eastAsia"/>
          <w:sz w:val="24"/>
          <w:szCs w:val="24"/>
          <w:lang w:val="en-US" w:eastAsia="zh-CN"/>
        </w:rPr>
        <w:t>2</w:t>
      </w:r>
      <w:r>
        <w:rPr>
          <w:rFonts w:hint="eastAsia"/>
          <w:sz w:val="24"/>
          <w:szCs w:val="24"/>
        </w:rPr>
        <w:t>其他补充材料</w:t>
      </w:r>
    </w:p>
    <w:p>
      <w:pPr>
        <w:pStyle w:val="31"/>
        <w:ind w:left="0" w:leftChars="0" w:firstLine="0" w:firstLineChars="0"/>
        <w:rPr>
          <w:rFonts w:hint="eastAsia"/>
          <w:szCs w:val="22"/>
        </w:rPr>
      </w:pPr>
      <w:r>
        <w:rPr>
          <w:rFonts w:hint="eastAsia"/>
        </w:rPr>
        <w:t>供应商认为需要提供的其他证明材料</w:t>
      </w:r>
      <w:bookmarkEnd w:id="95"/>
      <w:bookmarkEnd w:id="96"/>
      <w:bookmarkEnd w:id="97"/>
      <w:bookmarkEnd w:id="98"/>
      <w:bookmarkEnd w:id="99"/>
      <w:bookmarkEnd w:id="100"/>
      <w:bookmarkEnd w:id="101"/>
      <w:bookmarkEnd w:id="102"/>
      <w:bookmarkEnd w:id="103"/>
      <w:bookmarkEnd w:id="104"/>
      <w:bookmarkEnd w:id="105"/>
      <w:bookmarkEnd w:id="106"/>
    </w:p>
    <w:sectPr>
      <w:footerReference r:id="rId7"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文鼎CS中黑">
    <w:altName w:val="宋体"/>
    <w:panose1 w:val="020B0604020202020204"/>
    <w:charset w:val="86"/>
    <w:family w:val="roman"/>
    <w:pitch w:val="default"/>
    <w:sig w:usb0="00000000" w:usb1="00000000" w:usb2="00000010" w:usb3="00000000" w:csb0="00040000" w:csb1="00000000"/>
  </w:font>
  <w:font w:name="@仿宋_GB2312">
    <w:altName w:val="仿宋"/>
    <w:panose1 w:val="00000000000000000000"/>
    <w:charset w:val="86"/>
    <w:family w:val="modern"/>
    <w:pitch w:val="default"/>
    <w:sig w:usb0="00000000" w:usb1="00000000" w:usb2="00000010" w:usb3="00000000" w:csb0="00040001" w:csb1="00000000"/>
  </w:font>
  <w:font w:name="Cambria">
    <w:panose1 w:val="02040503050406030204"/>
    <w:charset w:val="00"/>
    <w:family w:val="roman"/>
    <w:pitch w:val="default"/>
    <w:sig w:usb0="E00006FF" w:usb1="420024FF" w:usb2="02000000" w:usb3="00000000" w:csb0="2000019F" w:csb1="00000000"/>
  </w:font>
  <w:font w:name="TimesNewRomanPSMT">
    <w:altName w:val="Times New Roman"/>
    <w:panose1 w:val="020B0604020202020204"/>
    <w:charset w:val="00"/>
    <w:family w:val="roman"/>
    <w:pitch w:val="default"/>
    <w:sig w:usb0="00000000" w:usb1="00000000" w:usb2="00000000" w:usb3="00000000" w:csb0="00000000" w:csb1="00000000"/>
  </w:font>
  <w:font w:name="Sylfaen">
    <w:panose1 w:val="010A0502050306030303"/>
    <w:charset w:val="00"/>
    <w:family w:val="roman"/>
    <w:pitch w:val="default"/>
    <w:sig w:usb0="04000687" w:usb1="00000000" w:usb2="00000000" w:usb3="00000000" w:csb0="2000009F" w:csb1="00000000"/>
  </w:font>
  <w:font w:name="MingLiU">
    <w:altName w:val="PMingLiU-ExtB"/>
    <w:panose1 w:val="02020509000000000000"/>
    <w:charset w:val="88"/>
    <w:family w:val="modern"/>
    <w:pitch w:val="default"/>
    <w:sig w:usb0="00000000" w:usb1="00000000" w:usb2="00000016" w:usb3="00000000" w:csb0="00100001" w:csb1="00000000"/>
  </w:font>
  <w:font w:name="Tahoma">
    <w:panose1 w:val="020B0604030504040204"/>
    <w:charset w:val="00"/>
    <w:family w:val="swiss"/>
    <w:pitch w:val="default"/>
    <w:sig w:usb0="E1002EFF" w:usb1="C000605B" w:usb2="00000029" w:usb3="00000000" w:csb0="200101FF" w:csb1="20280000"/>
  </w:font>
  <w:font w:name="仿宋_GB2312">
    <w:altName w:val="仿宋"/>
    <w:panose1 w:val="02010609030101010101"/>
    <w:charset w:val="86"/>
    <w:family w:val="modern"/>
    <w:pitch w:val="default"/>
    <w:sig w:usb0="00000000" w:usb1="00000000" w:usb2="00000010" w:usb3="00000000" w:csb0="00040001"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auto"/>
    <w:pitch w:val="default"/>
    <w:sig w:usb0="800002BF" w:usb1="38CF7CFA" w:usb2="00000016" w:usb3="00000000" w:csb0="00040001" w:csb1="00000000"/>
  </w:font>
  <w:font w:name="PMingLiU-ExtB">
    <w:panose1 w:val="02020500000000000000"/>
    <w:charset w:val="88"/>
    <w:family w:val="auto"/>
    <w:pitch w:val="default"/>
    <w:sig w:usb0="8000002F" w:usb1="02000008" w:usb2="00000000"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jc w:val="center"/>
      <w:rPr>
        <w:rFonts w:asciiTheme="minorEastAsia" w:hAnsiTheme="minorEastAsia" w:eastAsiaTheme="minorEastAsia"/>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rPr>
        <w:rFonts w:hint="eastAsia" w:eastAsia="宋体"/>
        <w:lang w:val="en-US" w:eastAsia="zh-CN"/>
      </w:rPr>
    </w:pPr>
    <w:r>
      <w:rPr>
        <w:sz w:val="24"/>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3" name="文本框 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OGA044yAgAAYQQAAA4AAABkcnMvZTJvRG9jLnhtbK1UzY7TMBC+I/EO&#10;lu80aStW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pm/T9sLVA3CpkSOS6B4brdDsm57Z3uRn&#10;EHOm6wxv+aZC8i3z4YE5tAIejGEJ91gKaZDE9BYlpXFf/3Ue41EheCmp0VoZ1ZgkSuQHjcoBMAyG&#10;G4z9YOijujPo1TGG0PLWxAUX5GAWzqgvmKBVzAEX0xyZMhoG8y507Y0J5GK1aoOO1lWHsruAvrMs&#10;bPXO8pgmCunt6hggZqtxFKhTpdcNnddWqZ+S2Np/7tuopz/D8hF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4YDTjj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3</w:t>
                    </w:r>
                    <w:r>
                      <w:rPr>
                        <w:rFonts w:hint="eastAsia"/>
                        <w:lang w:eastAsia="zh-CN"/>
                      </w:rPr>
                      <w:fldChar w:fldCharType="end"/>
                    </w:r>
                  </w:p>
                </w:txbxContent>
              </v:textbox>
            </v:shape>
          </w:pict>
        </mc:Fallback>
      </mc:AlternateContent>
    </w:r>
    <w:r>
      <w:rPr>
        <w:rFonts w:hint="eastAsia"/>
        <w:lang w:val="en-US" w:eastAsia="zh-CN"/>
      </w:rPr>
      <w:t>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8"/>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95</w:t>
                          </w:r>
                          <w:r>
                            <w:rPr>
                              <w:rFonts w:hint="eastAsia"/>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qMOCsyAgAAY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">
              <v:fill on="f" focussize="0,0"/>
              <v:stroke on="f" weight="0.5pt"/>
              <v:imagedata o:title=""/>
              <o:lock v:ext="edit" aspectratio="f"/>
              <v:textbox inset="0mm,0mm,0mm,0mm" style="mso-fit-shape-to-text:t;">
                <w:txbxContent>
                  <w:p>
                    <w:pPr>
                      <w:pStyle w:val="18"/>
                      <w:rPr>
                        <w:rFonts w:hint="eastAsia" w:eastAsia="宋体"/>
                        <w:lang w:eastAsia="zh-CN"/>
                      </w:rPr>
                    </w:pPr>
                    <w:r>
                      <w:rPr>
                        <w:rFonts w:hint="eastAsia"/>
                        <w:lang w:eastAsia="zh-CN"/>
                      </w:rPr>
                      <w:fldChar w:fldCharType="begin"/>
                    </w:r>
                    <w:r>
                      <w:rPr>
                        <w:rFonts w:hint="eastAsia"/>
                        <w:lang w:eastAsia="zh-CN"/>
                      </w:rPr>
                      <w:instrText xml:space="preserve"> PAGE  \* MERGEFORMAT </w:instrText>
                    </w:r>
                    <w:r>
                      <w:rPr>
                        <w:rFonts w:hint="eastAsia"/>
                        <w:lang w:eastAsia="zh-CN"/>
                      </w:rPr>
                      <w:fldChar w:fldCharType="separate"/>
                    </w:r>
                    <w:r>
                      <w:rPr>
                        <w:rFonts w:hint="eastAsia"/>
                        <w:lang w:eastAsia="zh-CN"/>
                      </w:rPr>
                      <w:t>95</w:t>
                    </w:r>
                    <w:r>
                      <w:rPr>
                        <w:rFonts w:hint="eastAsia"/>
                        <w:lang w:eastAsia="zh-CN"/>
                      </w:rP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9"/>
      <w:jc w:val="right"/>
    </w:pPr>
    <w:r>
      <w:rPr>
        <w:rFonts w:asciiTheme="minorEastAsia" w:hAnsiTheme="minorEastAsia" w:eastAsiaTheme="minorEastAsia"/>
      </w:rPr>
      <w:t>新疆维吾尔自治区某单位2022年度生活物资采购项目(包</w:t>
    </w:r>
    <w:r>
      <w:rPr>
        <w:rFonts w:hint="eastAsia" w:asciiTheme="minorEastAsia" w:hAnsiTheme="minorEastAsia" w:eastAsiaTheme="minorEastAsia"/>
        <w:lang w:val="en-US" w:eastAsia="zh-CN"/>
      </w:rPr>
      <w:t>六</w:t>
    </w:r>
    <w:r>
      <w:rPr>
        <w:rFonts w:asciiTheme="minorEastAsia" w:hAnsiTheme="minorEastAsia" w:eastAsiaTheme="minorEastAsia"/>
      </w:rPr>
      <w:t>至包</w:t>
    </w:r>
    <w:r>
      <w:rPr>
        <w:rFonts w:hint="eastAsia" w:asciiTheme="minorEastAsia" w:hAnsiTheme="minorEastAsia" w:eastAsiaTheme="minorEastAsia"/>
        <w:lang w:val="en-US" w:eastAsia="zh-CN"/>
      </w:rPr>
      <w:t>九</w:t>
    </w:r>
    <w:r>
      <w:rPr>
        <w:rFonts w:asciiTheme="minorEastAsia" w:hAnsiTheme="minorEastAsia" w:eastAsiaTheme="minorEastAsia"/>
      </w:rPr>
      <w: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3D78AEB"/>
    <w:multiLevelType w:val="singleLevel"/>
    <w:tmpl w:val="B3D78AEB"/>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HorizontalSpacing w:val="120"/>
  <w:drawingGridVerticalSpacing w:val="163"/>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76BA1"/>
    <w:rsid w:val="0000043F"/>
    <w:rsid w:val="00000C0B"/>
    <w:rsid w:val="000010CC"/>
    <w:rsid w:val="00002140"/>
    <w:rsid w:val="0000446C"/>
    <w:rsid w:val="000049DA"/>
    <w:rsid w:val="00004F75"/>
    <w:rsid w:val="000056B7"/>
    <w:rsid w:val="00010A48"/>
    <w:rsid w:val="00012A13"/>
    <w:rsid w:val="000131F7"/>
    <w:rsid w:val="00013C81"/>
    <w:rsid w:val="00016B40"/>
    <w:rsid w:val="00016B6C"/>
    <w:rsid w:val="0001712F"/>
    <w:rsid w:val="00020B57"/>
    <w:rsid w:val="00021E5A"/>
    <w:rsid w:val="0002225B"/>
    <w:rsid w:val="000229D1"/>
    <w:rsid w:val="00022A77"/>
    <w:rsid w:val="000331AF"/>
    <w:rsid w:val="00033B5B"/>
    <w:rsid w:val="00037DBE"/>
    <w:rsid w:val="00041596"/>
    <w:rsid w:val="00041963"/>
    <w:rsid w:val="00042139"/>
    <w:rsid w:val="00042434"/>
    <w:rsid w:val="00042B14"/>
    <w:rsid w:val="00044F49"/>
    <w:rsid w:val="000450C3"/>
    <w:rsid w:val="000453F0"/>
    <w:rsid w:val="000479A6"/>
    <w:rsid w:val="00050A3F"/>
    <w:rsid w:val="00050E62"/>
    <w:rsid w:val="00051DB9"/>
    <w:rsid w:val="000530EC"/>
    <w:rsid w:val="00053B86"/>
    <w:rsid w:val="00054466"/>
    <w:rsid w:val="000544DE"/>
    <w:rsid w:val="000571B9"/>
    <w:rsid w:val="00061444"/>
    <w:rsid w:val="00061866"/>
    <w:rsid w:val="00061DBE"/>
    <w:rsid w:val="00064552"/>
    <w:rsid w:val="000648D2"/>
    <w:rsid w:val="00064FB3"/>
    <w:rsid w:val="00065FBE"/>
    <w:rsid w:val="000673AB"/>
    <w:rsid w:val="00067A25"/>
    <w:rsid w:val="00070100"/>
    <w:rsid w:val="0007015B"/>
    <w:rsid w:val="00070E0E"/>
    <w:rsid w:val="00071451"/>
    <w:rsid w:val="00072604"/>
    <w:rsid w:val="000761E1"/>
    <w:rsid w:val="00076DB7"/>
    <w:rsid w:val="00080006"/>
    <w:rsid w:val="00080FEB"/>
    <w:rsid w:val="00081B81"/>
    <w:rsid w:val="0008247E"/>
    <w:rsid w:val="000850B3"/>
    <w:rsid w:val="000868D6"/>
    <w:rsid w:val="00093581"/>
    <w:rsid w:val="00094D41"/>
    <w:rsid w:val="00095F8D"/>
    <w:rsid w:val="00097CB9"/>
    <w:rsid w:val="000A3569"/>
    <w:rsid w:val="000A3EAE"/>
    <w:rsid w:val="000A40B9"/>
    <w:rsid w:val="000A4640"/>
    <w:rsid w:val="000A6345"/>
    <w:rsid w:val="000A6497"/>
    <w:rsid w:val="000A6693"/>
    <w:rsid w:val="000A6B73"/>
    <w:rsid w:val="000A7279"/>
    <w:rsid w:val="000A7CCC"/>
    <w:rsid w:val="000A7D94"/>
    <w:rsid w:val="000B1511"/>
    <w:rsid w:val="000B54F4"/>
    <w:rsid w:val="000B5D37"/>
    <w:rsid w:val="000B6950"/>
    <w:rsid w:val="000C1385"/>
    <w:rsid w:val="000C1DB1"/>
    <w:rsid w:val="000C35DD"/>
    <w:rsid w:val="000C4548"/>
    <w:rsid w:val="000C5EAC"/>
    <w:rsid w:val="000D1B1B"/>
    <w:rsid w:val="000D238A"/>
    <w:rsid w:val="000D33E5"/>
    <w:rsid w:val="000D3F37"/>
    <w:rsid w:val="000D431F"/>
    <w:rsid w:val="000D484D"/>
    <w:rsid w:val="000E2955"/>
    <w:rsid w:val="000E3A18"/>
    <w:rsid w:val="000E3C74"/>
    <w:rsid w:val="000E3F9B"/>
    <w:rsid w:val="000E40F2"/>
    <w:rsid w:val="000E522C"/>
    <w:rsid w:val="000E54A4"/>
    <w:rsid w:val="000E6689"/>
    <w:rsid w:val="000E7005"/>
    <w:rsid w:val="000E7D37"/>
    <w:rsid w:val="000F014C"/>
    <w:rsid w:val="000F170D"/>
    <w:rsid w:val="000F172B"/>
    <w:rsid w:val="000F1B3C"/>
    <w:rsid w:val="000F1C24"/>
    <w:rsid w:val="000F2198"/>
    <w:rsid w:val="000F3187"/>
    <w:rsid w:val="000F33F9"/>
    <w:rsid w:val="000F39B6"/>
    <w:rsid w:val="000F3AF8"/>
    <w:rsid w:val="000F4553"/>
    <w:rsid w:val="000F6B7B"/>
    <w:rsid w:val="000F6B96"/>
    <w:rsid w:val="00100B0F"/>
    <w:rsid w:val="0010187C"/>
    <w:rsid w:val="001037E3"/>
    <w:rsid w:val="00110911"/>
    <w:rsid w:val="00114712"/>
    <w:rsid w:val="00116A70"/>
    <w:rsid w:val="0012143A"/>
    <w:rsid w:val="001222C6"/>
    <w:rsid w:val="001227FD"/>
    <w:rsid w:val="001273E1"/>
    <w:rsid w:val="001301D9"/>
    <w:rsid w:val="00130754"/>
    <w:rsid w:val="001313DB"/>
    <w:rsid w:val="0013338D"/>
    <w:rsid w:val="00133B5B"/>
    <w:rsid w:val="00135027"/>
    <w:rsid w:val="0013513C"/>
    <w:rsid w:val="00135966"/>
    <w:rsid w:val="00136C53"/>
    <w:rsid w:val="00136D80"/>
    <w:rsid w:val="00137C7C"/>
    <w:rsid w:val="00137E43"/>
    <w:rsid w:val="00140687"/>
    <w:rsid w:val="00141707"/>
    <w:rsid w:val="001421D0"/>
    <w:rsid w:val="00146421"/>
    <w:rsid w:val="00146A93"/>
    <w:rsid w:val="001479CF"/>
    <w:rsid w:val="0015030E"/>
    <w:rsid w:val="001507AD"/>
    <w:rsid w:val="00150C41"/>
    <w:rsid w:val="00153927"/>
    <w:rsid w:val="00153D8A"/>
    <w:rsid w:val="00155F64"/>
    <w:rsid w:val="00156BB6"/>
    <w:rsid w:val="00157856"/>
    <w:rsid w:val="00160729"/>
    <w:rsid w:val="00160D83"/>
    <w:rsid w:val="001638BF"/>
    <w:rsid w:val="00163BE5"/>
    <w:rsid w:val="00163F1D"/>
    <w:rsid w:val="001644D1"/>
    <w:rsid w:val="00166ED8"/>
    <w:rsid w:val="0017060A"/>
    <w:rsid w:val="00170CF5"/>
    <w:rsid w:val="001714C9"/>
    <w:rsid w:val="0017207C"/>
    <w:rsid w:val="00174052"/>
    <w:rsid w:val="00174F78"/>
    <w:rsid w:val="001754E2"/>
    <w:rsid w:val="001769FE"/>
    <w:rsid w:val="00176DA5"/>
    <w:rsid w:val="0018119B"/>
    <w:rsid w:val="00182493"/>
    <w:rsid w:val="001826D0"/>
    <w:rsid w:val="00183344"/>
    <w:rsid w:val="001837F0"/>
    <w:rsid w:val="00183897"/>
    <w:rsid w:val="001844AB"/>
    <w:rsid w:val="00185468"/>
    <w:rsid w:val="00186A0D"/>
    <w:rsid w:val="00190F1F"/>
    <w:rsid w:val="0019245D"/>
    <w:rsid w:val="001944B8"/>
    <w:rsid w:val="001950CB"/>
    <w:rsid w:val="00196DA3"/>
    <w:rsid w:val="00197361"/>
    <w:rsid w:val="0019788D"/>
    <w:rsid w:val="00197AC4"/>
    <w:rsid w:val="001A0DCD"/>
    <w:rsid w:val="001A3871"/>
    <w:rsid w:val="001A4306"/>
    <w:rsid w:val="001A5D34"/>
    <w:rsid w:val="001A68E5"/>
    <w:rsid w:val="001A7732"/>
    <w:rsid w:val="001B0A70"/>
    <w:rsid w:val="001B12AA"/>
    <w:rsid w:val="001B16A3"/>
    <w:rsid w:val="001B21DF"/>
    <w:rsid w:val="001B2A54"/>
    <w:rsid w:val="001B5014"/>
    <w:rsid w:val="001B7327"/>
    <w:rsid w:val="001C27EC"/>
    <w:rsid w:val="001C3310"/>
    <w:rsid w:val="001C412D"/>
    <w:rsid w:val="001C67F2"/>
    <w:rsid w:val="001C762D"/>
    <w:rsid w:val="001D3BE8"/>
    <w:rsid w:val="001D46EF"/>
    <w:rsid w:val="001D53B4"/>
    <w:rsid w:val="001D667F"/>
    <w:rsid w:val="001E1852"/>
    <w:rsid w:val="001E536A"/>
    <w:rsid w:val="001E579F"/>
    <w:rsid w:val="001E5E26"/>
    <w:rsid w:val="001F0599"/>
    <w:rsid w:val="001F0F7E"/>
    <w:rsid w:val="001F28D2"/>
    <w:rsid w:val="001F2F45"/>
    <w:rsid w:val="001F3023"/>
    <w:rsid w:val="001F35F6"/>
    <w:rsid w:val="001F6735"/>
    <w:rsid w:val="001F74CA"/>
    <w:rsid w:val="002003B6"/>
    <w:rsid w:val="00201794"/>
    <w:rsid w:val="00201EB2"/>
    <w:rsid w:val="00203385"/>
    <w:rsid w:val="00203F50"/>
    <w:rsid w:val="002049B4"/>
    <w:rsid w:val="0020520B"/>
    <w:rsid w:val="00205257"/>
    <w:rsid w:val="00205F73"/>
    <w:rsid w:val="0021133B"/>
    <w:rsid w:val="002126DF"/>
    <w:rsid w:val="00213C55"/>
    <w:rsid w:val="00213F7F"/>
    <w:rsid w:val="00215723"/>
    <w:rsid w:val="00215894"/>
    <w:rsid w:val="002163CF"/>
    <w:rsid w:val="0021657C"/>
    <w:rsid w:val="002168C4"/>
    <w:rsid w:val="00216A24"/>
    <w:rsid w:val="002178B1"/>
    <w:rsid w:val="00220BAE"/>
    <w:rsid w:val="00221624"/>
    <w:rsid w:val="00223BB3"/>
    <w:rsid w:val="00223CF4"/>
    <w:rsid w:val="00224C4A"/>
    <w:rsid w:val="00225C05"/>
    <w:rsid w:val="00227292"/>
    <w:rsid w:val="00227D8D"/>
    <w:rsid w:val="002306F9"/>
    <w:rsid w:val="00231012"/>
    <w:rsid w:val="002335D6"/>
    <w:rsid w:val="0023375F"/>
    <w:rsid w:val="0023407E"/>
    <w:rsid w:val="00235770"/>
    <w:rsid w:val="00235E60"/>
    <w:rsid w:val="00237743"/>
    <w:rsid w:val="00240B40"/>
    <w:rsid w:val="00241AF5"/>
    <w:rsid w:val="00243B65"/>
    <w:rsid w:val="002440D8"/>
    <w:rsid w:val="00244182"/>
    <w:rsid w:val="0024419C"/>
    <w:rsid w:val="0024467B"/>
    <w:rsid w:val="00246810"/>
    <w:rsid w:val="002470FC"/>
    <w:rsid w:val="0025348A"/>
    <w:rsid w:val="00255B5F"/>
    <w:rsid w:val="00260860"/>
    <w:rsid w:val="00260B94"/>
    <w:rsid w:val="00264F2E"/>
    <w:rsid w:val="00266328"/>
    <w:rsid w:val="0026644D"/>
    <w:rsid w:val="002671E5"/>
    <w:rsid w:val="00267261"/>
    <w:rsid w:val="00270FA0"/>
    <w:rsid w:val="00271245"/>
    <w:rsid w:val="00272D76"/>
    <w:rsid w:val="00272E6E"/>
    <w:rsid w:val="00274A9E"/>
    <w:rsid w:val="00276292"/>
    <w:rsid w:val="00276680"/>
    <w:rsid w:val="00276BA1"/>
    <w:rsid w:val="00276BB3"/>
    <w:rsid w:val="00277094"/>
    <w:rsid w:val="00277943"/>
    <w:rsid w:val="00280CD0"/>
    <w:rsid w:val="002962B4"/>
    <w:rsid w:val="002A0DED"/>
    <w:rsid w:val="002A1A1D"/>
    <w:rsid w:val="002A273B"/>
    <w:rsid w:val="002A28AD"/>
    <w:rsid w:val="002A3AEE"/>
    <w:rsid w:val="002A3B41"/>
    <w:rsid w:val="002A408B"/>
    <w:rsid w:val="002A6C51"/>
    <w:rsid w:val="002A7F20"/>
    <w:rsid w:val="002B0E1F"/>
    <w:rsid w:val="002B195F"/>
    <w:rsid w:val="002B4C0B"/>
    <w:rsid w:val="002B5318"/>
    <w:rsid w:val="002B5373"/>
    <w:rsid w:val="002B55F6"/>
    <w:rsid w:val="002B6D27"/>
    <w:rsid w:val="002C0D40"/>
    <w:rsid w:val="002C173B"/>
    <w:rsid w:val="002C4BA9"/>
    <w:rsid w:val="002C5C02"/>
    <w:rsid w:val="002C67FC"/>
    <w:rsid w:val="002C7FF3"/>
    <w:rsid w:val="002D0A13"/>
    <w:rsid w:val="002D1258"/>
    <w:rsid w:val="002D21BF"/>
    <w:rsid w:val="002D2965"/>
    <w:rsid w:val="002D3D02"/>
    <w:rsid w:val="002D4CB5"/>
    <w:rsid w:val="002D6022"/>
    <w:rsid w:val="002D654C"/>
    <w:rsid w:val="002D684B"/>
    <w:rsid w:val="002E3170"/>
    <w:rsid w:val="002E3B26"/>
    <w:rsid w:val="002E4AB8"/>
    <w:rsid w:val="002E7997"/>
    <w:rsid w:val="002F092B"/>
    <w:rsid w:val="002F0B33"/>
    <w:rsid w:val="002F22CA"/>
    <w:rsid w:val="002F2501"/>
    <w:rsid w:val="002F457C"/>
    <w:rsid w:val="002F4A4C"/>
    <w:rsid w:val="002F4DF8"/>
    <w:rsid w:val="002F5981"/>
    <w:rsid w:val="002F7E17"/>
    <w:rsid w:val="00301C75"/>
    <w:rsid w:val="00302AB8"/>
    <w:rsid w:val="00304E70"/>
    <w:rsid w:val="00304EA5"/>
    <w:rsid w:val="00306D56"/>
    <w:rsid w:val="00307300"/>
    <w:rsid w:val="0030735C"/>
    <w:rsid w:val="00310070"/>
    <w:rsid w:val="00310A8C"/>
    <w:rsid w:val="00310CC5"/>
    <w:rsid w:val="003110EC"/>
    <w:rsid w:val="00313029"/>
    <w:rsid w:val="003149DE"/>
    <w:rsid w:val="00316972"/>
    <w:rsid w:val="00320EC9"/>
    <w:rsid w:val="0032131E"/>
    <w:rsid w:val="00325A23"/>
    <w:rsid w:val="00327430"/>
    <w:rsid w:val="00327C92"/>
    <w:rsid w:val="00327D90"/>
    <w:rsid w:val="0033245B"/>
    <w:rsid w:val="00332891"/>
    <w:rsid w:val="00333292"/>
    <w:rsid w:val="003344E7"/>
    <w:rsid w:val="0033580B"/>
    <w:rsid w:val="0033628B"/>
    <w:rsid w:val="003365E7"/>
    <w:rsid w:val="003372A6"/>
    <w:rsid w:val="003378D5"/>
    <w:rsid w:val="003419E9"/>
    <w:rsid w:val="00341E44"/>
    <w:rsid w:val="00341ED8"/>
    <w:rsid w:val="003447AE"/>
    <w:rsid w:val="00346B3D"/>
    <w:rsid w:val="003473D7"/>
    <w:rsid w:val="0035054C"/>
    <w:rsid w:val="00351AC8"/>
    <w:rsid w:val="0035255E"/>
    <w:rsid w:val="00353075"/>
    <w:rsid w:val="00353F9E"/>
    <w:rsid w:val="00357E7D"/>
    <w:rsid w:val="00361C50"/>
    <w:rsid w:val="00362300"/>
    <w:rsid w:val="00362EF3"/>
    <w:rsid w:val="0036320C"/>
    <w:rsid w:val="00363E02"/>
    <w:rsid w:val="00364C20"/>
    <w:rsid w:val="00367C6A"/>
    <w:rsid w:val="003739B8"/>
    <w:rsid w:val="00373A96"/>
    <w:rsid w:val="003755BD"/>
    <w:rsid w:val="00375A9A"/>
    <w:rsid w:val="003826C2"/>
    <w:rsid w:val="00383728"/>
    <w:rsid w:val="00386C4A"/>
    <w:rsid w:val="00391586"/>
    <w:rsid w:val="003923A3"/>
    <w:rsid w:val="00392488"/>
    <w:rsid w:val="00392617"/>
    <w:rsid w:val="00394128"/>
    <w:rsid w:val="003947A4"/>
    <w:rsid w:val="00395235"/>
    <w:rsid w:val="0039561A"/>
    <w:rsid w:val="00397C7D"/>
    <w:rsid w:val="003A004F"/>
    <w:rsid w:val="003A0142"/>
    <w:rsid w:val="003A0C3B"/>
    <w:rsid w:val="003A6BA4"/>
    <w:rsid w:val="003A7725"/>
    <w:rsid w:val="003B2FC4"/>
    <w:rsid w:val="003B4130"/>
    <w:rsid w:val="003B50DB"/>
    <w:rsid w:val="003B5D5A"/>
    <w:rsid w:val="003B5DDF"/>
    <w:rsid w:val="003B67D3"/>
    <w:rsid w:val="003B715B"/>
    <w:rsid w:val="003B7C89"/>
    <w:rsid w:val="003C346F"/>
    <w:rsid w:val="003C4609"/>
    <w:rsid w:val="003C4630"/>
    <w:rsid w:val="003C794A"/>
    <w:rsid w:val="003C7CE1"/>
    <w:rsid w:val="003D1D14"/>
    <w:rsid w:val="003D6A0E"/>
    <w:rsid w:val="003D6BB5"/>
    <w:rsid w:val="003D6C7C"/>
    <w:rsid w:val="003D6EFB"/>
    <w:rsid w:val="003D7E52"/>
    <w:rsid w:val="003E25C6"/>
    <w:rsid w:val="003E2BFB"/>
    <w:rsid w:val="003E3BF1"/>
    <w:rsid w:val="003E44F6"/>
    <w:rsid w:val="003E47EB"/>
    <w:rsid w:val="003E5720"/>
    <w:rsid w:val="003E6A0C"/>
    <w:rsid w:val="003F01D9"/>
    <w:rsid w:val="003F145B"/>
    <w:rsid w:val="003F326A"/>
    <w:rsid w:val="003F6334"/>
    <w:rsid w:val="003F7990"/>
    <w:rsid w:val="004011AA"/>
    <w:rsid w:val="0040202C"/>
    <w:rsid w:val="00402622"/>
    <w:rsid w:val="004040AA"/>
    <w:rsid w:val="00406044"/>
    <w:rsid w:val="00406508"/>
    <w:rsid w:val="004108CF"/>
    <w:rsid w:val="00412238"/>
    <w:rsid w:val="00412D60"/>
    <w:rsid w:val="0041456E"/>
    <w:rsid w:val="00414F7E"/>
    <w:rsid w:val="004164F8"/>
    <w:rsid w:val="00417FD0"/>
    <w:rsid w:val="00420B7F"/>
    <w:rsid w:val="004230DA"/>
    <w:rsid w:val="0042488B"/>
    <w:rsid w:val="004269FC"/>
    <w:rsid w:val="00427915"/>
    <w:rsid w:val="00427CFB"/>
    <w:rsid w:val="00432E88"/>
    <w:rsid w:val="004334D4"/>
    <w:rsid w:val="00434020"/>
    <w:rsid w:val="00435EBC"/>
    <w:rsid w:val="0043611C"/>
    <w:rsid w:val="00440D65"/>
    <w:rsid w:val="0044165D"/>
    <w:rsid w:val="004427B7"/>
    <w:rsid w:val="0044349F"/>
    <w:rsid w:val="00444AB6"/>
    <w:rsid w:val="00445922"/>
    <w:rsid w:val="00445F1F"/>
    <w:rsid w:val="00446233"/>
    <w:rsid w:val="00447687"/>
    <w:rsid w:val="00450F26"/>
    <w:rsid w:val="0045143E"/>
    <w:rsid w:val="00451DB4"/>
    <w:rsid w:val="00451F60"/>
    <w:rsid w:val="004521E9"/>
    <w:rsid w:val="00452BB2"/>
    <w:rsid w:val="00454200"/>
    <w:rsid w:val="0045656D"/>
    <w:rsid w:val="00456AEA"/>
    <w:rsid w:val="00461174"/>
    <w:rsid w:val="00462D98"/>
    <w:rsid w:val="00464ABE"/>
    <w:rsid w:val="00465E67"/>
    <w:rsid w:val="00465F1C"/>
    <w:rsid w:val="0046693A"/>
    <w:rsid w:val="004673DE"/>
    <w:rsid w:val="00471812"/>
    <w:rsid w:val="00471EC8"/>
    <w:rsid w:val="00472A44"/>
    <w:rsid w:val="0047379B"/>
    <w:rsid w:val="00473A89"/>
    <w:rsid w:val="00473AED"/>
    <w:rsid w:val="00473E34"/>
    <w:rsid w:val="00474D3B"/>
    <w:rsid w:val="004757D6"/>
    <w:rsid w:val="00475899"/>
    <w:rsid w:val="004802A8"/>
    <w:rsid w:val="00480C6D"/>
    <w:rsid w:val="00482C78"/>
    <w:rsid w:val="00484B16"/>
    <w:rsid w:val="00484D40"/>
    <w:rsid w:val="00485BA4"/>
    <w:rsid w:val="004874AE"/>
    <w:rsid w:val="004904A5"/>
    <w:rsid w:val="00490739"/>
    <w:rsid w:val="00491C6A"/>
    <w:rsid w:val="00492E2B"/>
    <w:rsid w:val="00494D24"/>
    <w:rsid w:val="004951D1"/>
    <w:rsid w:val="004979BD"/>
    <w:rsid w:val="004A2516"/>
    <w:rsid w:val="004A27D0"/>
    <w:rsid w:val="004A4D67"/>
    <w:rsid w:val="004A549F"/>
    <w:rsid w:val="004A6A95"/>
    <w:rsid w:val="004A70E0"/>
    <w:rsid w:val="004B2D4C"/>
    <w:rsid w:val="004B59C6"/>
    <w:rsid w:val="004B5E7F"/>
    <w:rsid w:val="004C1596"/>
    <w:rsid w:val="004C1C10"/>
    <w:rsid w:val="004C658B"/>
    <w:rsid w:val="004C7378"/>
    <w:rsid w:val="004C784D"/>
    <w:rsid w:val="004D075B"/>
    <w:rsid w:val="004D3D4B"/>
    <w:rsid w:val="004D5498"/>
    <w:rsid w:val="004D66A5"/>
    <w:rsid w:val="004D6B00"/>
    <w:rsid w:val="004E1619"/>
    <w:rsid w:val="004E1D50"/>
    <w:rsid w:val="004E5F79"/>
    <w:rsid w:val="004E6563"/>
    <w:rsid w:val="004E7806"/>
    <w:rsid w:val="004E7B58"/>
    <w:rsid w:val="004F0396"/>
    <w:rsid w:val="004F4906"/>
    <w:rsid w:val="004F6336"/>
    <w:rsid w:val="00501382"/>
    <w:rsid w:val="00503F25"/>
    <w:rsid w:val="00505019"/>
    <w:rsid w:val="005054B9"/>
    <w:rsid w:val="0050582D"/>
    <w:rsid w:val="00505BF7"/>
    <w:rsid w:val="00506E4F"/>
    <w:rsid w:val="00507A76"/>
    <w:rsid w:val="00510798"/>
    <w:rsid w:val="005139EE"/>
    <w:rsid w:val="00514ED8"/>
    <w:rsid w:val="00515F12"/>
    <w:rsid w:val="00520E7A"/>
    <w:rsid w:val="00521EED"/>
    <w:rsid w:val="005245FA"/>
    <w:rsid w:val="00524A11"/>
    <w:rsid w:val="00525BE3"/>
    <w:rsid w:val="00527768"/>
    <w:rsid w:val="0053079A"/>
    <w:rsid w:val="00531771"/>
    <w:rsid w:val="0053237B"/>
    <w:rsid w:val="00532623"/>
    <w:rsid w:val="005327FB"/>
    <w:rsid w:val="00533FCA"/>
    <w:rsid w:val="00534582"/>
    <w:rsid w:val="0053610D"/>
    <w:rsid w:val="005376A7"/>
    <w:rsid w:val="005424B8"/>
    <w:rsid w:val="0054317E"/>
    <w:rsid w:val="005462E2"/>
    <w:rsid w:val="00546BE7"/>
    <w:rsid w:val="00546D49"/>
    <w:rsid w:val="00555A2E"/>
    <w:rsid w:val="00557B1C"/>
    <w:rsid w:val="00560679"/>
    <w:rsid w:val="00560A38"/>
    <w:rsid w:val="005616B5"/>
    <w:rsid w:val="005622EF"/>
    <w:rsid w:val="00562862"/>
    <w:rsid w:val="005634D8"/>
    <w:rsid w:val="005657D1"/>
    <w:rsid w:val="005663D3"/>
    <w:rsid w:val="005671A9"/>
    <w:rsid w:val="00567821"/>
    <w:rsid w:val="0057111F"/>
    <w:rsid w:val="00571315"/>
    <w:rsid w:val="00571BE3"/>
    <w:rsid w:val="005749F1"/>
    <w:rsid w:val="00575D22"/>
    <w:rsid w:val="00580B3A"/>
    <w:rsid w:val="00582075"/>
    <w:rsid w:val="00585EB3"/>
    <w:rsid w:val="00592509"/>
    <w:rsid w:val="005927CD"/>
    <w:rsid w:val="00596721"/>
    <w:rsid w:val="00597B15"/>
    <w:rsid w:val="005A044C"/>
    <w:rsid w:val="005A0894"/>
    <w:rsid w:val="005A4BA1"/>
    <w:rsid w:val="005A7120"/>
    <w:rsid w:val="005B5C95"/>
    <w:rsid w:val="005B66D8"/>
    <w:rsid w:val="005B6740"/>
    <w:rsid w:val="005C14AC"/>
    <w:rsid w:val="005C34ED"/>
    <w:rsid w:val="005D0200"/>
    <w:rsid w:val="005D44EF"/>
    <w:rsid w:val="005D4814"/>
    <w:rsid w:val="005D5112"/>
    <w:rsid w:val="005D6C3F"/>
    <w:rsid w:val="005E3A34"/>
    <w:rsid w:val="005E4CBE"/>
    <w:rsid w:val="005E5295"/>
    <w:rsid w:val="005F056C"/>
    <w:rsid w:val="005F3914"/>
    <w:rsid w:val="005F3B5A"/>
    <w:rsid w:val="005F3C26"/>
    <w:rsid w:val="005F5083"/>
    <w:rsid w:val="005F6AB4"/>
    <w:rsid w:val="00600A73"/>
    <w:rsid w:val="00601873"/>
    <w:rsid w:val="0060209F"/>
    <w:rsid w:val="00603453"/>
    <w:rsid w:val="00604C53"/>
    <w:rsid w:val="00607CED"/>
    <w:rsid w:val="00610A66"/>
    <w:rsid w:val="00610BF2"/>
    <w:rsid w:val="0061145D"/>
    <w:rsid w:val="0061291A"/>
    <w:rsid w:val="00613177"/>
    <w:rsid w:val="00613F7C"/>
    <w:rsid w:val="00614BF2"/>
    <w:rsid w:val="0061618E"/>
    <w:rsid w:val="00620560"/>
    <w:rsid w:val="006208CB"/>
    <w:rsid w:val="00623DE2"/>
    <w:rsid w:val="00623DEF"/>
    <w:rsid w:val="00624AA2"/>
    <w:rsid w:val="00624EE5"/>
    <w:rsid w:val="00627601"/>
    <w:rsid w:val="006300D0"/>
    <w:rsid w:val="00630D94"/>
    <w:rsid w:val="00632012"/>
    <w:rsid w:val="00632284"/>
    <w:rsid w:val="00633043"/>
    <w:rsid w:val="00634694"/>
    <w:rsid w:val="00635F9D"/>
    <w:rsid w:val="00636517"/>
    <w:rsid w:val="00636E39"/>
    <w:rsid w:val="00637690"/>
    <w:rsid w:val="006401F9"/>
    <w:rsid w:val="00640E1E"/>
    <w:rsid w:val="00641303"/>
    <w:rsid w:val="00643238"/>
    <w:rsid w:val="006435F9"/>
    <w:rsid w:val="0064389A"/>
    <w:rsid w:val="00645442"/>
    <w:rsid w:val="00646EA2"/>
    <w:rsid w:val="00647003"/>
    <w:rsid w:val="00650AF4"/>
    <w:rsid w:val="006525CD"/>
    <w:rsid w:val="00653E31"/>
    <w:rsid w:val="00653F7F"/>
    <w:rsid w:val="006555C8"/>
    <w:rsid w:val="0066134E"/>
    <w:rsid w:val="006613D8"/>
    <w:rsid w:val="00662EE8"/>
    <w:rsid w:val="00663813"/>
    <w:rsid w:val="00663C3B"/>
    <w:rsid w:val="00664837"/>
    <w:rsid w:val="00664AFD"/>
    <w:rsid w:val="00665936"/>
    <w:rsid w:val="00666FDA"/>
    <w:rsid w:val="00667567"/>
    <w:rsid w:val="0067391A"/>
    <w:rsid w:val="00674173"/>
    <w:rsid w:val="00674602"/>
    <w:rsid w:val="006748B3"/>
    <w:rsid w:val="0067535A"/>
    <w:rsid w:val="006760CA"/>
    <w:rsid w:val="00677E94"/>
    <w:rsid w:val="00680A9F"/>
    <w:rsid w:val="00683CA0"/>
    <w:rsid w:val="00684CB5"/>
    <w:rsid w:val="00684DA7"/>
    <w:rsid w:val="00685A47"/>
    <w:rsid w:val="00686A22"/>
    <w:rsid w:val="00690AF6"/>
    <w:rsid w:val="00690DB1"/>
    <w:rsid w:val="0069219B"/>
    <w:rsid w:val="00693404"/>
    <w:rsid w:val="00695345"/>
    <w:rsid w:val="006953D9"/>
    <w:rsid w:val="006954D1"/>
    <w:rsid w:val="00695944"/>
    <w:rsid w:val="00696385"/>
    <w:rsid w:val="00696488"/>
    <w:rsid w:val="00696DB9"/>
    <w:rsid w:val="00697FE9"/>
    <w:rsid w:val="006A37F5"/>
    <w:rsid w:val="006A52F8"/>
    <w:rsid w:val="006A5FEE"/>
    <w:rsid w:val="006A651B"/>
    <w:rsid w:val="006B1242"/>
    <w:rsid w:val="006B1DBC"/>
    <w:rsid w:val="006B25C6"/>
    <w:rsid w:val="006B2AC3"/>
    <w:rsid w:val="006B46CC"/>
    <w:rsid w:val="006B5D12"/>
    <w:rsid w:val="006B63B7"/>
    <w:rsid w:val="006B7D9A"/>
    <w:rsid w:val="006C06D9"/>
    <w:rsid w:val="006C2805"/>
    <w:rsid w:val="006C2AE1"/>
    <w:rsid w:val="006C4325"/>
    <w:rsid w:val="006C464F"/>
    <w:rsid w:val="006C5716"/>
    <w:rsid w:val="006C6659"/>
    <w:rsid w:val="006C74A9"/>
    <w:rsid w:val="006D07DE"/>
    <w:rsid w:val="006D1B9A"/>
    <w:rsid w:val="006D2A4D"/>
    <w:rsid w:val="006D394E"/>
    <w:rsid w:val="006E06D9"/>
    <w:rsid w:val="006E1D40"/>
    <w:rsid w:val="006E2E1F"/>
    <w:rsid w:val="006E4BE8"/>
    <w:rsid w:val="006E6C91"/>
    <w:rsid w:val="006F17BF"/>
    <w:rsid w:val="006F1B28"/>
    <w:rsid w:val="006F4D9C"/>
    <w:rsid w:val="006F5FFF"/>
    <w:rsid w:val="006F6E33"/>
    <w:rsid w:val="006F7478"/>
    <w:rsid w:val="006F7AF3"/>
    <w:rsid w:val="007019E1"/>
    <w:rsid w:val="00703635"/>
    <w:rsid w:val="007054AA"/>
    <w:rsid w:val="00705D0C"/>
    <w:rsid w:val="00706D4B"/>
    <w:rsid w:val="00707B8C"/>
    <w:rsid w:val="00710804"/>
    <w:rsid w:val="00710D8A"/>
    <w:rsid w:val="00711A61"/>
    <w:rsid w:val="00711FC6"/>
    <w:rsid w:val="007128F5"/>
    <w:rsid w:val="007130B1"/>
    <w:rsid w:val="00715071"/>
    <w:rsid w:val="00716B53"/>
    <w:rsid w:val="007207D2"/>
    <w:rsid w:val="00720B5C"/>
    <w:rsid w:val="007231E9"/>
    <w:rsid w:val="00725FD6"/>
    <w:rsid w:val="00727C59"/>
    <w:rsid w:val="00730D6A"/>
    <w:rsid w:val="00734E5D"/>
    <w:rsid w:val="007354B2"/>
    <w:rsid w:val="00735AF1"/>
    <w:rsid w:val="00736013"/>
    <w:rsid w:val="00737661"/>
    <w:rsid w:val="00740EB7"/>
    <w:rsid w:val="00744A1F"/>
    <w:rsid w:val="007512BB"/>
    <w:rsid w:val="0075399C"/>
    <w:rsid w:val="00755D75"/>
    <w:rsid w:val="00755ECF"/>
    <w:rsid w:val="00756245"/>
    <w:rsid w:val="007564FE"/>
    <w:rsid w:val="00761662"/>
    <w:rsid w:val="00763D79"/>
    <w:rsid w:val="00764043"/>
    <w:rsid w:val="00766F8F"/>
    <w:rsid w:val="00770FC4"/>
    <w:rsid w:val="00772D51"/>
    <w:rsid w:val="00775338"/>
    <w:rsid w:val="007757CF"/>
    <w:rsid w:val="00775AD8"/>
    <w:rsid w:val="00776FFC"/>
    <w:rsid w:val="00777B8D"/>
    <w:rsid w:val="0078046D"/>
    <w:rsid w:val="0078128F"/>
    <w:rsid w:val="007816AF"/>
    <w:rsid w:val="00781ED2"/>
    <w:rsid w:val="0078671C"/>
    <w:rsid w:val="0078683C"/>
    <w:rsid w:val="007906CD"/>
    <w:rsid w:val="00790EDB"/>
    <w:rsid w:val="00791538"/>
    <w:rsid w:val="0079326E"/>
    <w:rsid w:val="00793CC7"/>
    <w:rsid w:val="00795FB9"/>
    <w:rsid w:val="00796090"/>
    <w:rsid w:val="00796EDE"/>
    <w:rsid w:val="007A10ED"/>
    <w:rsid w:val="007A27A9"/>
    <w:rsid w:val="007A3DE9"/>
    <w:rsid w:val="007A44BA"/>
    <w:rsid w:val="007A5449"/>
    <w:rsid w:val="007A5A58"/>
    <w:rsid w:val="007A5FC3"/>
    <w:rsid w:val="007A6740"/>
    <w:rsid w:val="007A7302"/>
    <w:rsid w:val="007A7942"/>
    <w:rsid w:val="007B10C3"/>
    <w:rsid w:val="007B1C56"/>
    <w:rsid w:val="007B2CCC"/>
    <w:rsid w:val="007B4996"/>
    <w:rsid w:val="007B59C0"/>
    <w:rsid w:val="007B6BC9"/>
    <w:rsid w:val="007B719E"/>
    <w:rsid w:val="007C3CD5"/>
    <w:rsid w:val="007C61EF"/>
    <w:rsid w:val="007D12CC"/>
    <w:rsid w:val="007D1803"/>
    <w:rsid w:val="007D1C0D"/>
    <w:rsid w:val="007D2D23"/>
    <w:rsid w:val="007D6012"/>
    <w:rsid w:val="007E0D0E"/>
    <w:rsid w:val="007E27D6"/>
    <w:rsid w:val="007E3921"/>
    <w:rsid w:val="007E40F0"/>
    <w:rsid w:val="007E5142"/>
    <w:rsid w:val="007E554D"/>
    <w:rsid w:val="007E5DDE"/>
    <w:rsid w:val="007E78D1"/>
    <w:rsid w:val="007F2E26"/>
    <w:rsid w:val="007F376C"/>
    <w:rsid w:val="007F53DF"/>
    <w:rsid w:val="007F66A0"/>
    <w:rsid w:val="00801014"/>
    <w:rsid w:val="00801028"/>
    <w:rsid w:val="00803793"/>
    <w:rsid w:val="00803D8D"/>
    <w:rsid w:val="008057FA"/>
    <w:rsid w:val="0080643F"/>
    <w:rsid w:val="00807540"/>
    <w:rsid w:val="0080778A"/>
    <w:rsid w:val="00814052"/>
    <w:rsid w:val="008149FD"/>
    <w:rsid w:val="00816114"/>
    <w:rsid w:val="00816146"/>
    <w:rsid w:val="008175FF"/>
    <w:rsid w:val="00817A01"/>
    <w:rsid w:val="00817D7C"/>
    <w:rsid w:val="00824F21"/>
    <w:rsid w:val="00825E35"/>
    <w:rsid w:val="008334F8"/>
    <w:rsid w:val="00833DF2"/>
    <w:rsid w:val="008341AA"/>
    <w:rsid w:val="008359D8"/>
    <w:rsid w:val="00835CB5"/>
    <w:rsid w:val="00835D8E"/>
    <w:rsid w:val="00836FBE"/>
    <w:rsid w:val="00841349"/>
    <w:rsid w:val="00844D03"/>
    <w:rsid w:val="00845F19"/>
    <w:rsid w:val="00847A3A"/>
    <w:rsid w:val="00847B0F"/>
    <w:rsid w:val="00850071"/>
    <w:rsid w:val="008501D9"/>
    <w:rsid w:val="00851B8D"/>
    <w:rsid w:val="00851CC2"/>
    <w:rsid w:val="008526A4"/>
    <w:rsid w:val="00852BB7"/>
    <w:rsid w:val="00860837"/>
    <w:rsid w:val="008636B3"/>
    <w:rsid w:val="00865CD6"/>
    <w:rsid w:val="00866305"/>
    <w:rsid w:val="008702DE"/>
    <w:rsid w:val="00872425"/>
    <w:rsid w:val="00874D08"/>
    <w:rsid w:val="0087581D"/>
    <w:rsid w:val="00876659"/>
    <w:rsid w:val="00876677"/>
    <w:rsid w:val="0087696B"/>
    <w:rsid w:val="0087734C"/>
    <w:rsid w:val="00877D52"/>
    <w:rsid w:val="00882141"/>
    <w:rsid w:val="0088528F"/>
    <w:rsid w:val="008860D0"/>
    <w:rsid w:val="00886920"/>
    <w:rsid w:val="00887E5E"/>
    <w:rsid w:val="00887EE8"/>
    <w:rsid w:val="008922A8"/>
    <w:rsid w:val="00894717"/>
    <w:rsid w:val="00895728"/>
    <w:rsid w:val="00895BD5"/>
    <w:rsid w:val="00895BE4"/>
    <w:rsid w:val="0089742B"/>
    <w:rsid w:val="0089748D"/>
    <w:rsid w:val="008975A1"/>
    <w:rsid w:val="008A16C4"/>
    <w:rsid w:val="008A27EC"/>
    <w:rsid w:val="008A3BD5"/>
    <w:rsid w:val="008A684A"/>
    <w:rsid w:val="008A6FED"/>
    <w:rsid w:val="008B0DD4"/>
    <w:rsid w:val="008B1911"/>
    <w:rsid w:val="008B2A02"/>
    <w:rsid w:val="008B308D"/>
    <w:rsid w:val="008B39C5"/>
    <w:rsid w:val="008B51AA"/>
    <w:rsid w:val="008B5B3E"/>
    <w:rsid w:val="008B7932"/>
    <w:rsid w:val="008C1CC7"/>
    <w:rsid w:val="008C3C8B"/>
    <w:rsid w:val="008C3DB0"/>
    <w:rsid w:val="008C67F2"/>
    <w:rsid w:val="008D064A"/>
    <w:rsid w:val="008D07F9"/>
    <w:rsid w:val="008D0FE0"/>
    <w:rsid w:val="008D17FE"/>
    <w:rsid w:val="008D2B0F"/>
    <w:rsid w:val="008E42FB"/>
    <w:rsid w:val="008E449E"/>
    <w:rsid w:val="008E5E0F"/>
    <w:rsid w:val="008E6F86"/>
    <w:rsid w:val="008E7062"/>
    <w:rsid w:val="008E70CB"/>
    <w:rsid w:val="008F0D74"/>
    <w:rsid w:val="008F12AC"/>
    <w:rsid w:val="008F1590"/>
    <w:rsid w:val="008F187F"/>
    <w:rsid w:val="008F402F"/>
    <w:rsid w:val="008F55FA"/>
    <w:rsid w:val="008F76E8"/>
    <w:rsid w:val="008F76F5"/>
    <w:rsid w:val="008F7CD0"/>
    <w:rsid w:val="00901028"/>
    <w:rsid w:val="00902902"/>
    <w:rsid w:val="00902A4B"/>
    <w:rsid w:val="00904F5E"/>
    <w:rsid w:val="00906AC7"/>
    <w:rsid w:val="009078A1"/>
    <w:rsid w:val="00911E9C"/>
    <w:rsid w:val="00915083"/>
    <w:rsid w:val="00917405"/>
    <w:rsid w:val="00920035"/>
    <w:rsid w:val="00920332"/>
    <w:rsid w:val="00920F7C"/>
    <w:rsid w:val="009220DB"/>
    <w:rsid w:val="00926DEC"/>
    <w:rsid w:val="009271B1"/>
    <w:rsid w:val="00930521"/>
    <w:rsid w:val="009339E4"/>
    <w:rsid w:val="00934CAE"/>
    <w:rsid w:val="009402F0"/>
    <w:rsid w:val="0094257D"/>
    <w:rsid w:val="00942F60"/>
    <w:rsid w:val="00943133"/>
    <w:rsid w:val="0095211B"/>
    <w:rsid w:val="00952FD3"/>
    <w:rsid w:val="009541E0"/>
    <w:rsid w:val="0095467C"/>
    <w:rsid w:val="00954A61"/>
    <w:rsid w:val="00955C6F"/>
    <w:rsid w:val="009623C6"/>
    <w:rsid w:val="00962543"/>
    <w:rsid w:val="00964881"/>
    <w:rsid w:val="00966C7B"/>
    <w:rsid w:val="009701DC"/>
    <w:rsid w:val="009715D8"/>
    <w:rsid w:val="009721F2"/>
    <w:rsid w:val="00972D3C"/>
    <w:rsid w:val="00973090"/>
    <w:rsid w:val="00973FB0"/>
    <w:rsid w:val="00974C53"/>
    <w:rsid w:val="00975B1C"/>
    <w:rsid w:val="00976100"/>
    <w:rsid w:val="009765A2"/>
    <w:rsid w:val="00976FC2"/>
    <w:rsid w:val="0097730E"/>
    <w:rsid w:val="0097792D"/>
    <w:rsid w:val="009829FB"/>
    <w:rsid w:val="00985500"/>
    <w:rsid w:val="00985C4B"/>
    <w:rsid w:val="009865F1"/>
    <w:rsid w:val="0099083E"/>
    <w:rsid w:val="009927A3"/>
    <w:rsid w:val="00995146"/>
    <w:rsid w:val="00995BF9"/>
    <w:rsid w:val="00995D0F"/>
    <w:rsid w:val="00996E03"/>
    <w:rsid w:val="00996ECB"/>
    <w:rsid w:val="00997C3C"/>
    <w:rsid w:val="009A0CAF"/>
    <w:rsid w:val="009A1474"/>
    <w:rsid w:val="009A2207"/>
    <w:rsid w:val="009A3498"/>
    <w:rsid w:val="009A3A0F"/>
    <w:rsid w:val="009A5147"/>
    <w:rsid w:val="009A54E4"/>
    <w:rsid w:val="009A5E73"/>
    <w:rsid w:val="009A601C"/>
    <w:rsid w:val="009A6BEC"/>
    <w:rsid w:val="009A74C4"/>
    <w:rsid w:val="009A77B4"/>
    <w:rsid w:val="009B0F80"/>
    <w:rsid w:val="009B401B"/>
    <w:rsid w:val="009B5353"/>
    <w:rsid w:val="009B69BF"/>
    <w:rsid w:val="009B6C42"/>
    <w:rsid w:val="009B72DD"/>
    <w:rsid w:val="009C3427"/>
    <w:rsid w:val="009C5D9C"/>
    <w:rsid w:val="009C5FEF"/>
    <w:rsid w:val="009C62B6"/>
    <w:rsid w:val="009C703F"/>
    <w:rsid w:val="009C73F8"/>
    <w:rsid w:val="009D31F7"/>
    <w:rsid w:val="009D32C2"/>
    <w:rsid w:val="009D33F2"/>
    <w:rsid w:val="009D50DB"/>
    <w:rsid w:val="009E08EA"/>
    <w:rsid w:val="009E3A0A"/>
    <w:rsid w:val="009E5460"/>
    <w:rsid w:val="009E5684"/>
    <w:rsid w:val="009E7E4E"/>
    <w:rsid w:val="009F3E91"/>
    <w:rsid w:val="009F6CE7"/>
    <w:rsid w:val="009F71FB"/>
    <w:rsid w:val="00A01670"/>
    <w:rsid w:val="00A03191"/>
    <w:rsid w:val="00A03568"/>
    <w:rsid w:val="00A03BB7"/>
    <w:rsid w:val="00A045E7"/>
    <w:rsid w:val="00A05599"/>
    <w:rsid w:val="00A06199"/>
    <w:rsid w:val="00A07D10"/>
    <w:rsid w:val="00A10414"/>
    <w:rsid w:val="00A10C4A"/>
    <w:rsid w:val="00A124C6"/>
    <w:rsid w:val="00A1499B"/>
    <w:rsid w:val="00A1551F"/>
    <w:rsid w:val="00A167F3"/>
    <w:rsid w:val="00A17739"/>
    <w:rsid w:val="00A20879"/>
    <w:rsid w:val="00A20AFC"/>
    <w:rsid w:val="00A215BA"/>
    <w:rsid w:val="00A219AC"/>
    <w:rsid w:val="00A21BFF"/>
    <w:rsid w:val="00A265CD"/>
    <w:rsid w:val="00A303B7"/>
    <w:rsid w:val="00A314C2"/>
    <w:rsid w:val="00A316FC"/>
    <w:rsid w:val="00A31DD3"/>
    <w:rsid w:val="00A3248C"/>
    <w:rsid w:val="00A35932"/>
    <w:rsid w:val="00A35B7B"/>
    <w:rsid w:val="00A36E88"/>
    <w:rsid w:val="00A41FD7"/>
    <w:rsid w:val="00A43B9C"/>
    <w:rsid w:val="00A53155"/>
    <w:rsid w:val="00A56F51"/>
    <w:rsid w:val="00A63771"/>
    <w:rsid w:val="00A63E86"/>
    <w:rsid w:val="00A65A1C"/>
    <w:rsid w:val="00A662AE"/>
    <w:rsid w:val="00A6704B"/>
    <w:rsid w:val="00A71DC7"/>
    <w:rsid w:val="00A757C3"/>
    <w:rsid w:val="00A75E5B"/>
    <w:rsid w:val="00A7684A"/>
    <w:rsid w:val="00A81193"/>
    <w:rsid w:val="00A82AED"/>
    <w:rsid w:val="00A83B69"/>
    <w:rsid w:val="00A83BAC"/>
    <w:rsid w:val="00A84AF8"/>
    <w:rsid w:val="00A85206"/>
    <w:rsid w:val="00A853FD"/>
    <w:rsid w:val="00A86533"/>
    <w:rsid w:val="00A9176A"/>
    <w:rsid w:val="00A91CA2"/>
    <w:rsid w:val="00A92FB8"/>
    <w:rsid w:val="00A9454E"/>
    <w:rsid w:val="00A948F1"/>
    <w:rsid w:val="00A9605F"/>
    <w:rsid w:val="00AA1000"/>
    <w:rsid w:val="00AA1D7D"/>
    <w:rsid w:val="00AA2CDE"/>
    <w:rsid w:val="00AA32B0"/>
    <w:rsid w:val="00AA43B8"/>
    <w:rsid w:val="00AA7525"/>
    <w:rsid w:val="00AB0454"/>
    <w:rsid w:val="00AB0EA9"/>
    <w:rsid w:val="00AB139D"/>
    <w:rsid w:val="00AB2C46"/>
    <w:rsid w:val="00AB3EFB"/>
    <w:rsid w:val="00AB691D"/>
    <w:rsid w:val="00AC0B05"/>
    <w:rsid w:val="00AC19D9"/>
    <w:rsid w:val="00AC3FA9"/>
    <w:rsid w:val="00AD079A"/>
    <w:rsid w:val="00AD1890"/>
    <w:rsid w:val="00AD410C"/>
    <w:rsid w:val="00AD4F08"/>
    <w:rsid w:val="00AE2149"/>
    <w:rsid w:val="00AE33AE"/>
    <w:rsid w:val="00AE3785"/>
    <w:rsid w:val="00AE3F91"/>
    <w:rsid w:val="00AE452F"/>
    <w:rsid w:val="00AE469A"/>
    <w:rsid w:val="00AE5C0C"/>
    <w:rsid w:val="00AE76E6"/>
    <w:rsid w:val="00AF01D6"/>
    <w:rsid w:val="00AF0D84"/>
    <w:rsid w:val="00AF42F9"/>
    <w:rsid w:val="00B00ACC"/>
    <w:rsid w:val="00B00BE9"/>
    <w:rsid w:val="00B02F52"/>
    <w:rsid w:val="00B039E3"/>
    <w:rsid w:val="00B03CE8"/>
    <w:rsid w:val="00B043C1"/>
    <w:rsid w:val="00B0483C"/>
    <w:rsid w:val="00B04AA0"/>
    <w:rsid w:val="00B10CB2"/>
    <w:rsid w:val="00B14213"/>
    <w:rsid w:val="00B22838"/>
    <w:rsid w:val="00B22A42"/>
    <w:rsid w:val="00B22B71"/>
    <w:rsid w:val="00B23212"/>
    <w:rsid w:val="00B232ED"/>
    <w:rsid w:val="00B2786C"/>
    <w:rsid w:val="00B302E2"/>
    <w:rsid w:val="00B30C12"/>
    <w:rsid w:val="00B310C0"/>
    <w:rsid w:val="00B3143D"/>
    <w:rsid w:val="00B32BC1"/>
    <w:rsid w:val="00B33E95"/>
    <w:rsid w:val="00B34798"/>
    <w:rsid w:val="00B3484B"/>
    <w:rsid w:val="00B35B5E"/>
    <w:rsid w:val="00B37198"/>
    <w:rsid w:val="00B3720B"/>
    <w:rsid w:val="00B40EE3"/>
    <w:rsid w:val="00B40F22"/>
    <w:rsid w:val="00B5322A"/>
    <w:rsid w:val="00B536C6"/>
    <w:rsid w:val="00B54147"/>
    <w:rsid w:val="00B55271"/>
    <w:rsid w:val="00B5558A"/>
    <w:rsid w:val="00B56513"/>
    <w:rsid w:val="00B56B2E"/>
    <w:rsid w:val="00B61FFE"/>
    <w:rsid w:val="00B64376"/>
    <w:rsid w:val="00B6661A"/>
    <w:rsid w:val="00B674F0"/>
    <w:rsid w:val="00B70FFD"/>
    <w:rsid w:val="00B71533"/>
    <w:rsid w:val="00B7401F"/>
    <w:rsid w:val="00B7572D"/>
    <w:rsid w:val="00B806C3"/>
    <w:rsid w:val="00B81DD5"/>
    <w:rsid w:val="00B82DCC"/>
    <w:rsid w:val="00B84FCA"/>
    <w:rsid w:val="00B9089F"/>
    <w:rsid w:val="00B90B42"/>
    <w:rsid w:val="00B91AEE"/>
    <w:rsid w:val="00B93F02"/>
    <w:rsid w:val="00B94F71"/>
    <w:rsid w:val="00B95F5A"/>
    <w:rsid w:val="00B96EAD"/>
    <w:rsid w:val="00B9769C"/>
    <w:rsid w:val="00B97A96"/>
    <w:rsid w:val="00BA26F8"/>
    <w:rsid w:val="00BA2E43"/>
    <w:rsid w:val="00BA4B42"/>
    <w:rsid w:val="00BA6684"/>
    <w:rsid w:val="00BA79F5"/>
    <w:rsid w:val="00BB00CB"/>
    <w:rsid w:val="00BB02E8"/>
    <w:rsid w:val="00BB2A3C"/>
    <w:rsid w:val="00BB3826"/>
    <w:rsid w:val="00BB3AB6"/>
    <w:rsid w:val="00BB45EB"/>
    <w:rsid w:val="00BB681F"/>
    <w:rsid w:val="00BB7196"/>
    <w:rsid w:val="00BB766D"/>
    <w:rsid w:val="00BC007B"/>
    <w:rsid w:val="00BC1417"/>
    <w:rsid w:val="00BC15E7"/>
    <w:rsid w:val="00BC26BA"/>
    <w:rsid w:val="00BC35F8"/>
    <w:rsid w:val="00BC7140"/>
    <w:rsid w:val="00BD2A3C"/>
    <w:rsid w:val="00BD3651"/>
    <w:rsid w:val="00BD3701"/>
    <w:rsid w:val="00BD3944"/>
    <w:rsid w:val="00BD6B02"/>
    <w:rsid w:val="00BD7401"/>
    <w:rsid w:val="00BE2921"/>
    <w:rsid w:val="00BE38C8"/>
    <w:rsid w:val="00BF03CA"/>
    <w:rsid w:val="00BF24FC"/>
    <w:rsid w:val="00BF376F"/>
    <w:rsid w:val="00BF3916"/>
    <w:rsid w:val="00BF46A6"/>
    <w:rsid w:val="00BF5D1B"/>
    <w:rsid w:val="00BF62CF"/>
    <w:rsid w:val="00BF73D6"/>
    <w:rsid w:val="00C027A2"/>
    <w:rsid w:val="00C0295B"/>
    <w:rsid w:val="00C03648"/>
    <w:rsid w:val="00C06545"/>
    <w:rsid w:val="00C06CEC"/>
    <w:rsid w:val="00C07024"/>
    <w:rsid w:val="00C1161C"/>
    <w:rsid w:val="00C126C8"/>
    <w:rsid w:val="00C17803"/>
    <w:rsid w:val="00C220FC"/>
    <w:rsid w:val="00C24929"/>
    <w:rsid w:val="00C24DFA"/>
    <w:rsid w:val="00C25D32"/>
    <w:rsid w:val="00C31E77"/>
    <w:rsid w:val="00C325A0"/>
    <w:rsid w:val="00C35F32"/>
    <w:rsid w:val="00C368B7"/>
    <w:rsid w:val="00C41B7B"/>
    <w:rsid w:val="00C4202A"/>
    <w:rsid w:val="00C4211F"/>
    <w:rsid w:val="00C46A36"/>
    <w:rsid w:val="00C47037"/>
    <w:rsid w:val="00C511E5"/>
    <w:rsid w:val="00C53625"/>
    <w:rsid w:val="00C602C1"/>
    <w:rsid w:val="00C62086"/>
    <w:rsid w:val="00C632DF"/>
    <w:rsid w:val="00C63FC0"/>
    <w:rsid w:val="00C66392"/>
    <w:rsid w:val="00C677EA"/>
    <w:rsid w:val="00C70D19"/>
    <w:rsid w:val="00C73438"/>
    <w:rsid w:val="00C74C5E"/>
    <w:rsid w:val="00C81B9C"/>
    <w:rsid w:val="00C827A2"/>
    <w:rsid w:val="00C82B69"/>
    <w:rsid w:val="00C85394"/>
    <w:rsid w:val="00C8657D"/>
    <w:rsid w:val="00C87914"/>
    <w:rsid w:val="00C907E7"/>
    <w:rsid w:val="00C91963"/>
    <w:rsid w:val="00C91B28"/>
    <w:rsid w:val="00C91F3A"/>
    <w:rsid w:val="00C94A6F"/>
    <w:rsid w:val="00C94F39"/>
    <w:rsid w:val="00CA039D"/>
    <w:rsid w:val="00CA06E3"/>
    <w:rsid w:val="00CA0F57"/>
    <w:rsid w:val="00CA42BF"/>
    <w:rsid w:val="00CA6CB7"/>
    <w:rsid w:val="00CA76D3"/>
    <w:rsid w:val="00CB5797"/>
    <w:rsid w:val="00CB789D"/>
    <w:rsid w:val="00CC1202"/>
    <w:rsid w:val="00CC3939"/>
    <w:rsid w:val="00CC4099"/>
    <w:rsid w:val="00CC45C1"/>
    <w:rsid w:val="00CC46E5"/>
    <w:rsid w:val="00CC51E4"/>
    <w:rsid w:val="00CD09E1"/>
    <w:rsid w:val="00CD0B74"/>
    <w:rsid w:val="00CD2042"/>
    <w:rsid w:val="00CD6202"/>
    <w:rsid w:val="00CD78EE"/>
    <w:rsid w:val="00CE2486"/>
    <w:rsid w:val="00CE2BE2"/>
    <w:rsid w:val="00CE33D0"/>
    <w:rsid w:val="00CE44FA"/>
    <w:rsid w:val="00CE4913"/>
    <w:rsid w:val="00CE4AEB"/>
    <w:rsid w:val="00CE54A6"/>
    <w:rsid w:val="00CE59CF"/>
    <w:rsid w:val="00CE66BD"/>
    <w:rsid w:val="00CE6906"/>
    <w:rsid w:val="00CF0671"/>
    <w:rsid w:val="00CF2FB9"/>
    <w:rsid w:val="00CF3628"/>
    <w:rsid w:val="00CF36C3"/>
    <w:rsid w:val="00CF39F8"/>
    <w:rsid w:val="00CF44AD"/>
    <w:rsid w:val="00CF4FC0"/>
    <w:rsid w:val="00CF79BC"/>
    <w:rsid w:val="00D0032D"/>
    <w:rsid w:val="00D00460"/>
    <w:rsid w:val="00D01EFE"/>
    <w:rsid w:val="00D023DD"/>
    <w:rsid w:val="00D03A0E"/>
    <w:rsid w:val="00D03DF2"/>
    <w:rsid w:val="00D06D2C"/>
    <w:rsid w:val="00D1072F"/>
    <w:rsid w:val="00D108A5"/>
    <w:rsid w:val="00D121DE"/>
    <w:rsid w:val="00D12829"/>
    <w:rsid w:val="00D12C9D"/>
    <w:rsid w:val="00D13429"/>
    <w:rsid w:val="00D1445B"/>
    <w:rsid w:val="00D14585"/>
    <w:rsid w:val="00D20EFF"/>
    <w:rsid w:val="00D248D3"/>
    <w:rsid w:val="00D24B87"/>
    <w:rsid w:val="00D2695F"/>
    <w:rsid w:val="00D27981"/>
    <w:rsid w:val="00D30F1B"/>
    <w:rsid w:val="00D30FC0"/>
    <w:rsid w:val="00D328A0"/>
    <w:rsid w:val="00D3461C"/>
    <w:rsid w:val="00D346CF"/>
    <w:rsid w:val="00D34F0D"/>
    <w:rsid w:val="00D3516E"/>
    <w:rsid w:val="00D35FD2"/>
    <w:rsid w:val="00D4064C"/>
    <w:rsid w:val="00D4402F"/>
    <w:rsid w:val="00D44C32"/>
    <w:rsid w:val="00D45A8C"/>
    <w:rsid w:val="00D51FB4"/>
    <w:rsid w:val="00D52474"/>
    <w:rsid w:val="00D535DC"/>
    <w:rsid w:val="00D53ED8"/>
    <w:rsid w:val="00D54F44"/>
    <w:rsid w:val="00D5563A"/>
    <w:rsid w:val="00D56A47"/>
    <w:rsid w:val="00D62117"/>
    <w:rsid w:val="00D634F2"/>
    <w:rsid w:val="00D64857"/>
    <w:rsid w:val="00D6493A"/>
    <w:rsid w:val="00D64EE2"/>
    <w:rsid w:val="00D67875"/>
    <w:rsid w:val="00D70040"/>
    <w:rsid w:val="00D7063F"/>
    <w:rsid w:val="00D71CBD"/>
    <w:rsid w:val="00D71E86"/>
    <w:rsid w:val="00D71FB3"/>
    <w:rsid w:val="00D728A1"/>
    <w:rsid w:val="00D731C6"/>
    <w:rsid w:val="00D745C5"/>
    <w:rsid w:val="00D752AD"/>
    <w:rsid w:val="00D75327"/>
    <w:rsid w:val="00D75868"/>
    <w:rsid w:val="00D76473"/>
    <w:rsid w:val="00D800AF"/>
    <w:rsid w:val="00D809C7"/>
    <w:rsid w:val="00D80A12"/>
    <w:rsid w:val="00D80C36"/>
    <w:rsid w:val="00D86779"/>
    <w:rsid w:val="00D86EE1"/>
    <w:rsid w:val="00D9120E"/>
    <w:rsid w:val="00D930EA"/>
    <w:rsid w:val="00D95322"/>
    <w:rsid w:val="00D96126"/>
    <w:rsid w:val="00D9618E"/>
    <w:rsid w:val="00D97C02"/>
    <w:rsid w:val="00DA09F8"/>
    <w:rsid w:val="00DA0A4B"/>
    <w:rsid w:val="00DA43A2"/>
    <w:rsid w:val="00DA630D"/>
    <w:rsid w:val="00DA641F"/>
    <w:rsid w:val="00DB4B1C"/>
    <w:rsid w:val="00DB5085"/>
    <w:rsid w:val="00DB70BE"/>
    <w:rsid w:val="00DB7706"/>
    <w:rsid w:val="00DC1062"/>
    <w:rsid w:val="00DC132C"/>
    <w:rsid w:val="00DC6340"/>
    <w:rsid w:val="00DC7160"/>
    <w:rsid w:val="00DD1293"/>
    <w:rsid w:val="00DD1DF3"/>
    <w:rsid w:val="00DD28CB"/>
    <w:rsid w:val="00DD43F0"/>
    <w:rsid w:val="00DD44DE"/>
    <w:rsid w:val="00DD4680"/>
    <w:rsid w:val="00DD6779"/>
    <w:rsid w:val="00DD70E1"/>
    <w:rsid w:val="00DD7A92"/>
    <w:rsid w:val="00DE09AB"/>
    <w:rsid w:val="00DE2E1E"/>
    <w:rsid w:val="00DE3FFC"/>
    <w:rsid w:val="00DE4A3F"/>
    <w:rsid w:val="00DE695A"/>
    <w:rsid w:val="00DE7AE9"/>
    <w:rsid w:val="00DF1236"/>
    <w:rsid w:val="00DF180C"/>
    <w:rsid w:val="00DF2488"/>
    <w:rsid w:val="00DF3843"/>
    <w:rsid w:val="00DF4367"/>
    <w:rsid w:val="00DF4FDB"/>
    <w:rsid w:val="00E0259B"/>
    <w:rsid w:val="00E0574A"/>
    <w:rsid w:val="00E0579F"/>
    <w:rsid w:val="00E07DDF"/>
    <w:rsid w:val="00E1166A"/>
    <w:rsid w:val="00E1243D"/>
    <w:rsid w:val="00E12742"/>
    <w:rsid w:val="00E12D31"/>
    <w:rsid w:val="00E146D4"/>
    <w:rsid w:val="00E150C6"/>
    <w:rsid w:val="00E20976"/>
    <w:rsid w:val="00E22079"/>
    <w:rsid w:val="00E22B44"/>
    <w:rsid w:val="00E236D8"/>
    <w:rsid w:val="00E25CDA"/>
    <w:rsid w:val="00E26615"/>
    <w:rsid w:val="00E279A4"/>
    <w:rsid w:val="00E30AAC"/>
    <w:rsid w:val="00E30ACD"/>
    <w:rsid w:val="00E30FB6"/>
    <w:rsid w:val="00E31541"/>
    <w:rsid w:val="00E31E1E"/>
    <w:rsid w:val="00E32735"/>
    <w:rsid w:val="00E33156"/>
    <w:rsid w:val="00E36D11"/>
    <w:rsid w:val="00E37314"/>
    <w:rsid w:val="00E40EF2"/>
    <w:rsid w:val="00E47C33"/>
    <w:rsid w:val="00E518A1"/>
    <w:rsid w:val="00E5242B"/>
    <w:rsid w:val="00E52A82"/>
    <w:rsid w:val="00E532DF"/>
    <w:rsid w:val="00E5391D"/>
    <w:rsid w:val="00E55D70"/>
    <w:rsid w:val="00E62380"/>
    <w:rsid w:val="00E636C6"/>
    <w:rsid w:val="00E6485C"/>
    <w:rsid w:val="00E653E8"/>
    <w:rsid w:val="00E65E6A"/>
    <w:rsid w:val="00E66E36"/>
    <w:rsid w:val="00E67103"/>
    <w:rsid w:val="00E6781E"/>
    <w:rsid w:val="00E702ED"/>
    <w:rsid w:val="00E705F1"/>
    <w:rsid w:val="00E709A4"/>
    <w:rsid w:val="00E7143C"/>
    <w:rsid w:val="00E725A3"/>
    <w:rsid w:val="00E73822"/>
    <w:rsid w:val="00E74319"/>
    <w:rsid w:val="00E75270"/>
    <w:rsid w:val="00E76CF8"/>
    <w:rsid w:val="00E772DB"/>
    <w:rsid w:val="00E77875"/>
    <w:rsid w:val="00E804CC"/>
    <w:rsid w:val="00E80D6C"/>
    <w:rsid w:val="00E83FBC"/>
    <w:rsid w:val="00E84400"/>
    <w:rsid w:val="00E85261"/>
    <w:rsid w:val="00E86012"/>
    <w:rsid w:val="00E8613F"/>
    <w:rsid w:val="00E862D9"/>
    <w:rsid w:val="00E86BAB"/>
    <w:rsid w:val="00E86EEB"/>
    <w:rsid w:val="00E87209"/>
    <w:rsid w:val="00E901A1"/>
    <w:rsid w:val="00E94E10"/>
    <w:rsid w:val="00E954BD"/>
    <w:rsid w:val="00E96743"/>
    <w:rsid w:val="00E96A42"/>
    <w:rsid w:val="00E972C4"/>
    <w:rsid w:val="00E97965"/>
    <w:rsid w:val="00EA0569"/>
    <w:rsid w:val="00EA0A36"/>
    <w:rsid w:val="00EA24EA"/>
    <w:rsid w:val="00EA3045"/>
    <w:rsid w:val="00EA3C6D"/>
    <w:rsid w:val="00EA49C5"/>
    <w:rsid w:val="00EA575B"/>
    <w:rsid w:val="00EB1C1C"/>
    <w:rsid w:val="00EB1DFA"/>
    <w:rsid w:val="00EB5027"/>
    <w:rsid w:val="00EB5E30"/>
    <w:rsid w:val="00EB6CC1"/>
    <w:rsid w:val="00EC0463"/>
    <w:rsid w:val="00EC1836"/>
    <w:rsid w:val="00EC3990"/>
    <w:rsid w:val="00EC484B"/>
    <w:rsid w:val="00ED15FA"/>
    <w:rsid w:val="00ED1E00"/>
    <w:rsid w:val="00ED4892"/>
    <w:rsid w:val="00ED4CD2"/>
    <w:rsid w:val="00ED6C46"/>
    <w:rsid w:val="00EE5DA9"/>
    <w:rsid w:val="00EE6E9A"/>
    <w:rsid w:val="00EE7162"/>
    <w:rsid w:val="00EE7F91"/>
    <w:rsid w:val="00EF0BF1"/>
    <w:rsid w:val="00EF1901"/>
    <w:rsid w:val="00EF2AC4"/>
    <w:rsid w:val="00EF397E"/>
    <w:rsid w:val="00EF4A20"/>
    <w:rsid w:val="00EF4A45"/>
    <w:rsid w:val="00EF4C6F"/>
    <w:rsid w:val="00EF759D"/>
    <w:rsid w:val="00F0281E"/>
    <w:rsid w:val="00F02F5C"/>
    <w:rsid w:val="00F045B5"/>
    <w:rsid w:val="00F05CC2"/>
    <w:rsid w:val="00F06123"/>
    <w:rsid w:val="00F06F68"/>
    <w:rsid w:val="00F07037"/>
    <w:rsid w:val="00F07EFC"/>
    <w:rsid w:val="00F1139A"/>
    <w:rsid w:val="00F1146A"/>
    <w:rsid w:val="00F122C7"/>
    <w:rsid w:val="00F13DC2"/>
    <w:rsid w:val="00F140BF"/>
    <w:rsid w:val="00F1713B"/>
    <w:rsid w:val="00F176BC"/>
    <w:rsid w:val="00F212CB"/>
    <w:rsid w:val="00F21976"/>
    <w:rsid w:val="00F23C7D"/>
    <w:rsid w:val="00F243DB"/>
    <w:rsid w:val="00F24C2D"/>
    <w:rsid w:val="00F24F1B"/>
    <w:rsid w:val="00F2583C"/>
    <w:rsid w:val="00F27356"/>
    <w:rsid w:val="00F321B8"/>
    <w:rsid w:val="00F32810"/>
    <w:rsid w:val="00F32A81"/>
    <w:rsid w:val="00F34378"/>
    <w:rsid w:val="00F37942"/>
    <w:rsid w:val="00F41E5E"/>
    <w:rsid w:val="00F46998"/>
    <w:rsid w:val="00F47100"/>
    <w:rsid w:val="00F50796"/>
    <w:rsid w:val="00F5282B"/>
    <w:rsid w:val="00F5382D"/>
    <w:rsid w:val="00F53D9C"/>
    <w:rsid w:val="00F5462B"/>
    <w:rsid w:val="00F56FDF"/>
    <w:rsid w:val="00F60BE3"/>
    <w:rsid w:val="00F62268"/>
    <w:rsid w:val="00F62377"/>
    <w:rsid w:val="00F634AD"/>
    <w:rsid w:val="00F63677"/>
    <w:rsid w:val="00F70CE3"/>
    <w:rsid w:val="00F731EB"/>
    <w:rsid w:val="00F73857"/>
    <w:rsid w:val="00F73BD9"/>
    <w:rsid w:val="00F75B81"/>
    <w:rsid w:val="00F76BA3"/>
    <w:rsid w:val="00F804C4"/>
    <w:rsid w:val="00F807FC"/>
    <w:rsid w:val="00F80984"/>
    <w:rsid w:val="00F8153B"/>
    <w:rsid w:val="00F82BDD"/>
    <w:rsid w:val="00F82F83"/>
    <w:rsid w:val="00F832E5"/>
    <w:rsid w:val="00F90B73"/>
    <w:rsid w:val="00F90F40"/>
    <w:rsid w:val="00F9209D"/>
    <w:rsid w:val="00F92B30"/>
    <w:rsid w:val="00F933B9"/>
    <w:rsid w:val="00F94674"/>
    <w:rsid w:val="00F94919"/>
    <w:rsid w:val="00F94A59"/>
    <w:rsid w:val="00F975DD"/>
    <w:rsid w:val="00FA25B6"/>
    <w:rsid w:val="00FA2FAF"/>
    <w:rsid w:val="00FA501B"/>
    <w:rsid w:val="00FA5A93"/>
    <w:rsid w:val="00FA5CCF"/>
    <w:rsid w:val="00FA64B1"/>
    <w:rsid w:val="00FA670C"/>
    <w:rsid w:val="00FA6B06"/>
    <w:rsid w:val="00FA7036"/>
    <w:rsid w:val="00FA70F3"/>
    <w:rsid w:val="00FA71CD"/>
    <w:rsid w:val="00FB0453"/>
    <w:rsid w:val="00FB0C07"/>
    <w:rsid w:val="00FB298D"/>
    <w:rsid w:val="00FB3C9A"/>
    <w:rsid w:val="00FB6030"/>
    <w:rsid w:val="00FB76B0"/>
    <w:rsid w:val="00FC05C6"/>
    <w:rsid w:val="00FC1439"/>
    <w:rsid w:val="00FC5192"/>
    <w:rsid w:val="00FC5659"/>
    <w:rsid w:val="00FC58BE"/>
    <w:rsid w:val="00FC61D9"/>
    <w:rsid w:val="00FC724B"/>
    <w:rsid w:val="00FC7910"/>
    <w:rsid w:val="00FD3DAA"/>
    <w:rsid w:val="00FD45E5"/>
    <w:rsid w:val="00FD6DC7"/>
    <w:rsid w:val="00FE13AD"/>
    <w:rsid w:val="00FE2BAC"/>
    <w:rsid w:val="00FE46EA"/>
    <w:rsid w:val="00FE4D8E"/>
    <w:rsid w:val="00FE5C6B"/>
    <w:rsid w:val="00FE72A6"/>
    <w:rsid w:val="00FF027B"/>
    <w:rsid w:val="00FF03BD"/>
    <w:rsid w:val="00FF0DA7"/>
    <w:rsid w:val="00FF1E19"/>
    <w:rsid w:val="00FF412C"/>
    <w:rsid w:val="00FF442B"/>
    <w:rsid w:val="00FF44E0"/>
    <w:rsid w:val="00FF4CB6"/>
    <w:rsid w:val="00FF6978"/>
    <w:rsid w:val="00FF6C72"/>
    <w:rsid w:val="01110454"/>
    <w:rsid w:val="0115436B"/>
    <w:rsid w:val="01551060"/>
    <w:rsid w:val="015E0986"/>
    <w:rsid w:val="01E1405A"/>
    <w:rsid w:val="029F04DC"/>
    <w:rsid w:val="02A7230E"/>
    <w:rsid w:val="02FF7D3A"/>
    <w:rsid w:val="03200111"/>
    <w:rsid w:val="032964DF"/>
    <w:rsid w:val="03396A16"/>
    <w:rsid w:val="036C195E"/>
    <w:rsid w:val="038D3AC6"/>
    <w:rsid w:val="03E966E5"/>
    <w:rsid w:val="04101F97"/>
    <w:rsid w:val="04381DAF"/>
    <w:rsid w:val="04AC7756"/>
    <w:rsid w:val="04AE1B2D"/>
    <w:rsid w:val="04C12CEA"/>
    <w:rsid w:val="04CE185F"/>
    <w:rsid w:val="04FA4B16"/>
    <w:rsid w:val="050D65F7"/>
    <w:rsid w:val="053C0F58"/>
    <w:rsid w:val="05777604"/>
    <w:rsid w:val="057F02E4"/>
    <w:rsid w:val="0584451A"/>
    <w:rsid w:val="05A55A15"/>
    <w:rsid w:val="05B0020B"/>
    <w:rsid w:val="05C03DD8"/>
    <w:rsid w:val="05F67BDA"/>
    <w:rsid w:val="061F0220"/>
    <w:rsid w:val="06273432"/>
    <w:rsid w:val="062D5CA2"/>
    <w:rsid w:val="066A08B5"/>
    <w:rsid w:val="06767489"/>
    <w:rsid w:val="06947318"/>
    <w:rsid w:val="06B37A81"/>
    <w:rsid w:val="075C1E82"/>
    <w:rsid w:val="078816F4"/>
    <w:rsid w:val="07CE49B4"/>
    <w:rsid w:val="07D45565"/>
    <w:rsid w:val="081215AD"/>
    <w:rsid w:val="08267F45"/>
    <w:rsid w:val="082721FE"/>
    <w:rsid w:val="085156EE"/>
    <w:rsid w:val="08903180"/>
    <w:rsid w:val="08C843DF"/>
    <w:rsid w:val="09175EBC"/>
    <w:rsid w:val="091F768D"/>
    <w:rsid w:val="092E677B"/>
    <w:rsid w:val="09644CC5"/>
    <w:rsid w:val="09A82FA2"/>
    <w:rsid w:val="09E86664"/>
    <w:rsid w:val="09F00CB1"/>
    <w:rsid w:val="09FE206E"/>
    <w:rsid w:val="0A275C0B"/>
    <w:rsid w:val="0A49551F"/>
    <w:rsid w:val="0A855400"/>
    <w:rsid w:val="0A90450D"/>
    <w:rsid w:val="0AA30E42"/>
    <w:rsid w:val="0AA718FA"/>
    <w:rsid w:val="0B3F5548"/>
    <w:rsid w:val="0B541D8A"/>
    <w:rsid w:val="0B5C1EA3"/>
    <w:rsid w:val="0B741CF1"/>
    <w:rsid w:val="0BF46102"/>
    <w:rsid w:val="0C023E93"/>
    <w:rsid w:val="0C185102"/>
    <w:rsid w:val="0C4565E2"/>
    <w:rsid w:val="0CAE3EFA"/>
    <w:rsid w:val="0CAF0B87"/>
    <w:rsid w:val="0CF72E3E"/>
    <w:rsid w:val="0D214838"/>
    <w:rsid w:val="0D43122D"/>
    <w:rsid w:val="0D4804C0"/>
    <w:rsid w:val="0D80427F"/>
    <w:rsid w:val="0D8F626C"/>
    <w:rsid w:val="0DE46E6B"/>
    <w:rsid w:val="0DED6C1B"/>
    <w:rsid w:val="0E10439C"/>
    <w:rsid w:val="0E1E6CCE"/>
    <w:rsid w:val="0E4A167A"/>
    <w:rsid w:val="0E9107B8"/>
    <w:rsid w:val="0E971CE4"/>
    <w:rsid w:val="0EC32FD1"/>
    <w:rsid w:val="0EC51B61"/>
    <w:rsid w:val="0F2C2DD1"/>
    <w:rsid w:val="0F3348D2"/>
    <w:rsid w:val="0F74548B"/>
    <w:rsid w:val="101E69CE"/>
    <w:rsid w:val="10784749"/>
    <w:rsid w:val="107D1D2C"/>
    <w:rsid w:val="10EF1D98"/>
    <w:rsid w:val="10FF200B"/>
    <w:rsid w:val="11951362"/>
    <w:rsid w:val="11DC371C"/>
    <w:rsid w:val="121430C0"/>
    <w:rsid w:val="12315972"/>
    <w:rsid w:val="123649A0"/>
    <w:rsid w:val="12B34524"/>
    <w:rsid w:val="12CB4B71"/>
    <w:rsid w:val="12D65F80"/>
    <w:rsid w:val="12EB59BB"/>
    <w:rsid w:val="13361CC2"/>
    <w:rsid w:val="13586406"/>
    <w:rsid w:val="13843DD6"/>
    <w:rsid w:val="139541BC"/>
    <w:rsid w:val="13CC7E46"/>
    <w:rsid w:val="13D63160"/>
    <w:rsid w:val="1402490B"/>
    <w:rsid w:val="14050274"/>
    <w:rsid w:val="14435C8C"/>
    <w:rsid w:val="144979FE"/>
    <w:rsid w:val="145160DE"/>
    <w:rsid w:val="14601411"/>
    <w:rsid w:val="14721AB2"/>
    <w:rsid w:val="14822B3B"/>
    <w:rsid w:val="151F50FD"/>
    <w:rsid w:val="154C5494"/>
    <w:rsid w:val="15A82FDE"/>
    <w:rsid w:val="16C7096A"/>
    <w:rsid w:val="16EF44CF"/>
    <w:rsid w:val="16FA25A9"/>
    <w:rsid w:val="16FE3F0F"/>
    <w:rsid w:val="17555E87"/>
    <w:rsid w:val="177D5929"/>
    <w:rsid w:val="17845BC0"/>
    <w:rsid w:val="178536D0"/>
    <w:rsid w:val="17A0674C"/>
    <w:rsid w:val="17A17E10"/>
    <w:rsid w:val="17A76C6A"/>
    <w:rsid w:val="17EA0FA5"/>
    <w:rsid w:val="17F665A1"/>
    <w:rsid w:val="181217B7"/>
    <w:rsid w:val="18153083"/>
    <w:rsid w:val="182A0BDE"/>
    <w:rsid w:val="18330A20"/>
    <w:rsid w:val="184864CC"/>
    <w:rsid w:val="18E25248"/>
    <w:rsid w:val="1953483C"/>
    <w:rsid w:val="196B6690"/>
    <w:rsid w:val="196E46B5"/>
    <w:rsid w:val="19AE2CC9"/>
    <w:rsid w:val="19C057F9"/>
    <w:rsid w:val="19C15948"/>
    <w:rsid w:val="19C912F7"/>
    <w:rsid w:val="19F067B6"/>
    <w:rsid w:val="19FF01A1"/>
    <w:rsid w:val="1A0773EA"/>
    <w:rsid w:val="1A351389"/>
    <w:rsid w:val="1A5604F4"/>
    <w:rsid w:val="1A6E2873"/>
    <w:rsid w:val="1AD63AE7"/>
    <w:rsid w:val="1B3A4E08"/>
    <w:rsid w:val="1B9023E9"/>
    <w:rsid w:val="1B9A2D22"/>
    <w:rsid w:val="1BB672E8"/>
    <w:rsid w:val="1BF76F39"/>
    <w:rsid w:val="1C247F1E"/>
    <w:rsid w:val="1C456CA1"/>
    <w:rsid w:val="1CE9045B"/>
    <w:rsid w:val="1CED4A71"/>
    <w:rsid w:val="1CFD7115"/>
    <w:rsid w:val="1D106487"/>
    <w:rsid w:val="1D78220B"/>
    <w:rsid w:val="1DC117D3"/>
    <w:rsid w:val="1DC419F5"/>
    <w:rsid w:val="1DE06F40"/>
    <w:rsid w:val="1DE81D7F"/>
    <w:rsid w:val="1DE902F8"/>
    <w:rsid w:val="1E223302"/>
    <w:rsid w:val="1E6C734E"/>
    <w:rsid w:val="1E8644A0"/>
    <w:rsid w:val="1E914953"/>
    <w:rsid w:val="1E9F4B7F"/>
    <w:rsid w:val="1F290719"/>
    <w:rsid w:val="1F296553"/>
    <w:rsid w:val="1F602EEA"/>
    <w:rsid w:val="1F827722"/>
    <w:rsid w:val="1F9D410E"/>
    <w:rsid w:val="202D3C5E"/>
    <w:rsid w:val="2065167F"/>
    <w:rsid w:val="206B3374"/>
    <w:rsid w:val="20763DE8"/>
    <w:rsid w:val="208F4035"/>
    <w:rsid w:val="20931778"/>
    <w:rsid w:val="209371E8"/>
    <w:rsid w:val="20BE3A5A"/>
    <w:rsid w:val="20C019C4"/>
    <w:rsid w:val="20CA0711"/>
    <w:rsid w:val="20CD580D"/>
    <w:rsid w:val="20F02A3C"/>
    <w:rsid w:val="21582E94"/>
    <w:rsid w:val="21697970"/>
    <w:rsid w:val="21816E56"/>
    <w:rsid w:val="21A01BF4"/>
    <w:rsid w:val="21A052B0"/>
    <w:rsid w:val="21B77906"/>
    <w:rsid w:val="220333B6"/>
    <w:rsid w:val="2222028E"/>
    <w:rsid w:val="22347BF8"/>
    <w:rsid w:val="2246417A"/>
    <w:rsid w:val="225A28C6"/>
    <w:rsid w:val="22825B1B"/>
    <w:rsid w:val="22A60DAB"/>
    <w:rsid w:val="22B807BC"/>
    <w:rsid w:val="230226ED"/>
    <w:rsid w:val="2325034F"/>
    <w:rsid w:val="23272D01"/>
    <w:rsid w:val="237B5324"/>
    <w:rsid w:val="23F76D4A"/>
    <w:rsid w:val="24545D2D"/>
    <w:rsid w:val="24816C7D"/>
    <w:rsid w:val="24D72A24"/>
    <w:rsid w:val="24DC7964"/>
    <w:rsid w:val="24DD348C"/>
    <w:rsid w:val="253B6CCB"/>
    <w:rsid w:val="25927652"/>
    <w:rsid w:val="2598550B"/>
    <w:rsid w:val="25B94F67"/>
    <w:rsid w:val="262465AA"/>
    <w:rsid w:val="2632268E"/>
    <w:rsid w:val="27052B41"/>
    <w:rsid w:val="27486AA3"/>
    <w:rsid w:val="27615A03"/>
    <w:rsid w:val="280D3FFC"/>
    <w:rsid w:val="281807C2"/>
    <w:rsid w:val="286510F5"/>
    <w:rsid w:val="28962C39"/>
    <w:rsid w:val="28E41DD1"/>
    <w:rsid w:val="29035D7C"/>
    <w:rsid w:val="290638B7"/>
    <w:rsid w:val="29446BFB"/>
    <w:rsid w:val="294C6F33"/>
    <w:rsid w:val="29641360"/>
    <w:rsid w:val="29B75950"/>
    <w:rsid w:val="29CE0416"/>
    <w:rsid w:val="29EF3E27"/>
    <w:rsid w:val="2A061BD1"/>
    <w:rsid w:val="2A27749F"/>
    <w:rsid w:val="2A621403"/>
    <w:rsid w:val="2AA16D1F"/>
    <w:rsid w:val="2AD15EE1"/>
    <w:rsid w:val="2AE67407"/>
    <w:rsid w:val="2AEF0D09"/>
    <w:rsid w:val="2B160A13"/>
    <w:rsid w:val="2B6462AA"/>
    <w:rsid w:val="2B7C6611"/>
    <w:rsid w:val="2BA77577"/>
    <w:rsid w:val="2BB63A55"/>
    <w:rsid w:val="2BC12856"/>
    <w:rsid w:val="2BDA43B6"/>
    <w:rsid w:val="2C2308F5"/>
    <w:rsid w:val="2C245848"/>
    <w:rsid w:val="2C8059D3"/>
    <w:rsid w:val="2C8205B2"/>
    <w:rsid w:val="2CAE50C0"/>
    <w:rsid w:val="2CC07558"/>
    <w:rsid w:val="2CDB52BC"/>
    <w:rsid w:val="2CE347F5"/>
    <w:rsid w:val="2CE76DBB"/>
    <w:rsid w:val="2D5272CE"/>
    <w:rsid w:val="2D7A094C"/>
    <w:rsid w:val="2D7F5826"/>
    <w:rsid w:val="2D8675D5"/>
    <w:rsid w:val="2DAC340C"/>
    <w:rsid w:val="2DD05402"/>
    <w:rsid w:val="2DD079F0"/>
    <w:rsid w:val="2DE01AC1"/>
    <w:rsid w:val="2DE8482B"/>
    <w:rsid w:val="2E073416"/>
    <w:rsid w:val="2E1714BA"/>
    <w:rsid w:val="2E2B69FA"/>
    <w:rsid w:val="2E483841"/>
    <w:rsid w:val="2E970597"/>
    <w:rsid w:val="2EC1610B"/>
    <w:rsid w:val="2EE2439A"/>
    <w:rsid w:val="2EEE6269"/>
    <w:rsid w:val="2F1B19A7"/>
    <w:rsid w:val="2FA977B8"/>
    <w:rsid w:val="2FE2715D"/>
    <w:rsid w:val="300602BD"/>
    <w:rsid w:val="304453D7"/>
    <w:rsid w:val="30763737"/>
    <w:rsid w:val="30845264"/>
    <w:rsid w:val="309551FF"/>
    <w:rsid w:val="30FD3154"/>
    <w:rsid w:val="31251676"/>
    <w:rsid w:val="313E277B"/>
    <w:rsid w:val="31762874"/>
    <w:rsid w:val="318E1D05"/>
    <w:rsid w:val="319A222E"/>
    <w:rsid w:val="31BF7178"/>
    <w:rsid w:val="31DC4F99"/>
    <w:rsid w:val="31F07B98"/>
    <w:rsid w:val="31FE0FED"/>
    <w:rsid w:val="32253026"/>
    <w:rsid w:val="325B2E67"/>
    <w:rsid w:val="33194891"/>
    <w:rsid w:val="332600F7"/>
    <w:rsid w:val="332B1911"/>
    <w:rsid w:val="33716027"/>
    <w:rsid w:val="338875CD"/>
    <w:rsid w:val="33BD2CB3"/>
    <w:rsid w:val="33FF63C1"/>
    <w:rsid w:val="34391547"/>
    <w:rsid w:val="3445421B"/>
    <w:rsid w:val="345948A7"/>
    <w:rsid w:val="34BF1939"/>
    <w:rsid w:val="35077242"/>
    <w:rsid w:val="35B76938"/>
    <w:rsid w:val="36022050"/>
    <w:rsid w:val="362238B9"/>
    <w:rsid w:val="36351658"/>
    <w:rsid w:val="3672131D"/>
    <w:rsid w:val="369B7545"/>
    <w:rsid w:val="36AA1B4B"/>
    <w:rsid w:val="36AC2507"/>
    <w:rsid w:val="371364A9"/>
    <w:rsid w:val="37367540"/>
    <w:rsid w:val="375776A8"/>
    <w:rsid w:val="379D3D3F"/>
    <w:rsid w:val="37AD4BEF"/>
    <w:rsid w:val="37AD7F10"/>
    <w:rsid w:val="380513F6"/>
    <w:rsid w:val="385B1AFB"/>
    <w:rsid w:val="38855FEC"/>
    <w:rsid w:val="38CA2F0B"/>
    <w:rsid w:val="38CB562D"/>
    <w:rsid w:val="38E5268F"/>
    <w:rsid w:val="38EA7F64"/>
    <w:rsid w:val="38FE02D6"/>
    <w:rsid w:val="390A73BB"/>
    <w:rsid w:val="393B0D9E"/>
    <w:rsid w:val="394605EB"/>
    <w:rsid w:val="398655A7"/>
    <w:rsid w:val="398B2875"/>
    <w:rsid w:val="399E4764"/>
    <w:rsid w:val="3A1A1132"/>
    <w:rsid w:val="3A2A32A7"/>
    <w:rsid w:val="3A3B421A"/>
    <w:rsid w:val="3A623DA1"/>
    <w:rsid w:val="3A6A5A3D"/>
    <w:rsid w:val="3A73241D"/>
    <w:rsid w:val="3AE44D19"/>
    <w:rsid w:val="3B5A0A98"/>
    <w:rsid w:val="3BAA7714"/>
    <w:rsid w:val="3BDA518D"/>
    <w:rsid w:val="3BDD6D01"/>
    <w:rsid w:val="3BF20122"/>
    <w:rsid w:val="3BF6170B"/>
    <w:rsid w:val="3C543388"/>
    <w:rsid w:val="3C7714F9"/>
    <w:rsid w:val="3CA03CA4"/>
    <w:rsid w:val="3D0948EA"/>
    <w:rsid w:val="3D1427E9"/>
    <w:rsid w:val="3D2D459D"/>
    <w:rsid w:val="3DB0167A"/>
    <w:rsid w:val="3DB63789"/>
    <w:rsid w:val="3DE06FAD"/>
    <w:rsid w:val="3E0C0CF0"/>
    <w:rsid w:val="3E383104"/>
    <w:rsid w:val="3E4511E4"/>
    <w:rsid w:val="3E4C47C4"/>
    <w:rsid w:val="3E5475F4"/>
    <w:rsid w:val="3E8F3327"/>
    <w:rsid w:val="3E934A0A"/>
    <w:rsid w:val="3ED426DC"/>
    <w:rsid w:val="3EF13CF2"/>
    <w:rsid w:val="3F4D7388"/>
    <w:rsid w:val="3F4E079C"/>
    <w:rsid w:val="3F7955A4"/>
    <w:rsid w:val="3FEE614F"/>
    <w:rsid w:val="40000966"/>
    <w:rsid w:val="406A7541"/>
    <w:rsid w:val="40786630"/>
    <w:rsid w:val="40FB3A0E"/>
    <w:rsid w:val="41294CB0"/>
    <w:rsid w:val="413720E7"/>
    <w:rsid w:val="41395454"/>
    <w:rsid w:val="41EC07ED"/>
    <w:rsid w:val="42A72268"/>
    <w:rsid w:val="42E155FC"/>
    <w:rsid w:val="42FB1C04"/>
    <w:rsid w:val="430C2195"/>
    <w:rsid w:val="4349187D"/>
    <w:rsid w:val="4371611C"/>
    <w:rsid w:val="439E3EE9"/>
    <w:rsid w:val="43A574AD"/>
    <w:rsid w:val="43B67074"/>
    <w:rsid w:val="43D73B85"/>
    <w:rsid w:val="44012E1F"/>
    <w:rsid w:val="443E7D96"/>
    <w:rsid w:val="44621B35"/>
    <w:rsid w:val="446320AB"/>
    <w:rsid w:val="44CD1BA7"/>
    <w:rsid w:val="44E17626"/>
    <w:rsid w:val="452423FC"/>
    <w:rsid w:val="4528067B"/>
    <w:rsid w:val="45403A5A"/>
    <w:rsid w:val="45554D42"/>
    <w:rsid w:val="456274BC"/>
    <w:rsid w:val="45A02AD8"/>
    <w:rsid w:val="45B174B7"/>
    <w:rsid w:val="45E43DC5"/>
    <w:rsid w:val="45EE2578"/>
    <w:rsid w:val="45FE7BF1"/>
    <w:rsid w:val="45FF1044"/>
    <w:rsid w:val="46242068"/>
    <w:rsid w:val="46282CE4"/>
    <w:rsid w:val="462E2050"/>
    <w:rsid w:val="46342994"/>
    <w:rsid w:val="4649064D"/>
    <w:rsid w:val="465324B9"/>
    <w:rsid w:val="466138D3"/>
    <w:rsid w:val="467D62CC"/>
    <w:rsid w:val="471219E9"/>
    <w:rsid w:val="473763C2"/>
    <w:rsid w:val="47411EF9"/>
    <w:rsid w:val="475F2A78"/>
    <w:rsid w:val="47671CAC"/>
    <w:rsid w:val="48157D9D"/>
    <w:rsid w:val="4862714D"/>
    <w:rsid w:val="488508FA"/>
    <w:rsid w:val="488806A5"/>
    <w:rsid w:val="48B15B50"/>
    <w:rsid w:val="48BD08D0"/>
    <w:rsid w:val="49725D12"/>
    <w:rsid w:val="4A2A5695"/>
    <w:rsid w:val="4A4F46B5"/>
    <w:rsid w:val="4A5600FF"/>
    <w:rsid w:val="4A662EB7"/>
    <w:rsid w:val="4AAD6EE0"/>
    <w:rsid w:val="4AE00499"/>
    <w:rsid w:val="4B0667C4"/>
    <w:rsid w:val="4B175199"/>
    <w:rsid w:val="4B202C78"/>
    <w:rsid w:val="4B630CA2"/>
    <w:rsid w:val="4B77497C"/>
    <w:rsid w:val="4C05528C"/>
    <w:rsid w:val="4C1E359C"/>
    <w:rsid w:val="4C365945"/>
    <w:rsid w:val="4C703E5C"/>
    <w:rsid w:val="4C7D343A"/>
    <w:rsid w:val="4CDF341A"/>
    <w:rsid w:val="4D9A1304"/>
    <w:rsid w:val="4DEE2CE8"/>
    <w:rsid w:val="4E1824CF"/>
    <w:rsid w:val="4E3D0B25"/>
    <w:rsid w:val="4E3F4403"/>
    <w:rsid w:val="4E50463A"/>
    <w:rsid w:val="4E505B1B"/>
    <w:rsid w:val="4E6C5F5A"/>
    <w:rsid w:val="4EB53514"/>
    <w:rsid w:val="4EBC235D"/>
    <w:rsid w:val="4ED445D2"/>
    <w:rsid w:val="4EF51B60"/>
    <w:rsid w:val="4F717EA3"/>
    <w:rsid w:val="4F7842BD"/>
    <w:rsid w:val="4F8E07CA"/>
    <w:rsid w:val="4F91541F"/>
    <w:rsid w:val="4FA53864"/>
    <w:rsid w:val="4FBB4908"/>
    <w:rsid w:val="502A4485"/>
    <w:rsid w:val="506A6AEA"/>
    <w:rsid w:val="50725AFF"/>
    <w:rsid w:val="50B310AE"/>
    <w:rsid w:val="50BE2293"/>
    <w:rsid w:val="50C05020"/>
    <w:rsid w:val="50FE66C7"/>
    <w:rsid w:val="513804D2"/>
    <w:rsid w:val="513A54E5"/>
    <w:rsid w:val="515521CF"/>
    <w:rsid w:val="51693876"/>
    <w:rsid w:val="51780579"/>
    <w:rsid w:val="51AC1067"/>
    <w:rsid w:val="522E4CDB"/>
    <w:rsid w:val="525F6C24"/>
    <w:rsid w:val="527A30F7"/>
    <w:rsid w:val="5294218F"/>
    <w:rsid w:val="52BA2875"/>
    <w:rsid w:val="52EA46CB"/>
    <w:rsid w:val="52F96D4A"/>
    <w:rsid w:val="531A3256"/>
    <w:rsid w:val="53A36685"/>
    <w:rsid w:val="53D25318"/>
    <w:rsid w:val="5425280A"/>
    <w:rsid w:val="543F42DB"/>
    <w:rsid w:val="545510F6"/>
    <w:rsid w:val="54BD7CE5"/>
    <w:rsid w:val="54D863CB"/>
    <w:rsid w:val="55566F8F"/>
    <w:rsid w:val="55AC22F1"/>
    <w:rsid w:val="56475021"/>
    <w:rsid w:val="56891622"/>
    <w:rsid w:val="576B413F"/>
    <w:rsid w:val="5774331A"/>
    <w:rsid w:val="57AA030B"/>
    <w:rsid w:val="57C37F22"/>
    <w:rsid w:val="582006BF"/>
    <w:rsid w:val="582435F4"/>
    <w:rsid w:val="584D546B"/>
    <w:rsid w:val="585D0F6F"/>
    <w:rsid w:val="58B65F11"/>
    <w:rsid w:val="590F093A"/>
    <w:rsid w:val="59582820"/>
    <w:rsid w:val="59B542B7"/>
    <w:rsid w:val="5A183B58"/>
    <w:rsid w:val="5A3F5DF7"/>
    <w:rsid w:val="5A902807"/>
    <w:rsid w:val="5AB00998"/>
    <w:rsid w:val="5AE27512"/>
    <w:rsid w:val="5AE358C3"/>
    <w:rsid w:val="5B146992"/>
    <w:rsid w:val="5B177971"/>
    <w:rsid w:val="5B71350E"/>
    <w:rsid w:val="5B790314"/>
    <w:rsid w:val="5BD70C4F"/>
    <w:rsid w:val="5BD803CA"/>
    <w:rsid w:val="5BE10E76"/>
    <w:rsid w:val="5BF52C82"/>
    <w:rsid w:val="5C1421DE"/>
    <w:rsid w:val="5C5C2ADA"/>
    <w:rsid w:val="5C9B4AE5"/>
    <w:rsid w:val="5CF14735"/>
    <w:rsid w:val="5CFE7B41"/>
    <w:rsid w:val="5D470717"/>
    <w:rsid w:val="5D781B0C"/>
    <w:rsid w:val="5D884EE5"/>
    <w:rsid w:val="5D95420B"/>
    <w:rsid w:val="5DBE3603"/>
    <w:rsid w:val="5DC3371A"/>
    <w:rsid w:val="5DED11A0"/>
    <w:rsid w:val="5DF83945"/>
    <w:rsid w:val="5E0953DB"/>
    <w:rsid w:val="5E673B8F"/>
    <w:rsid w:val="5E9C25F4"/>
    <w:rsid w:val="5EC57AB9"/>
    <w:rsid w:val="5F4A3B3C"/>
    <w:rsid w:val="5F4B0233"/>
    <w:rsid w:val="5FEB5675"/>
    <w:rsid w:val="604F6C31"/>
    <w:rsid w:val="60716A87"/>
    <w:rsid w:val="60810078"/>
    <w:rsid w:val="609C066B"/>
    <w:rsid w:val="60D8045B"/>
    <w:rsid w:val="61054B84"/>
    <w:rsid w:val="61196409"/>
    <w:rsid w:val="61287E34"/>
    <w:rsid w:val="61313A5A"/>
    <w:rsid w:val="61394B83"/>
    <w:rsid w:val="61667F37"/>
    <w:rsid w:val="61731635"/>
    <w:rsid w:val="61987448"/>
    <w:rsid w:val="61B7344E"/>
    <w:rsid w:val="61E46A00"/>
    <w:rsid w:val="62671222"/>
    <w:rsid w:val="62BC6150"/>
    <w:rsid w:val="639E6289"/>
    <w:rsid w:val="64451838"/>
    <w:rsid w:val="64534E30"/>
    <w:rsid w:val="64551A48"/>
    <w:rsid w:val="64593FA5"/>
    <w:rsid w:val="64732B14"/>
    <w:rsid w:val="64991B6C"/>
    <w:rsid w:val="65517366"/>
    <w:rsid w:val="65677293"/>
    <w:rsid w:val="6575720B"/>
    <w:rsid w:val="65D33609"/>
    <w:rsid w:val="661D5F35"/>
    <w:rsid w:val="6644761E"/>
    <w:rsid w:val="6659390C"/>
    <w:rsid w:val="66653DF9"/>
    <w:rsid w:val="66BD15C5"/>
    <w:rsid w:val="66F74B25"/>
    <w:rsid w:val="670275C3"/>
    <w:rsid w:val="673D0766"/>
    <w:rsid w:val="675A4F8F"/>
    <w:rsid w:val="67A47296"/>
    <w:rsid w:val="67C13549"/>
    <w:rsid w:val="67FF5BC1"/>
    <w:rsid w:val="68440A0A"/>
    <w:rsid w:val="68B643D1"/>
    <w:rsid w:val="68CB5C0E"/>
    <w:rsid w:val="68E64859"/>
    <w:rsid w:val="68FD1527"/>
    <w:rsid w:val="694A1A3C"/>
    <w:rsid w:val="69535DA5"/>
    <w:rsid w:val="69B10B4D"/>
    <w:rsid w:val="69E62759"/>
    <w:rsid w:val="6A517271"/>
    <w:rsid w:val="6A814161"/>
    <w:rsid w:val="6A83080E"/>
    <w:rsid w:val="6A830F86"/>
    <w:rsid w:val="6A925D24"/>
    <w:rsid w:val="6AD40CDD"/>
    <w:rsid w:val="6AF07FDA"/>
    <w:rsid w:val="6B3502F7"/>
    <w:rsid w:val="6BFA4D8F"/>
    <w:rsid w:val="6C0A2388"/>
    <w:rsid w:val="6C220C64"/>
    <w:rsid w:val="6CA75330"/>
    <w:rsid w:val="6CB37E7F"/>
    <w:rsid w:val="6CC3791E"/>
    <w:rsid w:val="6CF33429"/>
    <w:rsid w:val="6CFD033C"/>
    <w:rsid w:val="6D167C9F"/>
    <w:rsid w:val="6D484A7B"/>
    <w:rsid w:val="6DBE4F48"/>
    <w:rsid w:val="6E1E05ED"/>
    <w:rsid w:val="6EB46BF2"/>
    <w:rsid w:val="6EEC1D7E"/>
    <w:rsid w:val="6EF203BC"/>
    <w:rsid w:val="6F02148F"/>
    <w:rsid w:val="6F38376B"/>
    <w:rsid w:val="70003F9E"/>
    <w:rsid w:val="706527A7"/>
    <w:rsid w:val="70930294"/>
    <w:rsid w:val="70A85EA2"/>
    <w:rsid w:val="70FA0021"/>
    <w:rsid w:val="71253504"/>
    <w:rsid w:val="71723291"/>
    <w:rsid w:val="71FD0351"/>
    <w:rsid w:val="720B416D"/>
    <w:rsid w:val="724216C1"/>
    <w:rsid w:val="72424ECB"/>
    <w:rsid w:val="724B069B"/>
    <w:rsid w:val="727950D7"/>
    <w:rsid w:val="72A9701C"/>
    <w:rsid w:val="72F32D7A"/>
    <w:rsid w:val="73194CD7"/>
    <w:rsid w:val="73637761"/>
    <w:rsid w:val="7396188C"/>
    <w:rsid w:val="73DD4C8C"/>
    <w:rsid w:val="74211C16"/>
    <w:rsid w:val="742A08C1"/>
    <w:rsid w:val="743477D0"/>
    <w:rsid w:val="743626A9"/>
    <w:rsid w:val="743E7E29"/>
    <w:rsid w:val="74CA256A"/>
    <w:rsid w:val="759E18A1"/>
    <w:rsid w:val="759F4541"/>
    <w:rsid w:val="75C95F53"/>
    <w:rsid w:val="75CB0B4B"/>
    <w:rsid w:val="762937A7"/>
    <w:rsid w:val="774C7F2C"/>
    <w:rsid w:val="77E60304"/>
    <w:rsid w:val="78460573"/>
    <w:rsid w:val="7894184E"/>
    <w:rsid w:val="78EB6256"/>
    <w:rsid w:val="792773D3"/>
    <w:rsid w:val="79683E50"/>
    <w:rsid w:val="79A21E87"/>
    <w:rsid w:val="79A712C6"/>
    <w:rsid w:val="79F37750"/>
    <w:rsid w:val="7A141C26"/>
    <w:rsid w:val="7A4975F7"/>
    <w:rsid w:val="7A89324A"/>
    <w:rsid w:val="7A9F22D9"/>
    <w:rsid w:val="7AEF5872"/>
    <w:rsid w:val="7B5542F2"/>
    <w:rsid w:val="7B593E70"/>
    <w:rsid w:val="7B6044B0"/>
    <w:rsid w:val="7B9879CD"/>
    <w:rsid w:val="7BDB444A"/>
    <w:rsid w:val="7BE163D0"/>
    <w:rsid w:val="7C1A22F7"/>
    <w:rsid w:val="7C2958E9"/>
    <w:rsid w:val="7C427E84"/>
    <w:rsid w:val="7C4D491C"/>
    <w:rsid w:val="7C677009"/>
    <w:rsid w:val="7C6B2957"/>
    <w:rsid w:val="7C922F1F"/>
    <w:rsid w:val="7CF1659C"/>
    <w:rsid w:val="7D2734BF"/>
    <w:rsid w:val="7D996D3C"/>
    <w:rsid w:val="7DAE7110"/>
    <w:rsid w:val="7DEF4917"/>
    <w:rsid w:val="7E015AF4"/>
    <w:rsid w:val="7E2E248A"/>
    <w:rsid w:val="7E2F11FB"/>
    <w:rsid w:val="7E381253"/>
    <w:rsid w:val="7E492F4B"/>
    <w:rsid w:val="7E5B1F2E"/>
    <w:rsid w:val="7E7669A6"/>
    <w:rsid w:val="7EE00FF6"/>
    <w:rsid w:val="7F9A6B00"/>
    <w:rsid w:val="7FE90BE9"/>
    <w:rsid w:val="7FEB6A4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0" w:semiHidden="0" w:name="heading 2"/>
    <w:lsdException w:qFormat="1" w:uiPriority="9" w:semiHidden="0" w:name="heading 3"/>
    <w:lsdException w:qFormat="1" w:unhideWhenUsed="0" w:uiPriority="0" w:semiHidden="0"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qFormat="1" w:unhideWhenUsed="0" w:uiPriority="0" w:semiHidden="0"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qFormat="1" w:uiPriority="39" w:name="toc 4"/>
    <w:lsdException w:qFormat="1" w:uiPriority="39" w:name="toc 5"/>
    <w:lsdException w:qFormat="1" w:uiPriority="39" w:name="toc 6"/>
    <w:lsdException w:qFormat="1" w:uiPriority="39" w:name="toc 7"/>
    <w:lsdException w:qFormat="1" w:uiPriority="39" w:name="toc 8"/>
    <w:lsdException w:qFormat="1" w:uiPriority="39" w:name="toc 9"/>
    <w:lsdException w:qFormat="1" w:unhideWhenUsed="0" w:uiPriority="0" w:semiHidden="0" w:name="Normal Indent"/>
    <w:lsdException w:uiPriority="99" w:name="footnote text"/>
    <w:lsdException w:qFormat="1" w:unhideWhenUsed="0" w:uiPriority="0"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nhideWhenUsed="0" w:uiPriority="0"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qFormat="1"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uiPriority="99" w:name="Body Text 3"/>
    <w:lsdException w:uiPriority="99" w:name="Body Text Indent 2"/>
    <w:lsdException w:qFormat="1" w:unhideWhenUsed="0" w:uiPriority="99" w:semiHidden="0" w:name="Body Text Indent 3"/>
    <w:lsdException w:uiPriority="99" w:name="Block Text"/>
    <w:lsdException w:qFormat="1" w:uiPriority="99" w:semiHidden="0" w:name="Hyperlink"/>
    <w:lsdException w:qFormat="1" w:uiPriority="99" w:name="FollowedHyperlink"/>
    <w:lsdException w:qFormat="1" w:unhideWhenUsed="0" w:uiPriority="0" w:semiHidden="0" w:name="Strong"/>
    <w:lsdException w:qFormat="1" w:unhideWhenUsed="0" w:uiPriority="20" w:semiHidden="0" w:name="Emphasis"/>
    <w:lsdException w:uiPriority="99" w:name="Document Map"/>
    <w:lsdException w:qFormat="1" w:unhideWhenUsed="0" w:uiPriority="99" w:semiHidden="0"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rPr>
      <w:rFonts w:ascii="宋体" w:hAnsi="宋体" w:eastAsia="宋体" w:cs="宋体"/>
      <w:sz w:val="24"/>
      <w:szCs w:val="24"/>
      <w:lang w:val="en-US" w:eastAsia="zh-CN" w:bidi="ar-SA"/>
    </w:rPr>
  </w:style>
  <w:style w:type="paragraph" w:styleId="3">
    <w:name w:val="heading 1"/>
    <w:basedOn w:val="1"/>
    <w:next w:val="1"/>
    <w:link w:val="56"/>
    <w:qFormat/>
    <w:uiPriority w:val="9"/>
    <w:pPr>
      <w:keepNext/>
      <w:keepLines/>
      <w:spacing w:before="340" w:after="330" w:line="578" w:lineRule="auto"/>
      <w:outlineLvl w:val="0"/>
    </w:pPr>
    <w:rPr>
      <w:b/>
      <w:bCs/>
      <w:kern w:val="44"/>
      <w:sz w:val="44"/>
      <w:szCs w:val="44"/>
    </w:rPr>
  </w:style>
  <w:style w:type="paragraph" w:styleId="4">
    <w:name w:val="heading 2"/>
    <w:basedOn w:val="1"/>
    <w:next w:val="5"/>
    <w:link w:val="113"/>
    <w:qFormat/>
    <w:uiPriority w:val="0"/>
    <w:pPr>
      <w:keepNext/>
      <w:keepLines/>
      <w:spacing w:before="260" w:after="260" w:line="416" w:lineRule="auto"/>
      <w:outlineLvl w:val="1"/>
    </w:pPr>
    <w:rPr>
      <w:rFonts w:ascii="Wingdings" w:hAnsi="Wingdings" w:eastAsia="文鼎CS中黑"/>
      <w:b/>
      <w:bCs/>
      <w:sz w:val="32"/>
      <w:szCs w:val="32"/>
    </w:rPr>
  </w:style>
  <w:style w:type="paragraph" w:styleId="6">
    <w:name w:val="heading 3"/>
    <w:basedOn w:val="1"/>
    <w:next w:val="5"/>
    <w:link w:val="58"/>
    <w:unhideWhenUsed/>
    <w:qFormat/>
    <w:uiPriority w:val="9"/>
    <w:pPr>
      <w:keepNext/>
      <w:keepLines/>
      <w:spacing w:before="260" w:after="260" w:line="416" w:lineRule="auto"/>
      <w:outlineLvl w:val="2"/>
    </w:pPr>
    <w:rPr>
      <w:b/>
      <w:bCs/>
      <w:sz w:val="32"/>
      <w:szCs w:val="32"/>
    </w:rPr>
  </w:style>
  <w:style w:type="paragraph" w:styleId="2">
    <w:name w:val="heading 4"/>
    <w:basedOn w:val="1"/>
    <w:next w:val="1"/>
    <w:link w:val="63"/>
    <w:qFormat/>
    <w:uiPriority w:val="0"/>
    <w:pPr>
      <w:keepNext/>
      <w:keepLines/>
      <w:spacing w:before="280" w:after="290" w:line="376" w:lineRule="auto"/>
      <w:outlineLvl w:val="3"/>
    </w:pPr>
    <w:rPr>
      <w:b/>
      <w:bCs/>
      <w:sz w:val="28"/>
      <w:szCs w:val="28"/>
    </w:rPr>
  </w:style>
  <w:style w:type="character" w:default="1" w:styleId="34">
    <w:name w:val="Default Paragraph Font"/>
    <w:semiHidden/>
    <w:unhideWhenUsed/>
    <w:qFormat/>
    <w:uiPriority w:val="1"/>
  </w:style>
  <w:style w:type="table" w:default="1" w:styleId="32">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1"/>
    <w:link w:val="71"/>
    <w:qFormat/>
    <w:uiPriority w:val="0"/>
    <w:pPr>
      <w:autoSpaceDE w:val="0"/>
      <w:autoSpaceDN w:val="0"/>
      <w:adjustRightInd w:val="0"/>
      <w:ind w:firstLine="420"/>
    </w:pPr>
    <w:rPr>
      <w:rFonts w:hAnsi="Times New Roman" w:cs="Times New Roman"/>
    </w:rPr>
  </w:style>
  <w:style w:type="paragraph" w:styleId="7">
    <w:name w:val="toc 7"/>
    <w:basedOn w:val="1"/>
    <w:next w:val="1"/>
    <w:semiHidden/>
    <w:unhideWhenUsed/>
    <w:qFormat/>
    <w:uiPriority w:val="39"/>
    <w:pPr>
      <w:ind w:left="1440"/>
    </w:pPr>
    <w:rPr>
      <w:rFonts w:asciiTheme="minorHAnsi" w:hAnsiTheme="minorHAnsi" w:cstheme="minorHAnsi"/>
      <w:sz w:val="20"/>
      <w:szCs w:val="20"/>
    </w:rPr>
  </w:style>
  <w:style w:type="paragraph" w:styleId="8">
    <w:name w:val="annotation text"/>
    <w:basedOn w:val="1"/>
    <w:link w:val="55"/>
    <w:qFormat/>
    <w:uiPriority w:val="0"/>
    <w:rPr>
      <w:rFonts w:ascii="Arial" w:hAnsi="Arial" w:eastAsia="黑体" w:cs="Arial"/>
    </w:rPr>
  </w:style>
  <w:style w:type="paragraph" w:styleId="9">
    <w:name w:val="Salutation"/>
    <w:basedOn w:val="1"/>
    <w:next w:val="1"/>
    <w:link w:val="114"/>
    <w:qFormat/>
    <w:uiPriority w:val="0"/>
  </w:style>
  <w:style w:type="paragraph" w:styleId="10">
    <w:name w:val="Body Text"/>
    <w:basedOn w:val="1"/>
    <w:next w:val="11"/>
    <w:link w:val="115"/>
    <w:qFormat/>
    <w:uiPriority w:val="0"/>
    <w:pPr>
      <w:spacing w:line="360" w:lineRule="auto"/>
    </w:pPr>
    <w:rPr>
      <w:sz w:val="28"/>
    </w:rPr>
  </w:style>
  <w:style w:type="paragraph" w:styleId="11">
    <w:name w:val="Date"/>
    <w:basedOn w:val="1"/>
    <w:next w:val="1"/>
    <w:link w:val="52"/>
    <w:qFormat/>
    <w:uiPriority w:val="0"/>
    <w:rPr>
      <w:rFonts w:ascii="Arial" w:hAnsi="Arial" w:cs="Arial"/>
      <w:b/>
      <w:sz w:val="28"/>
    </w:rPr>
  </w:style>
  <w:style w:type="paragraph" w:styleId="12">
    <w:name w:val="Body Text Indent"/>
    <w:basedOn w:val="1"/>
    <w:link w:val="116"/>
    <w:qFormat/>
    <w:uiPriority w:val="0"/>
    <w:pPr>
      <w:adjustRightInd w:val="0"/>
      <w:snapToGrid w:val="0"/>
      <w:spacing w:line="360" w:lineRule="auto"/>
      <w:ind w:firstLine="420" w:firstLineChars="200"/>
    </w:pPr>
  </w:style>
  <w:style w:type="paragraph" w:styleId="13">
    <w:name w:val="toc 5"/>
    <w:basedOn w:val="1"/>
    <w:next w:val="1"/>
    <w:semiHidden/>
    <w:unhideWhenUsed/>
    <w:qFormat/>
    <w:uiPriority w:val="39"/>
    <w:pPr>
      <w:ind w:left="960"/>
    </w:pPr>
    <w:rPr>
      <w:rFonts w:asciiTheme="minorHAnsi" w:hAnsiTheme="minorHAnsi" w:cstheme="minorHAnsi"/>
      <w:sz w:val="20"/>
      <w:szCs w:val="20"/>
    </w:rPr>
  </w:style>
  <w:style w:type="paragraph" w:styleId="14">
    <w:name w:val="toc 3"/>
    <w:basedOn w:val="1"/>
    <w:next w:val="1"/>
    <w:unhideWhenUsed/>
    <w:qFormat/>
    <w:uiPriority w:val="39"/>
    <w:pPr>
      <w:ind w:left="480"/>
    </w:pPr>
    <w:rPr>
      <w:rFonts w:asciiTheme="minorHAnsi" w:hAnsiTheme="minorHAnsi" w:cstheme="minorHAnsi"/>
      <w:sz w:val="20"/>
      <w:szCs w:val="20"/>
    </w:rPr>
  </w:style>
  <w:style w:type="paragraph" w:styleId="15">
    <w:name w:val="Plain Text"/>
    <w:basedOn w:val="1"/>
    <w:link w:val="46"/>
    <w:qFormat/>
    <w:uiPriority w:val="99"/>
    <w:rPr>
      <w:rFonts w:hAnsi="Courier New" w:eastAsiaTheme="minorEastAsia" w:cstheme="minorBidi"/>
      <w:szCs w:val="22"/>
    </w:rPr>
  </w:style>
  <w:style w:type="paragraph" w:styleId="16">
    <w:name w:val="toc 8"/>
    <w:basedOn w:val="1"/>
    <w:next w:val="1"/>
    <w:semiHidden/>
    <w:unhideWhenUsed/>
    <w:qFormat/>
    <w:uiPriority w:val="39"/>
    <w:pPr>
      <w:ind w:left="1680"/>
    </w:pPr>
    <w:rPr>
      <w:rFonts w:asciiTheme="minorHAnsi" w:hAnsiTheme="minorHAnsi" w:cstheme="minorHAnsi"/>
      <w:sz w:val="20"/>
      <w:szCs w:val="20"/>
    </w:rPr>
  </w:style>
  <w:style w:type="paragraph" w:styleId="17">
    <w:name w:val="Balloon Text"/>
    <w:basedOn w:val="1"/>
    <w:link w:val="40"/>
    <w:semiHidden/>
    <w:unhideWhenUsed/>
    <w:qFormat/>
    <w:uiPriority w:val="99"/>
    <w:rPr>
      <w:sz w:val="18"/>
      <w:szCs w:val="18"/>
    </w:rPr>
  </w:style>
  <w:style w:type="paragraph" w:styleId="18">
    <w:name w:val="footer"/>
    <w:basedOn w:val="1"/>
    <w:link w:val="45"/>
    <w:unhideWhenUsed/>
    <w:qFormat/>
    <w:uiPriority w:val="99"/>
    <w:pPr>
      <w:tabs>
        <w:tab w:val="center" w:pos="4153"/>
        <w:tab w:val="right" w:pos="8306"/>
      </w:tabs>
      <w:snapToGrid w:val="0"/>
    </w:pPr>
    <w:rPr>
      <w:sz w:val="18"/>
      <w:szCs w:val="18"/>
    </w:rPr>
  </w:style>
  <w:style w:type="paragraph" w:styleId="19">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20">
    <w:name w:val="toc 1"/>
    <w:basedOn w:val="1"/>
    <w:next w:val="1"/>
    <w:unhideWhenUsed/>
    <w:qFormat/>
    <w:uiPriority w:val="39"/>
    <w:pPr>
      <w:spacing w:before="240" w:after="120"/>
    </w:pPr>
    <w:rPr>
      <w:rFonts w:asciiTheme="minorHAnsi" w:hAnsiTheme="minorHAnsi" w:cstheme="minorHAnsi"/>
      <w:b/>
      <w:bCs/>
      <w:sz w:val="20"/>
      <w:szCs w:val="20"/>
    </w:rPr>
  </w:style>
  <w:style w:type="paragraph" w:styleId="21">
    <w:name w:val="toc 4"/>
    <w:basedOn w:val="1"/>
    <w:next w:val="1"/>
    <w:semiHidden/>
    <w:unhideWhenUsed/>
    <w:qFormat/>
    <w:uiPriority w:val="39"/>
    <w:pPr>
      <w:ind w:left="720"/>
    </w:pPr>
    <w:rPr>
      <w:rFonts w:asciiTheme="minorHAnsi" w:hAnsiTheme="minorHAnsi" w:cstheme="minorHAnsi"/>
      <w:sz w:val="20"/>
      <w:szCs w:val="20"/>
    </w:rPr>
  </w:style>
  <w:style w:type="paragraph" w:styleId="22">
    <w:name w:val="toc 6"/>
    <w:basedOn w:val="1"/>
    <w:next w:val="1"/>
    <w:semiHidden/>
    <w:unhideWhenUsed/>
    <w:qFormat/>
    <w:uiPriority w:val="39"/>
    <w:pPr>
      <w:ind w:left="1200"/>
    </w:pPr>
    <w:rPr>
      <w:rFonts w:asciiTheme="minorHAnsi" w:hAnsiTheme="minorHAnsi" w:cstheme="minorHAnsi"/>
      <w:sz w:val="20"/>
      <w:szCs w:val="20"/>
    </w:rPr>
  </w:style>
  <w:style w:type="paragraph" w:styleId="23">
    <w:name w:val="Body Text Indent 3"/>
    <w:basedOn w:val="1"/>
    <w:link w:val="117"/>
    <w:qFormat/>
    <w:uiPriority w:val="99"/>
    <w:pPr>
      <w:adjustRightInd w:val="0"/>
      <w:snapToGrid w:val="0"/>
      <w:spacing w:line="360" w:lineRule="auto"/>
      <w:ind w:firstLine="560" w:firstLineChars="200"/>
    </w:pPr>
    <w:rPr>
      <w:rFonts w:ascii="Courier New" w:hAnsi="Courier New"/>
      <w:sz w:val="28"/>
    </w:rPr>
  </w:style>
  <w:style w:type="paragraph" w:styleId="24">
    <w:name w:val="toc 2"/>
    <w:basedOn w:val="1"/>
    <w:next w:val="1"/>
    <w:unhideWhenUsed/>
    <w:qFormat/>
    <w:uiPriority w:val="39"/>
    <w:pPr>
      <w:spacing w:before="120"/>
      <w:ind w:left="240"/>
    </w:pPr>
    <w:rPr>
      <w:rFonts w:asciiTheme="minorHAnsi" w:hAnsiTheme="minorHAnsi" w:cstheme="minorHAnsi"/>
      <w:i/>
      <w:iCs/>
      <w:sz w:val="20"/>
      <w:szCs w:val="20"/>
    </w:rPr>
  </w:style>
  <w:style w:type="paragraph" w:styleId="25">
    <w:name w:val="toc 9"/>
    <w:basedOn w:val="1"/>
    <w:next w:val="1"/>
    <w:semiHidden/>
    <w:unhideWhenUsed/>
    <w:qFormat/>
    <w:uiPriority w:val="39"/>
    <w:pPr>
      <w:ind w:left="1920"/>
    </w:pPr>
    <w:rPr>
      <w:rFonts w:asciiTheme="minorHAnsi" w:hAnsiTheme="minorHAnsi" w:cstheme="minorHAnsi"/>
      <w:sz w:val="20"/>
      <w:szCs w:val="20"/>
    </w:rPr>
  </w:style>
  <w:style w:type="paragraph" w:styleId="26">
    <w:name w:val="Body Text 2"/>
    <w:basedOn w:val="1"/>
    <w:link w:val="118"/>
    <w:qFormat/>
    <w:uiPriority w:val="0"/>
    <w:pPr>
      <w:spacing w:after="120" w:line="480" w:lineRule="auto"/>
    </w:pPr>
  </w:style>
  <w:style w:type="paragraph" w:styleId="27">
    <w:name w:val="Normal (Web)"/>
    <w:basedOn w:val="1"/>
    <w:qFormat/>
    <w:uiPriority w:val="99"/>
    <w:pPr>
      <w:spacing w:before="100" w:beforeAutospacing="1" w:after="100" w:afterAutospacing="1"/>
    </w:pPr>
    <w:rPr>
      <w:rFonts w:ascii="Courier New" w:hAnsi="Courier New"/>
      <w:color w:val="000000"/>
    </w:rPr>
  </w:style>
  <w:style w:type="paragraph" w:styleId="28">
    <w:name w:val="index 1"/>
    <w:basedOn w:val="1"/>
    <w:next w:val="1"/>
    <w:qFormat/>
    <w:uiPriority w:val="0"/>
    <w:pPr>
      <w:jc w:val="center"/>
    </w:pPr>
    <w:rPr>
      <w:rFonts w:ascii="Arial" w:hAnsi="Arial" w:eastAsia="Arial" w:cs="Arial"/>
      <w:b/>
      <w:bCs/>
      <w:sz w:val="28"/>
    </w:rPr>
  </w:style>
  <w:style w:type="paragraph" w:styleId="29">
    <w:name w:val="annotation subject"/>
    <w:basedOn w:val="8"/>
    <w:next w:val="8"/>
    <w:link w:val="73"/>
    <w:semiHidden/>
    <w:unhideWhenUsed/>
    <w:qFormat/>
    <w:uiPriority w:val="99"/>
    <w:rPr>
      <w:rFonts w:ascii="@仿宋_GB2312" w:hAnsi="@仿宋_GB2312" w:eastAsia="@仿宋_GB2312" w:cs="@仿宋_GB2312"/>
      <w:b/>
      <w:bCs/>
    </w:rPr>
  </w:style>
  <w:style w:type="paragraph" w:styleId="30">
    <w:name w:val="Body Text First Indent"/>
    <w:basedOn w:val="10"/>
    <w:link w:val="119"/>
    <w:qFormat/>
    <w:uiPriority w:val="0"/>
    <w:pPr>
      <w:spacing w:after="120" w:line="240" w:lineRule="auto"/>
      <w:ind w:firstLine="420" w:firstLineChars="100"/>
    </w:pPr>
    <w:rPr>
      <w:rFonts w:ascii="Times New Roman" w:hAnsi="Times New Roman"/>
      <w:sz w:val="21"/>
    </w:rPr>
  </w:style>
  <w:style w:type="paragraph" w:styleId="31">
    <w:name w:val="Body Text First Indent 2"/>
    <w:basedOn w:val="12"/>
    <w:link w:val="120"/>
    <w:qFormat/>
    <w:uiPriority w:val="0"/>
    <w:pPr>
      <w:adjustRightInd/>
      <w:snapToGrid/>
      <w:spacing w:after="120" w:line="240" w:lineRule="auto"/>
      <w:ind w:left="420" w:leftChars="200"/>
    </w:pPr>
  </w:style>
  <w:style w:type="table" w:styleId="33">
    <w:name w:val="Table Grid"/>
    <w:basedOn w:val="32"/>
    <w:unhideWhenUsed/>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5">
    <w:name w:val="Strong"/>
    <w:qFormat/>
    <w:uiPriority w:val="0"/>
    <w:rPr>
      <w:b/>
      <w:bCs/>
    </w:rPr>
  </w:style>
  <w:style w:type="character" w:styleId="36">
    <w:name w:val="FollowedHyperlink"/>
    <w:basedOn w:val="34"/>
    <w:semiHidden/>
    <w:unhideWhenUsed/>
    <w:qFormat/>
    <w:uiPriority w:val="99"/>
    <w:rPr>
      <w:color w:val="800080"/>
      <w:u w:val="single"/>
    </w:rPr>
  </w:style>
  <w:style w:type="character" w:styleId="37">
    <w:name w:val="Hyperlink"/>
    <w:basedOn w:val="34"/>
    <w:unhideWhenUsed/>
    <w:qFormat/>
    <w:uiPriority w:val="99"/>
    <w:rPr>
      <w:color w:val="0000FF" w:themeColor="hyperlink"/>
      <w:u w:val="single"/>
      <w14:textFill>
        <w14:solidFill>
          <w14:schemeClr w14:val="hlink"/>
        </w14:solidFill>
      </w14:textFill>
    </w:rPr>
  </w:style>
  <w:style w:type="character" w:styleId="38">
    <w:name w:val="annotation reference"/>
    <w:qFormat/>
    <w:uiPriority w:val="0"/>
    <w:rPr>
      <w:sz w:val="21"/>
      <w:szCs w:val="21"/>
    </w:rPr>
  </w:style>
  <w:style w:type="paragraph" w:styleId="39">
    <w:name w:val="List Paragraph"/>
    <w:basedOn w:val="1"/>
    <w:qFormat/>
    <w:uiPriority w:val="34"/>
    <w:pPr>
      <w:ind w:firstLine="420" w:firstLineChars="200"/>
    </w:pPr>
  </w:style>
  <w:style w:type="character" w:customStyle="1" w:styleId="40">
    <w:name w:val="批注框文本 字符"/>
    <w:basedOn w:val="34"/>
    <w:link w:val="17"/>
    <w:semiHidden/>
    <w:qFormat/>
    <w:uiPriority w:val="99"/>
    <w:rPr>
      <w:rFonts w:ascii="@仿宋_GB2312" w:hAnsi="@仿宋_GB2312" w:eastAsia="@仿宋_GB2312" w:cs="@仿宋_GB2312"/>
      <w:sz w:val="18"/>
      <w:szCs w:val="18"/>
    </w:rPr>
  </w:style>
  <w:style w:type="paragraph" w:customStyle="1" w:styleId="41">
    <w:name w:val="正文（缩进）"/>
    <w:basedOn w:val="1"/>
    <w:qFormat/>
    <w:uiPriority w:val="0"/>
    <w:pPr>
      <w:spacing w:before="156" w:after="156"/>
      <w:ind w:firstLine="480" w:firstLineChars="200"/>
    </w:pPr>
  </w:style>
  <w:style w:type="paragraph" w:customStyle="1" w:styleId="42">
    <w:name w:val="xl31"/>
    <w:basedOn w:val="1"/>
    <w:qFormat/>
    <w:uiPriority w:val="0"/>
    <w:pPr>
      <w:spacing w:before="100" w:beforeAutospacing="1" w:after="100" w:afterAutospacing="1"/>
      <w:jc w:val="center"/>
    </w:pPr>
    <w:rPr>
      <w:b/>
      <w:bCs/>
      <w:sz w:val="28"/>
      <w:szCs w:val="28"/>
    </w:rPr>
  </w:style>
  <w:style w:type="paragraph" w:customStyle="1" w:styleId="43">
    <w:name w:val="D&amp;L"/>
    <w:basedOn w:val="19"/>
    <w:qFormat/>
    <w:uiPriority w:val="0"/>
    <w:pPr>
      <w:pBdr>
        <w:bottom w:val="thinThickSmallGap" w:color="auto" w:sz="18" w:space="1"/>
      </w:pBdr>
      <w:adjustRightInd w:val="0"/>
      <w:snapToGrid/>
      <w:spacing w:line="240" w:lineRule="atLeast"/>
      <w:textAlignment w:val="baseline"/>
    </w:pPr>
    <w:rPr>
      <w:sz w:val="24"/>
      <w:szCs w:val="20"/>
    </w:rPr>
  </w:style>
  <w:style w:type="character" w:customStyle="1" w:styleId="44">
    <w:name w:val="页眉 字符"/>
    <w:basedOn w:val="34"/>
    <w:link w:val="19"/>
    <w:qFormat/>
    <w:uiPriority w:val="99"/>
    <w:rPr>
      <w:rFonts w:ascii="@仿宋_GB2312" w:hAnsi="@仿宋_GB2312" w:eastAsia="@仿宋_GB2312" w:cs="@仿宋_GB2312"/>
      <w:sz w:val="18"/>
      <w:szCs w:val="18"/>
    </w:rPr>
  </w:style>
  <w:style w:type="character" w:customStyle="1" w:styleId="45">
    <w:name w:val="页脚 字符"/>
    <w:basedOn w:val="34"/>
    <w:link w:val="18"/>
    <w:qFormat/>
    <w:uiPriority w:val="99"/>
    <w:rPr>
      <w:rFonts w:ascii="@仿宋_GB2312" w:hAnsi="@仿宋_GB2312" w:eastAsia="@仿宋_GB2312" w:cs="@仿宋_GB2312"/>
      <w:sz w:val="18"/>
      <w:szCs w:val="18"/>
    </w:rPr>
  </w:style>
  <w:style w:type="character" w:customStyle="1" w:styleId="46">
    <w:name w:val="纯文本 字符"/>
    <w:link w:val="15"/>
    <w:qFormat/>
    <w:uiPriority w:val="99"/>
    <w:rPr>
      <w:rFonts w:ascii="宋体" w:hAnsi="Courier New"/>
    </w:rPr>
  </w:style>
  <w:style w:type="character" w:customStyle="1" w:styleId="47">
    <w:name w:val="纯文本 字符1"/>
    <w:basedOn w:val="34"/>
    <w:semiHidden/>
    <w:qFormat/>
    <w:uiPriority w:val="99"/>
    <w:rPr>
      <w:rFonts w:hAnsi="Courier New" w:cs="Courier New" w:asciiTheme="minorEastAsia"/>
      <w:szCs w:val="20"/>
    </w:rPr>
  </w:style>
  <w:style w:type="character" w:customStyle="1" w:styleId="48">
    <w:name w:val="未处理的提及1"/>
    <w:basedOn w:val="34"/>
    <w:semiHidden/>
    <w:unhideWhenUsed/>
    <w:qFormat/>
    <w:uiPriority w:val="99"/>
    <w:rPr>
      <w:color w:val="605E5C"/>
      <w:shd w:val="clear" w:color="auto" w:fill="E1DFDD"/>
    </w:rPr>
  </w:style>
  <w:style w:type="paragraph" w:customStyle="1" w:styleId="49">
    <w:name w:val="Char Char Char Char Char Char Char1 Char"/>
    <w:basedOn w:val="1"/>
    <w:qFormat/>
    <w:uiPriority w:val="0"/>
    <w:rPr>
      <w:rFonts w:ascii="Arial" w:hAnsi="Arial" w:cs="Arial"/>
    </w:rPr>
  </w:style>
  <w:style w:type="table" w:customStyle="1" w:styleId="50">
    <w:name w:val="网格表 1 浅色1"/>
    <w:basedOn w:val="32"/>
    <w:qFormat/>
    <w:uiPriority w:val="46"/>
    <w:tblPr>
      <w:tblBorders>
        <w:top w:val="single" w:color="999999" w:themeColor="text1" w:themeTint="66" w:sz="4" w:space="0"/>
        <w:left w:val="single" w:color="999999" w:themeColor="text1" w:themeTint="66" w:sz="4" w:space="0"/>
        <w:bottom w:val="single" w:color="999999" w:themeColor="text1" w:themeTint="66" w:sz="4" w:space="0"/>
        <w:right w:val="single" w:color="999999" w:themeColor="text1" w:themeTint="66" w:sz="4" w:space="0"/>
        <w:insideH w:val="single" w:color="999999" w:themeColor="text1" w:themeTint="66" w:sz="4" w:space="0"/>
        <w:insideV w:val="single" w:color="999999" w:themeColor="text1" w:themeTint="66" w:sz="4" w:space="0"/>
      </w:tblBorders>
    </w:tblPr>
    <w:tblStylePr w:type="firstRow">
      <w:rPr>
        <w:b/>
        <w:bCs/>
      </w:rPr>
      <w:tcPr>
        <w:tcBorders>
          <w:bottom w:val="single" w:color="666666" w:themeColor="text1" w:themeTint="99" w:sz="12" w:space="0"/>
        </w:tcBorders>
      </w:tcPr>
    </w:tblStylePr>
    <w:tblStylePr w:type="lastRow">
      <w:rPr>
        <w:b/>
        <w:bCs/>
      </w:rPr>
      <w:tcPr>
        <w:tcBorders>
          <w:top w:val="double" w:color="666666" w:themeColor="text1" w:themeTint="99" w:sz="2" w:space="0"/>
        </w:tcBorders>
      </w:tcPr>
    </w:tblStylePr>
    <w:tblStylePr w:type="firstCol">
      <w:rPr>
        <w:b/>
        <w:bCs/>
      </w:rPr>
    </w:tblStylePr>
    <w:tblStylePr w:type="lastCol">
      <w:rPr>
        <w:b/>
        <w:bCs/>
      </w:rPr>
    </w:tblStylePr>
  </w:style>
  <w:style w:type="character" w:customStyle="1" w:styleId="51">
    <w:name w:val="日期 字符"/>
    <w:basedOn w:val="34"/>
    <w:semiHidden/>
    <w:qFormat/>
    <w:uiPriority w:val="99"/>
    <w:rPr>
      <w:rFonts w:ascii="@仿宋_GB2312" w:hAnsi="@仿宋_GB2312" w:eastAsia="@仿宋_GB2312" w:cs="@仿宋_GB2312"/>
      <w:szCs w:val="20"/>
    </w:rPr>
  </w:style>
  <w:style w:type="character" w:customStyle="1" w:styleId="52">
    <w:name w:val="日期 字符1"/>
    <w:link w:val="11"/>
    <w:qFormat/>
    <w:uiPriority w:val="0"/>
    <w:rPr>
      <w:rFonts w:ascii="Arial" w:hAnsi="Arial" w:eastAsia="宋体" w:cs="Arial"/>
      <w:b/>
      <w:sz w:val="28"/>
      <w:szCs w:val="20"/>
    </w:rPr>
  </w:style>
  <w:style w:type="character" w:customStyle="1" w:styleId="53">
    <w:name w:val="纯文本 Char1"/>
    <w:qFormat/>
    <w:locked/>
    <w:uiPriority w:val="99"/>
    <w:rPr>
      <w:rFonts w:ascii="Arial" w:hAnsi="Arial" w:eastAsia="Arial"/>
      <w:kern w:val="2"/>
      <w:sz w:val="21"/>
      <w:lang w:val="en-US" w:eastAsia="zh-CN" w:bidi="ar-SA"/>
    </w:rPr>
  </w:style>
  <w:style w:type="character" w:customStyle="1" w:styleId="54">
    <w:name w:val="批注文字 Char"/>
    <w:basedOn w:val="34"/>
    <w:semiHidden/>
    <w:qFormat/>
    <w:uiPriority w:val="99"/>
    <w:rPr>
      <w:rFonts w:ascii="@仿宋_GB2312" w:hAnsi="@仿宋_GB2312" w:eastAsia="@仿宋_GB2312" w:cs="@仿宋_GB2312"/>
      <w:szCs w:val="20"/>
    </w:rPr>
  </w:style>
  <w:style w:type="character" w:customStyle="1" w:styleId="55">
    <w:name w:val="批注文字 字符"/>
    <w:link w:val="8"/>
    <w:qFormat/>
    <w:uiPriority w:val="0"/>
    <w:rPr>
      <w:rFonts w:ascii="Arial" w:hAnsi="Arial" w:eastAsia="黑体" w:cs="Arial"/>
      <w:szCs w:val="20"/>
    </w:rPr>
  </w:style>
  <w:style w:type="character" w:customStyle="1" w:styleId="56">
    <w:name w:val="标题 1 字符"/>
    <w:basedOn w:val="34"/>
    <w:link w:val="3"/>
    <w:qFormat/>
    <w:uiPriority w:val="9"/>
    <w:rPr>
      <w:rFonts w:ascii="@仿宋_GB2312" w:hAnsi="@仿宋_GB2312" w:eastAsia="@仿宋_GB2312" w:cs="@仿宋_GB2312"/>
      <w:b/>
      <w:bCs/>
      <w:kern w:val="44"/>
      <w:sz w:val="44"/>
      <w:szCs w:val="44"/>
    </w:rPr>
  </w:style>
  <w:style w:type="paragraph" w:customStyle="1" w:styleId="57">
    <w:name w:val="TOC 标题1"/>
    <w:basedOn w:val="3"/>
    <w:next w:val="1"/>
    <w:semiHidden/>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character" w:customStyle="1" w:styleId="58">
    <w:name w:val="标题 3 字符"/>
    <w:basedOn w:val="34"/>
    <w:link w:val="6"/>
    <w:qFormat/>
    <w:uiPriority w:val="9"/>
    <w:rPr>
      <w:rFonts w:ascii="@仿宋_GB2312" w:hAnsi="@仿宋_GB2312" w:eastAsia="@仿宋_GB2312" w:cs="@仿宋_GB2312"/>
      <w:b/>
      <w:bCs/>
      <w:sz w:val="32"/>
      <w:szCs w:val="32"/>
    </w:rPr>
  </w:style>
  <w:style w:type="character" w:customStyle="1" w:styleId="59">
    <w:name w:val="fontstyle01"/>
    <w:basedOn w:val="34"/>
    <w:qFormat/>
    <w:uiPriority w:val="0"/>
    <w:rPr>
      <w:rFonts w:hint="eastAsia" w:ascii="宋体" w:hAnsi="宋体" w:eastAsia="宋体"/>
      <w:color w:val="000000"/>
      <w:sz w:val="22"/>
      <w:szCs w:val="22"/>
    </w:rPr>
  </w:style>
  <w:style w:type="character" w:customStyle="1" w:styleId="60">
    <w:name w:val="fontstyle21"/>
    <w:basedOn w:val="34"/>
    <w:qFormat/>
    <w:uiPriority w:val="0"/>
    <w:rPr>
      <w:rFonts w:hint="default" w:ascii="TimesNewRomanPSMT" w:hAnsi="TimesNewRomanPSMT"/>
      <w:color w:val="000000"/>
      <w:sz w:val="22"/>
      <w:szCs w:val="22"/>
    </w:rPr>
  </w:style>
  <w:style w:type="character" w:customStyle="1" w:styleId="61">
    <w:name w:val="正文文本 (2) + Sylfaen2"/>
    <w:qFormat/>
    <w:uiPriority w:val="99"/>
    <w:rPr>
      <w:rFonts w:ascii="Sylfaen" w:hAnsi="Sylfaen" w:eastAsia="MingLiU" w:cs="Sylfaen"/>
      <w:spacing w:val="0"/>
      <w:sz w:val="23"/>
      <w:szCs w:val="23"/>
      <w:shd w:val="clear" w:color="auto" w:fill="FFFFFF"/>
      <w:lang w:val="en-US" w:eastAsia="en-US"/>
    </w:rPr>
  </w:style>
  <w:style w:type="character" w:customStyle="1" w:styleId="62">
    <w:name w:val="标题 4 字符"/>
    <w:basedOn w:val="34"/>
    <w:semiHidden/>
    <w:qFormat/>
    <w:uiPriority w:val="9"/>
    <w:rPr>
      <w:rFonts w:asciiTheme="majorHAnsi" w:hAnsiTheme="majorHAnsi" w:eastAsiaTheme="majorEastAsia" w:cstheme="majorBidi"/>
      <w:b/>
      <w:bCs/>
      <w:sz w:val="28"/>
      <w:szCs w:val="28"/>
    </w:rPr>
  </w:style>
  <w:style w:type="character" w:customStyle="1" w:styleId="63">
    <w:name w:val="标题 4 字符1"/>
    <w:link w:val="2"/>
    <w:qFormat/>
    <w:uiPriority w:val="0"/>
    <w:rPr>
      <w:rFonts w:ascii="@仿宋_GB2312" w:hAnsi="@仿宋_GB2312" w:eastAsia="@仿宋_GB2312" w:cs="@仿宋_GB2312"/>
      <w:b/>
      <w:bCs/>
      <w:sz w:val="28"/>
      <w:szCs w:val="28"/>
    </w:rPr>
  </w:style>
  <w:style w:type="character" w:customStyle="1" w:styleId="64">
    <w:name w:val="标题 4 Char"/>
    <w:qFormat/>
    <w:uiPriority w:val="0"/>
    <w:rPr>
      <w:rFonts w:ascii="Arial" w:hAnsi="Arial" w:eastAsia="Arial"/>
      <w:b/>
      <w:bCs/>
      <w:kern w:val="2"/>
      <w:sz w:val="28"/>
      <w:szCs w:val="28"/>
      <w:lang w:val="en-US" w:eastAsia="zh-CN" w:bidi="ar-SA"/>
    </w:rPr>
  </w:style>
  <w:style w:type="table" w:customStyle="1" w:styleId="65">
    <w:name w:val="网格型1"/>
    <w:basedOn w:val="32"/>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66">
    <w:name w:val="序号 字符"/>
    <w:link w:val="67"/>
    <w:qFormat/>
    <w:uiPriority w:val="0"/>
    <w:rPr>
      <w:rFonts w:eastAsia="黑体"/>
      <w:b/>
    </w:rPr>
  </w:style>
  <w:style w:type="paragraph" w:customStyle="1" w:styleId="67">
    <w:name w:val="序号"/>
    <w:basedOn w:val="68"/>
    <w:link w:val="66"/>
    <w:qFormat/>
    <w:uiPriority w:val="0"/>
    <w:rPr>
      <w:rFonts w:eastAsia="黑体"/>
      <w:b/>
    </w:rPr>
  </w:style>
  <w:style w:type="paragraph" w:customStyle="1" w:styleId="68">
    <w:name w:val="章节内容"/>
    <w:basedOn w:val="1"/>
    <w:qFormat/>
    <w:uiPriority w:val="0"/>
    <w:pPr>
      <w:shd w:val="clear" w:color="auto" w:fill="FFFFFF"/>
    </w:pPr>
  </w:style>
  <w:style w:type="paragraph" w:customStyle="1" w:styleId="69">
    <w:name w:val="表格文字"/>
    <w:basedOn w:val="1"/>
    <w:qFormat/>
    <w:uiPriority w:val="0"/>
    <w:pPr>
      <w:spacing w:before="25" w:after="25"/>
    </w:pPr>
    <w:rPr>
      <w:bCs/>
      <w:spacing w:val="10"/>
    </w:rPr>
  </w:style>
  <w:style w:type="paragraph" w:customStyle="1" w:styleId="70">
    <w:name w:val="图"/>
    <w:basedOn w:val="1"/>
    <w:qFormat/>
    <w:uiPriority w:val="0"/>
    <w:pPr>
      <w:keepNext/>
      <w:adjustRightInd w:val="0"/>
      <w:spacing w:before="60" w:after="60" w:line="300" w:lineRule="auto"/>
      <w:jc w:val="center"/>
      <w:textAlignment w:val="center"/>
    </w:pPr>
    <w:rPr>
      <w:snapToGrid w:val="0"/>
      <w:spacing w:val="20"/>
    </w:rPr>
  </w:style>
  <w:style w:type="character" w:customStyle="1" w:styleId="71">
    <w:name w:val="正文缩进 字符"/>
    <w:link w:val="5"/>
    <w:qFormat/>
    <w:uiPriority w:val="0"/>
    <w:rPr>
      <w:rFonts w:ascii="宋体"/>
      <w:sz w:val="24"/>
    </w:rPr>
  </w:style>
  <w:style w:type="character" w:customStyle="1" w:styleId="72">
    <w:name w:val="Unresolved Mention"/>
    <w:basedOn w:val="34"/>
    <w:semiHidden/>
    <w:unhideWhenUsed/>
    <w:qFormat/>
    <w:uiPriority w:val="99"/>
    <w:rPr>
      <w:color w:val="605E5C"/>
      <w:shd w:val="clear" w:color="auto" w:fill="E1DFDD"/>
    </w:rPr>
  </w:style>
  <w:style w:type="character" w:customStyle="1" w:styleId="73">
    <w:name w:val="批注主题 字符"/>
    <w:basedOn w:val="55"/>
    <w:link w:val="29"/>
    <w:semiHidden/>
    <w:qFormat/>
    <w:uiPriority w:val="99"/>
    <w:rPr>
      <w:rFonts w:ascii="@仿宋_GB2312" w:hAnsi="@仿宋_GB2312" w:eastAsia="@仿宋_GB2312" w:cs="@仿宋_GB2312"/>
      <w:b/>
      <w:bCs/>
      <w:kern w:val="2"/>
      <w:sz w:val="21"/>
      <w:szCs w:val="20"/>
    </w:rPr>
  </w:style>
  <w:style w:type="paragraph" w:customStyle="1" w:styleId="74">
    <w:name w:val="Revision"/>
    <w:hidden/>
    <w:semiHidden/>
    <w:qFormat/>
    <w:uiPriority w:val="99"/>
    <w:rPr>
      <w:rFonts w:ascii="@仿宋_GB2312" w:hAnsi="@仿宋_GB2312" w:eastAsia="@仿宋_GB2312" w:cs="@仿宋_GB2312"/>
      <w:kern w:val="2"/>
      <w:sz w:val="21"/>
      <w:lang w:val="en-US" w:eastAsia="zh-CN" w:bidi="ar-SA"/>
    </w:rPr>
  </w:style>
  <w:style w:type="table" w:customStyle="1" w:styleId="75">
    <w:name w:val="网格型2"/>
    <w:basedOn w:val="32"/>
    <w:unhideWhenUsed/>
    <w:qFormat/>
    <w:uiPriority w:val="9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table" w:customStyle="1" w:styleId="76">
    <w:name w:val="TableGrid"/>
    <w:qFormat/>
    <w:uiPriority w:val="0"/>
    <w:rPr>
      <w:rFonts w:asciiTheme="minorHAnsi" w:hAnsiTheme="minorHAnsi" w:eastAsiaTheme="minorEastAsia" w:cstheme="minorBidi"/>
      <w:kern w:val="2"/>
      <w:sz w:val="21"/>
      <w:szCs w:val="24"/>
    </w:rPr>
    <w:tblPr>
      <w:tblCellMar>
        <w:top w:w="0" w:type="dxa"/>
        <w:left w:w="0" w:type="dxa"/>
        <w:bottom w:w="0" w:type="dxa"/>
        <w:right w:w="0" w:type="dxa"/>
      </w:tblCellMar>
    </w:tblPr>
  </w:style>
  <w:style w:type="paragraph" w:customStyle="1" w:styleId="77">
    <w:name w:val="Default"/>
    <w:next w:val="78"/>
    <w:qFormat/>
    <w:uiPriority w:val="99"/>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78">
    <w:name w:val="Char Char10 Char Char Char Char"/>
    <w:basedOn w:val="1"/>
    <w:next w:val="1"/>
    <w:qFormat/>
    <w:uiPriority w:val="0"/>
    <w:rPr>
      <w:rFonts w:ascii="Calibri" w:hAnsi="Calibri"/>
      <w:kern w:val="0"/>
    </w:rPr>
  </w:style>
  <w:style w:type="paragraph" w:customStyle="1" w:styleId="79">
    <w:name w:val="msonormal"/>
    <w:basedOn w:val="1"/>
    <w:qFormat/>
    <w:uiPriority w:val="0"/>
    <w:pPr>
      <w:spacing w:before="100" w:beforeAutospacing="1" w:after="100" w:afterAutospacing="1"/>
    </w:pPr>
  </w:style>
  <w:style w:type="paragraph" w:customStyle="1" w:styleId="80">
    <w:name w:val="font5"/>
    <w:basedOn w:val="1"/>
    <w:qFormat/>
    <w:uiPriority w:val="0"/>
    <w:pPr>
      <w:spacing w:before="100" w:beforeAutospacing="1" w:after="100" w:afterAutospacing="1"/>
    </w:pPr>
    <w:rPr>
      <w:sz w:val="18"/>
      <w:szCs w:val="18"/>
    </w:rPr>
  </w:style>
  <w:style w:type="paragraph" w:customStyle="1" w:styleId="81">
    <w:name w:val="xl6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82">
    <w:name w:val="xl64"/>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pPr>
  </w:style>
  <w:style w:type="paragraph" w:customStyle="1" w:styleId="83">
    <w:name w:val="xl65"/>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84">
    <w:name w:val="xl6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textAlignment w:val="bottom"/>
    </w:pPr>
    <w:rPr>
      <w:sz w:val="20"/>
      <w:szCs w:val="20"/>
    </w:rPr>
  </w:style>
  <w:style w:type="paragraph" w:customStyle="1" w:styleId="85">
    <w:name w:val="xl67"/>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style>
  <w:style w:type="paragraph" w:customStyle="1" w:styleId="86">
    <w:name w:val="xl68"/>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style>
  <w:style w:type="paragraph" w:customStyle="1" w:styleId="87">
    <w:name w:val="xl69"/>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pPr>
  </w:style>
  <w:style w:type="paragraph" w:customStyle="1" w:styleId="88">
    <w:name w:val="xl70"/>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pPr>
    <w:rPr>
      <w:sz w:val="20"/>
      <w:szCs w:val="20"/>
    </w:rPr>
  </w:style>
  <w:style w:type="paragraph" w:customStyle="1" w:styleId="89">
    <w:name w:val="xl71"/>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sz w:val="20"/>
      <w:szCs w:val="20"/>
    </w:rPr>
  </w:style>
  <w:style w:type="paragraph" w:customStyle="1" w:styleId="90">
    <w:name w:val="xl72"/>
    <w:basedOn w:val="1"/>
    <w:qFormat/>
    <w:uiPriority w:val="0"/>
    <w:pPr>
      <w:pBdr>
        <w:top w:val="single" w:color="auto" w:sz="8" w:space="0"/>
        <w:left w:val="single" w:color="auto" w:sz="8" w:space="0"/>
        <w:bottom w:val="single" w:color="auto" w:sz="4" w:space="0"/>
        <w:right w:val="single" w:color="auto" w:sz="4" w:space="0"/>
      </w:pBdr>
      <w:spacing w:before="100" w:beforeAutospacing="1" w:after="100" w:afterAutospacing="1"/>
      <w:jc w:val="center"/>
      <w:textAlignment w:val="bottom"/>
    </w:pPr>
    <w:rPr>
      <w:sz w:val="28"/>
      <w:szCs w:val="28"/>
    </w:rPr>
  </w:style>
  <w:style w:type="paragraph" w:customStyle="1" w:styleId="91">
    <w:name w:val="xl73"/>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92">
    <w:name w:val="xl74"/>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jc w:val="center"/>
      <w:textAlignment w:val="bottom"/>
    </w:pPr>
    <w:rPr>
      <w:sz w:val="20"/>
      <w:szCs w:val="20"/>
    </w:rPr>
  </w:style>
  <w:style w:type="paragraph" w:customStyle="1" w:styleId="93">
    <w:name w:val="xl75"/>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bottom"/>
    </w:pPr>
    <w:rPr>
      <w:sz w:val="20"/>
      <w:szCs w:val="20"/>
    </w:rPr>
  </w:style>
  <w:style w:type="paragraph" w:customStyle="1" w:styleId="94">
    <w:name w:val="xl76"/>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pPr>
  </w:style>
  <w:style w:type="paragraph" w:customStyle="1" w:styleId="95">
    <w:name w:val="xl77"/>
    <w:basedOn w:val="1"/>
    <w:qFormat/>
    <w:uiPriority w:val="0"/>
    <w:pPr>
      <w:pBdr>
        <w:top w:val="single" w:color="auto" w:sz="4" w:space="0"/>
        <w:left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96">
    <w:name w:val="xl78"/>
    <w:basedOn w:val="1"/>
    <w:qFormat/>
    <w:uiPriority w:val="0"/>
    <w:pPr>
      <w:pBdr>
        <w:top w:val="single" w:color="auto" w:sz="4" w:space="0"/>
        <w:left w:val="single" w:color="auto" w:sz="4" w:space="0"/>
        <w:bottom w:val="single" w:color="auto" w:sz="4" w:space="0"/>
      </w:pBdr>
      <w:spacing w:before="100" w:beforeAutospacing="1" w:after="100" w:afterAutospacing="1"/>
      <w:textAlignment w:val="bottom"/>
    </w:pPr>
    <w:rPr>
      <w:sz w:val="20"/>
      <w:szCs w:val="20"/>
    </w:rPr>
  </w:style>
  <w:style w:type="paragraph" w:customStyle="1" w:styleId="97">
    <w:name w:val="xl79"/>
    <w:basedOn w:val="1"/>
    <w:qFormat/>
    <w:uiPriority w:val="0"/>
    <w:pPr>
      <w:pBdr>
        <w:top w:val="single" w:color="auto" w:sz="4" w:space="0"/>
        <w:left w:val="single" w:color="auto" w:sz="4" w:space="0"/>
        <w:bottom w:val="single" w:color="auto" w:sz="4" w:space="0"/>
        <w:right w:val="single" w:color="auto" w:sz="8" w:space="0"/>
      </w:pBdr>
      <w:spacing w:before="100" w:beforeAutospacing="1" w:after="100" w:afterAutospacing="1"/>
      <w:textAlignment w:val="bottom"/>
    </w:pPr>
    <w:rPr>
      <w:sz w:val="20"/>
      <w:szCs w:val="20"/>
    </w:rPr>
  </w:style>
  <w:style w:type="paragraph" w:customStyle="1" w:styleId="98">
    <w:name w:val="xl80"/>
    <w:basedOn w:val="1"/>
    <w:qFormat/>
    <w:uiPriority w:val="0"/>
    <w:pPr>
      <w:pBdr>
        <w:top w:val="single" w:color="auto" w:sz="4" w:space="0"/>
        <w:bottom w:val="single" w:color="auto" w:sz="4" w:space="0"/>
        <w:right w:val="single" w:color="auto" w:sz="8" w:space="0"/>
      </w:pBdr>
      <w:spacing w:before="100" w:beforeAutospacing="1" w:after="100" w:afterAutospacing="1"/>
      <w:textAlignment w:val="bottom"/>
    </w:pPr>
    <w:rPr>
      <w:sz w:val="20"/>
      <w:szCs w:val="20"/>
    </w:rPr>
  </w:style>
  <w:style w:type="paragraph" w:customStyle="1" w:styleId="99">
    <w:name w:val="xl81"/>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bottom"/>
    </w:pPr>
    <w:rPr>
      <w:sz w:val="20"/>
      <w:szCs w:val="20"/>
    </w:rPr>
  </w:style>
  <w:style w:type="paragraph" w:customStyle="1" w:styleId="100">
    <w:name w:val="xl82"/>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textAlignment w:val="bottom"/>
    </w:pPr>
    <w:rPr>
      <w:sz w:val="20"/>
      <w:szCs w:val="20"/>
    </w:rPr>
  </w:style>
  <w:style w:type="paragraph" w:customStyle="1" w:styleId="101">
    <w:name w:val="xl83"/>
    <w:basedOn w:val="1"/>
    <w:qFormat/>
    <w:uiPriority w:val="0"/>
    <w:pPr>
      <w:pBdr>
        <w:top w:val="single" w:color="auto" w:sz="4" w:space="0"/>
        <w:left w:val="single" w:color="auto" w:sz="4" w:space="0"/>
        <w:bottom w:val="single" w:color="auto" w:sz="8" w:space="0"/>
        <w:right w:val="single" w:color="auto" w:sz="4" w:space="0"/>
      </w:pBdr>
      <w:spacing w:before="100" w:beforeAutospacing="1" w:after="100" w:afterAutospacing="1"/>
    </w:pPr>
  </w:style>
  <w:style w:type="paragraph" w:customStyle="1" w:styleId="102">
    <w:name w:val="xl84"/>
    <w:basedOn w:val="1"/>
    <w:qFormat/>
    <w:uiPriority w:val="0"/>
    <w:pPr>
      <w:pBdr>
        <w:top w:val="single" w:color="auto" w:sz="4" w:space="0"/>
        <w:left w:val="single" w:color="auto" w:sz="4" w:space="0"/>
        <w:bottom w:val="single" w:color="auto" w:sz="8" w:space="0"/>
        <w:right w:val="single" w:color="auto" w:sz="8" w:space="0"/>
      </w:pBdr>
      <w:spacing w:before="100" w:beforeAutospacing="1" w:after="100" w:afterAutospacing="1"/>
    </w:pPr>
  </w:style>
  <w:style w:type="paragraph" w:customStyle="1" w:styleId="103">
    <w:name w:val="xl85"/>
    <w:basedOn w:val="1"/>
    <w:qFormat/>
    <w:uiPriority w:val="0"/>
    <w:pPr>
      <w:pBdr>
        <w:top w:val="single" w:color="auto" w:sz="4" w:space="0"/>
        <w:left w:val="single" w:color="auto" w:sz="4" w:space="0"/>
        <w:bottom w:val="single" w:color="auto" w:sz="4" w:space="0"/>
      </w:pBdr>
      <w:spacing w:before="100" w:beforeAutospacing="1" w:after="100" w:afterAutospacing="1"/>
    </w:pPr>
  </w:style>
  <w:style w:type="paragraph" w:customStyle="1" w:styleId="104">
    <w:name w:val="xl86"/>
    <w:basedOn w:val="1"/>
    <w:qFormat/>
    <w:uiPriority w:val="0"/>
    <w:pPr>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bottom"/>
    </w:pPr>
    <w:rPr>
      <w:sz w:val="20"/>
      <w:szCs w:val="20"/>
    </w:rPr>
  </w:style>
  <w:style w:type="paragraph" w:customStyle="1" w:styleId="105">
    <w:name w:val="xl87"/>
    <w:basedOn w:val="1"/>
    <w:qFormat/>
    <w:uiPriority w:val="0"/>
    <w:pPr>
      <w:spacing w:before="100" w:beforeAutospacing="1" w:after="100" w:afterAutospacing="1"/>
      <w:jc w:val="center"/>
    </w:pPr>
    <w:rPr>
      <w:b/>
      <w:bCs/>
      <w:sz w:val="40"/>
      <w:szCs w:val="40"/>
    </w:rPr>
  </w:style>
  <w:style w:type="paragraph" w:customStyle="1" w:styleId="106">
    <w:name w:val="xl88"/>
    <w:basedOn w:val="1"/>
    <w:qFormat/>
    <w:uiPriority w:val="0"/>
    <w:pPr>
      <w:pBdr>
        <w:top w:val="single" w:color="auto" w:sz="4" w:space="0"/>
        <w:left w:val="single" w:color="auto" w:sz="8" w:space="0"/>
        <w:bottom w:val="single" w:color="auto" w:sz="4" w:space="0"/>
        <w:right w:val="single" w:color="auto" w:sz="4" w:space="0"/>
      </w:pBdr>
      <w:spacing w:before="100" w:beforeAutospacing="1" w:after="100" w:afterAutospacing="1"/>
      <w:jc w:val="center"/>
    </w:pPr>
  </w:style>
  <w:style w:type="paragraph" w:customStyle="1" w:styleId="107">
    <w:name w:val="xl89"/>
    <w:basedOn w:val="1"/>
    <w:qFormat/>
    <w:uiPriority w:val="0"/>
    <w:pPr>
      <w:pBdr>
        <w:top w:val="single" w:color="auto" w:sz="8" w:space="0"/>
        <w:left w:val="single" w:color="auto" w:sz="4" w:space="0"/>
        <w:bottom w:val="single" w:color="auto" w:sz="4" w:space="0"/>
        <w:right w:val="single" w:color="auto" w:sz="4" w:space="0"/>
      </w:pBdr>
      <w:spacing w:before="100" w:beforeAutospacing="1" w:after="100" w:afterAutospacing="1"/>
      <w:jc w:val="center"/>
      <w:textAlignment w:val="bottom"/>
    </w:pPr>
    <w:rPr>
      <w:sz w:val="28"/>
      <w:szCs w:val="28"/>
    </w:rPr>
  </w:style>
  <w:style w:type="paragraph" w:customStyle="1" w:styleId="108">
    <w:name w:val="xl90"/>
    <w:basedOn w:val="1"/>
    <w:qFormat/>
    <w:uiPriority w:val="0"/>
    <w:pPr>
      <w:pBdr>
        <w:top w:val="single" w:color="auto" w:sz="8" w:space="0"/>
        <w:left w:val="single" w:color="auto" w:sz="4" w:space="0"/>
        <w:bottom w:val="single" w:color="auto" w:sz="4" w:space="0"/>
        <w:right w:val="single" w:color="auto" w:sz="8" w:space="0"/>
      </w:pBdr>
      <w:spacing w:before="100" w:beforeAutospacing="1" w:after="100" w:afterAutospacing="1"/>
      <w:jc w:val="center"/>
      <w:textAlignment w:val="bottom"/>
    </w:pPr>
    <w:rPr>
      <w:sz w:val="28"/>
      <w:szCs w:val="28"/>
    </w:rPr>
  </w:style>
  <w:style w:type="paragraph" w:customStyle="1" w:styleId="109">
    <w:name w:val="xl91"/>
    <w:basedOn w:val="1"/>
    <w:qFormat/>
    <w:uiPriority w:val="0"/>
    <w:pPr>
      <w:spacing w:before="100" w:beforeAutospacing="1" w:after="100" w:afterAutospacing="1"/>
      <w:textAlignment w:val="top"/>
    </w:pPr>
  </w:style>
  <w:style w:type="paragraph" w:customStyle="1" w:styleId="110">
    <w:name w:val="xl92"/>
    <w:basedOn w:val="1"/>
    <w:qFormat/>
    <w:uiPriority w:val="0"/>
    <w:pPr>
      <w:pBdr>
        <w:top w:val="single" w:color="auto" w:sz="4" w:space="0"/>
        <w:left w:val="single" w:color="auto" w:sz="8" w:space="0"/>
        <w:bottom w:val="single" w:color="auto" w:sz="8" w:space="0"/>
        <w:right w:val="single" w:color="auto" w:sz="4" w:space="0"/>
      </w:pBdr>
      <w:spacing w:before="100" w:beforeAutospacing="1" w:after="100" w:afterAutospacing="1"/>
      <w:jc w:val="center"/>
    </w:pPr>
  </w:style>
  <w:style w:type="paragraph" w:customStyle="1" w:styleId="111">
    <w:name w:val="TOC Heading"/>
    <w:basedOn w:val="3"/>
    <w:next w:val="1"/>
    <w:unhideWhenUsed/>
    <w:qFormat/>
    <w:uiPriority w:val="39"/>
    <w:pPr>
      <w:spacing w:before="480" w:after="0" w:line="276" w:lineRule="auto"/>
      <w:outlineLvl w:val="9"/>
    </w:pPr>
    <w:rPr>
      <w:rFonts w:asciiTheme="majorHAnsi" w:hAnsiTheme="majorHAnsi" w:eastAsiaTheme="majorEastAsia" w:cstheme="majorBidi"/>
      <w:color w:val="376092" w:themeColor="accent1" w:themeShade="BF"/>
      <w:kern w:val="0"/>
      <w:sz w:val="28"/>
      <w:szCs w:val="28"/>
    </w:rPr>
  </w:style>
  <w:style w:type="paragraph" w:customStyle="1" w:styleId="112">
    <w:name w:val="Default Text"/>
    <w:basedOn w:val="1"/>
    <w:qFormat/>
    <w:uiPriority w:val="0"/>
    <w:pPr>
      <w:overflowPunct w:val="0"/>
      <w:autoSpaceDE w:val="0"/>
      <w:autoSpaceDN w:val="0"/>
      <w:adjustRightInd w:val="0"/>
      <w:textAlignment w:val="baseline"/>
    </w:pPr>
    <w:rPr>
      <w:rFonts w:ascii="Times New Roman" w:hAnsi="Times New Roman" w:cs="Times New Roman"/>
      <w:szCs w:val="20"/>
    </w:rPr>
  </w:style>
  <w:style w:type="character" w:customStyle="1" w:styleId="113">
    <w:name w:val="标题 2 字符"/>
    <w:basedOn w:val="34"/>
    <w:link w:val="4"/>
    <w:qFormat/>
    <w:uiPriority w:val="0"/>
    <w:rPr>
      <w:rFonts w:ascii="Wingdings" w:hAnsi="Wingdings" w:eastAsia="文鼎CS中黑" w:cs="宋体"/>
      <w:b/>
      <w:bCs/>
      <w:sz w:val="32"/>
      <w:szCs w:val="32"/>
    </w:rPr>
  </w:style>
  <w:style w:type="character" w:customStyle="1" w:styleId="114">
    <w:name w:val="称呼 字符"/>
    <w:basedOn w:val="34"/>
    <w:link w:val="9"/>
    <w:qFormat/>
    <w:uiPriority w:val="0"/>
    <w:rPr>
      <w:rFonts w:ascii="宋体" w:hAnsi="宋体" w:cs="宋体"/>
      <w:sz w:val="24"/>
      <w:szCs w:val="24"/>
    </w:rPr>
  </w:style>
  <w:style w:type="character" w:customStyle="1" w:styleId="115">
    <w:name w:val="正文文本 字符"/>
    <w:basedOn w:val="34"/>
    <w:link w:val="10"/>
    <w:qFormat/>
    <w:uiPriority w:val="0"/>
    <w:rPr>
      <w:rFonts w:ascii="宋体" w:hAnsi="宋体" w:cs="宋体"/>
      <w:sz w:val="28"/>
      <w:szCs w:val="24"/>
    </w:rPr>
  </w:style>
  <w:style w:type="character" w:customStyle="1" w:styleId="116">
    <w:name w:val="正文文本缩进 字符"/>
    <w:basedOn w:val="34"/>
    <w:link w:val="12"/>
    <w:qFormat/>
    <w:uiPriority w:val="0"/>
    <w:rPr>
      <w:rFonts w:ascii="宋体" w:hAnsi="宋体" w:cs="宋体"/>
      <w:sz w:val="24"/>
      <w:szCs w:val="24"/>
    </w:rPr>
  </w:style>
  <w:style w:type="character" w:customStyle="1" w:styleId="117">
    <w:name w:val="正文文本缩进 3 字符"/>
    <w:basedOn w:val="34"/>
    <w:link w:val="23"/>
    <w:qFormat/>
    <w:uiPriority w:val="99"/>
    <w:rPr>
      <w:rFonts w:ascii="Courier New" w:hAnsi="Courier New" w:cs="宋体"/>
      <w:sz w:val="28"/>
      <w:szCs w:val="24"/>
    </w:rPr>
  </w:style>
  <w:style w:type="character" w:customStyle="1" w:styleId="118">
    <w:name w:val="正文文本 2 字符"/>
    <w:basedOn w:val="34"/>
    <w:link w:val="26"/>
    <w:qFormat/>
    <w:uiPriority w:val="0"/>
    <w:rPr>
      <w:rFonts w:ascii="宋体" w:hAnsi="宋体" w:cs="宋体"/>
      <w:sz w:val="24"/>
      <w:szCs w:val="24"/>
    </w:rPr>
  </w:style>
  <w:style w:type="character" w:customStyle="1" w:styleId="119">
    <w:name w:val="正文文本首行缩进 字符"/>
    <w:basedOn w:val="115"/>
    <w:link w:val="30"/>
    <w:qFormat/>
    <w:uiPriority w:val="0"/>
    <w:rPr>
      <w:rFonts w:ascii="宋体" w:hAnsi="宋体" w:cs="宋体"/>
      <w:sz w:val="21"/>
      <w:szCs w:val="24"/>
    </w:rPr>
  </w:style>
  <w:style w:type="character" w:customStyle="1" w:styleId="120">
    <w:name w:val="正文文本首行缩进 2 字符"/>
    <w:basedOn w:val="116"/>
    <w:link w:val="31"/>
    <w:qFormat/>
    <w:uiPriority w:val="0"/>
    <w:rPr>
      <w:rFonts w:ascii="宋体" w:hAnsi="宋体" w:cs="宋体"/>
      <w:sz w:val="24"/>
      <w:szCs w:val="24"/>
    </w:rPr>
  </w:style>
  <w:style w:type="character" w:customStyle="1" w:styleId="121">
    <w:name w:val="font01"/>
    <w:basedOn w:val="34"/>
    <w:uiPriority w:val="0"/>
    <w:rPr>
      <w:rFonts w:hint="eastAsia" w:ascii="宋体" w:hAnsi="宋体" w:eastAsia="宋体" w:cs="宋体"/>
      <w:color w:val="000000"/>
      <w:sz w:val="18"/>
      <w:szCs w:val="18"/>
      <w:u w:val="none"/>
    </w:rPr>
  </w:style>
</w:styles>
</file>

<file path=word/_rels/document.xml.rels><?xml version="1.0" encoding="UTF-8" standalone="yes"?>
<Relationships xmlns="http://schemas.openxmlformats.org/package/2006/relationships"><Relationship Id="rId9" Type="http://schemas.openxmlformats.org/officeDocument/2006/relationships/image" Target="media/image1.jpeg"/><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header" Target="header2.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6" Type="http://schemas.openxmlformats.org/officeDocument/2006/relationships/fontTable" Target="fontTable.xml"/><Relationship Id="rId15" Type="http://schemas.openxmlformats.org/officeDocument/2006/relationships/customXml" Target="../customXml/item2.xml"/><Relationship Id="rId14" Type="http://schemas.openxmlformats.org/officeDocument/2006/relationships/numbering" Target="numbering.xml"/><Relationship Id="rId13" Type="http://schemas.openxmlformats.org/officeDocument/2006/relationships/customXml" Target="../customXml/item1.xml"/><Relationship Id="rId12" Type="http://schemas.openxmlformats.org/officeDocument/2006/relationships/image" Target="media/image4.jpeg"/><Relationship Id="rId11" Type="http://schemas.openxmlformats.org/officeDocument/2006/relationships/image" Target="media/image3.jpeg"/><Relationship Id="rId10" Type="http://schemas.openxmlformats.org/officeDocument/2006/relationships/image" Target="media/image2.jpe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2D274DF6-5739-471D-9015-F5D131883D5B}">
  <ds:schemaRefs/>
</ds:datastoreItem>
</file>

<file path=docProps/app.xml><?xml version="1.0" encoding="utf-8"?>
<Properties xmlns="http://schemas.openxmlformats.org/officeDocument/2006/extended-properties" xmlns:vt="http://schemas.openxmlformats.org/officeDocument/2006/docPropsVTypes">
  <Template>Normal.dotm</Template>
  <Company>akoosky</Company>
  <Pages>100</Pages>
  <Words>44115</Words>
  <Characters>47199</Characters>
  <Lines>427</Lines>
  <Paragraphs>120</Paragraphs>
  <TotalTime>10</TotalTime>
  <ScaleCrop>false</ScaleCrop>
  <LinksUpToDate>false</LinksUpToDate>
  <CharactersWithSpaces>49717</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2020-06-30T11:16:00Z</dcterms:created>
  <dc:creator>Anakin</dc:creator>
  <cp:lastModifiedBy>LENOVO</cp:lastModifiedBy>
  <cp:lastPrinted>2022-01-11T11:45:00Z</cp:lastPrinted>
  <dcterms:modified xsi:type="dcterms:W3CDTF">2022-02-27T12:59:47Z</dcterms:modified>
  <cp:revision>2041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y fmtid="{D5CDD505-2E9C-101B-9397-08002B2CF9AE}" pid="3" name="ICV">
    <vt:lpwstr>91E6EADC154848CC978E2F9B69944F00</vt:lpwstr>
  </property>
</Properties>
</file>