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sz w:val="28"/>
          <w:szCs w:val="28"/>
          <w:bdr w:val="single" w:color="auto" w:sz="4" w:space="0"/>
        </w:rPr>
      </w:pPr>
      <w:r>
        <w:rPr>
          <w:sz w:val="28"/>
          <w:szCs w:val="28"/>
          <w:lang w:val="zh-CN"/>
        </w:rPr>
        <w:t>招标编号 ：</w:t>
      </w:r>
      <w:r>
        <w:rPr>
          <w:rFonts w:hint="eastAsia"/>
          <w:sz w:val="28"/>
          <w:szCs w:val="28"/>
        </w:rPr>
        <w:t>SSQYZB02-2023024</w:t>
      </w:r>
    </w:p>
    <w:p>
      <w:pPr>
        <w:spacing w:line="360" w:lineRule="auto"/>
        <w:jc w:val="center"/>
        <w:rPr>
          <w:sz w:val="72"/>
          <w:szCs w:val="72"/>
          <w:lang w:val="zh-CN"/>
        </w:rPr>
      </w:pPr>
    </w:p>
    <w:p>
      <w:pPr>
        <w:spacing w:line="360" w:lineRule="auto"/>
        <w:jc w:val="center"/>
        <w:rPr>
          <w:sz w:val="72"/>
          <w:szCs w:val="72"/>
          <w:lang w:val="zh-CN"/>
        </w:rPr>
      </w:pPr>
      <w:r>
        <w:rPr>
          <w:sz w:val="72"/>
          <w:szCs w:val="72"/>
          <w:lang w:val="zh-CN"/>
        </w:rPr>
        <w:t>招 标 文 件</w:t>
      </w:r>
    </w:p>
    <w:p>
      <w:pPr>
        <w:spacing w:line="800" w:lineRule="exact"/>
        <w:rPr>
          <w:sz w:val="32"/>
          <w:szCs w:val="32"/>
        </w:rPr>
      </w:pPr>
    </w:p>
    <w:p>
      <w:pPr>
        <w:spacing w:line="800" w:lineRule="exact"/>
        <w:rPr>
          <w:sz w:val="36"/>
          <w:szCs w:val="36"/>
        </w:rPr>
      </w:pPr>
      <w:r>
        <w:rPr>
          <w:sz w:val="36"/>
          <w:szCs w:val="36"/>
        </w:rPr>
        <w:t>项目名称：</w:t>
      </w:r>
      <w:r>
        <w:rPr>
          <w:rFonts w:hint="eastAsia"/>
          <w:sz w:val="36"/>
          <w:szCs w:val="36"/>
        </w:rPr>
        <w:t>新疆农业大学水利与土木工程学院采购科研仪器设备-岩石及岩土实验平台项目</w:t>
      </w:r>
    </w:p>
    <w:p>
      <w:pPr>
        <w:spacing w:line="800" w:lineRule="exact"/>
        <w:rPr>
          <w:sz w:val="36"/>
          <w:szCs w:val="36"/>
        </w:rPr>
      </w:pPr>
      <w:r>
        <w:rPr>
          <w:sz w:val="36"/>
          <w:szCs w:val="36"/>
        </w:rPr>
        <w:t>采 购 人：新疆农业大学</w:t>
      </w:r>
    </w:p>
    <w:p>
      <w:pPr>
        <w:spacing w:line="800" w:lineRule="exact"/>
        <w:ind w:left="1800" w:hanging="1800" w:hangingChars="500"/>
        <w:rPr>
          <w:sz w:val="36"/>
          <w:szCs w:val="36"/>
        </w:rPr>
      </w:pPr>
      <w:r>
        <w:rPr>
          <w:rFonts w:hint="eastAsia"/>
          <w:sz w:val="36"/>
          <w:szCs w:val="36"/>
        </w:rPr>
        <w:t>法定代表人</w:t>
      </w:r>
      <w:r>
        <w:rPr>
          <w:sz w:val="36"/>
          <w:szCs w:val="36"/>
        </w:rPr>
        <w:t xml:space="preserve">（签章）： </w:t>
      </w:r>
    </w:p>
    <w:p>
      <w:pPr>
        <w:spacing w:line="800" w:lineRule="exact"/>
        <w:ind w:left="1800" w:hanging="1800" w:hangingChars="500"/>
        <w:rPr>
          <w:sz w:val="36"/>
          <w:szCs w:val="36"/>
        </w:rPr>
      </w:pPr>
      <w:r>
        <w:rPr>
          <w:sz w:val="36"/>
          <w:szCs w:val="36"/>
        </w:rPr>
        <w:t>联系人：</w:t>
      </w:r>
      <w:r>
        <w:rPr>
          <w:rFonts w:hint="eastAsia"/>
          <w:sz w:val="36"/>
          <w:szCs w:val="36"/>
        </w:rPr>
        <w:t>刘亮</w:t>
      </w:r>
    </w:p>
    <w:p>
      <w:pPr>
        <w:spacing w:line="800" w:lineRule="exact"/>
        <w:ind w:left="1800" w:hanging="1800" w:hangingChars="500"/>
        <w:rPr>
          <w:sz w:val="36"/>
          <w:szCs w:val="36"/>
        </w:rPr>
      </w:pPr>
      <w:r>
        <w:rPr>
          <w:sz w:val="36"/>
          <w:szCs w:val="36"/>
        </w:rPr>
        <w:t>联系电话：</w:t>
      </w:r>
      <w:r>
        <w:rPr>
          <w:rFonts w:hint="eastAsia"/>
          <w:sz w:val="36"/>
          <w:szCs w:val="36"/>
        </w:rPr>
        <w:t>15022943919</w:t>
      </w:r>
    </w:p>
    <w:p>
      <w:pPr>
        <w:spacing w:line="800" w:lineRule="exact"/>
        <w:rPr>
          <w:w w:val="90"/>
          <w:sz w:val="36"/>
          <w:szCs w:val="36"/>
        </w:rPr>
      </w:pPr>
      <w:r>
        <w:rPr>
          <w:w w:val="90"/>
          <w:sz w:val="36"/>
          <w:szCs w:val="36"/>
        </w:rPr>
        <w:t>招标代理机构：（公章）</w:t>
      </w:r>
      <w:r>
        <w:rPr>
          <w:rFonts w:hint="eastAsia"/>
          <w:w w:val="90"/>
          <w:sz w:val="36"/>
          <w:szCs w:val="36"/>
        </w:rPr>
        <w:t>新疆盛世乾元工程项目管理咨询有限公司</w:t>
      </w:r>
    </w:p>
    <w:p>
      <w:pPr>
        <w:spacing w:line="800" w:lineRule="exact"/>
        <w:rPr>
          <w:sz w:val="36"/>
          <w:szCs w:val="36"/>
        </w:rPr>
      </w:pPr>
      <w:r>
        <w:rPr>
          <w:rFonts w:hint="eastAsia"/>
          <w:sz w:val="36"/>
          <w:szCs w:val="36"/>
        </w:rPr>
        <w:t>法定代表人</w:t>
      </w:r>
      <w:r>
        <w:rPr>
          <w:sz w:val="36"/>
          <w:szCs w:val="36"/>
        </w:rPr>
        <w:t>：（签章）</w:t>
      </w:r>
    </w:p>
    <w:p>
      <w:pPr>
        <w:spacing w:line="800" w:lineRule="exact"/>
        <w:rPr>
          <w:sz w:val="36"/>
          <w:szCs w:val="36"/>
        </w:rPr>
      </w:pPr>
      <w:r>
        <w:rPr>
          <w:sz w:val="36"/>
          <w:szCs w:val="36"/>
        </w:rPr>
        <w:t>联 系 人：</w:t>
      </w:r>
      <w:r>
        <w:rPr>
          <w:rFonts w:hint="eastAsia"/>
          <w:sz w:val="36"/>
          <w:szCs w:val="36"/>
        </w:rPr>
        <w:t>庞工</w:t>
      </w:r>
    </w:p>
    <w:p>
      <w:pPr>
        <w:spacing w:line="800" w:lineRule="exact"/>
        <w:rPr>
          <w:sz w:val="36"/>
          <w:szCs w:val="36"/>
        </w:rPr>
      </w:pPr>
      <w:r>
        <w:rPr>
          <w:sz w:val="36"/>
          <w:szCs w:val="36"/>
        </w:rPr>
        <w:t>联系电话：</w:t>
      </w:r>
      <w:r>
        <w:rPr>
          <w:rFonts w:hint="eastAsia"/>
          <w:sz w:val="36"/>
          <w:szCs w:val="36"/>
        </w:rPr>
        <w:t>13669900968</w:t>
      </w:r>
    </w:p>
    <w:p>
      <w:pPr>
        <w:spacing w:line="800" w:lineRule="exact"/>
        <w:rPr>
          <w:bCs/>
          <w:w w:val="80"/>
          <w:sz w:val="36"/>
          <w:szCs w:val="36"/>
        </w:rPr>
      </w:pPr>
      <w:r>
        <w:rPr>
          <w:w w:val="80"/>
          <w:sz w:val="36"/>
          <w:szCs w:val="36"/>
        </w:rPr>
        <w:t>联系地址：</w:t>
      </w:r>
      <w:r>
        <w:rPr>
          <w:rFonts w:hint="eastAsia"/>
          <w:w w:val="80"/>
          <w:sz w:val="36"/>
          <w:szCs w:val="36"/>
        </w:rPr>
        <w:t>新疆乌鲁木齐市水磨沟区南湖北路1956号亚欧财富广场A座</w:t>
      </w:r>
    </w:p>
    <w:p>
      <w:pPr>
        <w:spacing w:line="360" w:lineRule="auto"/>
        <w:ind w:right="153" w:rightChars="73" w:firstLine="209" w:firstLineChars="40"/>
        <w:jc w:val="center"/>
        <w:rPr>
          <w:b/>
          <w:sz w:val="52"/>
        </w:rPr>
      </w:pPr>
    </w:p>
    <w:p>
      <w:pPr>
        <w:spacing w:line="360" w:lineRule="auto"/>
        <w:ind w:right="153" w:rightChars="73" w:firstLine="209" w:firstLineChars="40"/>
        <w:jc w:val="center"/>
        <w:rPr>
          <w:b/>
          <w:sz w:val="52"/>
        </w:rPr>
      </w:pPr>
      <w:r>
        <w:rPr>
          <w:b/>
          <w:sz w:val="52"/>
        </w:rPr>
        <w:t>目  录</w:t>
      </w:r>
    </w:p>
    <w:p>
      <w:pPr>
        <w:spacing w:line="360" w:lineRule="auto"/>
        <w:ind w:right="153" w:rightChars="73" w:firstLine="209" w:firstLineChars="40"/>
        <w:jc w:val="center"/>
        <w:rPr>
          <w:b/>
          <w:sz w:val="52"/>
        </w:rPr>
      </w:pPr>
    </w:p>
    <w:p>
      <w:pPr>
        <w:pStyle w:val="16"/>
        <w:tabs>
          <w:tab w:val="right" w:leader="dot" w:pos="10029"/>
        </w:tabs>
        <w:spacing w:line="480" w:lineRule="auto"/>
        <w:rPr>
          <w:sz w:val="28"/>
          <w:szCs w:val="28"/>
        </w:rPr>
      </w:pPr>
      <w:r>
        <w:rPr>
          <w:rFonts w:ascii="Times New Roman" w:hAnsi="Times New Roman"/>
          <w:sz w:val="28"/>
          <w:szCs w:val="28"/>
        </w:rPr>
        <w:fldChar w:fldCharType="begin"/>
      </w:r>
      <w:r>
        <w:rPr>
          <w:rStyle w:val="22"/>
          <w:rFonts w:ascii="Times New Roman" w:hAnsi="Times New Roman"/>
          <w:color w:val="auto"/>
          <w:sz w:val="28"/>
          <w:szCs w:val="28"/>
        </w:rPr>
        <w:instrText xml:space="preserve"> TOC \o "1-3" \h \z \u </w:instrText>
      </w:r>
      <w:r>
        <w:rPr>
          <w:rFonts w:ascii="Times New Roman" w:hAnsi="Times New Roman"/>
          <w:sz w:val="28"/>
          <w:szCs w:val="28"/>
        </w:rPr>
        <w:fldChar w:fldCharType="separate"/>
      </w:r>
      <w:r>
        <w:fldChar w:fldCharType="begin"/>
      </w:r>
      <w:r>
        <w:instrText xml:space="preserve"> HYPERLINK \l "_Toc12800" </w:instrText>
      </w:r>
      <w:r>
        <w:fldChar w:fldCharType="separate"/>
      </w:r>
      <w:r>
        <w:rPr>
          <w:sz w:val="28"/>
          <w:szCs w:val="28"/>
        </w:rPr>
        <w:t xml:space="preserve">第一章  </w:t>
      </w:r>
      <w:r>
        <w:rPr>
          <w:rFonts w:hint="eastAsia"/>
          <w:sz w:val="28"/>
          <w:szCs w:val="28"/>
        </w:rPr>
        <w:t>招标公告</w:t>
      </w:r>
      <w:r>
        <w:rPr>
          <w:sz w:val="28"/>
          <w:szCs w:val="28"/>
        </w:rPr>
        <w:tab/>
      </w:r>
      <w:r>
        <w:rPr>
          <w:sz w:val="28"/>
          <w:szCs w:val="28"/>
        </w:rPr>
        <w:fldChar w:fldCharType="begin"/>
      </w:r>
      <w:r>
        <w:rPr>
          <w:sz w:val="28"/>
          <w:szCs w:val="28"/>
        </w:rPr>
        <w:instrText xml:space="preserve"> PAGEREF _Toc12800 </w:instrText>
      </w:r>
      <w:r>
        <w:rPr>
          <w:sz w:val="28"/>
          <w:szCs w:val="28"/>
        </w:rPr>
        <w:fldChar w:fldCharType="separate"/>
      </w:r>
      <w:r>
        <w:rPr>
          <w:sz w:val="28"/>
          <w:szCs w:val="28"/>
        </w:rPr>
        <w:t>- 1 -</w:t>
      </w:r>
      <w:r>
        <w:rPr>
          <w:sz w:val="28"/>
          <w:szCs w:val="28"/>
        </w:rPr>
        <w:fldChar w:fldCharType="end"/>
      </w:r>
      <w:r>
        <w:rPr>
          <w:sz w:val="28"/>
          <w:szCs w:val="28"/>
        </w:rPr>
        <w:fldChar w:fldCharType="end"/>
      </w:r>
    </w:p>
    <w:p>
      <w:pPr>
        <w:pStyle w:val="16"/>
        <w:tabs>
          <w:tab w:val="right" w:leader="dot" w:pos="10029"/>
        </w:tabs>
        <w:spacing w:line="480" w:lineRule="auto"/>
        <w:rPr>
          <w:sz w:val="28"/>
          <w:szCs w:val="28"/>
        </w:rPr>
      </w:pPr>
      <w:r>
        <w:fldChar w:fldCharType="begin"/>
      </w:r>
      <w:r>
        <w:instrText xml:space="preserve"> HYPERLINK \l "_Toc14550" </w:instrText>
      </w:r>
      <w:r>
        <w:fldChar w:fldCharType="separate"/>
      </w:r>
      <w:r>
        <w:rPr>
          <w:sz w:val="28"/>
          <w:szCs w:val="28"/>
        </w:rPr>
        <w:t>第二章  投标人须知前附表</w:t>
      </w:r>
      <w:r>
        <w:rPr>
          <w:sz w:val="28"/>
          <w:szCs w:val="28"/>
        </w:rPr>
        <w:tab/>
      </w:r>
      <w:r>
        <w:rPr>
          <w:sz w:val="28"/>
          <w:szCs w:val="28"/>
        </w:rPr>
        <w:fldChar w:fldCharType="begin"/>
      </w:r>
      <w:r>
        <w:rPr>
          <w:sz w:val="28"/>
          <w:szCs w:val="28"/>
        </w:rPr>
        <w:instrText xml:space="preserve"> PAGEREF _Toc14550 </w:instrText>
      </w:r>
      <w:r>
        <w:rPr>
          <w:sz w:val="28"/>
          <w:szCs w:val="28"/>
        </w:rPr>
        <w:fldChar w:fldCharType="separate"/>
      </w:r>
      <w:r>
        <w:rPr>
          <w:sz w:val="28"/>
          <w:szCs w:val="28"/>
        </w:rPr>
        <w:t>- 3 -</w:t>
      </w:r>
      <w:r>
        <w:rPr>
          <w:sz w:val="28"/>
          <w:szCs w:val="28"/>
        </w:rPr>
        <w:fldChar w:fldCharType="end"/>
      </w:r>
      <w:r>
        <w:rPr>
          <w:sz w:val="28"/>
          <w:szCs w:val="28"/>
        </w:rPr>
        <w:fldChar w:fldCharType="end"/>
      </w:r>
    </w:p>
    <w:p>
      <w:pPr>
        <w:pStyle w:val="16"/>
        <w:tabs>
          <w:tab w:val="right" w:leader="dot" w:pos="10029"/>
        </w:tabs>
        <w:spacing w:line="480" w:lineRule="auto"/>
        <w:rPr>
          <w:sz w:val="28"/>
          <w:szCs w:val="28"/>
        </w:rPr>
      </w:pPr>
      <w:r>
        <w:fldChar w:fldCharType="begin"/>
      </w:r>
      <w:r>
        <w:instrText xml:space="preserve"> HYPERLINK \l "_Toc27169" </w:instrText>
      </w:r>
      <w:r>
        <w:fldChar w:fldCharType="separate"/>
      </w:r>
      <w:r>
        <w:rPr>
          <w:sz w:val="28"/>
          <w:szCs w:val="28"/>
        </w:rPr>
        <w:t>第三章  投标人须知</w:t>
      </w:r>
      <w:r>
        <w:rPr>
          <w:sz w:val="28"/>
          <w:szCs w:val="28"/>
        </w:rPr>
        <w:tab/>
      </w:r>
      <w:r>
        <w:rPr>
          <w:sz w:val="28"/>
          <w:szCs w:val="28"/>
        </w:rPr>
        <w:fldChar w:fldCharType="begin"/>
      </w:r>
      <w:r>
        <w:rPr>
          <w:sz w:val="28"/>
          <w:szCs w:val="28"/>
        </w:rPr>
        <w:instrText xml:space="preserve"> PAGEREF _Toc27169 </w:instrText>
      </w:r>
      <w:r>
        <w:rPr>
          <w:sz w:val="28"/>
          <w:szCs w:val="28"/>
        </w:rPr>
        <w:fldChar w:fldCharType="separate"/>
      </w:r>
      <w:r>
        <w:rPr>
          <w:sz w:val="28"/>
          <w:szCs w:val="28"/>
        </w:rPr>
        <w:t>- 7 -</w:t>
      </w:r>
      <w:r>
        <w:rPr>
          <w:sz w:val="28"/>
          <w:szCs w:val="28"/>
        </w:rPr>
        <w:fldChar w:fldCharType="end"/>
      </w:r>
      <w:r>
        <w:rPr>
          <w:sz w:val="28"/>
          <w:szCs w:val="28"/>
        </w:rPr>
        <w:fldChar w:fldCharType="end"/>
      </w:r>
    </w:p>
    <w:p>
      <w:pPr>
        <w:pStyle w:val="16"/>
        <w:tabs>
          <w:tab w:val="right" w:leader="dot" w:pos="10029"/>
        </w:tabs>
        <w:spacing w:line="480" w:lineRule="auto"/>
        <w:rPr>
          <w:sz w:val="28"/>
          <w:szCs w:val="28"/>
        </w:rPr>
      </w:pPr>
      <w:r>
        <w:fldChar w:fldCharType="begin"/>
      </w:r>
      <w:r>
        <w:instrText xml:space="preserve"> HYPERLINK \l "_Toc26250" </w:instrText>
      </w:r>
      <w:r>
        <w:fldChar w:fldCharType="separate"/>
      </w:r>
      <w:r>
        <w:rPr>
          <w:sz w:val="28"/>
          <w:szCs w:val="28"/>
        </w:rPr>
        <w:t>第四章   合   同</w:t>
      </w:r>
      <w:r>
        <w:rPr>
          <w:sz w:val="28"/>
          <w:szCs w:val="28"/>
        </w:rPr>
        <w:tab/>
      </w:r>
      <w:r>
        <w:rPr>
          <w:sz w:val="28"/>
          <w:szCs w:val="28"/>
        </w:rPr>
        <w:fldChar w:fldCharType="begin"/>
      </w:r>
      <w:r>
        <w:rPr>
          <w:sz w:val="28"/>
          <w:szCs w:val="28"/>
        </w:rPr>
        <w:instrText xml:space="preserve"> PAGEREF _Toc26250 </w:instrText>
      </w:r>
      <w:r>
        <w:rPr>
          <w:sz w:val="28"/>
          <w:szCs w:val="28"/>
        </w:rPr>
        <w:fldChar w:fldCharType="separate"/>
      </w:r>
      <w:r>
        <w:rPr>
          <w:sz w:val="28"/>
          <w:szCs w:val="28"/>
        </w:rPr>
        <w:t>- 20 -</w:t>
      </w:r>
      <w:r>
        <w:rPr>
          <w:sz w:val="28"/>
          <w:szCs w:val="28"/>
        </w:rPr>
        <w:fldChar w:fldCharType="end"/>
      </w:r>
      <w:r>
        <w:rPr>
          <w:sz w:val="28"/>
          <w:szCs w:val="28"/>
        </w:rPr>
        <w:fldChar w:fldCharType="end"/>
      </w:r>
    </w:p>
    <w:p>
      <w:pPr>
        <w:pStyle w:val="16"/>
        <w:tabs>
          <w:tab w:val="right" w:leader="dot" w:pos="10029"/>
        </w:tabs>
        <w:spacing w:line="480" w:lineRule="auto"/>
        <w:rPr>
          <w:sz w:val="28"/>
          <w:szCs w:val="28"/>
        </w:rPr>
      </w:pPr>
      <w:r>
        <w:fldChar w:fldCharType="begin"/>
      </w:r>
      <w:r>
        <w:instrText xml:space="preserve"> HYPERLINK \l "_Toc23394" </w:instrText>
      </w:r>
      <w:r>
        <w:fldChar w:fldCharType="separate"/>
      </w:r>
      <w:r>
        <w:rPr>
          <w:sz w:val="28"/>
          <w:szCs w:val="28"/>
        </w:rPr>
        <w:t>第</w:t>
      </w:r>
      <w:r>
        <w:rPr>
          <w:rFonts w:hint="eastAsia"/>
          <w:sz w:val="28"/>
          <w:szCs w:val="28"/>
        </w:rPr>
        <w:t>五</w:t>
      </w:r>
      <w:r>
        <w:rPr>
          <w:sz w:val="28"/>
          <w:szCs w:val="28"/>
        </w:rPr>
        <w:t>章 附件（投标文件格式）</w:t>
      </w:r>
      <w:r>
        <w:rPr>
          <w:sz w:val="28"/>
          <w:szCs w:val="28"/>
        </w:rPr>
        <w:tab/>
      </w:r>
      <w:r>
        <w:rPr>
          <w:sz w:val="28"/>
          <w:szCs w:val="28"/>
        </w:rPr>
        <w:fldChar w:fldCharType="begin"/>
      </w:r>
      <w:r>
        <w:rPr>
          <w:sz w:val="28"/>
          <w:szCs w:val="28"/>
        </w:rPr>
        <w:instrText xml:space="preserve"> PAGEREF _Toc23394 </w:instrText>
      </w:r>
      <w:r>
        <w:rPr>
          <w:sz w:val="28"/>
          <w:szCs w:val="28"/>
        </w:rPr>
        <w:fldChar w:fldCharType="separate"/>
      </w:r>
      <w:r>
        <w:rPr>
          <w:sz w:val="28"/>
          <w:szCs w:val="28"/>
        </w:rPr>
        <w:t>- 27 -</w:t>
      </w:r>
      <w:r>
        <w:rPr>
          <w:sz w:val="28"/>
          <w:szCs w:val="28"/>
        </w:rPr>
        <w:fldChar w:fldCharType="end"/>
      </w:r>
      <w:r>
        <w:rPr>
          <w:sz w:val="28"/>
          <w:szCs w:val="28"/>
        </w:rPr>
        <w:fldChar w:fldCharType="end"/>
      </w:r>
    </w:p>
    <w:p>
      <w:pPr>
        <w:pStyle w:val="16"/>
        <w:tabs>
          <w:tab w:val="right" w:leader="dot" w:pos="10029"/>
        </w:tabs>
        <w:spacing w:line="480" w:lineRule="auto"/>
        <w:rPr>
          <w:sz w:val="28"/>
          <w:szCs w:val="28"/>
        </w:rPr>
      </w:pPr>
      <w:r>
        <w:fldChar w:fldCharType="begin"/>
      </w:r>
      <w:r>
        <w:instrText xml:space="preserve"> HYPERLINK \l "_Toc28409" </w:instrText>
      </w:r>
      <w:r>
        <w:fldChar w:fldCharType="separate"/>
      </w:r>
      <w:r>
        <w:rPr>
          <w:sz w:val="28"/>
          <w:szCs w:val="28"/>
        </w:rPr>
        <w:t>第六章  评标标准及办法</w:t>
      </w:r>
      <w:r>
        <w:rPr>
          <w:sz w:val="28"/>
          <w:szCs w:val="28"/>
        </w:rPr>
        <w:tab/>
      </w:r>
      <w:r>
        <w:rPr>
          <w:sz w:val="28"/>
          <w:szCs w:val="28"/>
        </w:rPr>
        <w:fldChar w:fldCharType="begin"/>
      </w:r>
      <w:r>
        <w:rPr>
          <w:sz w:val="28"/>
          <w:szCs w:val="28"/>
        </w:rPr>
        <w:instrText xml:space="preserve"> PAGEREF _Toc28409 </w:instrText>
      </w:r>
      <w:r>
        <w:rPr>
          <w:sz w:val="28"/>
          <w:szCs w:val="28"/>
        </w:rPr>
        <w:fldChar w:fldCharType="separate"/>
      </w:r>
      <w:r>
        <w:rPr>
          <w:sz w:val="28"/>
          <w:szCs w:val="28"/>
        </w:rPr>
        <w:t xml:space="preserve">- </w:t>
      </w:r>
      <w:r>
        <w:rPr>
          <w:rFonts w:hint="eastAsia"/>
          <w:sz w:val="28"/>
          <w:szCs w:val="28"/>
        </w:rPr>
        <w:t>45</w:t>
      </w:r>
      <w:r>
        <w:rPr>
          <w:sz w:val="28"/>
          <w:szCs w:val="28"/>
        </w:rPr>
        <w:t xml:space="preserve"> -</w:t>
      </w:r>
      <w:r>
        <w:rPr>
          <w:sz w:val="28"/>
          <w:szCs w:val="28"/>
        </w:rPr>
        <w:fldChar w:fldCharType="end"/>
      </w:r>
      <w:r>
        <w:rPr>
          <w:sz w:val="28"/>
          <w:szCs w:val="28"/>
        </w:rPr>
        <w:fldChar w:fldCharType="end"/>
      </w:r>
    </w:p>
    <w:p>
      <w:pPr>
        <w:pStyle w:val="16"/>
        <w:tabs>
          <w:tab w:val="right" w:leader="dot" w:pos="10029"/>
        </w:tabs>
        <w:spacing w:line="480" w:lineRule="auto"/>
        <w:rPr>
          <w:sz w:val="28"/>
          <w:szCs w:val="28"/>
        </w:rPr>
      </w:pPr>
      <w:r>
        <w:fldChar w:fldCharType="begin"/>
      </w:r>
      <w:r>
        <w:instrText xml:space="preserve"> HYPERLINK \l "_Toc20317" </w:instrText>
      </w:r>
      <w:r>
        <w:fldChar w:fldCharType="separate"/>
      </w:r>
      <w:r>
        <w:rPr>
          <w:rFonts w:hint="eastAsia"/>
          <w:sz w:val="28"/>
          <w:szCs w:val="28"/>
        </w:rPr>
        <w:t>第七章</w:t>
      </w:r>
      <w:r>
        <w:rPr>
          <w:sz w:val="28"/>
          <w:szCs w:val="28"/>
        </w:rPr>
        <w:t>：货物技术规格、参数与要求</w:t>
      </w:r>
      <w:r>
        <w:rPr>
          <w:sz w:val="28"/>
          <w:szCs w:val="28"/>
        </w:rPr>
        <w:tab/>
      </w:r>
      <w:r>
        <w:rPr>
          <w:sz w:val="28"/>
          <w:szCs w:val="28"/>
        </w:rPr>
        <w:fldChar w:fldCharType="begin"/>
      </w:r>
      <w:r>
        <w:rPr>
          <w:sz w:val="28"/>
          <w:szCs w:val="28"/>
        </w:rPr>
        <w:instrText xml:space="preserve"> PAGEREF _Toc20317 </w:instrText>
      </w:r>
      <w:r>
        <w:rPr>
          <w:sz w:val="28"/>
          <w:szCs w:val="28"/>
        </w:rPr>
        <w:fldChar w:fldCharType="separate"/>
      </w:r>
      <w:r>
        <w:rPr>
          <w:sz w:val="28"/>
          <w:szCs w:val="28"/>
        </w:rPr>
        <w:t>- 51 -</w:t>
      </w:r>
      <w:r>
        <w:rPr>
          <w:sz w:val="28"/>
          <w:szCs w:val="28"/>
        </w:rPr>
        <w:fldChar w:fldCharType="end"/>
      </w:r>
      <w:r>
        <w:rPr>
          <w:sz w:val="28"/>
          <w:szCs w:val="28"/>
        </w:rPr>
        <w:fldChar w:fldCharType="end"/>
      </w:r>
    </w:p>
    <w:p>
      <w:pPr>
        <w:pStyle w:val="16"/>
        <w:tabs>
          <w:tab w:val="right" w:leader="dot" w:pos="8505"/>
        </w:tabs>
        <w:spacing w:line="480" w:lineRule="auto"/>
        <w:rPr>
          <w:rFonts w:ascii="Times New Roman" w:hAnsi="Times New Roman"/>
          <w:b/>
          <w:sz w:val="28"/>
          <w:szCs w:val="28"/>
        </w:rPr>
      </w:pPr>
      <w:r>
        <w:rPr>
          <w:rFonts w:ascii="Times New Roman" w:hAnsi="Times New Roman"/>
          <w:sz w:val="28"/>
          <w:szCs w:val="28"/>
        </w:rPr>
        <w:fldChar w:fldCharType="end"/>
      </w:r>
    </w:p>
    <w:p>
      <w:pPr>
        <w:spacing w:line="480" w:lineRule="auto"/>
        <w:ind w:left="105" w:right="-105" w:rightChars="-50" w:hanging="284"/>
        <w:rPr>
          <w:b/>
          <w:sz w:val="28"/>
          <w:szCs w:val="28"/>
        </w:rPr>
        <w:sectPr>
          <w:headerReference r:id="rId3" w:type="default"/>
          <w:footerReference r:id="rId4" w:type="default"/>
          <w:pgSz w:w="12240" w:h="15840"/>
          <w:pgMar w:top="1604" w:right="1020" w:bottom="1417" w:left="1191" w:header="544" w:footer="850" w:gutter="0"/>
          <w:pgNumType w:start="1"/>
          <w:cols w:space="720" w:num="1"/>
          <w:titlePg/>
          <w:docGrid w:linePitch="312" w:charSpace="0"/>
        </w:sectPr>
      </w:pPr>
    </w:p>
    <w:p>
      <w:pPr>
        <w:pStyle w:val="3"/>
      </w:pPr>
      <w:bookmarkStart w:id="0" w:name="_Toc48791214"/>
      <w:bookmarkStart w:id="1" w:name="_Toc47418234"/>
      <w:bookmarkStart w:id="2" w:name="_Toc47418710"/>
      <w:bookmarkStart w:id="3" w:name="_Toc47262048"/>
      <w:bookmarkStart w:id="4" w:name="_Toc48995830"/>
      <w:bookmarkStart w:id="5" w:name="_Toc47261669"/>
      <w:bookmarkStart w:id="6" w:name="_Toc49019215"/>
      <w:bookmarkStart w:id="7" w:name="_Toc47261049"/>
      <w:bookmarkStart w:id="8" w:name="_Toc47418917"/>
      <w:bookmarkStart w:id="9" w:name="_Toc47261864"/>
      <w:bookmarkStart w:id="10" w:name="_Toc12800"/>
      <w:r>
        <w:t xml:space="preserve">第一章  </w:t>
      </w:r>
      <w:bookmarkEnd w:id="0"/>
      <w:bookmarkEnd w:id="1"/>
      <w:bookmarkEnd w:id="2"/>
      <w:bookmarkEnd w:id="3"/>
      <w:bookmarkEnd w:id="4"/>
      <w:bookmarkEnd w:id="5"/>
      <w:bookmarkEnd w:id="6"/>
      <w:bookmarkEnd w:id="7"/>
      <w:bookmarkEnd w:id="8"/>
      <w:bookmarkEnd w:id="9"/>
      <w:r>
        <w:rPr>
          <w:rFonts w:hint="eastAsia"/>
        </w:rPr>
        <w:t>招标公告</w:t>
      </w:r>
      <w:bookmarkEnd w:id="10"/>
    </w:p>
    <w:p>
      <w:pPr>
        <w:pStyle w:val="5"/>
        <w:keepNext w:val="0"/>
        <w:keepLines w:val="0"/>
        <w:widowControl/>
        <w:spacing w:before="0" w:after="0" w:line="276" w:lineRule="auto"/>
        <w:ind w:left="721" w:right="720" w:hanging="721" w:hangingChars="342"/>
        <w:textAlignment w:val="baseline"/>
        <w:rPr>
          <w:rFonts w:ascii="宋体" w:hAnsi="宋体" w:cs="宋体"/>
          <w:szCs w:val="21"/>
        </w:rPr>
      </w:pPr>
      <w:bookmarkStart w:id="11" w:name="_Toc47415923"/>
      <w:bookmarkStart w:id="12" w:name="_Toc49019216"/>
      <w:bookmarkStart w:id="13" w:name="_Toc47416177"/>
      <w:r>
        <w:rPr>
          <w:rFonts w:hint="eastAsia" w:ascii="宋体" w:hAnsi="宋体" w:cs="宋体"/>
          <w:szCs w:val="21"/>
          <w:shd w:val="clear" w:color="auto" w:fill="FFFFFF"/>
        </w:rPr>
        <w:t>项目概况</w:t>
      </w:r>
    </w:p>
    <w:p>
      <w:pPr>
        <w:widowControl/>
        <w:shd w:val="clear" w:color="auto" w:fill="FFFFFF"/>
        <w:spacing w:line="276" w:lineRule="auto"/>
        <w:ind w:left="17" w:right="149" w:hanging="16" w:hangingChars="8"/>
        <w:jc w:val="left"/>
        <w:textAlignment w:val="baseline"/>
        <w:rPr>
          <w:rFonts w:ascii="宋体" w:hAnsi="宋体" w:cs="宋体"/>
          <w:szCs w:val="21"/>
        </w:rPr>
      </w:pPr>
      <w:r>
        <w:rPr>
          <w:rFonts w:hint="eastAsia" w:ascii="宋体" w:hAnsi="宋体" w:cs="宋体"/>
          <w:kern w:val="0"/>
          <w:szCs w:val="21"/>
          <w:shd w:val="clear" w:color="auto" w:fill="FFFFFF"/>
          <w:lang w:bidi="ar"/>
        </w:rPr>
        <w:t>新疆农业大学水利与土木工程学院采购科研仪器设备-岩石及岩土实验平台项目招标项目的潜在投标人应在新疆乌鲁木齐市水磨沟区南湖北路1956号亚欧财富广场A座获取招标文件，并于2023年09月26日 11点00分（北京时间）前递交投标文件。</w:t>
      </w:r>
    </w:p>
    <w:p>
      <w:pPr>
        <w:pStyle w:val="17"/>
        <w:shd w:val="clear" w:color="auto" w:fill="FFFFFF"/>
        <w:spacing w:before="0" w:beforeAutospacing="0" w:after="0" w:afterAutospacing="0" w:line="276" w:lineRule="auto"/>
        <w:textAlignment w:val="baseline"/>
        <w:rPr>
          <w:rFonts w:hint="default" w:hAnsi="宋体" w:cs="宋体"/>
          <w:sz w:val="21"/>
          <w:szCs w:val="21"/>
        </w:rPr>
      </w:pPr>
      <w:r>
        <w:rPr>
          <w:rStyle w:val="20"/>
          <w:rFonts w:hAnsi="宋体" w:cs="宋体"/>
          <w:bCs/>
          <w:sz w:val="21"/>
          <w:szCs w:val="21"/>
          <w:shd w:val="clear" w:color="auto" w:fill="FFFFFF"/>
        </w:rPr>
        <w:t>一、项目基本情况</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项目编号：SSQYZB02-2023024</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项目名称：新疆农业大学水利与土木工程学院采购科研仪器设备-岩石及岩土实验平台项目</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预算金额：240万元（人民币）</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最高限价（如有）：/万元（人民币）</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采购需求：</w:t>
      </w:r>
      <w:r>
        <w:rPr>
          <w:rFonts w:hAnsi="宋体" w:cs="宋体"/>
          <w:sz w:val="21"/>
          <w:szCs w:val="21"/>
          <w:shd w:val="clear" w:color="auto" w:fill="FFFFFF"/>
          <w:lang w:bidi="ar"/>
        </w:rPr>
        <w:t>采购科研仪器设备</w:t>
      </w:r>
      <w:r>
        <w:rPr>
          <w:rFonts w:hAnsi="宋体" w:cs="宋体"/>
          <w:sz w:val="21"/>
          <w:szCs w:val="21"/>
          <w:shd w:val="clear" w:color="auto" w:fill="FFFFFF"/>
        </w:rPr>
        <w:t>，详见招标文件。</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合同履行期限：</w:t>
      </w:r>
      <w:r>
        <w:rPr>
          <w:rFonts w:hint="default" w:hAnsi="宋体" w:cs="宋体"/>
          <w:sz w:val="21"/>
          <w:szCs w:val="21"/>
          <w:shd w:val="clear" w:color="auto" w:fill="FFFFFF"/>
        </w:rPr>
        <w:t>9</w:t>
      </w:r>
      <w:r>
        <w:rPr>
          <w:rFonts w:hAnsi="宋体" w:cs="宋体"/>
          <w:sz w:val="21"/>
          <w:szCs w:val="21"/>
          <w:shd w:val="clear" w:color="auto" w:fill="FFFFFF"/>
        </w:rPr>
        <w:t>0天</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本项目( 不接受  )联合体投标。</w:t>
      </w:r>
    </w:p>
    <w:p>
      <w:pPr>
        <w:pStyle w:val="17"/>
        <w:shd w:val="clear" w:color="auto" w:fill="FFFFFF"/>
        <w:spacing w:before="0" w:beforeAutospacing="0" w:after="0" w:afterAutospacing="0" w:line="276" w:lineRule="auto"/>
        <w:textAlignment w:val="baseline"/>
        <w:rPr>
          <w:rFonts w:hint="default" w:hAnsi="宋体" w:cs="宋体"/>
          <w:sz w:val="21"/>
          <w:szCs w:val="21"/>
        </w:rPr>
      </w:pPr>
      <w:r>
        <w:rPr>
          <w:rStyle w:val="20"/>
          <w:rFonts w:hAnsi="宋体" w:cs="宋体"/>
          <w:bCs/>
          <w:sz w:val="21"/>
          <w:szCs w:val="21"/>
          <w:shd w:val="clear" w:color="auto" w:fill="FFFFFF"/>
        </w:rPr>
        <w:t>二、申请人的资格要求：</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1.满足《中华人民共和国政府采购法》第二十二条规定；</w:t>
      </w:r>
    </w:p>
    <w:p>
      <w:pPr>
        <w:pStyle w:val="17"/>
        <w:shd w:val="clear" w:color="auto" w:fill="FFFFFF"/>
        <w:spacing w:before="0" w:beforeAutospacing="0" w:after="0" w:afterAutospacing="0" w:line="276" w:lineRule="auto"/>
        <w:textAlignment w:val="baseline"/>
        <w:rPr>
          <w:rFonts w:hint="default" w:hAnsi="宋体" w:cs="宋体"/>
          <w:sz w:val="21"/>
          <w:szCs w:val="21"/>
          <w:shd w:val="clear" w:color="auto" w:fill="FFFFFF"/>
        </w:rPr>
      </w:pPr>
      <w:r>
        <w:rPr>
          <w:rFonts w:hAnsi="宋体" w:cs="宋体"/>
          <w:sz w:val="21"/>
          <w:szCs w:val="21"/>
          <w:shd w:val="clear" w:color="auto" w:fill="FFFFFF"/>
        </w:rPr>
        <w:t>2.落实政府采购政策需满足的资格要求：无</w:t>
      </w:r>
    </w:p>
    <w:p>
      <w:pPr>
        <w:pStyle w:val="17"/>
        <w:shd w:val="clear" w:color="auto" w:fill="FFFFFF"/>
        <w:spacing w:before="0" w:beforeAutospacing="0" w:after="0" w:afterAutospacing="0" w:line="276" w:lineRule="auto"/>
        <w:textAlignment w:val="baseline"/>
        <w:rPr>
          <w:rFonts w:hint="default" w:hAnsi="宋体" w:cs="宋体"/>
          <w:sz w:val="21"/>
          <w:szCs w:val="21"/>
          <w:shd w:val="clear" w:color="auto" w:fill="FFFFFF"/>
        </w:rPr>
      </w:pPr>
      <w:r>
        <w:rPr>
          <w:rFonts w:hAnsi="宋体" w:cs="宋体"/>
          <w:sz w:val="21"/>
          <w:szCs w:val="21"/>
          <w:shd w:val="clear" w:color="auto" w:fill="FFFFFF"/>
        </w:rPr>
        <w:t>3.本项目的特定资格要求：</w:t>
      </w:r>
    </w:p>
    <w:p>
      <w:pPr>
        <w:pStyle w:val="17"/>
        <w:numPr>
          <w:ilvl w:val="0"/>
          <w:numId w:val="1"/>
        </w:numPr>
        <w:shd w:val="clear" w:color="auto" w:fill="FFFFFF"/>
        <w:spacing w:before="0" w:beforeAutospacing="0" w:after="0" w:afterAutospacing="0" w:line="276" w:lineRule="auto"/>
        <w:textAlignment w:val="baseline"/>
        <w:rPr>
          <w:rFonts w:hint="default" w:hAnsi="宋体" w:cs="宋体"/>
          <w:sz w:val="21"/>
          <w:szCs w:val="21"/>
          <w:shd w:val="clear" w:color="auto" w:fill="FFFFFF"/>
        </w:rPr>
      </w:pPr>
      <w:r>
        <w:rPr>
          <w:rFonts w:hAnsi="宋体" w:cs="宋体"/>
          <w:sz w:val="21"/>
          <w:szCs w:val="21"/>
          <w:shd w:val="clear" w:color="auto" w:fill="FFFFFF"/>
        </w:rPr>
        <w:t>供应商必须是在中华人民共和国境内注册、有能力提供本项目服务的投标人</w:t>
      </w:r>
    </w:p>
    <w:p>
      <w:pPr>
        <w:pStyle w:val="17"/>
        <w:numPr>
          <w:ilvl w:val="0"/>
          <w:numId w:val="1"/>
        </w:numPr>
        <w:shd w:val="clear" w:color="auto" w:fill="FFFFFF"/>
        <w:spacing w:before="0" w:beforeAutospacing="0" w:after="0" w:afterAutospacing="0" w:line="276" w:lineRule="auto"/>
        <w:textAlignment w:val="baseline"/>
        <w:rPr>
          <w:rFonts w:hint="default" w:hAnsi="宋体" w:cs="宋体"/>
          <w:sz w:val="21"/>
          <w:szCs w:val="21"/>
          <w:shd w:val="clear" w:color="auto" w:fill="FFFFFF"/>
        </w:rPr>
      </w:pPr>
      <w:r>
        <w:rPr>
          <w:rFonts w:hAnsi="宋体" w:cs="宋体"/>
          <w:sz w:val="21"/>
          <w:szCs w:val="21"/>
          <w:shd w:val="clear" w:color="auto" w:fill="FFFFFF"/>
        </w:rPr>
        <w:t>供应商在“信用中国”（www.creditchina.gov.cn）未被列入重大税收违法案件当事人名单、“中国执行信息公开网”（http://zxgk.court.gov.cn/）未被列入失信被执行人；“中国政府采购网”（www.ccgp.gov.cn）网站上未被列入政府采购严重违法失信行为记录名单。 </w:t>
      </w:r>
    </w:p>
    <w:p>
      <w:pPr>
        <w:pStyle w:val="17"/>
        <w:numPr>
          <w:ilvl w:val="0"/>
          <w:numId w:val="1"/>
        </w:numPr>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单位负责人为同一人或者存在直接控股、管理关系的不同供应商，不得参加同一合同下的政府采购活动；除单一来源采购项目外，为采购项目提供整体设计、规范编制等服务的供应商，不得再参加该采购项目的其他采购活动。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Style w:val="20"/>
          <w:rFonts w:hAnsi="宋体" w:cs="宋体"/>
          <w:bCs/>
          <w:sz w:val="21"/>
          <w:szCs w:val="21"/>
          <w:shd w:val="clear" w:color="auto" w:fill="FFFFFF"/>
        </w:rPr>
        <w:t>三、获取招标文件</w:t>
      </w:r>
    </w:p>
    <w:p>
      <w:pPr>
        <w:pStyle w:val="17"/>
        <w:shd w:val="clear" w:color="auto" w:fill="FFFFFF"/>
        <w:spacing w:before="0" w:beforeAutospacing="0" w:after="0" w:afterAutospacing="0" w:line="276" w:lineRule="auto"/>
        <w:jc w:val="both"/>
        <w:textAlignment w:val="baseline"/>
        <w:rPr>
          <w:rFonts w:hint="default" w:hAnsi="宋体" w:cs="宋体"/>
          <w:sz w:val="21"/>
          <w:szCs w:val="21"/>
        </w:rPr>
      </w:pPr>
      <w:r>
        <w:rPr>
          <w:rFonts w:hAnsi="宋体" w:cs="宋体"/>
          <w:sz w:val="21"/>
          <w:szCs w:val="21"/>
          <w:shd w:val="clear" w:color="auto" w:fill="FFFFFF"/>
        </w:rPr>
        <w:t>时间：2023年09月5日至2023年09月12日，每天上午00:00至14:00，下午14:00至23:59。（北京时间，法定节假日除外）</w:t>
      </w:r>
    </w:p>
    <w:p>
      <w:pPr>
        <w:pStyle w:val="17"/>
        <w:shd w:val="clear" w:color="auto" w:fill="FFFFFF"/>
        <w:spacing w:before="0" w:beforeAutospacing="0" w:after="0" w:afterAutospacing="0" w:line="276" w:lineRule="auto"/>
        <w:textAlignment w:val="baseline"/>
        <w:rPr>
          <w:rStyle w:val="20"/>
          <w:rFonts w:hint="default" w:hAnsi="宋体" w:cs="宋体"/>
          <w:b w:val="0"/>
          <w:sz w:val="21"/>
          <w:szCs w:val="21"/>
          <w:shd w:val="clear" w:color="auto" w:fill="FFFFFF"/>
        </w:rPr>
      </w:pPr>
      <w:r>
        <w:rPr>
          <w:rStyle w:val="20"/>
          <w:rFonts w:hAnsi="宋体" w:cs="宋体"/>
          <w:b w:val="0"/>
          <w:sz w:val="21"/>
          <w:szCs w:val="21"/>
          <w:shd w:val="clear" w:color="auto" w:fill="FFFFFF"/>
        </w:rPr>
        <w:t>地点：政采云平台</w:t>
      </w:r>
      <w:r>
        <w:rPr>
          <w:rFonts w:ascii="仿宋" w:hAnsi="仿宋" w:eastAsia="仿宋" w:cs="仿宋"/>
        </w:rPr>
        <w:t>http://www.zcygov.cn/</w:t>
      </w:r>
      <w:r>
        <w:rPr>
          <w:rStyle w:val="20"/>
          <w:rFonts w:hAnsi="宋体" w:cs="宋体"/>
          <w:b w:val="0"/>
          <w:sz w:val="21"/>
          <w:szCs w:val="21"/>
          <w:shd w:val="clear" w:color="auto" w:fill="FFFFFF"/>
        </w:rPr>
        <w:t>线上获取</w:t>
      </w:r>
    </w:p>
    <w:p>
      <w:pPr>
        <w:pStyle w:val="17"/>
        <w:shd w:val="clear" w:color="auto" w:fill="FFFFFF"/>
        <w:spacing w:before="0" w:beforeAutospacing="0" w:after="0" w:afterAutospacing="0" w:line="276" w:lineRule="auto"/>
        <w:textAlignment w:val="baseline"/>
        <w:rPr>
          <w:rStyle w:val="20"/>
          <w:rFonts w:hint="default" w:hAnsi="宋体" w:cs="宋体"/>
          <w:b w:val="0"/>
          <w:sz w:val="21"/>
          <w:szCs w:val="21"/>
          <w:shd w:val="clear" w:color="auto" w:fill="FFFFFF"/>
        </w:rPr>
      </w:pPr>
      <w:r>
        <w:rPr>
          <w:rStyle w:val="20"/>
          <w:rFonts w:hAnsi="宋体" w:cs="宋体"/>
          <w:b w:val="0"/>
          <w:sz w:val="21"/>
          <w:szCs w:val="21"/>
          <w:shd w:val="clear" w:color="auto" w:fill="FFFFFF"/>
        </w:rPr>
        <w:t xml:space="preserve">方式：线上获取。供应商登录政采云平台https://www.zcygov.cn/在线申请获取采购文件（进入“项目采购”应用，在获取采购文件菜单中选择项目，申请获取采购文件） </w:t>
      </w:r>
    </w:p>
    <w:p>
      <w:pPr>
        <w:pStyle w:val="17"/>
        <w:shd w:val="clear" w:color="auto" w:fill="FFFFFF"/>
        <w:spacing w:before="0" w:beforeAutospacing="0" w:after="0" w:afterAutospacing="0" w:line="276" w:lineRule="auto"/>
        <w:textAlignment w:val="baseline"/>
        <w:rPr>
          <w:rStyle w:val="20"/>
          <w:rFonts w:hint="default" w:hAnsi="宋体" w:cs="宋体"/>
          <w:b w:val="0"/>
          <w:sz w:val="21"/>
          <w:szCs w:val="21"/>
          <w:shd w:val="clear" w:color="auto" w:fill="FFFFFF"/>
        </w:rPr>
      </w:pPr>
      <w:r>
        <w:rPr>
          <w:rStyle w:val="20"/>
          <w:rFonts w:hAnsi="宋体" w:cs="宋体"/>
          <w:b w:val="0"/>
          <w:sz w:val="21"/>
          <w:szCs w:val="21"/>
          <w:shd w:val="clear" w:color="auto" w:fill="FFFFFF"/>
        </w:rPr>
        <w:t>售价：0元/本</w:t>
      </w:r>
    </w:p>
    <w:p>
      <w:pPr>
        <w:pStyle w:val="17"/>
        <w:shd w:val="clear" w:color="auto" w:fill="FFFFFF"/>
        <w:spacing w:before="0" w:beforeAutospacing="0" w:after="0" w:afterAutospacing="0" w:line="276" w:lineRule="auto"/>
        <w:textAlignment w:val="baseline"/>
        <w:rPr>
          <w:rFonts w:hint="default" w:hAnsi="宋体" w:cs="宋体"/>
          <w:sz w:val="21"/>
          <w:szCs w:val="21"/>
        </w:rPr>
      </w:pPr>
      <w:r>
        <w:rPr>
          <w:rStyle w:val="20"/>
          <w:rFonts w:hAnsi="宋体" w:cs="宋体"/>
          <w:bCs/>
          <w:sz w:val="21"/>
          <w:szCs w:val="21"/>
          <w:shd w:val="clear" w:color="auto" w:fill="FFFFFF"/>
        </w:rPr>
        <w:t>四、提交投标文件截止时间、开标时间和地点</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提交投标文件截止时间：2023年09月26日 11点00分（北京时间）</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地点：请登录政采云投标客户端投标。供应商应在此之前将加密的投标文件上传至政采云平台对应位置 (逾期送达或不符合规定的投标文件将被拒绝接收)。</w:t>
      </w:r>
    </w:p>
    <w:p>
      <w:pPr>
        <w:pStyle w:val="17"/>
        <w:shd w:val="clear" w:color="auto" w:fill="FFFFFF"/>
        <w:spacing w:before="0" w:beforeAutospacing="0" w:after="0" w:afterAutospacing="0" w:line="276" w:lineRule="auto"/>
        <w:textAlignment w:val="baseline"/>
        <w:rPr>
          <w:rFonts w:hint="default" w:hAnsi="宋体" w:cs="宋体"/>
          <w:sz w:val="21"/>
          <w:szCs w:val="21"/>
          <w:shd w:val="clear" w:color="auto" w:fill="FFFFFF"/>
        </w:rPr>
      </w:pPr>
      <w:r>
        <w:rPr>
          <w:rFonts w:hAnsi="宋体" w:cs="宋体"/>
          <w:sz w:val="21"/>
          <w:szCs w:val="21"/>
          <w:shd w:val="clear" w:color="auto" w:fill="FFFFFF"/>
        </w:rPr>
        <w:t>开标时间：2023年09月26日 11点00分（北京时间）</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rPr>
        <w:t>开标地点：政采云平台https://www.zcygov.cn/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Style w:val="20"/>
          <w:rFonts w:hAnsi="宋体" w:cs="宋体"/>
          <w:bCs/>
          <w:sz w:val="21"/>
          <w:szCs w:val="21"/>
          <w:shd w:val="clear" w:color="auto" w:fill="FFFFFF"/>
        </w:rPr>
        <w:t>五、公告期限</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自本公告发布之日起5个工作日。</w:t>
      </w:r>
    </w:p>
    <w:p>
      <w:pPr>
        <w:pStyle w:val="17"/>
        <w:numPr>
          <w:ilvl w:val="0"/>
          <w:numId w:val="2"/>
        </w:numPr>
        <w:shd w:val="clear" w:color="auto" w:fill="FFFFFF"/>
        <w:spacing w:before="0" w:beforeAutospacing="0" w:after="0" w:afterAutospacing="0" w:line="276" w:lineRule="auto"/>
        <w:textAlignment w:val="baseline"/>
        <w:rPr>
          <w:rStyle w:val="20"/>
          <w:rFonts w:hint="default" w:hAnsi="宋体" w:cs="宋体"/>
          <w:bCs/>
          <w:sz w:val="21"/>
          <w:szCs w:val="21"/>
          <w:shd w:val="clear" w:color="auto" w:fill="FFFFFF"/>
        </w:rPr>
      </w:pPr>
      <w:r>
        <w:rPr>
          <w:rStyle w:val="20"/>
          <w:rFonts w:hAnsi="宋体" w:cs="宋体"/>
          <w:bCs/>
          <w:sz w:val="21"/>
          <w:szCs w:val="21"/>
          <w:shd w:val="clear" w:color="auto" w:fill="FFFFFF"/>
        </w:rPr>
        <w:t>其他补充事宜</w:t>
      </w:r>
    </w:p>
    <w:p>
      <w:pPr>
        <w:numPr>
          <w:ilvl w:val="0"/>
          <w:numId w:val="3"/>
        </w:numPr>
        <w:adjustRightInd w:val="0"/>
        <w:snapToGrid w:val="0"/>
        <w:spacing w:line="276" w:lineRule="auto"/>
        <w:ind w:left="142" w:firstLine="383"/>
        <w:rPr>
          <w:rFonts w:ascii="宋体" w:hAnsi="宋体" w:cs="仿宋"/>
          <w:szCs w:val="21"/>
        </w:rPr>
      </w:pPr>
      <w:r>
        <w:rPr>
          <w:rFonts w:hint="eastAsia" w:ascii="宋体" w:hAnsi="宋体" w:cs="仿宋"/>
          <w:szCs w:val="21"/>
        </w:rPr>
        <w:t>本项目实行电子招投标，供应商须登录政采云平台申请获取采购文件，并需要使用CA锁，登录政采云电子投标客户端制作投标文件，若供应商参与投标,自行承担与投标有关的一切费用。</w:t>
      </w:r>
    </w:p>
    <w:p>
      <w:pPr>
        <w:numPr>
          <w:ilvl w:val="0"/>
          <w:numId w:val="3"/>
        </w:numPr>
        <w:adjustRightInd w:val="0"/>
        <w:snapToGrid w:val="0"/>
        <w:spacing w:line="276" w:lineRule="auto"/>
        <w:ind w:left="142" w:firstLine="383"/>
        <w:rPr>
          <w:rFonts w:ascii="宋体" w:hAnsi="宋体" w:cs="仿宋"/>
          <w:szCs w:val="21"/>
        </w:rPr>
      </w:pPr>
      <w:r>
        <w:rPr>
          <w:rFonts w:hint="eastAsia" w:ascii="宋体" w:hAnsi="宋体" w:cs="仿宋"/>
          <w:szCs w:val="21"/>
        </w:rPr>
        <w:t>各供应商应在开标前确保是新疆维吾尔自治区政府采购网正式注册入库的供应商，并完成CA数字证书申领。因未注册入库、未办理CA数字证书等原因造成无法投标或投标失败等后果的由供应商自行承担</w:t>
      </w:r>
    </w:p>
    <w:p>
      <w:pPr>
        <w:numPr>
          <w:ilvl w:val="0"/>
          <w:numId w:val="3"/>
        </w:numPr>
        <w:adjustRightInd w:val="0"/>
        <w:snapToGrid w:val="0"/>
        <w:spacing w:line="276" w:lineRule="auto"/>
        <w:ind w:left="142" w:firstLine="383"/>
        <w:rPr>
          <w:rFonts w:ascii="宋体" w:hAnsi="宋体" w:cs="仿宋"/>
          <w:szCs w:val="21"/>
        </w:rPr>
      </w:pPr>
      <w:r>
        <w:rPr>
          <w:rFonts w:hint="eastAsia" w:ascii="宋体" w:hAnsi="宋体" w:cs="仿宋"/>
          <w:szCs w:val="21"/>
        </w:rPr>
        <w:t>供应商可前往新疆政府采购网（http://www.ccgp-xinjiang.gov.cn/）下载专区，下载政采云电子投标客户端，安装完成后，可通过账号密码或CA登录客户端进行投标文件制作。</w:t>
      </w:r>
    </w:p>
    <w:p>
      <w:pPr>
        <w:numPr>
          <w:ilvl w:val="0"/>
          <w:numId w:val="3"/>
        </w:numPr>
        <w:adjustRightInd w:val="0"/>
        <w:snapToGrid w:val="0"/>
        <w:spacing w:line="276" w:lineRule="auto"/>
        <w:ind w:left="142" w:firstLine="383"/>
        <w:rPr>
          <w:rFonts w:ascii="宋体" w:hAnsi="宋体" w:cs="仿宋"/>
          <w:szCs w:val="21"/>
        </w:rPr>
      </w:pPr>
      <w:r>
        <w:rPr>
          <w:rFonts w:hint="eastAsia" w:ascii="宋体" w:hAnsi="宋体" w:cs="仿宋"/>
          <w:szCs w:val="21"/>
        </w:rPr>
        <w:t>供应商在开标时须携带制作加密电子投标文件所使用的CA锁，电脑须提前配置好浏览器，以便开标时在线解密。</w:t>
      </w:r>
    </w:p>
    <w:p>
      <w:pPr>
        <w:numPr>
          <w:ilvl w:val="0"/>
          <w:numId w:val="3"/>
        </w:numPr>
        <w:adjustRightInd w:val="0"/>
        <w:snapToGrid w:val="0"/>
        <w:spacing w:line="276" w:lineRule="auto"/>
        <w:ind w:left="142" w:firstLine="383"/>
        <w:rPr>
          <w:rFonts w:ascii="宋体" w:hAnsi="宋体" w:cs="仿宋"/>
          <w:b/>
          <w:szCs w:val="21"/>
        </w:rPr>
      </w:pPr>
      <w:r>
        <w:rPr>
          <w:rFonts w:hint="eastAsia" w:ascii="宋体" w:hAnsi="宋体" w:cs="仿宋"/>
          <w:szCs w:val="21"/>
        </w:rPr>
        <w:t>投标供应商应当在投标截止时间前，将生成的“电子加密投标文件”上传递交至“政府采购云平台”，投标截止时间以后上传递交的投标文件将被“政府采购云平台”拒收。</w:t>
      </w:r>
      <w:r>
        <w:rPr>
          <w:rFonts w:ascii="宋体" w:hAnsi="宋体" w:cs="Calibri"/>
          <w:szCs w:val="21"/>
        </w:rPr>
        <w:t>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Style w:val="20"/>
          <w:rFonts w:hAnsi="宋体" w:cs="宋体"/>
          <w:bCs/>
          <w:sz w:val="21"/>
          <w:szCs w:val="21"/>
          <w:shd w:val="clear" w:color="auto" w:fill="FFFFFF"/>
        </w:rPr>
        <w:t>七、对本次招标提出询问，请按以下方式联系。</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1.采购人信息</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名 称：新疆农业大学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地址：新疆乌鲁木齐市沙依巴克区农大东路311号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联系方式：刘亮 15022943919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2.采购代理机构信息</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名 称：新疆盛世乾元工程项目管理咨询有限公司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地　址：新疆乌鲁木齐市水磨沟区南湖北路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联系方式：庞工 13669900968　　　　　　　　　　　　</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3.项目联系方式</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项目联系人：庞工</w:t>
      </w:r>
    </w:p>
    <w:p>
      <w:pPr>
        <w:pStyle w:val="17"/>
        <w:shd w:val="clear" w:color="auto" w:fill="FFFFFF"/>
        <w:spacing w:before="0" w:beforeAutospacing="0" w:after="0" w:afterAutospacing="0" w:line="276" w:lineRule="auto"/>
        <w:textAlignment w:val="baseline"/>
        <w:rPr>
          <w:rFonts w:hint="default" w:hAnsi="宋体" w:cs="宋体"/>
          <w:sz w:val="21"/>
          <w:szCs w:val="21"/>
        </w:rPr>
      </w:pPr>
      <w:r>
        <w:rPr>
          <w:rFonts w:hAnsi="宋体" w:cs="宋体"/>
          <w:sz w:val="21"/>
          <w:szCs w:val="21"/>
          <w:shd w:val="clear" w:color="auto" w:fill="FFFFFF"/>
        </w:rPr>
        <w:t>电　话：　　13669900968</w:t>
      </w:r>
    </w:p>
    <w:p>
      <w:pPr>
        <w:pStyle w:val="17"/>
        <w:shd w:val="clear" w:color="auto" w:fill="FFFFFF"/>
        <w:spacing w:before="0" w:beforeAutospacing="0" w:after="0" w:afterAutospacing="0" w:line="276" w:lineRule="auto"/>
        <w:textAlignment w:val="baseline"/>
        <w:rPr>
          <w:rFonts w:hint="default" w:hAnsi="宋体" w:cs="宋体"/>
          <w:sz w:val="21"/>
          <w:szCs w:val="21"/>
        </w:rPr>
      </w:pPr>
      <w:bookmarkStart w:id="14" w:name="_Toc14550"/>
    </w:p>
    <w:p>
      <w:pPr>
        <w:pStyle w:val="3"/>
        <w:rPr>
          <w:szCs w:val="22"/>
        </w:rPr>
      </w:pPr>
      <w:r>
        <w:rPr>
          <w:rFonts w:hAnsi="宋体" w:cs="宋体"/>
          <w:sz w:val="21"/>
          <w:szCs w:val="21"/>
        </w:rPr>
        <w:br w:type="page"/>
      </w:r>
      <w:r>
        <w:t>第二章  投标人须知前附表</w:t>
      </w:r>
      <w:bookmarkEnd w:id="11"/>
      <w:bookmarkEnd w:id="12"/>
      <w:bookmarkEnd w:id="13"/>
      <w:bookmarkEnd w:id="14"/>
    </w:p>
    <w:tbl>
      <w:tblPr>
        <w:tblStyle w:val="18"/>
        <w:tblpPr w:leftFromText="180" w:rightFromText="180" w:vertAnchor="text" w:horzAnchor="page" w:tblpX="1136" w:tblpY="15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4"/>
        <w:gridCol w:w="1321"/>
        <w:gridCol w:w="8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blHeader/>
        </w:trPr>
        <w:tc>
          <w:tcPr>
            <w:tcW w:w="634" w:type="dxa"/>
            <w:vAlign w:val="center"/>
          </w:tcPr>
          <w:p>
            <w:pPr>
              <w:jc w:val="center"/>
              <w:rPr>
                <w:rFonts w:ascii="宋体" w:hAnsi="宋体" w:cs="宋体"/>
                <w:szCs w:val="21"/>
              </w:rPr>
            </w:pPr>
            <w:r>
              <w:rPr>
                <w:rFonts w:hint="eastAsia" w:ascii="宋体" w:hAnsi="宋体" w:cs="宋体"/>
                <w:szCs w:val="21"/>
              </w:rPr>
              <w:t>项号</w:t>
            </w:r>
          </w:p>
        </w:tc>
        <w:tc>
          <w:tcPr>
            <w:tcW w:w="1321" w:type="dxa"/>
            <w:vAlign w:val="center"/>
          </w:tcPr>
          <w:p>
            <w:pPr>
              <w:jc w:val="center"/>
              <w:rPr>
                <w:rFonts w:ascii="宋体" w:hAnsi="宋体" w:cs="宋体"/>
                <w:szCs w:val="21"/>
              </w:rPr>
            </w:pPr>
            <w:r>
              <w:rPr>
                <w:rFonts w:hint="eastAsia" w:ascii="宋体" w:hAnsi="宋体" w:cs="宋体"/>
                <w:szCs w:val="21"/>
              </w:rPr>
              <w:t>项目</w:t>
            </w:r>
          </w:p>
        </w:tc>
        <w:tc>
          <w:tcPr>
            <w:tcW w:w="8218" w:type="dxa"/>
            <w:vAlign w:val="center"/>
          </w:tcPr>
          <w:p>
            <w:pPr>
              <w:widowControl/>
              <w:jc w:val="center"/>
              <w:rPr>
                <w:rFonts w:ascii="宋体" w:hAnsi="宋体" w:cs="宋体"/>
                <w:szCs w:val="21"/>
              </w:rPr>
            </w:pPr>
            <w:r>
              <w:rPr>
                <w:rFonts w:hint="eastAsia" w:ascii="宋体" w:hAnsi="宋体" w:cs="宋体"/>
                <w:szCs w:val="21"/>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634" w:type="dxa"/>
            <w:vAlign w:val="center"/>
          </w:tcPr>
          <w:p>
            <w:pPr>
              <w:jc w:val="center"/>
              <w:rPr>
                <w:rFonts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SEQ 前附表 \* MERGEFORMAT </w:instrText>
            </w:r>
            <w:r>
              <w:rPr>
                <w:rFonts w:hint="eastAsia" w:ascii="宋体" w:hAnsi="宋体" w:cs="宋体"/>
                <w:szCs w:val="21"/>
              </w:rPr>
              <w:fldChar w:fldCharType="separate"/>
            </w:r>
            <w:r>
              <w:rPr>
                <w:rFonts w:ascii="宋体" w:hAnsi="宋体" w:cs="宋体"/>
                <w:szCs w:val="21"/>
              </w:rPr>
              <w:t>1</w:t>
            </w:r>
            <w:r>
              <w:rPr>
                <w:rFonts w:hint="eastAsia" w:ascii="宋体" w:hAnsi="宋体" w:cs="宋体"/>
                <w:szCs w:val="21"/>
              </w:rPr>
              <w:fldChar w:fldCharType="end"/>
            </w:r>
          </w:p>
        </w:tc>
        <w:tc>
          <w:tcPr>
            <w:tcW w:w="1321" w:type="dxa"/>
            <w:vAlign w:val="center"/>
          </w:tcPr>
          <w:p>
            <w:pPr>
              <w:rPr>
                <w:rFonts w:ascii="宋体" w:hAnsi="宋体" w:cs="宋体"/>
                <w:szCs w:val="21"/>
              </w:rPr>
            </w:pPr>
            <w:r>
              <w:rPr>
                <w:rFonts w:hint="eastAsia" w:ascii="宋体" w:hAnsi="宋体" w:cs="宋体"/>
                <w:szCs w:val="21"/>
              </w:rPr>
              <w:t>项目名称</w:t>
            </w:r>
          </w:p>
        </w:tc>
        <w:tc>
          <w:tcPr>
            <w:tcW w:w="8218" w:type="dxa"/>
            <w:vAlign w:val="center"/>
          </w:tcPr>
          <w:p>
            <w:r>
              <w:rPr>
                <w:rFonts w:hint="eastAsia"/>
              </w:rPr>
              <w:t>新疆农业大学水利与土木工程学院采购科研仪器设备-岩石及岩土实验平台项目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34" w:type="dxa"/>
            <w:vAlign w:val="center"/>
          </w:tcPr>
          <w:p>
            <w:pPr>
              <w:jc w:val="center"/>
              <w:rPr>
                <w:rFonts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SEQ 前附表 \* MERGEFORMAT </w:instrText>
            </w:r>
            <w:r>
              <w:rPr>
                <w:rFonts w:hint="eastAsia" w:ascii="宋体" w:hAnsi="宋体" w:cs="宋体"/>
                <w:szCs w:val="21"/>
              </w:rPr>
              <w:fldChar w:fldCharType="separate"/>
            </w:r>
            <w:r>
              <w:rPr>
                <w:rFonts w:ascii="宋体" w:hAnsi="宋体" w:cs="宋体"/>
                <w:szCs w:val="21"/>
              </w:rPr>
              <w:t>2</w:t>
            </w:r>
            <w:r>
              <w:rPr>
                <w:rFonts w:hint="eastAsia" w:ascii="宋体" w:hAnsi="宋体" w:cs="宋体"/>
                <w:szCs w:val="21"/>
              </w:rPr>
              <w:fldChar w:fldCharType="end"/>
            </w:r>
          </w:p>
        </w:tc>
        <w:tc>
          <w:tcPr>
            <w:tcW w:w="1321" w:type="dxa"/>
            <w:vAlign w:val="center"/>
          </w:tcPr>
          <w:p>
            <w:pPr>
              <w:rPr>
                <w:rFonts w:ascii="宋体" w:hAnsi="宋体" w:cs="宋体"/>
                <w:szCs w:val="21"/>
              </w:rPr>
            </w:pPr>
            <w:r>
              <w:rPr>
                <w:rFonts w:hint="eastAsia" w:ascii="宋体" w:hAnsi="宋体" w:cs="宋体"/>
                <w:szCs w:val="21"/>
              </w:rPr>
              <w:t>质量要求</w:t>
            </w:r>
          </w:p>
        </w:tc>
        <w:tc>
          <w:tcPr>
            <w:tcW w:w="8218" w:type="dxa"/>
            <w:vAlign w:val="center"/>
          </w:tcPr>
          <w:p>
            <w:pPr>
              <w:rPr>
                <w:rFonts w:ascii="宋体" w:hAnsi="宋体" w:cs="宋体"/>
                <w:szCs w:val="21"/>
              </w:rPr>
            </w:pPr>
            <w:r>
              <w:rPr>
                <w:rFonts w:hint="eastAsia" w:ascii="宋体" w:hAnsi="宋体" w:cs="宋体"/>
                <w:szCs w:val="21"/>
              </w:rPr>
              <w:t>满足采购方规定的技术要求（详见第七章：货物技术规格、参数与要求，所有货物要求均以第七章内容为准）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634" w:type="dxa"/>
            <w:vAlign w:val="center"/>
          </w:tcPr>
          <w:p>
            <w:pPr>
              <w:jc w:val="center"/>
              <w:rPr>
                <w:rFonts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SEQ 前附表 \* MERGEFORMAT </w:instrText>
            </w:r>
            <w:r>
              <w:rPr>
                <w:rFonts w:hint="eastAsia" w:ascii="宋体" w:hAnsi="宋体" w:cs="宋体"/>
                <w:szCs w:val="21"/>
              </w:rPr>
              <w:fldChar w:fldCharType="separate"/>
            </w:r>
            <w:r>
              <w:rPr>
                <w:rFonts w:ascii="宋体" w:hAnsi="宋体" w:cs="宋体"/>
                <w:szCs w:val="21"/>
              </w:rPr>
              <w:t>3</w:t>
            </w:r>
            <w:r>
              <w:rPr>
                <w:rFonts w:hint="eastAsia" w:ascii="宋体" w:hAnsi="宋体" w:cs="宋体"/>
                <w:szCs w:val="21"/>
              </w:rPr>
              <w:fldChar w:fldCharType="end"/>
            </w:r>
          </w:p>
        </w:tc>
        <w:tc>
          <w:tcPr>
            <w:tcW w:w="1321" w:type="dxa"/>
            <w:vAlign w:val="center"/>
          </w:tcPr>
          <w:p>
            <w:pPr>
              <w:rPr>
                <w:rFonts w:ascii="宋体" w:hAnsi="宋体" w:cs="宋体"/>
                <w:szCs w:val="21"/>
              </w:rPr>
            </w:pPr>
            <w:r>
              <w:rPr>
                <w:rFonts w:hint="eastAsia" w:ascii="宋体" w:hAnsi="宋体" w:cs="宋体"/>
                <w:szCs w:val="21"/>
              </w:rPr>
              <w:t>采购内容</w:t>
            </w:r>
          </w:p>
        </w:tc>
        <w:tc>
          <w:tcPr>
            <w:tcW w:w="8218" w:type="dxa"/>
            <w:vAlign w:val="center"/>
          </w:tcPr>
          <w:p>
            <w:pPr>
              <w:rPr>
                <w:rFonts w:ascii="宋体" w:hAnsi="宋体" w:cs="宋体"/>
                <w:b/>
                <w:bCs/>
                <w:kern w:val="0"/>
                <w:szCs w:val="21"/>
              </w:rPr>
            </w:pPr>
            <w:r>
              <w:rPr>
                <w:rFonts w:hint="eastAsia" w:ascii="宋体" w:hAnsi="宋体" w:cs="宋体"/>
                <w:bCs/>
                <w:kern w:val="0"/>
                <w:szCs w:val="21"/>
              </w:rPr>
              <w:t>采购清单中所列</w:t>
            </w:r>
            <w:r>
              <w:rPr>
                <w:rFonts w:hint="eastAsia"/>
              </w:rPr>
              <w:t>科研仪器设备。具体技术参数详见采购文件。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34" w:type="dxa"/>
            <w:vAlign w:val="center"/>
          </w:tcPr>
          <w:p>
            <w:pPr>
              <w:jc w:val="center"/>
              <w:rPr>
                <w:rFonts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SEQ 前附表 \* MERGEFORMAT </w:instrText>
            </w:r>
            <w:r>
              <w:rPr>
                <w:rFonts w:hint="eastAsia" w:ascii="宋体" w:hAnsi="宋体" w:cs="宋体"/>
                <w:szCs w:val="21"/>
              </w:rPr>
              <w:fldChar w:fldCharType="separate"/>
            </w:r>
            <w:r>
              <w:rPr>
                <w:rFonts w:ascii="宋体" w:hAnsi="宋体" w:cs="宋体"/>
                <w:szCs w:val="21"/>
              </w:rPr>
              <w:t>4</w:t>
            </w:r>
            <w:r>
              <w:rPr>
                <w:rFonts w:hint="eastAsia" w:ascii="宋体" w:hAnsi="宋体" w:cs="宋体"/>
                <w:szCs w:val="21"/>
              </w:rPr>
              <w:fldChar w:fldCharType="end"/>
            </w:r>
          </w:p>
        </w:tc>
        <w:tc>
          <w:tcPr>
            <w:tcW w:w="1321" w:type="dxa"/>
            <w:vAlign w:val="center"/>
          </w:tcPr>
          <w:p>
            <w:pPr>
              <w:rPr>
                <w:rFonts w:ascii="宋体" w:hAnsi="宋体" w:cs="宋体"/>
                <w:spacing w:val="-14"/>
                <w:szCs w:val="21"/>
              </w:rPr>
            </w:pPr>
            <w:r>
              <w:rPr>
                <w:rFonts w:hint="eastAsia" w:ascii="宋体" w:hAnsi="宋体" w:cs="宋体"/>
                <w:szCs w:val="21"/>
              </w:rPr>
              <w:t>采购金额</w:t>
            </w:r>
          </w:p>
        </w:tc>
        <w:tc>
          <w:tcPr>
            <w:tcW w:w="8218" w:type="dxa"/>
            <w:vAlign w:val="center"/>
          </w:tcPr>
          <w:p>
            <w:pPr>
              <w:rPr>
                <w:rFonts w:ascii="宋体" w:hAnsi="宋体" w:cs="宋体"/>
                <w:b/>
                <w:kern w:val="0"/>
                <w:szCs w:val="21"/>
              </w:rPr>
            </w:pPr>
            <w:r>
              <w:rPr>
                <w:rFonts w:hint="eastAsia" w:ascii="宋体" w:hAnsi="宋体" w:cs="宋体"/>
                <w:b/>
                <w:kern w:val="0"/>
                <w:szCs w:val="21"/>
              </w:rPr>
              <w:t>2400000元</w:t>
            </w:r>
          </w:p>
          <w:p>
            <w:pPr>
              <w:rPr>
                <w:rFonts w:ascii="宋体" w:hAnsi="宋体" w:cs="宋体"/>
                <w:szCs w:val="21"/>
              </w:rPr>
            </w:pPr>
            <w:r>
              <w:rPr>
                <w:rFonts w:hint="eastAsia" w:ascii="宋体" w:hAnsi="宋体" w:cs="宋体"/>
                <w:szCs w:val="21"/>
              </w:rPr>
              <w:t>（注：投标人总报价不得高于此金额，否则其投标文件作无效标处理。）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634" w:type="dxa"/>
            <w:vAlign w:val="center"/>
          </w:tcPr>
          <w:p>
            <w:pPr>
              <w:jc w:val="center"/>
              <w:rPr>
                <w:rFonts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SEQ 前附表 \* MERGEFORMAT </w:instrText>
            </w:r>
            <w:r>
              <w:rPr>
                <w:rFonts w:hint="eastAsia" w:ascii="宋体" w:hAnsi="宋体" w:cs="宋体"/>
                <w:szCs w:val="21"/>
              </w:rPr>
              <w:fldChar w:fldCharType="separate"/>
            </w:r>
            <w:r>
              <w:rPr>
                <w:rFonts w:ascii="宋体" w:hAnsi="宋体" w:cs="宋体"/>
                <w:szCs w:val="21"/>
              </w:rPr>
              <w:t>5</w:t>
            </w:r>
            <w:r>
              <w:rPr>
                <w:rFonts w:hint="eastAsia" w:ascii="宋体" w:hAnsi="宋体" w:cs="宋体"/>
                <w:szCs w:val="21"/>
              </w:rPr>
              <w:fldChar w:fldCharType="end"/>
            </w:r>
          </w:p>
        </w:tc>
        <w:tc>
          <w:tcPr>
            <w:tcW w:w="1321" w:type="dxa"/>
            <w:vAlign w:val="center"/>
          </w:tcPr>
          <w:p>
            <w:pPr>
              <w:rPr>
                <w:rFonts w:ascii="宋体" w:hAnsi="宋体" w:cs="宋体"/>
                <w:szCs w:val="21"/>
              </w:rPr>
            </w:pPr>
            <w:r>
              <w:rPr>
                <w:rFonts w:hint="eastAsia" w:ascii="宋体" w:hAnsi="宋体" w:cs="宋体"/>
                <w:szCs w:val="21"/>
              </w:rPr>
              <w:t>交货期及质保期</w:t>
            </w:r>
          </w:p>
        </w:tc>
        <w:tc>
          <w:tcPr>
            <w:tcW w:w="8218" w:type="dxa"/>
            <w:vAlign w:val="center"/>
          </w:tcPr>
          <w:p>
            <w:pPr>
              <w:rPr>
                <w:rFonts w:ascii="宋体" w:hAnsi="宋体" w:cs="宋体"/>
                <w:szCs w:val="21"/>
              </w:rPr>
            </w:pPr>
            <w:r>
              <w:rPr>
                <w:rFonts w:hint="eastAsia" w:ascii="宋体" w:hAnsi="宋体" w:cs="宋体"/>
                <w:szCs w:val="21"/>
              </w:rPr>
              <w:t>交货期：签订合同后</w:t>
            </w:r>
            <w:r>
              <w:rPr>
                <w:rFonts w:ascii="宋体" w:hAnsi="宋体" w:cs="宋体"/>
                <w:szCs w:val="21"/>
              </w:rPr>
              <w:t>9</w:t>
            </w:r>
            <w:r>
              <w:rPr>
                <w:rFonts w:hint="eastAsia" w:ascii="宋体" w:hAnsi="宋体" w:cs="宋体"/>
                <w:szCs w:val="21"/>
              </w:rPr>
              <w:t>0天内完成本次招标设备的供货、安装、调试以及与之配套的辅助工作，交付采购人使用；</w:t>
            </w:r>
          </w:p>
          <w:p>
            <w:pPr>
              <w:rPr>
                <w:rFonts w:ascii="宋体" w:hAnsi="宋体" w:cs="宋体"/>
                <w:bCs/>
                <w:kern w:val="0"/>
                <w:szCs w:val="21"/>
              </w:rPr>
            </w:pPr>
            <w:r>
              <w:rPr>
                <w:rFonts w:hint="eastAsia" w:ascii="宋体" w:hAnsi="宋体" w:cs="宋体"/>
                <w:bCs/>
                <w:kern w:val="0"/>
                <w:szCs w:val="21"/>
              </w:rPr>
              <w:t>质保期：从交付并验收合格之日起，质保期3年。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34" w:type="dxa"/>
            <w:vAlign w:val="center"/>
          </w:tcPr>
          <w:p>
            <w:pPr>
              <w:jc w:val="center"/>
              <w:rPr>
                <w:rFonts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SEQ 前附表 \* MERGEFORMAT </w:instrText>
            </w:r>
            <w:r>
              <w:rPr>
                <w:rFonts w:hint="eastAsia" w:ascii="宋体" w:hAnsi="宋体" w:cs="宋体"/>
                <w:szCs w:val="21"/>
              </w:rPr>
              <w:fldChar w:fldCharType="separate"/>
            </w:r>
            <w:r>
              <w:rPr>
                <w:rFonts w:ascii="宋体" w:hAnsi="宋体" w:cs="宋体"/>
                <w:szCs w:val="21"/>
              </w:rPr>
              <w:t>6</w:t>
            </w:r>
            <w:r>
              <w:rPr>
                <w:rFonts w:hint="eastAsia" w:ascii="宋体" w:hAnsi="宋体" w:cs="宋体"/>
                <w:szCs w:val="21"/>
              </w:rPr>
              <w:fldChar w:fldCharType="end"/>
            </w:r>
          </w:p>
        </w:tc>
        <w:tc>
          <w:tcPr>
            <w:tcW w:w="1321" w:type="dxa"/>
            <w:vAlign w:val="center"/>
          </w:tcPr>
          <w:p>
            <w:pPr>
              <w:rPr>
                <w:rFonts w:ascii="宋体" w:hAnsi="宋体" w:cs="宋体"/>
                <w:szCs w:val="21"/>
              </w:rPr>
            </w:pPr>
            <w:r>
              <w:rPr>
                <w:rFonts w:hint="eastAsia" w:ascii="宋体" w:hAnsi="宋体" w:cs="宋体"/>
                <w:szCs w:val="21"/>
              </w:rPr>
              <w:t>交货地点</w:t>
            </w:r>
          </w:p>
        </w:tc>
        <w:tc>
          <w:tcPr>
            <w:tcW w:w="8218" w:type="dxa"/>
            <w:vAlign w:val="center"/>
          </w:tcPr>
          <w:p>
            <w:pPr>
              <w:rPr>
                <w:rFonts w:ascii="宋体" w:hAnsi="宋体" w:cs="宋体"/>
                <w:szCs w:val="21"/>
              </w:rPr>
            </w:pPr>
            <w:r>
              <w:rPr>
                <w:rFonts w:hint="eastAsia" w:ascii="宋体" w:hAnsi="宋体" w:cs="宋体"/>
                <w:szCs w:val="21"/>
              </w:rPr>
              <w:t>新疆农业大学（指定地点）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4" w:type="dxa"/>
            <w:vAlign w:val="center"/>
          </w:tcPr>
          <w:p>
            <w:pPr>
              <w:jc w:val="center"/>
              <w:rPr>
                <w:rFonts w:ascii="宋体" w:hAnsi="宋体" w:cs="宋体"/>
                <w:szCs w:val="21"/>
              </w:rPr>
            </w:pPr>
            <w:r>
              <w:rPr>
                <w:rFonts w:hint="eastAsia" w:ascii="宋体" w:hAnsi="宋体" w:cs="宋体"/>
                <w:szCs w:val="21"/>
              </w:rPr>
              <w:t>7</w:t>
            </w:r>
          </w:p>
        </w:tc>
        <w:tc>
          <w:tcPr>
            <w:tcW w:w="1321" w:type="dxa"/>
            <w:vAlign w:val="center"/>
          </w:tcPr>
          <w:p>
            <w:pPr>
              <w:rPr>
                <w:rFonts w:ascii="宋体" w:hAnsi="宋体" w:cs="宋体"/>
                <w:szCs w:val="21"/>
              </w:rPr>
            </w:pPr>
            <w:r>
              <w:rPr>
                <w:rFonts w:hint="eastAsia" w:ascii="宋体" w:hAnsi="宋体" w:cs="宋体"/>
                <w:szCs w:val="21"/>
              </w:rPr>
              <w:t>采购方式</w:t>
            </w:r>
          </w:p>
        </w:tc>
        <w:tc>
          <w:tcPr>
            <w:tcW w:w="8218" w:type="dxa"/>
            <w:vAlign w:val="center"/>
          </w:tcPr>
          <w:p>
            <w:pPr>
              <w:rPr>
                <w:rFonts w:ascii="宋体" w:hAnsi="宋体" w:cs="宋体"/>
                <w:szCs w:val="21"/>
              </w:rPr>
            </w:pPr>
            <w:r>
              <w:rPr>
                <w:rFonts w:hint="eastAsia" w:ascii="宋体" w:hAnsi="宋体" w:cs="宋体"/>
                <w:szCs w:val="21"/>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9" w:hRule="atLeast"/>
        </w:trPr>
        <w:tc>
          <w:tcPr>
            <w:tcW w:w="634" w:type="dxa"/>
            <w:vAlign w:val="center"/>
          </w:tcPr>
          <w:p>
            <w:pPr>
              <w:jc w:val="center"/>
              <w:rPr>
                <w:rFonts w:ascii="宋体" w:hAnsi="宋体" w:cs="宋体"/>
                <w:szCs w:val="21"/>
              </w:rPr>
            </w:pPr>
            <w:r>
              <w:rPr>
                <w:rFonts w:hint="eastAsia" w:ascii="宋体" w:hAnsi="宋体" w:cs="宋体"/>
                <w:szCs w:val="21"/>
              </w:rPr>
              <w:t>8</w:t>
            </w:r>
          </w:p>
        </w:tc>
        <w:tc>
          <w:tcPr>
            <w:tcW w:w="1321" w:type="dxa"/>
            <w:vAlign w:val="center"/>
          </w:tcPr>
          <w:p>
            <w:pPr>
              <w:rPr>
                <w:rFonts w:ascii="宋体" w:hAnsi="宋体" w:cs="宋体"/>
                <w:szCs w:val="21"/>
              </w:rPr>
            </w:pPr>
            <w:r>
              <w:rPr>
                <w:rFonts w:hint="eastAsia" w:ascii="宋体" w:hAnsi="宋体" w:cs="宋体"/>
                <w:szCs w:val="21"/>
              </w:rPr>
              <w:t>投标人必备资质</w:t>
            </w:r>
          </w:p>
        </w:tc>
        <w:tc>
          <w:tcPr>
            <w:tcW w:w="8218" w:type="dxa"/>
            <w:vAlign w:val="center"/>
          </w:tcPr>
          <w:p>
            <w:pPr>
              <w:pStyle w:val="17"/>
              <w:shd w:val="clear" w:color="auto" w:fill="FFFFFF"/>
              <w:spacing w:before="0" w:beforeAutospacing="0" w:after="0" w:afterAutospacing="0"/>
              <w:textAlignment w:val="baseline"/>
              <w:rPr>
                <w:rFonts w:hint="default" w:hAnsi="宋体" w:cs="宋体"/>
                <w:sz w:val="21"/>
                <w:szCs w:val="21"/>
              </w:rPr>
            </w:pPr>
            <w:r>
              <w:rPr>
                <w:rFonts w:hAnsi="宋体" w:cs="宋体"/>
                <w:sz w:val="21"/>
                <w:szCs w:val="21"/>
                <w:shd w:val="clear" w:color="auto" w:fill="FFFFFF"/>
              </w:rPr>
              <w:t>1.满足《中华人民共和国政府采购法》第二十二条规定；</w:t>
            </w:r>
          </w:p>
          <w:p>
            <w:pPr>
              <w:pStyle w:val="17"/>
              <w:shd w:val="clear" w:color="auto" w:fill="FFFFFF"/>
              <w:spacing w:before="0" w:beforeAutospacing="0" w:after="0" w:afterAutospacing="0"/>
              <w:textAlignment w:val="baseline"/>
              <w:rPr>
                <w:rFonts w:hint="default" w:hAnsi="宋体" w:cs="宋体"/>
                <w:sz w:val="21"/>
                <w:szCs w:val="21"/>
              </w:rPr>
            </w:pPr>
            <w:r>
              <w:rPr>
                <w:rFonts w:hAnsi="宋体" w:cs="宋体"/>
                <w:sz w:val="21"/>
                <w:szCs w:val="21"/>
                <w:shd w:val="clear" w:color="auto" w:fill="FFFFFF"/>
              </w:rPr>
              <w:t>2.落实政府采购政策需满足的资格要求：无</w:t>
            </w:r>
          </w:p>
          <w:p>
            <w:pPr>
              <w:pStyle w:val="17"/>
              <w:shd w:val="clear" w:color="auto" w:fill="FFFFFF"/>
              <w:spacing w:before="0" w:beforeAutospacing="0" w:after="0" w:afterAutospacing="0"/>
              <w:textAlignment w:val="baseline"/>
              <w:rPr>
                <w:rFonts w:hint="default" w:hAnsi="宋体" w:cs="宋体"/>
                <w:sz w:val="21"/>
                <w:szCs w:val="21"/>
                <w:shd w:val="clear" w:color="auto" w:fill="FFFFFF"/>
              </w:rPr>
            </w:pPr>
            <w:r>
              <w:rPr>
                <w:rFonts w:hAnsi="宋体" w:cs="宋体"/>
                <w:sz w:val="21"/>
                <w:szCs w:val="21"/>
                <w:shd w:val="clear" w:color="auto" w:fill="FFFFFF"/>
              </w:rPr>
              <w:t>3.本项目的特定资格要求：</w:t>
            </w:r>
          </w:p>
          <w:p>
            <w:pPr>
              <w:pStyle w:val="17"/>
              <w:numPr>
                <w:ilvl w:val="0"/>
                <w:numId w:val="4"/>
              </w:numPr>
              <w:shd w:val="clear" w:color="auto" w:fill="FFFFFF"/>
              <w:spacing w:before="0" w:beforeAutospacing="0" w:after="0" w:afterAutospacing="0"/>
              <w:textAlignment w:val="baseline"/>
              <w:rPr>
                <w:rFonts w:hint="default" w:hAnsi="宋体" w:cs="宋体"/>
                <w:bCs/>
                <w:sz w:val="21"/>
                <w:szCs w:val="21"/>
              </w:rPr>
            </w:pPr>
            <w:r>
              <w:rPr>
                <w:rFonts w:hAnsi="宋体" w:cs="宋体"/>
                <w:bCs/>
                <w:sz w:val="21"/>
                <w:szCs w:val="21"/>
              </w:rPr>
              <w:t>供应商必须是在中华人民共和国境内注册、有能力提供本项目服务的投标人</w:t>
            </w:r>
          </w:p>
          <w:p>
            <w:pPr>
              <w:pStyle w:val="17"/>
              <w:numPr>
                <w:ilvl w:val="0"/>
                <w:numId w:val="4"/>
              </w:numPr>
              <w:shd w:val="clear" w:color="auto" w:fill="FFFFFF"/>
              <w:spacing w:before="0" w:beforeAutospacing="0" w:after="0" w:afterAutospacing="0"/>
              <w:textAlignment w:val="baseline"/>
              <w:rPr>
                <w:rFonts w:hint="default" w:hAnsi="宋体" w:cs="宋体"/>
                <w:bCs/>
                <w:sz w:val="21"/>
                <w:szCs w:val="21"/>
              </w:rPr>
            </w:pPr>
            <w:r>
              <w:rPr>
                <w:rFonts w:hAnsi="宋体" w:cs="宋体"/>
                <w:bCs/>
                <w:sz w:val="21"/>
                <w:szCs w:val="21"/>
              </w:rPr>
              <w:t>供应商在“信用中国”（www.creditchina.gov.cn）未被列入重大税收违法案件当事人名单、“中国执行信息公开网”（http://zxgk.court.gov.cn/）未被列入失信被执行人；“中国政府采购网”（www.ccgp.gov.cn）网站上未被列入政府采购严重违法失信行为记录名单。 </w:t>
            </w:r>
          </w:p>
          <w:p>
            <w:pPr>
              <w:pStyle w:val="17"/>
              <w:numPr>
                <w:ilvl w:val="0"/>
                <w:numId w:val="4"/>
              </w:numPr>
              <w:shd w:val="clear" w:color="auto" w:fill="FFFFFF"/>
              <w:spacing w:before="0" w:beforeAutospacing="0" w:after="0" w:afterAutospacing="0"/>
              <w:textAlignment w:val="baseline"/>
              <w:rPr>
                <w:rFonts w:hint="default" w:hAnsi="宋体" w:cs="宋体"/>
                <w:bCs/>
                <w:szCs w:val="21"/>
              </w:rPr>
            </w:pPr>
            <w:r>
              <w:rPr>
                <w:rFonts w:hAnsi="宋体" w:cs="宋体"/>
                <w:bCs/>
                <w:sz w:val="21"/>
                <w:szCs w:val="21"/>
              </w:rPr>
              <w:t>单位负责人为同一人或者存在直接控股、管理关系的不同供应商，不得参加同一合同下的政府采购活动；除单一来源采购项目外，为采购项目提供整体设计、规范编制等服务的供应商，不得再参加该采购项目的其他采购活动。</w:t>
            </w:r>
            <w:r>
              <w:rPr>
                <w:rFonts w:hAnsi="宋体" w:cs="宋体"/>
                <w:bCs/>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 w:hRule="atLeast"/>
        </w:trPr>
        <w:tc>
          <w:tcPr>
            <w:tcW w:w="634" w:type="dxa"/>
            <w:vAlign w:val="center"/>
          </w:tcPr>
          <w:p>
            <w:pPr>
              <w:jc w:val="center"/>
              <w:rPr>
                <w:rFonts w:ascii="宋体" w:hAnsi="宋体" w:cs="宋体"/>
                <w:szCs w:val="21"/>
              </w:rPr>
            </w:pPr>
            <w:r>
              <w:rPr>
                <w:rFonts w:hint="eastAsia" w:ascii="宋体" w:hAnsi="宋体" w:cs="宋体"/>
                <w:szCs w:val="21"/>
              </w:rPr>
              <w:t>9</w:t>
            </w:r>
          </w:p>
        </w:tc>
        <w:tc>
          <w:tcPr>
            <w:tcW w:w="1321" w:type="dxa"/>
            <w:vAlign w:val="center"/>
          </w:tcPr>
          <w:p>
            <w:pPr>
              <w:pStyle w:val="13"/>
              <w:ind w:left="38"/>
              <w:jc w:val="center"/>
              <w:rPr>
                <w:rFonts w:ascii="宋体" w:hAnsi="宋体" w:cs="宋体"/>
                <w:sz w:val="21"/>
                <w:szCs w:val="21"/>
              </w:rPr>
            </w:pPr>
            <w:r>
              <w:rPr>
                <w:rFonts w:hint="eastAsia" w:ascii="宋体" w:hAnsi="宋体" w:cs="宋体"/>
                <w:sz w:val="21"/>
                <w:szCs w:val="21"/>
              </w:rPr>
              <w:t>信用情况</w:t>
            </w:r>
          </w:p>
        </w:tc>
        <w:tc>
          <w:tcPr>
            <w:tcW w:w="8218" w:type="dxa"/>
            <w:vAlign w:val="center"/>
          </w:tcPr>
          <w:p>
            <w:pPr>
              <w:widowControl/>
              <w:jc w:val="left"/>
              <w:rPr>
                <w:rFonts w:ascii="宋体" w:hAnsi="宋体" w:cs="宋体"/>
                <w:bCs/>
                <w:kern w:val="0"/>
                <w:szCs w:val="21"/>
              </w:rPr>
            </w:pPr>
            <w:r>
              <w:rPr>
                <w:rFonts w:hint="eastAsia" w:ascii="宋体" w:hAnsi="宋体" w:cs="宋体"/>
                <w:bCs/>
                <w:kern w:val="0"/>
                <w:szCs w:val="21"/>
              </w:rPr>
              <w:t>1、信用记录查询时间及方式：</w:t>
            </w:r>
          </w:p>
          <w:p>
            <w:pPr>
              <w:widowControl/>
              <w:jc w:val="left"/>
              <w:rPr>
                <w:rFonts w:ascii="宋体" w:hAnsi="宋体" w:cs="宋体"/>
                <w:bCs/>
                <w:kern w:val="0"/>
                <w:szCs w:val="21"/>
              </w:rPr>
            </w:pPr>
            <w:r>
              <w:rPr>
                <w:rFonts w:hint="eastAsia" w:ascii="宋体" w:hAnsi="宋体" w:cs="宋体"/>
                <w:bCs/>
                <w:kern w:val="0"/>
                <w:szCs w:val="21"/>
              </w:rPr>
              <w:t>（1）查询时间：自招标公告发布日期起至开标日期止，超出此时间范围将被视为无效投标。</w:t>
            </w:r>
          </w:p>
          <w:p>
            <w:pPr>
              <w:widowControl/>
              <w:jc w:val="left"/>
              <w:rPr>
                <w:rFonts w:ascii="宋体" w:hAnsi="宋体" w:cs="宋体"/>
                <w:bCs/>
                <w:kern w:val="0"/>
                <w:szCs w:val="21"/>
              </w:rPr>
            </w:pPr>
            <w:r>
              <w:rPr>
                <w:rFonts w:hint="eastAsia" w:ascii="宋体" w:hAnsi="宋体" w:cs="宋体"/>
                <w:bCs/>
                <w:kern w:val="0"/>
                <w:szCs w:val="21"/>
              </w:rPr>
              <w:t>（2）查询方式：投标人自行通过</w:t>
            </w:r>
            <w:r>
              <w:rPr>
                <w:rFonts w:hint="eastAsia" w:ascii="宋体" w:hAnsi="宋体" w:cs="宋体"/>
                <w:kern w:val="0"/>
                <w:szCs w:val="21"/>
              </w:rPr>
              <w:t>中国裁判文书网、</w:t>
            </w:r>
            <w:r>
              <w:rPr>
                <w:rFonts w:hint="eastAsia" w:ascii="宋体" w:hAnsi="宋体" w:cs="宋体"/>
                <w:bCs/>
                <w:kern w:val="0"/>
                <w:szCs w:val="21"/>
              </w:rPr>
              <w:t>“信用中国”及“中国政府采购网”查询，并按招标文件要求提供网页材料。被列入失信被执行人、重大税收违法案件当事人名单、政府采购严重违法失信行为记录名单及其他不符合《中华人民共和国政府采购法》第二十二条规定条件的投标人，其投标文件将被视为无效投标。未提供证明材料的视为不响应招标文件。</w:t>
            </w:r>
          </w:p>
          <w:p>
            <w:pPr>
              <w:widowControl/>
              <w:jc w:val="left"/>
              <w:rPr>
                <w:rFonts w:ascii="宋体" w:hAnsi="宋体" w:cs="宋体"/>
                <w:bCs/>
                <w:kern w:val="0"/>
                <w:szCs w:val="21"/>
              </w:rPr>
            </w:pPr>
            <w:r>
              <w:rPr>
                <w:rFonts w:hint="eastAsia" w:ascii="宋体" w:hAnsi="宋体" w:cs="宋体"/>
                <w:bCs/>
                <w:kern w:val="0"/>
                <w:szCs w:val="21"/>
              </w:rPr>
              <w:t>（3）投标人参加政府采购活动时，应当就自己的诚信情况在响应性文件中进行承诺。</w:t>
            </w:r>
          </w:p>
          <w:p>
            <w:pPr>
              <w:widowControl/>
              <w:rPr>
                <w:rFonts w:ascii="宋体" w:hAnsi="宋体" w:cs="宋体"/>
                <w:bCs/>
                <w:kern w:val="0"/>
                <w:szCs w:val="21"/>
              </w:rPr>
            </w:pPr>
            <w:r>
              <w:rPr>
                <w:rFonts w:hint="eastAsia" w:ascii="宋体" w:hAnsi="宋体" w:cs="宋体"/>
                <w:bCs/>
                <w:kern w:val="0"/>
                <w:szCs w:val="21"/>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34" w:type="dxa"/>
            <w:vAlign w:val="center"/>
          </w:tcPr>
          <w:p>
            <w:pPr>
              <w:jc w:val="center"/>
              <w:rPr>
                <w:rFonts w:ascii="宋体" w:hAnsi="宋体" w:cs="宋体"/>
                <w:szCs w:val="21"/>
              </w:rPr>
            </w:pPr>
            <w:r>
              <w:rPr>
                <w:rFonts w:hint="eastAsia" w:ascii="宋体" w:hAnsi="宋体" w:cs="宋体"/>
                <w:szCs w:val="21"/>
              </w:rPr>
              <w:t>10</w:t>
            </w:r>
          </w:p>
        </w:tc>
        <w:tc>
          <w:tcPr>
            <w:tcW w:w="1321" w:type="dxa"/>
            <w:vAlign w:val="center"/>
          </w:tcPr>
          <w:p>
            <w:pPr>
              <w:rPr>
                <w:rFonts w:ascii="宋体" w:hAnsi="宋体" w:cs="宋体"/>
                <w:szCs w:val="21"/>
              </w:rPr>
            </w:pPr>
            <w:r>
              <w:rPr>
                <w:rFonts w:hint="eastAsia" w:ascii="宋体" w:hAnsi="宋体" w:cs="宋体"/>
                <w:szCs w:val="21"/>
              </w:rPr>
              <w:t>资格后审时间及地点</w:t>
            </w:r>
          </w:p>
        </w:tc>
        <w:tc>
          <w:tcPr>
            <w:tcW w:w="8218" w:type="dxa"/>
            <w:vAlign w:val="center"/>
          </w:tcPr>
          <w:p>
            <w:pPr>
              <w:rPr>
                <w:rFonts w:ascii="宋体" w:hAnsi="宋体" w:cs="宋体"/>
                <w:bCs/>
                <w:szCs w:val="21"/>
              </w:rPr>
            </w:pPr>
            <w:r>
              <w:rPr>
                <w:rFonts w:hint="eastAsia" w:ascii="宋体" w:hAnsi="宋体" w:cs="宋体"/>
                <w:kern w:val="0"/>
                <w:szCs w:val="21"/>
              </w:rPr>
              <w:t>时间：同开标</w:t>
            </w:r>
            <w:r>
              <w:rPr>
                <w:rFonts w:hint="eastAsia" w:ascii="宋体" w:hAnsi="宋体" w:cs="宋体"/>
                <w:bCs/>
                <w:szCs w:val="21"/>
              </w:rPr>
              <w:t>时间</w:t>
            </w:r>
          </w:p>
          <w:p>
            <w:pPr>
              <w:rPr>
                <w:rFonts w:ascii="宋体" w:hAnsi="宋体" w:cs="宋体"/>
                <w:szCs w:val="21"/>
              </w:rPr>
            </w:pPr>
            <w:r>
              <w:rPr>
                <w:rFonts w:hint="eastAsia" w:ascii="宋体" w:hAnsi="宋体" w:cs="宋体"/>
                <w:bCs/>
                <w:kern w:val="0"/>
                <w:szCs w:val="21"/>
              </w:rPr>
              <w:t>地点:</w:t>
            </w:r>
            <w:r>
              <w:rPr>
                <w:rFonts w:hint="eastAsia" w:ascii="宋体" w:hAnsi="宋体" w:cs="宋体"/>
                <w:bCs/>
                <w:szCs w:val="21"/>
              </w:rPr>
              <w:t xml:space="preserve"> 同开标</w:t>
            </w:r>
            <w:r>
              <w:rPr>
                <w:rFonts w:hint="eastAsia" w:ascii="宋体" w:hAnsi="宋体" w:cs="宋体"/>
                <w:kern w:val="0"/>
                <w:szCs w:val="21"/>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634" w:type="dxa"/>
            <w:vAlign w:val="center"/>
          </w:tcPr>
          <w:p>
            <w:pPr>
              <w:jc w:val="center"/>
              <w:rPr>
                <w:rFonts w:ascii="宋体" w:hAnsi="宋体" w:cs="宋体"/>
                <w:szCs w:val="21"/>
              </w:rPr>
            </w:pPr>
            <w:r>
              <w:rPr>
                <w:rFonts w:hint="eastAsia" w:ascii="宋体" w:hAnsi="宋体" w:cs="宋体"/>
                <w:szCs w:val="21"/>
              </w:rPr>
              <w:t>11</w:t>
            </w:r>
          </w:p>
        </w:tc>
        <w:tc>
          <w:tcPr>
            <w:tcW w:w="1321" w:type="dxa"/>
            <w:vAlign w:val="center"/>
          </w:tcPr>
          <w:p>
            <w:pPr>
              <w:rPr>
                <w:rFonts w:ascii="宋体" w:hAnsi="宋体" w:cs="宋体"/>
                <w:szCs w:val="21"/>
              </w:rPr>
            </w:pPr>
            <w:r>
              <w:rPr>
                <w:rFonts w:hint="eastAsia" w:ascii="宋体" w:hAnsi="宋体" w:cs="宋体"/>
                <w:szCs w:val="21"/>
              </w:rPr>
              <w:t>资格审查形式</w:t>
            </w:r>
          </w:p>
        </w:tc>
        <w:tc>
          <w:tcPr>
            <w:tcW w:w="8218" w:type="dxa"/>
            <w:vAlign w:val="center"/>
          </w:tcPr>
          <w:p>
            <w:pPr>
              <w:rPr>
                <w:rFonts w:ascii="宋体" w:hAnsi="宋体" w:cs="宋体"/>
                <w:szCs w:val="21"/>
              </w:rPr>
            </w:pPr>
            <w:r>
              <w:rPr>
                <w:rFonts w:hint="eastAsia" w:ascii="宋体" w:hAnsi="宋体" w:cs="宋体"/>
                <w:szCs w:val="21"/>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34" w:type="dxa"/>
            <w:vAlign w:val="center"/>
          </w:tcPr>
          <w:p>
            <w:pPr>
              <w:jc w:val="center"/>
              <w:rPr>
                <w:rFonts w:ascii="宋体" w:hAnsi="宋体" w:cs="宋体"/>
                <w:szCs w:val="21"/>
              </w:rPr>
            </w:pPr>
            <w:r>
              <w:rPr>
                <w:rFonts w:hint="eastAsia" w:ascii="宋体" w:hAnsi="宋体" w:cs="宋体"/>
                <w:szCs w:val="21"/>
              </w:rPr>
              <w:t>12</w:t>
            </w:r>
          </w:p>
        </w:tc>
        <w:tc>
          <w:tcPr>
            <w:tcW w:w="1321" w:type="dxa"/>
            <w:vAlign w:val="center"/>
          </w:tcPr>
          <w:p>
            <w:pPr>
              <w:rPr>
                <w:rFonts w:ascii="宋体" w:hAnsi="宋体" w:cs="宋体"/>
                <w:szCs w:val="21"/>
              </w:rPr>
            </w:pPr>
            <w:r>
              <w:rPr>
                <w:rFonts w:hint="eastAsia" w:ascii="宋体" w:hAnsi="宋体" w:cs="宋体"/>
                <w:kern w:val="0"/>
                <w:szCs w:val="21"/>
              </w:rPr>
              <w:t>联合体协议</w:t>
            </w:r>
          </w:p>
        </w:tc>
        <w:tc>
          <w:tcPr>
            <w:tcW w:w="8218" w:type="dxa"/>
            <w:vAlign w:val="center"/>
          </w:tcPr>
          <w:p>
            <w:pPr>
              <w:rPr>
                <w:rFonts w:ascii="宋体" w:hAnsi="宋体" w:cs="宋体"/>
                <w:szCs w:val="21"/>
              </w:rPr>
            </w:pPr>
            <w:r>
              <w:rPr>
                <w:rFonts w:hint="eastAsia" w:ascii="宋体" w:hAnsi="宋体" w:cs="宋体"/>
                <w:szCs w:val="21"/>
              </w:rPr>
              <w:t>不接受联合体协议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4" w:type="dxa"/>
            <w:vAlign w:val="center"/>
          </w:tcPr>
          <w:p>
            <w:pPr>
              <w:jc w:val="center"/>
              <w:rPr>
                <w:rFonts w:ascii="宋体" w:hAnsi="宋体" w:cs="宋体"/>
                <w:szCs w:val="21"/>
              </w:rPr>
            </w:pPr>
            <w:r>
              <w:rPr>
                <w:rFonts w:hint="eastAsia" w:ascii="宋体" w:hAnsi="宋体" w:cs="宋体"/>
                <w:szCs w:val="21"/>
              </w:rPr>
              <w:t>13</w:t>
            </w:r>
          </w:p>
        </w:tc>
        <w:tc>
          <w:tcPr>
            <w:tcW w:w="1321" w:type="dxa"/>
            <w:vAlign w:val="center"/>
          </w:tcPr>
          <w:p>
            <w:pPr>
              <w:rPr>
                <w:rFonts w:ascii="宋体" w:hAnsi="宋体" w:cs="宋体"/>
                <w:szCs w:val="21"/>
              </w:rPr>
            </w:pPr>
            <w:r>
              <w:rPr>
                <w:rFonts w:hint="eastAsia" w:ascii="宋体" w:hAnsi="宋体" w:cs="宋体"/>
                <w:szCs w:val="21"/>
              </w:rPr>
              <w:t>投标有效期</w:t>
            </w:r>
          </w:p>
        </w:tc>
        <w:tc>
          <w:tcPr>
            <w:tcW w:w="8218" w:type="dxa"/>
            <w:vAlign w:val="center"/>
          </w:tcPr>
          <w:p>
            <w:pPr>
              <w:rPr>
                <w:rFonts w:ascii="宋体" w:hAnsi="宋体" w:cs="宋体"/>
                <w:szCs w:val="21"/>
              </w:rPr>
            </w:pPr>
            <w:r>
              <w:rPr>
                <w:rFonts w:hint="eastAsia" w:ascii="宋体" w:hAnsi="宋体" w:cs="宋体"/>
                <w:szCs w:val="21"/>
              </w:rPr>
              <w:t>90日历天（从投标截止之日算起）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634" w:type="dxa"/>
            <w:vAlign w:val="center"/>
          </w:tcPr>
          <w:p>
            <w:pPr>
              <w:jc w:val="center"/>
              <w:rPr>
                <w:rFonts w:ascii="宋体" w:hAnsi="宋体" w:cs="宋体"/>
                <w:szCs w:val="21"/>
              </w:rPr>
            </w:pPr>
            <w:r>
              <w:rPr>
                <w:rFonts w:hint="eastAsia" w:ascii="宋体" w:hAnsi="宋体" w:cs="宋体"/>
                <w:szCs w:val="21"/>
              </w:rPr>
              <w:t>14</w:t>
            </w:r>
          </w:p>
        </w:tc>
        <w:tc>
          <w:tcPr>
            <w:tcW w:w="1321" w:type="dxa"/>
            <w:vAlign w:val="center"/>
          </w:tcPr>
          <w:p>
            <w:pPr>
              <w:rPr>
                <w:rFonts w:ascii="宋体" w:hAnsi="宋体" w:cs="宋体"/>
                <w:spacing w:val="-14"/>
                <w:szCs w:val="21"/>
              </w:rPr>
            </w:pPr>
            <w:r>
              <w:rPr>
                <w:rFonts w:hint="eastAsia" w:ascii="宋体" w:hAnsi="宋体" w:cs="宋体"/>
                <w:szCs w:val="21"/>
              </w:rPr>
              <w:t>投标保证金</w:t>
            </w:r>
          </w:p>
        </w:tc>
        <w:tc>
          <w:tcPr>
            <w:tcW w:w="8218" w:type="dxa"/>
            <w:vAlign w:val="center"/>
          </w:tcPr>
          <w:p>
            <w:pPr>
              <w:autoSpaceDE w:val="0"/>
              <w:autoSpaceDN w:val="0"/>
              <w:adjustRightInd w:val="0"/>
              <w:rPr>
                <w:rFonts w:ascii="宋体" w:hAnsi="宋体" w:cs="宋体"/>
                <w:b/>
                <w:bCs/>
                <w:szCs w:val="21"/>
                <w:u w:val="single"/>
              </w:rPr>
            </w:pPr>
            <w:r>
              <w:rPr>
                <w:rFonts w:hint="eastAsia" w:ascii="宋体" w:hAnsi="宋体" w:cs="宋体"/>
                <w:szCs w:val="21"/>
              </w:rPr>
              <w:t>投标保证金金额为人民币：</w:t>
            </w:r>
            <w:r>
              <w:rPr>
                <w:rFonts w:ascii="宋体" w:hAnsi="宋体" w:cs="宋体"/>
                <w:b/>
                <w:bCs/>
                <w:szCs w:val="21"/>
                <w:u w:val="single"/>
              </w:rPr>
              <w:t>35</w:t>
            </w:r>
            <w:r>
              <w:rPr>
                <w:rFonts w:hint="eastAsia" w:ascii="宋体" w:hAnsi="宋体" w:cs="宋体"/>
                <w:b/>
                <w:bCs/>
                <w:szCs w:val="21"/>
                <w:u w:val="single"/>
              </w:rPr>
              <w:t>000.00元</w:t>
            </w:r>
          </w:p>
          <w:p>
            <w:pPr>
              <w:autoSpaceDE w:val="0"/>
              <w:autoSpaceDN w:val="0"/>
              <w:adjustRightInd w:val="0"/>
              <w:rPr>
                <w:rFonts w:ascii="宋体" w:hAnsi="宋体" w:cs="宋体"/>
                <w:szCs w:val="21"/>
              </w:rPr>
            </w:pPr>
            <w:r>
              <w:rPr>
                <w:rFonts w:hint="eastAsia" w:ascii="宋体" w:hAnsi="宋体" w:cs="宋体"/>
                <w:bCs/>
                <w:szCs w:val="21"/>
              </w:rPr>
              <w:t>（2）</w:t>
            </w:r>
            <w:r>
              <w:rPr>
                <w:rFonts w:hint="eastAsia" w:ascii="宋体" w:hAnsi="宋体" w:cs="宋体"/>
                <w:szCs w:val="21"/>
              </w:rPr>
              <w:t>投标保证金必须在</w:t>
            </w:r>
            <w:r>
              <w:rPr>
                <w:rFonts w:hint="eastAsia" w:ascii="宋体" w:hAnsi="宋体" w:cs="宋体"/>
                <w:b/>
                <w:bCs/>
                <w:szCs w:val="21"/>
                <w:u w:val="single"/>
              </w:rPr>
              <w:t>开标</w:t>
            </w:r>
            <w:r>
              <w:rPr>
                <w:rFonts w:hint="eastAsia" w:ascii="宋体" w:hAnsi="宋体" w:cs="宋体"/>
                <w:szCs w:val="21"/>
              </w:rPr>
              <w:t>之前，以投标保证金应当以支票、汇票、本票或者金融机构、担保机构出具的保函等非现金形式提交；</w:t>
            </w:r>
          </w:p>
          <w:p>
            <w:pPr>
              <w:autoSpaceDE w:val="0"/>
              <w:autoSpaceDN w:val="0"/>
              <w:adjustRightInd w:val="0"/>
              <w:rPr>
                <w:rFonts w:ascii="宋体" w:hAnsi="宋体" w:cs="宋体"/>
                <w:szCs w:val="21"/>
              </w:rPr>
            </w:pPr>
            <w:r>
              <w:rPr>
                <w:rFonts w:hint="eastAsia" w:ascii="宋体" w:hAnsi="宋体" w:cs="宋体"/>
                <w:b/>
                <w:bCs/>
                <w:szCs w:val="21"/>
              </w:rPr>
              <w:t>（2）投标人在缴纳保证金时需在备注栏注明：所投项目的简称及标包号。</w:t>
            </w:r>
            <w:r>
              <w:rPr>
                <w:rFonts w:hint="eastAsia" w:ascii="宋体" w:hAnsi="宋体" w:cs="宋体"/>
                <w:szCs w:val="21"/>
              </w:rPr>
              <w:t>未按时提交投标保证金的投标文件无效。</w:t>
            </w:r>
          </w:p>
          <w:p>
            <w:r>
              <w:rPr>
                <w:rFonts w:hint="eastAsia" w:ascii="宋体" w:hAnsi="宋体" w:cs="宋体"/>
                <w:bCs/>
                <w:szCs w:val="21"/>
              </w:rPr>
              <w:t>开户单位名称：新疆盛世乾元工程项目管理咨询有限公司</w:t>
            </w:r>
          </w:p>
          <w:p>
            <w:pPr>
              <w:jc w:val="left"/>
              <w:rPr>
                <w:rFonts w:ascii="宋体" w:hAnsi="宋体" w:cs="宋体"/>
                <w:kern w:val="0"/>
                <w:szCs w:val="21"/>
                <w:lang w:bidi="ar"/>
              </w:rPr>
            </w:pPr>
            <w:r>
              <w:rPr>
                <w:rFonts w:hint="eastAsia" w:ascii="宋体" w:hAnsi="宋体" w:cs="宋体"/>
                <w:kern w:val="0"/>
                <w:szCs w:val="21"/>
                <w:lang w:bidi="ar"/>
              </w:rPr>
              <w:t>开 户 行：中国农业银行股份有限公司乌鲁木齐南湖路（兵团）支行</w:t>
            </w:r>
          </w:p>
          <w:p>
            <w:pPr>
              <w:jc w:val="left"/>
              <w:rPr>
                <w:rFonts w:ascii="宋体" w:hAnsi="宋体" w:cs="宋体"/>
                <w:kern w:val="0"/>
                <w:szCs w:val="21"/>
                <w:lang w:bidi="ar"/>
              </w:rPr>
            </w:pPr>
            <w:r>
              <w:rPr>
                <w:rFonts w:hint="eastAsia" w:ascii="宋体" w:hAnsi="宋体" w:cs="宋体"/>
                <w:kern w:val="0"/>
                <w:szCs w:val="21"/>
                <w:lang w:bidi="ar"/>
              </w:rPr>
              <w:t>账    号：30704501040008571</w:t>
            </w:r>
          </w:p>
          <w:p>
            <w:pPr>
              <w:jc w:val="left"/>
              <w:rPr>
                <w:rFonts w:ascii="宋体" w:hAnsi="宋体" w:cs="宋体"/>
                <w:kern w:val="0"/>
                <w:szCs w:val="21"/>
                <w:lang w:bidi="ar"/>
              </w:rPr>
            </w:pPr>
            <w:r>
              <w:rPr>
                <w:rFonts w:hint="eastAsia" w:ascii="宋体" w:hAnsi="宋体" w:cs="宋体"/>
                <w:kern w:val="0"/>
                <w:szCs w:val="21"/>
                <w:lang w:bidi="ar"/>
              </w:rPr>
              <w:t>行号：103881070457</w:t>
            </w:r>
            <w:r>
              <w:rPr>
                <w:rFonts w:ascii="宋体" w:hAnsi="宋体" w:cs="宋体"/>
                <w:kern w:val="0"/>
                <w:szCs w:val="21"/>
                <w:lang w:bidi="ar"/>
              </w:rPr>
              <w:t xml:space="preserve"> </w:t>
            </w:r>
          </w:p>
          <w:p>
            <w:pPr>
              <w:autoSpaceDE w:val="0"/>
              <w:autoSpaceDN w:val="0"/>
              <w:adjustRightInd w:val="0"/>
              <w:rPr>
                <w:rFonts w:ascii="宋体" w:hAnsi="宋体" w:cs="宋体"/>
                <w:szCs w:val="21"/>
              </w:rPr>
            </w:pPr>
            <w:r>
              <w:rPr>
                <w:rFonts w:hint="eastAsia" w:ascii="宋体" w:hAnsi="宋体" w:cs="宋体"/>
                <w:szCs w:val="21"/>
              </w:rPr>
              <w:t>（3）</w:t>
            </w:r>
            <w:r>
              <w:rPr>
                <w:rFonts w:hint="eastAsia" w:ascii="宋体" w:hAnsi="宋体" w:cs="宋体"/>
                <w:b/>
                <w:szCs w:val="21"/>
                <w:lang w:bidi="ar"/>
              </w:rPr>
              <w:t>投标保证金退还</w:t>
            </w:r>
            <w:r>
              <w:rPr>
                <w:rFonts w:hint="eastAsia" w:ascii="宋体" w:hAnsi="宋体" w:cs="宋体"/>
                <w:szCs w:val="21"/>
                <w:lang w:bidi="ar"/>
              </w:rPr>
              <w:t>：除招标文件规定不予退还投标保证金情形外，投标人投标保证按以下流程退还：未中标投标人的投标保证金可在公示期结束后5个工作日内退还；中标人的投标保证金在中标人与采购人签订供货合同，并提交履约保证金（若需要）和支付招标代理服务费后办理退还手续，提交资料（开户信息、保证金收据或对开收据及供货合同）后5个工作日内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634" w:type="dxa"/>
            <w:vAlign w:val="center"/>
          </w:tcPr>
          <w:p>
            <w:pPr>
              <w:jc w:val="center"/>
              <w:rPr>
                <w:rFonts w:ascii="宋体" w:hAnsi="宋体" w:cs="宋体"/>
                <w:szCs w:val="21"/>
              </w:rPr>
            </w:pPr>
            <w:r>
              <w:rPr>
                <w:rFonts w:hint="eastAsia" w:ascii="宋体" w:hAnsi="宋体" w:cs="宋体"/>
                <w:szCs w:val="21"/>
              </w:rPr>
              <w:t>15</w:t>
            </w:r>
          </w:p>
        </w:tc>
        <w:tc>
          <w:tcPr>
            <w:tcW w:w="1321" w:type="dxa"/>
            <w:vAlign w:val="center"/>
          </w:tcPr>
          <w:p>
            <w:pPr>
              <w:rPr>
                <w:rFonts w:ascii="宋体" w:hAnsi="宋体" w:cs="宋体"/>
                <w:spacing w:val="-14"/>
                <w:szCs w:val="21"/>
              </w:rPr>
            </w:pPr>
            <w:r>
              <w:rPr>
                <w:rFonts w:hint="eastAsia" w:ascii="宋体" w:hAnsi="宋体" w:cs="宋体"/>
                <w:spacing w:val="-14"/>
                <w:szCs w:val="21"/>
              </w:rPr>
              <w:t>招标文件发售时间及地点</w:t>
            </w:r>
          </w:p>
        </w:tc>
        <w:tc>
          <w:tcPr>
            <w:tcW w:w="8218" w:type="dxa"/>
            <w:vAlign w:val="center"/>
          </w:tcPr>
          <w:p>
            <w:pPr>
              <w:jc w:val="left"/>
              <w:rPr>
                <w:rFonts w:ascii="宋体" w:hAnsi="宋体" w:cs="宋体"/>
                <w:kern w:val="0"/>
                <w:szCs w:val="21"/>
              </w:rPr>
            </w:pPr>
            <w:r>
              <w:rPr>
                <w:rFonts w:hint="eastAsia" w:ascii="宋体" w:hAnsi="宋体" w:cs="宋体"/>
                <w:kern w:val="0"/>
                <w:szCs w:val="21"/>
              </w:rPr>
              <w:t>时间：2023年09月5日至2023年09月12日 （北京时间午10：00-14:00，下午15:30-19:30，节假日除外）</w:t>
            </w:r>
          </w:p>
          <w:p>
            <w:pPr>
              <w:rPr>
                <w:rFonts w:ascii="宋体" w:hAnsi="宋体" w:cs="宋体"/>
                <w:szCs w:val="21"/>
              </w:rPr>
            </w:pPr>
            <w:r>
              <w:rPr>
                <w:rFonts w:hint="eastAsia" w:ascii="宋体" w:hAnsi="宋体" w:cs="宋体"/>
                <w:szCs w:val="21"/>
              </w:rPr>
              <w:t>地点：网上获取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34" w:type="dxa"/>
            <w:vAlign w:val="center"/>
          </w:tcPr>
          <w:p>
            <w:pPr>
              <w:jc w:val="center"/>
              <w:rPr>
                <w:rFonts w:ascii="宋体" w:hAnsi="宋体" w:cs="宋体"/>
                <w:szCs w:val="21"/>
              </w:rPr>
            </w:pPr>
            <w:r>
              <w:rPr>
                <w:rFonts w:hint="eastAsia" w:ascii="宋体" w:hAnsi="宋体" w:cs="宋体"/>
                <w:szCs w:val="21"/>
              </w:rPr>
              <w:t>16</w:t>
            </w:r>
          </w:p>
        </w:tc>
        <w:tc>
          <w:tcPr>
            <w:tcW w:w="1321" w:type="dxa"/>
            <w:vAlign w:val="center"/>
          </w:tcPr>
          <w:p>
            <w:pPr>
              <w:rPr>
                <w:rFonts w:ascii="宋体" w:hAnsi="宋体" w:cs="宋体"/>
                <w:szCs w:val="21"/>
              </w:rPr>
            </w:pPr>
            <w:r>
              <w:rPr>
                <w:rFonts w:hint="eastAsia" w:ascii="宋体" w:hAnsi="宋体" w:cs="宋体"/>
                <w:spacing w:val="-14"/>
                <w:szCs w:val="21"/>
              </w:rPr>
              <w:t>招标文件</w:t>
            </w:r>
            <w:r>
              <w:rPr>
                <w:rFonts w:hint="eastAsia" w:ascii="宋体" w:hAnsi="宋体" w:cs="宋体"/>
                <w:szCs w:val="21"/>
              </w:rPr>
              <w:t>份数</w:t>
            </w:r>
          </w:p>
        </w:tc>
        <w:tc>
          <w:tcPr>
            <w:tcW w:w="8218" w:type="dxa"/>
            <w:vAlign w:val="center"/>
          </w:tcPr>
          <w:p>
            <w:pPr>
              <w:rPr>
                <w:rFonts w:ascii="宋体" w:hAnsi="宋体" w:cs="宋体"/>
                <w:szCs w:val="21"/>
                <w:lang w:bidi="ar"/>
              </w:rPr>
            </w:pPr>
            <w:r>
              <w:rPr>
                <w:rFonts w:hint="eastAsia" w:ascii="宋体" w:hAnsi="宋体" w:cs="宋体"/>
                <w:szCs w:val="21"/>
                <w:lang w:bidi="ar"/>
              </w:rPr>
              <w:t>□采用见面开标（非电子标）：</w:t>
            </w:r>
          </w:p>
          <w:p>
            <w:pPr>
              <w:rPr>
                <w:rFonts w:ascii="宋体" w:hAnsi="宋体" w:cs="宋体"/>
                <w:szCs w:val="21"/>
                <w:lang w:bidi="ar"/>
              </w:rPr>
            </w:pPr>
            <w:r>
              <w:rPr>
                <w:rFonts w:hint="eastAsia" w:ascii="宋体" w:hAnsi="宋体" w:cs="宋体"/>
                <w:szCs w:val="21"/>
                <w:lang w:bidi="ar"/>
              </w:rPr>
              <w:t>投标文件包括：</w:t>
            </w:r>
          </w:p>
          <w:p>
            <w:pPr>
              <w:rPr>
                <w:rFonts w:ascii="宋体" w:hAnsi="宋体" w:cs="宋体"/>
                <w:szCs w:val="21"/>
                <w:lang w:bidi="ar"/>
              </w:rPr>
            </w:pPr>
            <w:r>
              <w:rPr>
                <w:rFonts w:hint="eastAsia" w:ascii="宋体" w:hAnsi="宋体" w:cs="宋体"/>
                <w:szCs w:val="21"/>
                <w:lang w:bidi="ar"/>
              </w:rPr>
              <w:t>1、投标文件包含：</w:t>
            </w:r>
          </w:p>
          <w:p>
            <w:pPr>
              <w:rPr>
                <w:rFonts w:ascii="宋体" w:hAnsi="宋体" w:cs="宋体"/>
                <w:szCs w:val="21"/>
                <w:lang w:bidi="ar"/>
              </w:rPr>
            </w:pPr>
            <w:r>
              <w:rPr>
                <w:rFonts w:hint="eastAsia" w:ascii="宋体" w:hAnsi="宋体" w:cs="宋体"/>
                <w:szCs w:val="21"/>
                <w:lang w:bidi="ar"/>
              </w:rPr>
              <w:t>1.1.投标文件：正本一份、副本三份</w:t>
            </w:r>
          </w:p>
          <w:p>
            <w:pPr>
              <w:rPr>
                <w:rFonts w:ascii="宋体" w:hAnsi="宋体" w:cs="宋体"/>
                <w:szCs w:val="21"/>
                <w:lang w:bidi="ar"/>
              </w:rPr>
            </w:pPr>
            <w:r>
              <w:rPr>
                <w:rFonts w:hint="eastAsia" w:ascii="宋体" w:hAnsi="宋体" w:cs="宋体"/>
                <w:szCs w:val="21"/>
                <w:lang w:bidi="ar"/>
              </w:rPr>
              <w:t xml:space="preserve">1.2.开标一览表一份（单独密封） </w:t>
            </w:r>
          </w:p>
          <w:p>
            <w:pPr>
              <w:rPr>
                <w:rFonts w:ascii="宋体" w:hAnsi="宋体" w:cs="宋体"/>
                <w:szCs w:val="21"/>
                <w:lang w:bidi="ar"/>
              </w:rPr>
            </w:pPr>
            <w:r>
              <w:rPr>
                <w:rFonts w:hint="eastAsia" w:ascii="宋体" w:hAnsi="宋体" w:cs="宋体"/>
                <w:szCs w:val="21"/>
                <w:lang w:bidi="ar"/>
              </w:rPr>
              <w:t xml:space="preserve">1.3.投标保证金缴纳凭证（收据或网上银行汇款凭证）一份 </w:t>
            </w:r>
          </w:p>
          <w:p>
            <w:pPr>
              <w:rPr>
                <w:rFonts w:ascii="宋体" w:hAnsi="宋体" w:cs="宋体"/>
                <w:szCs w:val="21"/>
                <w:lang w:bidi="ar"/>
              </w:rPr>
            </w:pPr>
            <w:r>
              <w:rPr>
                <w:rFonts w:hint="eastAsia" w:ascii="宋体" w:hAnsi="宋体" w:cs="宋体"/>
                <w:szCs w:val="21"/>
                <w:lang w:bidi="ar"/>
              </w:rPr>
              <w:t>1.4.投标文件电子文档（光碟、u 盘各一份，概不退还），电子文档要求为加盖公章的正本 PDF 格式扫描件。</w:t>
            </w:r>
          </w:p>
          <w:p>
            <w:pPr>
              <w:rPr>
                <w:rFonts w:ascii="宋体" w:hAnsi="宋体" w:cs="宋体"/>
                <w:szCs w:val="21"/>
                <w:lang w:bidi="ar"/>
              </w:rPr>
            </w:pPr>
            <w:r>
              <w:rPr>
                <w:rFonts w:hint="eastAsia" w:ascii="宋体" w:hAnsi="宋体" w:cs="宋体"/>
                <w:szCs w:val="21"/>
                <w:lang w:bidi="ar"/>
              </w:rPr>
              <w:t>2、投标文件密封</w:t>
            </w:r>
          </w:p>
          <w:p>
            <w:pPr>
              <w:rPr>
                <w:rFonts w:ascii="宋体" w:hAnsi="宋体" w:cs="宋体"/>
                <w:szCs w:val="21"/>
                <w:lang w:bidi="ar"/>
              </w:rPr>
            </w:pPr>
            <w:r>
              <w:rPr>
                <w:rFonts w:hint="eastAsia" w:ascii="宋体" w:hAnsi="宋体" w:cs="宋体"/>
                <w:szCs w:val="21"/>
                <w:lang w:bidi="ar"/>
              </w:rPr>
              <w:t>投标文件分为开标一览表信封、投标文件电子版信封和投标文件袋，密封内容必须包括下列内容：</w:t>
            </w:r>
          </w:p>
          <w:p>
            <w:pPr>
              <w:rPr>
                <w:rFonts w:ascii="宋体" w:hAnsi="宋体" w:cs="宋体"/>
                <w:szCs w:val="21"/>
                <w:lang w:bidi="ar"/>
              </w:rPr>
            </w:pPr>
            <w:r>
              <w:rPr>
                <w:rFonts w:hint="eastAsia" w:ascii="宋体" w:hAnsi="宋体" w:cs="宋体"/>
                <w:szCs w:val="21"/>
                <w:lang w:bidi="ar"/>
              </w:rPr>
              <w:t>2.1.开标一览表信封(以包为单位分开制作)</w:t>
            </w:r>
          </w:p>
          <w:p>
            <w:pPr>
              <w:rPr>
                <w:rFonts w:ascii="宋体" w:hAnsi="宋体" w:cs="宋体"/>
                <w:szCs w:val="21"/>
                <w:lang w:bidi="ar"/>
              </w:rPr>
            </w:pPr>
            <w:r>
              <w:rPr>
                <w:rFonts w:hint="eastAsia" w:ascii="宋体" w:hAnsi="宋体" w:cs="宋体"/>
                <w:szCs w:val="21"/>
                <w:lang w:bidi="ar"/>
              </w:rPr>
              <w:t>(1) 开标一览表；</w:t>
            </w:r>
          </w:p>
          <w:p>
            <w:pPr>
              <w:rPr>
                <w:rFonts w:ascii="宋体" w:hAnsi="宋体" w:cs="宋体"/>
                <w:szCs w:val="21"/>
                <w:lang w:bidi="ar"/>
              </w:rPr>
            </w:pPr>
            <w:r>
              <w:rPr>
                <w:rFonts w:hint="eastAsia" w:ascii="宋体" w:hAnsi="宋体" w:cs="宋体"/>
                <w:szCs w:val="21"/>
                <w:lang w:bidi="ar"/>
              </w:rPr>
              <w:t>(2) 投标保证金支付的凭证(收据或网上银行汇款凭证)；</w:t>
            </w:r>
          </w:p>
          <w:p>
            <w:pPr>
              <w:rPr>
                <w:rFonts w:ascii="宋体" w:hAnsi="宋体" w:cs="宋体"/>
                <w:szCs w:val="21"/>
                <w:lang w:bidi="ar"/>
              </w:rPr>
            </w:pPr>
            <w:r>
              <w:rPr>
                <w:rFonts w:hint="eastAsia" w:ascii="宋体" w:hAnsi="宋体" w:cs="宋体"/>
                <w:szCs w:val="21"/>
                <w:lang w:bidi="ar"/>
              </w:rPr>
              <w:t>2.2投标文件电子版信封（U盘、光盘各一份）</w:t>
            </w:r>
          </w:p>
          <w:p>
            <w:pPr>
              <w:rPr>
                <w:rFonts w:ascii="宋体" w:hAnsi="宋体" w:cs="宋体"/>
                <w:szCs w:val="21"/>
                <w:lang w:bidi="ar"/>
              </w:rPr>
            </w:pPr>
            <w:r>
              <w:rPr>
                <w:rFonts w:hint="eastAsia" w:ascii="宋体" w:hAnsi="宋体" w:cs="宋体"/>
                <w:szCs w:val="21"/>
                <w:lang w:bidi="ar"/>
              </w:rPr>
              <w:t>（1）开标一览表电子版、明细报价表（Excel）</w:t>
            </w:r>
          </w:p>
          <w:p>
            <w:pPr>
              <w:rPr>
                <w:rFonts w:ascii="宋体" w:hAnsi="宋体" w:cs="宋体"/>
                <w:szCs w:val="21"/>
                <w:lang w:bidi="ar"/>
              </w:rPr>
            </w:pPr>
            <w:r>
              <w:rPr>
                <w:rFonts w:hint="eastAsia" w:ascii="宋体" w:hAnsi="宋体" w:cs="宋体"/>
                <w:szCs w:val="21"/>
                <w:lang w:bidi="ar"/>
              </w:rPr>
              <w:t>（2）投标文件电子版（正本加盖公章后的扫描件PDF）</w:t>
            </w:r>
          </w:p>
          <w:p>
            <w:pPr>
              <w:rPr>
                <w:rFonts w:ascii="宋体" w:hAnsi="宋体" w:cs="宋体"/>
                <w:szCs w:val="21"/>
                <w:lang w:bidi="ar"/>
              </w:rPr>
            </w:pPr>
            <w:r>
              <w:rPr>
                <w:rFonts w:hint="eastAsia" w:ascii="宋体" w:hAnsi="宋体" w:cs="宋体"/>
                <w:szCs w:val="21"/>
                <w:lang w:bidi="ar"/>
              </w:rPr>
              <w:t>2.3.投标文件袋（正、副本密封在一个密封袋中）</w:t>
            </w:r>
          </w:p>
          <w:p>
            <w:pPr>
              <w:rPr>
                <w:rFonts w:ascii="宋体" w:hAnsi="宋体" w:cs="宋体"/>
                <w:szCs w:val="21"/>
                <w:lang w:bidi="ar"/>
              </w:rPr>
            </w:pPr>
            <w:r>
              <w:rPr>
                <w:rFonts w:hint="eastAsia" w:ascii="宋体" w:hAnsi="宋体" w:cs="宋体"/>
                <w:szCs w:val="21"/>
                <w:lang w:bidi="ar"/>
              </w:rPr>
              <w:t>2.4.投标文件及“开标一览表”按招标文件要求制作并密封提交。否则其投标被拒绝。</w:t>
            </w:r>
          </w:p>
          <w:p>
            <w:pPr>
              <w:rPr>
                <w:rFonts w:ascii="宋体" w:hAnsi="宋体" w:cs="宋体"/>
                <w:szCs w:val="21"/>
                <w:lang w:bidi="ar"/>
              </w:rPr>
            </w:pPr>
            <w:r>
              <w:rPr>
                <w:rFonts w:ascii="Segoe UI Symbol" w:hAnsi="Segoe UI Symbol" w:cs="Segoe UI Symbol"/>
                <w:szCs w:val="21"/>
                <w:lang w:bidi="ar"/>
              </w:rPr>
              <w:t>☑</w:t>
            </w:r>
            <w:r>
              <w:rPr>
                <w:rFonts w:hint="eastAsia" w:ascii="宋体" w:hAnsi="宋体" w:cs="宋体"/>
                <w:szCs w:val="21"/>
                <w:lang w:bidi="ar"/>
              </w:rPr>
              <w:t>采用不见面开标（电子标）：</w:t>
            </w:r>
          </w:p>
          <w:p>
            <w:pPr>
              <w:rPr>
                <w:rFonts w:ascii="宋体" w:hAnsi="宋体" w:cs="宋体"/>
                <w:szCs w:val="21"/>
                <w:lang w:bidi="ar"/>
              </w:rPr>
            </w:pPr>
            <w:r>
              <w:rPr>
                <w:rFonts w:hint="eastAsia" w:ascii="宋体" w:hAnsi="宋体" w:cs="宋体"/>
                <w:szCs w:val="21"/>
                <w:lang w:bidi="ar"/>
              </w:rPr>
              <w:t>本项目采用不见面开标</w:t>
            </w:r>
          </w:p>
          <w:p>
            <w:pPr>
              <w:rPr>
                <w:rFonts w:ascii="宋体" w:hAnsi="宋体" w:cs="宋体"/>
                <w:szCs w:val="21"/>
                <w:lang w:bidi="ar"/>
              </w:rPr>
            </w:pPr>
            <w:r>
              <w:rPr>
                <w:rFonts w:hint="eastAsia" w:ascii="宋体" w:hAnsi="宋体" w:cs="宋体"/>
                <w:szCs w:val="21"/>
                <w:lang w:bidi="ar"/>
              </w:rPr>
              <w:t>投标文件制作完成并生成加密标书，在开标前，供应商需将加密的投标文件上传至政采云平台,到达开标时间后,解密投标文件。</w:t>
            </w:r>
          </w:p>
          <w:p>
            <w:pPr>
              <w:rPr>
                <w:rFonts w:ascii="宋体" w:hAnsi="宋体" w:cs="宋体"/>
                <w:szCs w:val="21"/>
                <w:lang w:bidi="ar"/>
              </w:rPr>
            </w:pPr>
            <w:r>
              <w:rPr>
                <w:rFonts w:hint="eastAsia" w:ascii="宋体" w:hAnsi="宋体" w:cs="宋体"/>
                <w:szCs w:val="21"/>
                <w:lang w:bidi="ar"/>
              </w:rPr>
              <w:t>中标单位需在中标后五个工作日内提供纸质版投标文件正本1份，副本2份，电子版投标文件2份（（U盘、光盘各一份））至招标代理机构。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34" w:type="dxa"/>
            <w:vAlign w:val="center"/>
          </w:tcPr>
          <w:p>
            <w:pPr>
              <w:jc w:val="center"/>
              <w:rPr>
                <w:rFonts w:ascii="宋体" w:hAnsi="宋体" w:cs="宋体"/>
                <w:szCs w:val="21"/>
              </w:rPr>
            </w:pPr>
            <w:r>
              <w:rPr>
                <w:rFonts w:hint="eastAsia" w:ascii="宋体" w:hAnsi="宋体" w:cs="宋体"/>
                <w:szCs w:val="21"/>
              </w:rPr>
              <w:t>17</w:t>
            </w:r>
          </w:p>
        </w:tc>
        <w:tc>
          <w:tcPr>
            <w:tcW w:w="1321" w:type="dxa"/>
            <w:vAlign w:val="center"/>
          </w:tcPr>
          <w:p>
            <w:pPr>
              <w:rPr>
                <w:rFonts w:ascii="宋体" w:hAnsi="宋体" w:cs="宋体"/>
                <w:spacing w:val="-14"/>
                <w:szCs w:val="21"/>
              </w:rPr>
            </w:pPr>
            <w:r>
              <w:rPr>
                <w:rFonts w:hint="eastAsia" w:ascii="宋体" w:hAnsi="宋体" w:cs="宋体"/>
                <w:spacing w:val="-14"/>
                <w:szCs w:val="21"/>
              </w:rPr>
              <w:t>答疑、澄清及现场踏勘</w:t>
            </w:r>
          </w:p>
        </w:tc>
        <w:tc>
          <w:tcPr>
            <w:tcW w:w="8218" w:type="dxa"/>
            <w:vAlign w:val="center"/>
          </w:tcPr>
          <w:p>
            <w:r>
              <w:rPr>
                <w:rFonts w:hint="eastAsia" w:ascii="宋体" w:hAnsi="宋体" w:cs="宋体"/>
                <w:szCs w:val="21"/>
                <w:lang w:bidi="ar"/>
              </w:rPr>
              <w:t>1.投标人如发现招标文件及其评标办法中存在含糊不清、相互矛盾、多种含义以及歧视性不公正条款或违法违规等有疑点要求澄清的，可以自收到采购文件之日（发售截止日之后收到采购文件的，以发售截止日为准）或者采购文件公告期限届满之日（即为招标公告发布后的第6个工作日）起7个工作日内18：00时前，以书面形式向采购人和采购代理机构提出质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34" w:type="dxa"/>
            <w:vAlign w:val="center"/>
          </w:tcPr>
          <w:p>
            <w:pPr>
              <w:jc w:val="center"/>
              <w:rPr>
                <w:rFonts w:ascii="宋体" w:hAnsi="宋体" w:cs="宋体"/>
                <w:szCs w:val="21"/>
              </w:rPr>
            </w:pPr>
            <w:r>
              <w:rPr>
                <w:rFonts w:hint="eastAsia" w:ascii="宋体" w:hAnsi="宋体" w:cs="宋体"/>
                <w:szCs w:val="21"/>
              </w:rPr>
              <w:t>18</w:t>
            </w:r>
          </w:p>
        </w:tc>
        <w:tc>
          <w:tcPr>
            <w:tcW w:w="1321" w:type="dxa"/>
            <w:vAlign w:val="center"/>
          </w:tcPr>
          <w:p>
            <w:pPr>
              <w:rPr>
                <w:rFonts w:ascii="宋体" w:hAnsi="宋体" w:cs="宋体"/>
                <w:spacing w:val="-14"/>
                <w:szCs w:val="21"/>
              </w:rPr>
            </w:pPr>
            <w:r>
              <w:rPr>
                <w:rFonts w:hint="eastAsia" w:ascii="宋体" w:hAnsi="宋体" w:cs="宋体"/>
                <w:szCs w:val="21"/>
              </w:rPr>
              <w:t>关于样品</w:t>
            </w:r>
          </w:p>
        </w:tc>
        <w:tc>
          <w:tcPr>
            <w:tcW w:w="8218" w:type="dxa"/>
            <w:vAlign w:val="center"/>
          </w:tcPr>
          <w:p>
            <w:pPr>
              <w:rPr>
                <w:rFonts w:ascii="宋体" w:hAnsi="宋体" w:cs="宋体"/>
                <w:szCs w:val="21"/>
              </w:rPr>
            </w:pPr>
            <w:r>
              <w:rPr>
                <w:rFonts w:hint="eastAsia" w:ascii="宋体" w:hAnsi="宋体" w:cs="宋体"/>
                <w:szCs w:val="21"/>
              </w:rPr>
              <w:t>本项目无需提供样品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34" w:type="dxa"/>
            <w:vAlign w:val="center"/>
          </w:tcPr>
          <w:p>
            <w:pPr>
              <w:jc w:val="center"/>
              <w:rPr>
                <w:rFonts w:ascii="宋体" w:hAnsi="宋体" w:cs="宋体"/>
                <w:szCs w:val="21"/>
              </w:rPr>
            </w:pPr>
            <w:r>
              <w:rPr>
                <w:rFonts w:hint="eastAsia" w:ascii="宋体" w:hAnsi="宋体" w:cs="宋体"/>
                <w:szCs w:val="21"/>
              </w:rPr>
              <w:t>19</w:t>
            </w:r>
          </w:p>
        </w:tc>
        <w:tc>
          <w:tcPr>
            <w:tcW w:w="1321" w:type="dxa"/>
            <w:vAlign w:val="center"/>
          </w:tcPr>
          <w:p>
            <w:pPr>
              <w:rPr>
                <w:rFonts w:ascii="宋体" w:hAnsi="宋体" w:cs="宋体"/>
                <w:szCs w:val="21"/>
              </w:rPr>
            </w:pPr>
            <w:r>
              <w:rPr>
                <w:rFonts w:hint="eastAsia" w:ascii="宋体" w:hAnsi="宋体" w:cs="宋体"/>
                <w:szCs w:val="21"/>
              </w:rPr>
              <w:t>关于进口产品的要求</w:t>
            </w:r>
          </w:p>
        </w:tc>
        <w:tc>
          <w:tcPr>
            <w:tcW w:w="8218" w:type="dxa"/>
            <w:vAlign w:val="center"/>
          </w:tcPr>
          <w:p>
            <w:pPr>
              <w:rPr>
                <w:rFonts w:ascii="宋体" w:hAnsi="宋体" w:cs="宋体"/>
                <w:szCs w:val="21"/>
              </w:rPr>
            </w:pPr>
            <w:r>
              <w:rPr>
                <w:rFonts w:hint="eastAsia" w:ascii="宋体" w:hAnsi="宋体" w:cs="宋体"/>
                <w:szCs w:val="21"/>
              </w:rPr>
              <w:t>是否允许采购进口产品：招标文件采购需求未明确标注采购进口产品的，拒绝进口产品参加。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634" w:type="dxa"/>
            <w:vAlign w:val="center"/>
          </w:tcPr>
          <w:p>
            <w:pPr>
              <w:jc w:val="center"/>
              <w:rPr>
                <w:rFonts w:ascii="宋体" w:hAnsi="宋体" w:cs="宋体"/>
                <w:szCs w:val="21"/>
              </w:rPr>
            </w:pPr>
            <w:r>
              <w:rPr>
                <w:rFonts w:hint="eastAsia" w:ascii="宋体" w:hAnsi="宋体" w:cs="宋体"/>
                <w:szCs w:val="21"/>
              </w:rPr>
              <w:t>20</w:t>
            </w:r>
          </w:p>
        </w:tc>
        <w:tc>
          <w:tcPr>
            <w:tcW w:w="1321" w:type="dxa"/>
            <w:vAlign w:val="center"/>
          </w:tcPr>
          <w:p>
            <w:pPr>
              <w:rPr>
                <w:rFonts w:ascii="宋体" w:hAnsi="宋体" w:cs="宋体"/>
                <w:szCs w:val="21"/>
              </w:rPr>
            </w:pPr>
            <w:r>
              <w:rPr>
                <w:rFonts w:hint="eastAsia" w:ascii="宋体" w:hAnsi="宋体" w:cs="宋体"/>
                <w:szCs w:val="21"/>
              </w:rPr>
              <w:t>投标文件密封及签署</w:t>
            </w:r>
          </w:p>
        </w:tc>
        <w:tc>
          <w:tcPr>
            <w:tcW w:w="8218" w:type="dxa"/>
            <w:vAlign w:val="center"/>
          </w:tcPr>
          <w:p>
            <w:pPr>
              <w:autoSpaceDE w:val="0"/>
              <w:autoSpaceDN w:val="0"/>
              <w:adjustRightInd w:val="0"/>
              <w:rPr>
                <w:rFonts w:ascii="宋体" w:hAnsi="宋体" w:cs="宋体"/>
                <w:szCs w:val="21"/>
              </w:rPr>
            </w:pPr>
            <w:r>
              <w:rPr>
                <w:rFonts w:hint="eastAsia" w:ascii="宋体" w:hAnsi="宋体" w:cs="宋体"/>
                <w:szCs w:val="21"/>
              </w:rPr>
              <w:t>1.投标文件的页面必须用印刷体打印。</w:t>
            </w:r>
          </w:p>
          <w:p>
            <w:pPr>
              <w:autoSpaceDE w:val="0"/>
              <w:autoSpaceDN w:val="0"/>
              <w:adjustRightInd w:val="0"/>
              <w:rPr>
                <w:rFonts w:ascii="宋体" w:hAnsi="宋体" w:cs="宋体"/>
                <w:szCs w:val="21"/>
              </w:rPr>
            </w:pPr>
            <w:r>
              <w:rPr>
                <w:rFonts w:hint="eastAsia" w:ascii="宋体" w:hAnsi="宋体" w:cs="宋体"/>
                <w:szCs w:val="21"/>
              </w:rPr>
              <w:t>2.投标文件应清楚工整，一般不准修改。个别非实质性修改之处必须由投标人的法定代表人（负责人）或经其正式授权的代表在修改的每一页上签字或盖投标单位公章后才有效。</w:t>
            </w:r>
          </w:p>
          <w:p>
            <w:pPr>
              <w:autoSpaceDE w:val="0"/>
              <w:autoSpaceDN w:val="0"/>
              <w:adjustRightInd w:val="0"/>
              <w:rPr>
                <w:rFonts w:ascii="宋体" w:hAnsi="宋体" w:cs="宋体"/>
                <w:szCs w:val="21"/>
              </w:rPr>
            </w:pPr>
            <w:r>
              <w:rPr>
                <w:rFonts w:hint="eastAsia" w:ascii="宋体" w:hAnsi="宋体" w:cs="宋体"/>
                <w:szCs w:val="21"/>
              </w:rPr>
              <w:t>3.投标文件应由法定代表人或法人授权代表在规定的签章处逐一签署或加盖单位公章或法人章，投标文件方为有效。</w:t>
            </w:r>
          </w:p>
          <w:p>
            <w:pPr>
              <w:autoSpaceDE w:val="0"/>
              <w:autoSpaceDN w:val="0"/>
              <w:adjustRightInd w:val="0"/>
              <w:rPr>
                <w:rFonts w:ascii="宋体" w:hAnsi="宋体" w:cs="宋体"/>
                <w:szCs w:val="21"/>
              </w:rPr>
            </w:pPr>
            <w:r>
              <w:rPr>
                <w:rFonts w:hint="eastAsia" w:ascii="宋体" w:hAnsi="宋体" w:cs="宋体"/>
                <w:szCs w:val="21"/>
              </w:rPr>
              <w:t>4.投标文件正本需逐页加盖公章，在招标文件格式规定处签署，并编好始末页码,如不按要求签署编制的造成的后果由投标人自行负责。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634" w:type="dxa"/>
            <w:vAlign w:val="center"/>
          </w:tcPr>
          <w:p>
            <w:pPr>
              <w:jc w:val="center"/>
              <w:rPr>
                <w:rFonts w:ascii="宋体" w:hAnsi="宋体" w:cs="宋体"/>
                <w:szCs w:val="21"/>
              </w:rPr>
            </w:pPr>
            <w:r>
              <w:rPr>
                <w:rFonts w:hint="eastAsia" w:ascii="宋体" w:hAnsi="宋体" w:cs="宋体"/>
                <w:szCs w:val="21"/>
              </w:rPr>
              <w:t>21</w:t>
            </w:r>
          </w:p>
        </w:tc>
        <w:tc>
          <w:tcPr>
            <w:tcW w:w="1321" w:type="dxa"/>
            <w:vAlign w:val="center"/>
          </w:tcPr>
          <w:p>
            <w:pPr>
              <w:rPr>
                <w:rFonts w:ascii="宋体" w:hAnsi="宋体" w:cs="宋体"/>
                <w:szCs w:val="21"/>
              </w:rPr>
            </w:pPr>
            <w:r>
              <w:rPr>
                <w:rFonts w:hint="eastAsia" w:ascii="宋体" w:hAnsi="宋体" w:cs="宋体"/>
                <w:szCs w:val="21"/>
              </w:rPr>
              <w:t>投标文件递交</w:t>
            </w:r>
          </w:p>
          <w:p>
            <w:pPr>
              <w:rPr>
                <w:rFonts w:ascii="宋体" w:hAnsi="宋体" w:cs="宋体"/>
                <w:szCs w:val="21"/>
              </w:rPr>
            </w:pPr>
            <w:r>
              <w:rPr>
                <w:rFonts w:hint="eastAsia" w:ascii="宋体" w:hAnsi="宋体" w:cs="宋体"/>
                <w:szCs w:val="21"/>
              </w:rPr>
              <w:t>截止时间及地点</w:t>
            </w:r>
          </w:p>
        </w:tc>
        <w:tc>
          <w:tcPr>
            <w:tcW w:w="8218" w:type="dxa"/>
            <w:vAlign w:val="center"/>
          </w:tcPr>
          <w:p>
            <w:pPr>
              <w:rPr>
                <w:rFonts w:ascii="宋体" w:hAnsi="宋体" w:cs="宋体"/>
                <w:bCs/>
                <w:szCs w:val="21"/>
              </w:rPr>
            </w:pPr>
            <w:r>
              <w:rPr>
                <w:rFonts w:hint="eastAsia" w:ascii="宋体" w:hAnsi="宋体" w:cs="宋体"/>
                <w:bCs/>
                <w:szCs w:val="21"/>
              </w:rPr>
              <w:t>时间：2023年09月26日 11点00分 （北京时间）</w:t>
            </w:r>
          </w:p>
          <w:p>
            <w:pPr>
              <w:rPr>
                <w:rFonts w:ascii="宋体" w:hAnsi="宋体" w:cs="宋体"/>
                <w:szCs w:val="21"/>
              </w:rPr>
            </w:pPr>
            <w:r>
              <w:rPr>
                <w:rFonts w:hint="eastAsia" w:ascii="宋体" w:hAnsi="宋体" w:cs="宋体"/>
                <w:szCs w:val="21"/>
              </w:rPr>
              <w:t>地点：政采云平台https://www.zcygov.cn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634" w:type="dxa"/>
            <w:vAlign w:val="center"/>
          </w:tcPr>
          <w:p>
            <w:pPr>
              <w:jc w:val="center"/>
              <w:rPr>
                <w:rFonts w:ascii="宋体" w:hAnsi="宋体" w:cs="宋体"/>
                <w:szCs w:val="21"/>
              </w:rPr>
            </w:pPr>
            <w:r>
              <w:rPr>
                <w:rFonts w:hint="eastAsia" w:ascii="宋体" w:hAnsi="宋体" w:cs="宋体"/>
                <w:szCs w:val="21"/>
              </w:rPr>
              <w:t>22</w:t>
            </w:r>
          </w:p>
        </w:tc>
        <w:tc>
          <w:tcPr>
            <w:tcW w:w="1321" w:type="dxa"/>
            <w:vAlign w:val="center"/>
          </w:tcPr>
          <w:p>
            <w:pPr>
              <w:rPr>
                <w:rFonts w:ascii="宋体" w:hAnsi="宋体" w:cs="宋体"/>
                <w:szCs w:val="21"/>
              </w:rPr>
            </w:pPr>
            <w:r>
              <w:rPr>
                <w:rFonts w:hint="eastAsia" w:ascii="宋体" w:hAnsi="宋体" w:cs="宋体"/>
                <w:szCs w:val="21"/>
              </w:rPr>
              <w:t>开标时间及</w:t>
            </w:r>
          </w:p>
          <w:p>
            <w:pPr>
              <w:rPr>
                <w:rFonts w:ascii="宋体" w:hAnsi="宋体" w:cs="宋体"/>
                <w:szCs w:val="21"/>
              </w:rPr>
            </w:pPr>
            <w:r>
              <w:rPr>
                <w:rFonts w:hint="eastAsia" w:ascii="宋体" w:hAnsi="宋体" w:cs="宋体"/>
                <w:szCs w:val="21"/>
              </w:rPr>
              <w:t>开标地点</w:t>
            </w:r>
          </w:p>
        </w:tc>
        <w:tc>
          <w:tcPr>
            <w:tcW w:w="8218" w:type="dxa"/>
            <w:vAlign w:val="center"/>
          </w:tcPr>
          <w:p>
            <w:pPr>
              <w:rPr>
                <w:rFonts w:ascii="宋体" w:hAnsi="宋体" w:cs="宋体"/>
                <w:bCs/>
                <w:szCs w:val="21"/>
              </w:rPr>
            </w:pPr>
            <w:r>
              <w:rPr>
                <w:rFonts w:hint="eastAsia" w:ascii="宋体" w:hAnsi="宋体" w:cs="宋体"/>
                <w:bCs/>
                <w:szCs w:val="21"/>
              </w:rPr>
              <w:t>时间：2023年09月26日 11点00分 （北京时间）</w:t>
            </w:r>
          </w:p>
          <w:p>
            <w:pPr>
              <w:rPr>
                <w:rFonts w:ascii="宋体" w:hAnsi="宋体" w:cs="宋体"/>
                <w:bCs/>
                <w:szCs w:val="21"/>
              </w:rPr>
            </w:pPr>
            <w:r>
              <w:rPr>
                <w:rFonts w:hint="eastAsia" w:ascii="宋体" w:hAnsi="宋体" w:cs="宋体"/>
                <w:szCs w:val="21"/>
              </w:rPr>
              <w:t>地点：政采云平台https://www.zcygov.cn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34" w:type="dxa"/>
            <w:tcBorders>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23</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评标方法</w:t>
            </w:r>
          </w:p>
        </w:tc>
        <w:tc>
          <w:tcPr>
            <w:tcW w:w="8218" w:type="dxa"/>
            <w:tcBorders>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kern w:val="0"/>
                <w:szCs w:val="21"/>
                <w:lang w:bidi="ar"/>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34" w:type="dxa"/>
            <w:tcBorders>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24</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18"/>
                <w:szCs w:val="18"/>
              </w:rPr>
            </w:pPr>
            <w:r>
              <w:rPr>
                <w:rFonts w:hint="eastAsia" w:ascii="宋体" w:hAnsi="宋体" w:cs="宋体"/>
                <w:sz w:val="18"/>
                <w:szCs w:val="18"/>
              </w:rPr>
              <w:t>推荐中标候选投标人的数量</w:t>
            </w:r>
          </w:p>
        </w:tc>
        <w:tc>
          <w:tcPr>
            <w:tcW w:w="8218" w:type="dxa"/>
            <w:tcBorders>
              <w:left w:val="single" w:color="auto" w:sz="4" w:space="0"/>
              <w:bottom w:val="single" w:color="auto" w:sz="4" w:space="0"/>
              <w:right w:val="single" w:color="auto" w:sz="4" w:space="0"/>
            </w:tcBorders>
            <w:vAlign w:val="center"/>
          </w:tcPr>
          <w:p>
            <w:pPr>
              <w:rPr>
                <w:rFonts w:ascii="宋体" w:hAnsi="宋体" w:cs="宋体"/>
                <w:kern w:val="0"/>
                <w:szCs w:val="21"/>
                <w:lang w:bidi="ar"/>
              </w:rPr>
            </w:pPr>
            <w:r>
              <w:rPr>
                <w:rFonts w:hint="eastAsia" w:ascii="宋体" w:hAnsi="宋体" w:cs="宋体"/>
                <w:kern w:val="0"/>
                <w:szCs w:val="21"/>
                <w:lang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34" w:type="dxa"/>
            <w:tcBorders>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25</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18"/>
                <w:szCs w:val="18"/>
              </w:rPr>
            </w:pPr>
            <w:r>
              <w:rPr>
                <w:rFonts w:hint="eastAsia" w:ascii="宋体" w:hAnsi="宋体" w:cs="宋体"/>
                <w:sz w:val="18"/>
                <w:szCs w:val="18"/>
              </w:rPr>
              <w:t>招标人是否委托评标委员会直接确定中标人</w:t>
            </w:r>
          </w:p>
        </w:tc>
        <w:tc>
          <w:tcPr>
            <w:tcW w:w="8218" w:type="dxa"/>
            <w:tcBorders>
              <w:left w:val="single" w:color="auto" w:sz="4" w:space="0"/>
              <w:bottom w:val="single" w:color="auto" w:sz="4" w:space="0"/>
              <w:right w:val="single" w:color="auto" w:sz="4" w:space="0"/>
            </w:tcBorders>
            <w:vAlign w:val="center"/>
          </w:tcPr>
          <w:p>
            <w:pPr>
              <w:rPr>
                <w:rFonts w:ascii="宋体" w:hAnsi="宋体" w:cs="宋体"/>
                <w:kern w:val="0"/>
                <w:szCs w:val="21"/>
                <w:lang w:bidi="ar"/>
              </w:rPr>
            </w:pPr>
            <w:r>
              <w:rPr>
                <w:rFonts w:hint="eastAsia" w:ascii="宋体" w:hAnsi="宋体" w:cs="宋体"/>
                <w:kern w:val="0"/>
                <w:szCs w:val="21"/>
                <w:lang w:bidi="ar"/>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634" w:type="dxa"/>
            <w:tcBorders>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26</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履约担保金额</w:t>
            </w:r>
          </w:p>
        </w:tc>
        <w:tc>
          <w:tcPr>
            <w:tcW w:w="8218" w:type="dxa"/>
            <w:tcBorders>
              <w:left w:val="single" w:color="auto" w:sz="4" w:space="0"/>
              <w:bottom w:val="single" w:color="auto" w:sz="4" w:space="0"/>
              <w:right w:val="single" w:color="auto" w:sz="4" w:space="0"/>
            </w:tcBorders>
            <w:vAlign w:val="center"/>
          </w:tcPr>
          <w:p>
            <w:pPr>
              <w:rPr>
                <w:rFonts w:ascii="宋体" w:hAnsi="宋体" w:cs="宋体"/>
                <w:bCs/>
                <w:szCs w:val="21"/>
              </w:rPr>
            </w:pPr>
            <w:r>
              <w:rPr>
                <w:rFonts w:hint="eastAsia" w:ascii="宋体" w:hAnsi="宋体" w:cs="宋体"/>
                <w:bCs/>
                <w:szCs w:val="21"/>
              </w:rPr>
              <w:t>合同总金额的0%。</w:t>
            </w:r>
          </w:p>
          <w:p>
            <w:pPr>
              <w:pStyle w:val="2"/>
              <w:spacing w:before="0" w:after="0" w:line="240" w:lineRule="auto"/>
              <w:rPr>
                <w:rFonts w:ascii="宋体" w:hAnsi="宋体" w:eastAsia="宋体" w:cs="宋体"/>
                <w:b w:val="0"/>
                <w:bCs/>
                <w:sz w:val="21"/>
                <w:szCs w:val="21"/>
              </w:rPr>
            </w:pPr>
            <w:r>
              <w:rPr>
                <w:rFonts w:hint="eastAsia" w:ascii="宋体" w:hAnsi="宋体" w:eastAsia="宋体" w:cs="宋体"/>
                <w:b w:val="0"/>
                <w:bCs/>
                <w:sz w:val="21"/>
                <w:szCs w:val="21"/>
              </w:rPr>
              <w:t>履约保证金形式：从货物价款中扣除，质保期满无质量问题，由采购人一次性退回。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6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27</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pacing w:val="-14"/>
                <w:szCs w:val="21"/>
              </w:rPr>
            </w:pPr>
            <w:r>
              <w:rPr>
                <w:rFonts w:hint="eastAsia" w:ascii="宋体" w:hAnsi="宋体" w:cs="宋体"/>
                <w:spacing w:val="-14"/>
                <w:szCs w:val="21"/>
              </w:rPr>
              <w:t>付款方式</w:t>
            </w:r>
          </w:p>
        </w:tc>
        <w:tc>
          <w:tcPr>
            <w:tcW w:w="821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Cs w:val="21"/>
              </w:rPr>
            </w:pPr>
            <w:r>
              <w:rPr>
                <w:rFonts w:hint="eastAsia" w:ascii="宋体" w:hAnsi="宋体" w:cs="宋体"/>
                <w:kern w:val="0"/>
                <w:szCs w:val="21"/>
              </w:rPr>
              <w:t>合同签订后，所供货物到现场，安装调试完毕后支付至合同价款的90%，验收合格后支付至合同价款的97%，所供货物在验收合格之日起使用1年经验收无质量问题，移交所有验收资料后支付3%。</w:t>
            </w:r>
          </w:p>
          <w:p>
            <w:pPr>
              <w:rPr>
                <w:rFonts w:ascii="宋体" w:hAnsi="宋体" w:cs="宋体"/>
                <w:bCs/>
                <w:kern w:val="0"/>
                <w:szCs w:val="21"/>
              </w:rPr>
            </w:pPr>
            <w:r>
              <w:rPr>
                <w:rFonts w:hint="eastAsia" w:ascii="宋体" w:hAnsi="宋体" w:cs="宋体"/>
                <w:kern w:val="0"/>
                <w:szCs w:val="21"/>
              </w:rPr>
              <w:t>（注：必须响应，否则视为无效标）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28</w:t>
            </w: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联系方式</w:t>
            </w:r>
          </w:p>
        </w:tc>
        <w:tc>
          <w:tcPr>
            <w:tcW w:w="8218"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cs="宋体"/>
                <w:kern w:val="0"/>
                <w:szCs w:val="21"/>
              </w:rPr>
            </w:pPr>
            <w:r>
              <w:rPr>
                <w:rFonts w:hint="eastAsia" w:ascii="宋体" w:hAnsi="宋体" w:cs="宋体"/>
                <w:kern w:val="0"/>
                <w:szCs w:val="21"/>
              </w:rPr>
              <w:t>采购人：新疆农业大学</w:t>
            </w:r>
          </w:p>
          <w:p>
            <w:pPr>
              <w:widowControl/>
              <w:spacing w:line="300" w:lineRule="exact"/>
              <w:jc w:val="left"/>
              <w:rPr>
                <w:rFonts w:ascii="宋体" w:hAnsi="宋体" w:cs="宋体"/>
                <w:kern w:val="0"/>
                <w:szCs w:val="21"/>
              </w:rPr>
            </w:pPr>
            <w:r>
              <w:rPr>
                <w:rFonts w:hint="eastAsia" w:ascii="宋体" w:hAnsi="宋体" w:cs="宋体"/>
                <w:kern w:val="0"/>
                <w:szCs w:val="21"/>
              </w:rPr>
              <w:t>采购人地址：乌市农大东路311号</w:t>
            </w:r>
          </w:p>
          <w:p>
            <w:pPr>
              <w:widowControl/>
              <w:spacing w:line="300" w:lineRule="exact"/>
              <w:jc w:val="left"/>
              <w:rPr>
                <w:rFonts w:ascii="宋体" w:hAnsi="宋体" w:cs="宋体"/>
                <w:kern w:val="0"/>
                <w:szCs w:val="21"/>
              </w:rPr>
            </w:pPr>
            <w:r>
              <w:rPr>
                <w:rFonts w:hint="eastAsia" w:ascii="宋体" w:hAnsi="宋体" w:cs="宋体"/>
                <w:kern w:val="0"/>
                <w:szCs w:val="21"/>
              </w:rPr>
              <w:t>联系人：刘亮        联系电话：15022943919</w:t>
            </w:r>
          </w:p>
          <w:p>
            <w:pPr>
              <w:widowControl/>
              <w:spacing w:line="300" w:lineRule="exact"/>
              <w:jc w:val="left"/>
              <w:rPr>
                <w:rFonts w:ascii="宋体" w:hAnsi="宋体" w:cs="宋体"/>
                <w:kern w:val="0"/>
                <w:szCs w:val="21"/>
              </w:rPr>
            </w:pPr>
            <w:r>
              <w:rPr>
                <w:rFonts w:hint="eastAsia" w:ascii="宋体" w:hAnsi="宋体" w:cs="宋体"/>
                <w:kern w:val="0"/>
                <w:szCs w:val="21"/>
              </w:rPr>
              <w:t>代理机构名称：新疆盛世乾元工程项目管理咨询有限公司</w:t>
            </w:r>
          </w:p>
          <w:p>
            <w:pPr>
              <w:widowControl/>
              <w:spacing w:line="300" w:lineRule="exact"/>
              <w:jc w:val="left"/>
              <w:rPr>
                <w:rFonts w:ascii="宋体" w:hAnsi="宋体" w:cs="宋体"/>
                <w:kern w:val="0"/>
                <w:szCs w:val="21"/>
              </w:rPr>
            </w:pPr>
            <w:r>
              <w:rPr>
                <w:rFonts w:hint="eastAsia" w:ascii="宋体" w:hAnsi="宋体" w:cs="宋体"/>
                <w:kern w:val="0"/>
                <w:szCs w:val="21"/>
              </w:rPr>
              <w:t>单位地址：新疆乌鲁木齐市水磨沟区南湖北路A座</w:t>
            </w:r>
          </w:p>
          <w:p>
            <w:pPr>
              <w:widowControl/>
              <w:spacing w:line="300" w:lineRule="exact"/>
              <w:jc w:val="left"/>
              <w:rPr>
                <w:rFonts w:ascii="宋体" w:hAnsi="宋体" w:cs="宋体"/>
                <w:kern w:val="0"/>
                <w:szCs w:val="21"/>
              </w:rPr>
            </w:pPr>
            <w:r>
              <w:rPr>
                <w:rFonts w:hint="eastAsia" w:ascii="宋体" w:hAnsi="宋体" w:cs="宋体"/>
                <w:kern w:val="0"/>
                <w:szCs w:val="21"/>
              </w:rPr>
              <w:t xml:space="preserve">联系人： 庞工 </w:t>
            </w:r>
            <w:r>
              <w:rPr>
                <w:rFonts w:ascii="宋体" w:hAnsi="宋体" w:cs="宋体"/>
                <w:kern w:val="0"/>
                <w:szCs w:val="21"/>
              </w:rPr>
              <w:t xml:space="preserve">       </w:t>
            </w:r>
            <w:r>
              <w:rPr>
                <w:rFonts w:hint="eastAsia" w:ascii="宋体" w:hAnsi="宋体" w:cs="宋体"/>
                <w:kern w:val="0"/>
                <w:szCs w:val="21"/>
              </w:rPr>
              <w:t>联系电话：13669900968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6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29</w:t>
            </w:r>
          </w:p>
          <w:p>
            <w:pPr>
              <w:jc w:val="center"/>
              <w:rPr>
                <w:rFonts w:ascii="宋体" w:hAnsi="宋体" w:cs="宋体"/>
                <w:szCs w:val="21"/>
              </w:rPr>
            </w:pPr>
          </w:p>
        </w:tc>
        <w:tc>
          <w:tcPr>
            <w:tcW w:w="132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招标代理服务费</w:t>
            </w:r>
          </w:p>
        </w:tc>
        <w:tc>
          <w:tcPr>
            <w:tcW w:w="8218"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宋体" w:hAnsi="宋体" w:cs="宋体"/>
                <w:kern w:val="0"/>
                <w:szCs w:val="21"/>
              </w:rPr>
            </w:pPr>
            <w:r>
              <w:rPr>
                <w:rFonts w:hint="eastAsia" w:ascii="宋体" w:hAnsi="宋体" w:cs="宋体"/>
                <w:szCs w:val="21"/>
              </w:rPr>
              <w:t>参照原国家计委计价格【2002】1980 号文的计算方法收取，由中标人在领取中标通知书前缴纳。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4" w:type="dxa"/>
            <w:vMerge w:val="restart"/>
            <w:tcBorders>
              <w:top w:val="single" w:color="auto" w:sz="4" w:space="0"/>
              <w:left w:val="single" w:color="auto" w:sz="4" w:space="0"/>
              <w:right w:val="single" w:color="auto" w:sz="4" w:space="0"/>
            </w:tcBorders>
            <w:vAlign w:val="center"/>
          </w:tcPr>
          <w:p>
            <w:pPr>
              <w:jc w:val="center"/>
              <w:rPr>
                <w:rFonts w:ascii="宋体" w:hAnsi="宋体" w:cs="宋体"/>
                <w:szCs w:val="21"/>
              </w:rPr>
            </w:pPr>
          </w:p>
          <w:p>
            <w:pPr>
              <w:jc w:val="center"/>
              <w:rPr>
                <w:rFonts w:ascii="宋体" w:hAnsi="宋体" w:cs="宋体"/>
                <w:szCs w:val="21"/>
              </w:rPr>
            </w:pPr>
            <w:r>
              <w:rPr>
                <w:rFonts w:hint="eastAsia" w:ascii="宋体" w:hAnsi="宋体" w:cs="宋体"/>
                <w:szCs w:val="21"/>
              </w:rPr>
              <w:t>30</w:t>
            </w:r>
          </w:p>
        </w:tc>
        <w:tc>
          <w:tcPr>
            <w:tcW w:w="1321" w:type="dxa"/>
            <w:vMerge w:val="restart"/>
            <w:tcBorders>
              <w:top w:val="single" w:color="auto" w:sz="4" w:space="0"/>
              <w:left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关于同一品牌</w:t>
            </w:r>
          </w:p>
        </w:tc>
        <w:tc>
          <w:tcPr>
            <w:tcW w:w="8218"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hAnsi="宋体" w:cs="宋体"/>
                <w:szCs w:val="21"/>
              </w:rPr>
            </w:pPr>
            <w:r>
              <w:rPr>
                <w:rFonts w:hint="eastAsia" w:ascii="宋体" w:hAnsi="宋体" w:cs="宋体"/>
                <w:szCs w:val="21"/>
              </w:rPr>
              <w:t>《政府采购货物和服务招标投标管理办法》第31条：</w:t>
            </w:r>
          </w:p>
          <w:p>
            <w:pPr>
              <w:rPr>
                <w:rFonts w:ascii="宋体" w:hAnsi="宋体" w:cs="宋体"/>
                <w:szCs w:val="21"/>
              </w:rPr>
            </w:pPr>
            <w:r>
              <w:rPr>
                <w:rFonts w:hint="eastAsia" w:ascii="宋体" w:hAnsi="宋体" w:cs="宋体"/>
                <w:szCs w:val="21"/>
              </w:rPr>
              <w:t>使用综合评分法的采购项目，提供相同品牌产品且通过资格审查、符合性审查的不同投标人参加同一合同项下投标的，按一家投标人计算，评审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634" w:type="dxa"/>
            <w:vMerge w:val="continue"/>
            <w:tcBorders>
              <w:left w:val="single" w:color="auto" w:sz="4" w:space="0"/>
              <w:bottom w:val="single" w:color="auto" w:sz="4" w:space="0"/>
              <w:right w:val="single" w:color="auto" w:sz="4" w:space="0"/>
            </w:tcBorders>
            <w:vAlign w:val="center"/>
          </w:tcPr>
          <w:p>
            <w:pPr>
              <w:jc w:val="center"/>
              <w:rPr>
                <w:rFonts w:ascii="宋体" w:hAnsi="宋体" w:cs="宋体"/>
                <w:szCs w:val="21"/>
              </w:rPr>
            </w:pPr>
          </w:p>
        </w:tc>
        <w:tc>
          <w:tcPr>
            <w:tcW w:w="1321" w:type="dxa"/>
            <w:vMerge w:val="continue"/>
            <w:tcBorders>
              <w:left w:val="single" w:color="auto" w:sz="4" w:space="0"/>
              <w:bottom w:val="single" w:color="auto" w:sz="4" w:space="0"/>
              <w:right w:val="single" w:color="auto" w:sz="4" w:space="0"/>
            </w:tcBorders>
            <w:vAlign w:val="center"/>
          </w:tcPr>
          <w:p>
            <w:pPr>
              <w:rPr>
                <w:rFonts w:ascii="宋体" w:hAnsi="宋体" w:cs="宋体"/>
                <w:szCs w:val="21"/>
              </w:rPr>
            </w:pPr>
          </w:p>
        </w:tc>
        <w:tc>
          <w:tcPr>
            <w:tcW w:w="8218" w:type="dxa"/>
            <w:tcBorders>
              <w:top w:val="single" w:color="auto" w:sz="4" w:space="0"/>
              <w:left w:val="single" w:color="auto" w:sz="4" w:space="0"/>
              <w:bottom w:val="single" w:color="auto" w:sz="4" w:space="0"/>
              <w:right w:val="single" w:color="auto" w:sz="4" w:space="0"/>
            </w:tcBorders>
            <w:vAlign w:val="center"/>
          </w:tcPr>
          <w:p>
            <w:pPr>
              <w:spacing w:line="276" w:lineRule="auto"/>
              <w:rPr>
                <w:rFonts w:ascii="宋体" w:hAnsi="宋体" w:cs="宋体"/>
                <w:szCs w:val="21"/>
              </w:rPr>
            </w:pPr>
            <w:r>
              <w:rPr>
                <w:rFonts w:hint="eastAsia" w:ascii="宋体" w:hAnsi="宋体" w:cs="宋体"/>
                <w:szCs w:val="21"/>
              </w:rPr>
              <w:t xml:space="preserve">本项目规定：   </w:t>
            </w:r>
          </w:p>
          <w:p>
            <w:pPr>
              <w:spacing w:line="276" w:lineRule="auto"/>
              <w:rPr>
                <w:rFonts w:ascii="宋体" w:hAnsi="宋体" w:cs="宋体"/>
                <w:szCs w:val="21"/>
              </w:rPr>
            </w:pPr>
            <w:r>
              <w:rPr>
                <w:rFonts w:hint="eastAsia" w:ascii="宋体" w:hAnsi="宋体" w:cs="宋体"/>
                <w:szCs w:val="21"/>
              </w:rPr>
              <w:t>(1) 若得分相同，按报价由低到高顺序排序；</w:t>
            </w:r>
          </w:p>
          <w:p>
            <w:pPr>
              <w:numPr>
                <w:ilvl w:val="0"/>
                <w:numId w:val="5"/>
              </w:numPr>
              <w:spacing w:line="276" w:lineRule="auto"/>
              <w:rPr>
                <w:rFonts w:ascii="宋体" w:hAnsi="宋体" w:cs="宋体"/>
                <w:szCs w:val="21"/>
              </w:rPr>
            </w:pPr>
            <w:r>
              <w:rPr>
                <w:rFonts w:hint="eastAsia" w:ascii="宋体" w:hAnsi="宋体" w:cs="宋体"/>
                <w:szCs w:val="21"/>
              </w:rPr>
              <w:t>若得分相同、报价相同，按技术得分由高到低顺序排序；</w:t>
            </w:r>
          </w:p>
          <w:p>
            <w:pPr>
              <w:rPr>
                <w:rFonts w:ascii="宋体" w:hAnsi="宋体" w:cs="宋体"/>
                <w:szCs w:val="21"/>
              </w:rPr>
            </w:pPr>
            <w:r>
              <w:rPr>
                <w:rFonts w:hint="eastAsia" w:ascii="宋体" w:hAnsi="宋体" w:cs="宋体"/>
                <w:szCs w:val="21"/>
              </w:rPr>
              <w:t>(3) 若得分相同、报价相同且技术得分相同，评委会全体成员进行投票，以少数服从多数的方法进行确定。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6" w:hRule="atLeast"/>
        </w:trPr>
        <w:tc>
          <w:tcPr>
            <w:tcW w:w="6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3</w:t>
            </w:r>
            <w:r>
              <w:rPr>
                <w:rFonts w:ascii="宋体" w:hAnsi="宋体" w:cs="宋体"/>
                <w:szCs w:val="21"/>
              </w:rPr>
              <w:t>1</w:t>
            </w:r>
          </w:p>
        </w:tc>
        <w:tc>
          <w:tcPr>
            <w:tcW w:w="1321"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ascii="宋体" w:hAnsi="宋体" w:cs="宋体"/>
                <w:szCs w:val="21"/>
              </w:rPr>
            </w:pPr>
            <w:r>
              <w:rPr>
                <w:rFonts w:hint="eastAsia" w:ascii="宋体" w:hAnsi="宋体" w:cs="宋体"/>
                <w:szCs w:val="21"/>
              </w:rPr>
              <w:t>低于成本价不正当竞争预防措施</w:t>
            </w:r>
          </w:p>
        </w:tc>
        <w:tc>
          <w:tcPr>
            <w:tcW w:w="821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pPr>
              <w:rPr>
                <w:rFonts w:ascii="宋体" w:hAnsi="宋体" w:cs="宋体"/>
                <w:szCs w:val="21"/>
              </w:rPr>
            </w:pPr>
            <w:r>
              <w:rPr>
                <w:rFonts w:hint="eastAsia" w:ascii="宋体" w:hAnsi="宋体" w:cs="宋体"/>
                <w:szCs w:val="21"/>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pPr>
              <w:rPr>
                <w:rFonts w:ascii="宋体" w:hAnsi="宋体" w:cs="宋体"/>
                <w:szCs w:val="21"/>
              </w:rPr>
            </w:pPr>
            <w:r>
              <w:rPr>
                <w:rFonts w:hint="eastAsia" w:ascii="宋体" w:hAnsi="宋体" w:cs="宋体"/>
                <w:szCs w:val="21"/>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6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3</w:t>
            </w:r>
            <w:r>
              <w:rPr>
                <w:rFonts w:ascii="宋体" w:hAnsi="宋体" w:cs="宋体"/>
                <w:szCs w:val="21"/>
              </w:rPr>
              <w:t>2</w:t>
            </w:r>
          </w:p>
        </w:tc>
        <w:tc>
          <w:tcPr>
            <w:tcW w:w="132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政府采购政策支持</w:t>
            </w:r>
          </w:p>
        </w:tc>
        <w:tc>
          <w:tcPr>
            <w:tcW w:w="8218" w:type="dxa"/>
            <w:tcBorders>
              <w:top w:val="single" w:color="auto" w:sz="4" w:space="0"/>
              <w:left w:val="single" w:color="auto" w:sz="4" w:space="0"/>
              <w:bottom w:val="single" w:color="auto" w:sz="4" w:space="0"/>
              <w:right w:val="single" w:color="auto" w:sz="4" w:space="0"/>
            </w:tcBorders>
          </w:tcPr>
          <w:p>
            <w:pPr>
              <w:numPr>
                <w:ilvl w:val="0"/>
                <w:numId w:val="6"/>
              </w:numPr>
              <w:adjustRightInd w:val="0"/>
              <w:snapToGrid w:val="0"/>
              <w:rPr>
                <w:rFonts w:ascii="宋体" w:hAnsi="宋体" w:cs="仿宋"/>
                <w:bCs/>
                <w:szCs w:val="21"/>
              </w:rPr>
            </w:pPr>
            <w:r>
              <w:rPr>
                <w:rFonts w:hint="eastAsia" w:ascii="宋体" w:hAnsi="宋体" w:cs="宋体"/>
                <w:bCs/>
                <w:szCs w:val="21"/>
              </w:rPr>
              <w:t>本项目为非专门面向中小企业（含中型、小型、微型企业）采购项目，根据《关于落实好政府采购支持中小企业发展的通知》新财购【</w:t>
            </w:r>
            <w:r>
              <w:rPr>
                <w:rFonts w:hint="eastAsia" w:ascii="宋体" w:hAnsi="宋体" w:cs="仿宋"/>
                <w:bCs/>
                <w:szCs w:val="21"/>
              </w:rPr>
              <w:t>2022</w:t>
            </w:r>
            <w:r>
              <w:rPr>
                <w:rFonts w:hint="eastAsia" w:ascii="宋体" w:hAnsi="宋体" w:cs="宋体"/>
                <w:bCs/>
                <w:szCs w:val="21"/>
              </w:rPr>
              <w:t>】</w:t>
            </w:r>
            <w:r>
              <w:rPr>
                <w:rFonts w:hint="eastAsia" w:ascii="宋体" w:hAnsi="宋体" w:cs="仿宋"/>
                <w:bCs/>
                <w:szCs w:val="21"/>
              </w:rPr>
              <w:t>22</w:t>
            </w:r>
            <w:r>
              <w:rPr>
                <w:rFonts w:hint="eastAsia" w:ascii="宋体" w:hAnsi="宋体" w:cs="宋体"/>
                <w:bCs/>
                <w:szCs w:val="21"/>
              </w:rPr>
              <w:t>号文的相关规定，对小微企业报价给予</w:t>
            </w:r>
            <w:r>
              <w:rPr>
                <w:rFonts w:hint="eastAsia" w:ascii="宋体" w:hAnsi="宋体" w:cs="仿宋"/>
                <w:bCs/>
                <w:szCs w:val="21"/>
              </w:rPr>
              <w:t>10%</w:t>
            </w:r>
            <w:r>
              <w:rPr>
                <w:rFonts w:hint="eastAsia" w:ascii="宋体" w:hAnsi="宋体" w:cs="宋体"/>
                <w:bCs/>
                <w:szCs w:val="21"/>
              </w:rPr>
              <w:t>的扣除，监狱企业、残疾人福利性单位视同为小微企业。</w:t>
            </w:r>
          </w:p>
          <w:p>
            <w:pPr>
              <w:rPr>
                <w:rFonts w:ascii="宋体" w:hAnsi="宋体" w:cs="宋体"/>
                <w:szCs w:val="21"/>
              </w:rPr>
            </w:pPr>
            <w:r>
              <w:rPr>
                <w:rFonts w:hint="eastAsia" w:ascii="宋体" w:hAnsi="宋体" w:cs="仿宋"/>
                <w:szCs w:val="21"/>
              </w:rPr>
              <w:t>2</w:t>
            </w:r>
            <w:r>
              <w:rPr>
                <w:rFonts w:hint="eastAsia" w:ascii="宋体" w:hAnsi="宋体" w:cs="宋体"/>
                <w:szCs w:val="21"/>
              </w:rPr>
              <w:t>、落实其他政府采购政策条款：详见中华人民共和国财政部、中华人民共和国工业和信息化部《政府采购促进中小企业发展管理办法》（财库﹝</w:t>
            </w:r>
            <w:r>
              <w:rPr>
                <w:rFonts w:hint="eastAsia" w:ascii="宋体" w:hAnsi="宋体" w:cs="仿宋"/>
                <w:szCs w:val="21"/>
              </w:rPr>
              <w:t>2020</w:t>
            </w:r>
            <w:r>
              <w:rPr>
                <w:rFonts w:hint="eastAsia" w:ascii="宋体" w:hAnsi="宋体" w:cs="宋体"/>
                <w:szCs w:val="21"/>
              </w:rPr>
              <w:t>﹞</w:t>
            </w:r>
            <w:r>
              <w:rPr>
                <w:rFonts w:hint="eastAsia" w:ascii="宋体" w:hAnsi="宋体" w:cs="仿宋"/>
                <w:szCs w:val="21"/>
              </w:rPr>
              <w:t>46</w:t>
            </w:r>
            <w:r>
              <w:rPr>
                <w:rFonts w:hint="eastAsia" w:ascii="宋体" w:hAnsi="宋体" w:cs="宋体"/>
                <w:szCs w:val="21"/>
              </w:rPr>
              <w:t>号）文件、工业和信息化部、国家统计局、发展改革委、财政部《中小企业划型标准规定》（工信部联企业〔</w:t>
            </w:r>
            <w:r>
              <w:rPr>
                <w:rFonts w:hint="eastAsia" w:ascii="宋体" w:hAnsi="宋体" w:cs="仿宋"/>
                <w:szCs w:val="21"/>
              </w:rPr>
              <w:t>2011</w:t>
            </w:r>
            <w:r>
              <w:rPr>
                <w:rFonts w:hint="eastAsia" w:ascii="宋体" w:hAnsi="宋体" w:cs="宋体"/>
                <w:szCs w:val="21"/>
              </w:rPr>
              <w:t>〕</w:t>
            </w:r>
            <w:r>
              <w:rPr>
                <w:rFonts w:hint="eastAsia" w:ascii="宋体" w:hAnsi="宋体" w:cs="仿宋"/>
                <w:szCs w:val="21"/>
              </w:rPr>
              <w:t>300</w:t>
            </w:r>
            <w:r>
              <w:rPr>
                <w:rFonts w:hint="eastAsia" w:ascii="宋体" w:hAnsi="宋体" w:cs="宋体"/>
                <w:szCs w:val="21"/>
              </w:rPr>
              <w:t>号）、《关于落实好政府采购支持中小企业发展的通知》新财购【</w:t>
            </w:r>
            <w:r>
              <w:rPr>
                <w:rFonts w:hint="eastAsia" w:ascii="宋体" w:hAnsi="宋体" w:cs="仿宋"/>
                <w:szCs w:val="21"/>
              </w:rPr>
              <w:t>2022</w:t>
            </w:r>
            <w:r>
              <w:rPr>
                <w:rFonts w:hint="eastAsia" w:ascii="宋体" w:hAnsi="宋体" w:cs="宋体"/>
                <w:szCs w:val="21"/>
              </w:rPr>
              <w:t>】</w:t>
            </w:r>
            <w:r>
              <w:rPr>
                <w:rFonts w:hint="eastAsia" w:ascii="宋体" w:hAnsi="宋体" w:cs="仿宋"/>
                <w:szCs w:val="21"/>
              </w:rPr>
              <w:t>22</w:t>
            </w:r>
            <w:r>
              <w:rPr>
                <w:rFonts w:hint="eastAsia" w:ascii="宋体" w:hAnsi="宋体" w:cs="宋体"/>
                <w:szCs w:val="21"/>
              </w:rPr>
              <w:t>号文。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6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3</w:t>
            </w:r>
            <w:r>
              <w:rPr>
                <w:rFonts w:ascii="宋体" w:hAnsi="宋体" w:cs="宋体"/>
                <w:szCs w:val="21"/>
              </w:rPr>
              <w:t>3</w:t>
            </w:r>
          </w:p>
        </w:tc>
        <w:tc>
          <w:tcPr>
            <w:tcW w:w="132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宋体"/>
                <w:szCs w:val="21"/>
              </w:rPr>
            </w:pPr>
            <w:r>
              <w:rPr>
                <w:rFonts w:hint="eastAsia" w:ascii="宋体" w:hAnsi="宋体" w:cs="宋体"/>
                <w:szCs w:val="21"/>
              </w:rPr>
              <w:t>所属行业</w:t>
            </w:r>
          </w:p>
        </w:tc>
        <w:tc>
          <w:tcPr>
            <w:tcW w:w="8218"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宋体"/>
                <w:szCs w:val="21"/>
              </w:rPr>
            </w:pPr>
            <w:r>
              <w:rPr>
                <w:rFonts w:hint="eastAsia" w:ascii="宋体" w:hAnsi="宋体" w:cs="宋体"/>
                <w:bCs/>
                <w:szCs w:val="21"/>
              </w:rPr>
              <w:t>根据关于落实好政府采购支持中小企业发展的通知新财购【</w:t>
            </w:r>
            <w:r>
              <w:rPr>
                <w:rFonts w:hint="eastAsia" w:ascii="宋体" w:hAnsi="宋体" w:cs="仿宋"/>
                <w:bCs/>
                <w:szCs w:val="21"/>
              </w:rPr>
              <w:t>2022</w:t>
            </w:r>
            <w:r>
              <w:rPr>
                <w:rFonts w:hint="eastAsia" w:ascii="宋体" w:hAnsi="宋体" w:cs="宋体"/>
                <w:bCs/>
                <w:szCs w:val="21"/>
              </w:rPr>
              <w:t>】</w:t>
            </w:r>
            <w:r>
              <w:rPr>
                <w:rFonts w:hint="eastAsia" w:ascii="宋体" w:hAnsi="宋体" w:cs="仿宋"/>
                <w:bCs/>
                <w:szCs w:val="21"/>
              </w:rPr>
              <w:t>22</w:t>
            </w:r>
            <w:r>
              <w:rPr>
                <w:rFonts w:hint="eastAsia" w:ascii="宋体" w:hAnsi="宋体" w:cs="宋体"/>
                <w:bCs/>
                <w:szCs w:val="21"/>
              </w:rPr>
              <w:t>号文及《国民经济行业分类》的相关规定，本项目所属行业为</w:t>
            </w:r>
            <w:r>
              <w:rPr>
                <w:rFonts w:hint="eastAsia" w:ascii="宋体" w:hAnsi="宋体" w:cs="宋体"/>
                <w:kern w:val="0"/>
                <w:szCs w:val="21"/>
                <w:u w:val="single"/>
              </w:rPr>
              <w:t>工业</w:t>
            </w:r>
            <w:r>
              <w:rPr>
                <w:rFonts w:hint="eastAsia" w:ascii="宋体" w:hAnsi="宋体" w:cs="宋体"/>
                <w:bCs/>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6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3</w:t>
            </w:r>
            <w:r>
              <w:rPr>
                <w:rFonts w:ascii="宋体" w:hAnsi="宋体" w:cs="宋体"/>
                <w:szCs w:val="21"/>
              </w:rPr>
              <w:t>4</w:t>
            </w:r>
          </w:p>
        </w:tc>
        <w:tc>
          <w:tcPr>
            <w:tcW w:w="132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仿宋"/>
                <w:szCs w:val="21"/>
              </w:rPr>
            </w:pPr>
            <w:r>
              <w:rPr>
                <w:rFonts w:hint="eastAsia" w:ascii="宋体" w:hAnsi="宋体" w:cs="宋体"/>
                <w:szCs w:val="21"/>
              </w:rPr>
              <w:t>资格审查</w:t>
            </w:r>
          </w:p>
        </w:tc>
        <w:tc>
          <w:tcPr>
            <w:tcW w:w="8218"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宋体" w:hAnsi="宋体" w:cs="仿宋"/>
                <w:bCs/>
                <w:szCs w:val="21"/>
              </w:rPr>
            </w:pPr>
            <w:r>
              <w:rPr>
                <w:rFonts w:hint="eastAsia" w:ascii="宋体" w:hAnsi="宋体" w:cs="宋体"/>
                <w:b/>
                <w:szCs w:val="21"/>
              </w:rPr>
              <w:t>资格证明材料</w:t>
            </w:r>
            <w:r>
              <w:rPr>
                <w:rFonts w:hint="eastAsia" w:ascii="宋体" w:hAnsi="宋体" w:cs="宋体"/>
                <w:b/>
              </w:rPr>
              <w:t>资料扫描为原件扫描件，随投标文件一起上传</w:t>
            </w:r>
            <w:r>
              <w:rPr>
                <w:rFonts w:hint="eastAsia" w:ascii="宋体" w:hAnsi="宋体" w:cs="宋体"/>
                <w:b/>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10173"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备注：</w:t>
            </w:r>
          </w:p>
          <w:p>
            <w:pPr>
              <w:numPr>
                <w:ilvl w:val="0"/>
                <w:numId w:val="7"/>
              </w:numPr>
              <w:rPr>
                <w:rFonts w:ascii="宋体" w:hAnsi="宋体" w:cs="宋体"/>
                <w:b/>
                <w:szCs w:val="21"/>
              </w:rPr>
            </w:pPr>
            <w:r>
              <w:rPr>
                <w:rFonts w:hint="eastAsia" w:ascii="宋体" w:hAnsi="宋体" w:cs="宋体"/>
                <w:b/>
                <w:szCs w:val="21"/>
              </w:rPr>
              <w:t>招标文件中部分加“*”、加粗、加下划线、废标、无效标、投标被拒绝字样的条款，为招标的实质性要求和条件，着重提醒各投标人注意，并认真查看招标文件中的每一个条款及要求，因误读招标文件而造成的后果，采购人概不负责。</w:t>
            </w:r>
          </w:p>
          <w:p>
            <w:pPr>
              <w:numPr>
                <w:ilvl w:val="0"/>
                <w:numId w:val="7"/>
              </w:numPr>
              <w:rPr>
                <w:rFonts w:ascii="宋体" w:hAnsi="宋体" w:cs="宋体"/>
                <w:b/>
                <w:szCs w:val="21"/>
              </w:rPr>
            </w:pPr>
            <w:r>
              <w:rPr>
                <w:rFonts w:hint="eastAsia" w:ascii="宋体" w:hAnsi="宋体" w:cs="宋体"/>
                <w:b/>
                <w:szCs w:val="21"/>
              </w:rPr>
              <w:t>投标文件中有弄虚作假的内容，其投标文件作废。（如假证书、假业绩、隐瞒不良行为记录、夸大荣誉、使用非本单位在职员工的相关证件及不符合招标文件规定的条款等）；在签订合同之前，采购人如发现投标人的投标文件有弄虚作假内容，采购人可拒绝与其签订合同。并将其列入政府采购黑名单库，并追究其法律责任。</w:t>
            </w:r>
          </w:p>
          <w:p>
            <w:pPr>
              <w:numPr>
                <w:ilvl w:val="0"/>
                <w:numId w:val="7"/>
              </w:numPr>
              <w:rPr>
                <w:rFonts w:ascii="宋体" w:hAnsi="宋体" w:cs="宋体"/>
                <w:b/>
                <w:szCs w:val="21"/>
              </w:rPr>
            </w:pPr>
            <w:r>
              <w:rPr>
                <w:rFonts w:hint="eastAsia" w:ascii="宋体" w:hAnsi="宋体" w:cs="宋体"/>
                <w:b/>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pPr>
              <w:numPr>
                <w:ilvl w:val="0"/>
                <w:numId w:val="7"/>
              </w:numPr>
              <w:rPr>
                <w:rFonts w:ascii="宋体" w:hAnsi="宋体" w:cs="宋体"/>
                <w:b/>
                <w:szCs w:val="21"/>
              </w:rPr>
            </w:pPr>
            <w:r>
              <w:rPr>
                <w:rFonts w:hint="eastAsia" w:ascii="宋体" w:hAnsi="宋体" w:cs="宋体"/>
                <w:b/>
                <w:szCs w:val="21"/>
              </w:rPr>
              <w:t>潜在投标人在开标前如不购买本项目招标文件，将不受理其投标文件。</w:t>
            </w:r>
          </w:p>
          <w:p>
            <w:pPr>
              <w:numPr>
                <w:ilvl w:val="0"/>
                <w:numId w:val="7"/>
              </w:numPr>
              <w:rPr>
                <w:rFonts w:ascii="宋体" w:hAnsi="宋体" w:cs="宋体"/>
                <w:b/>
                <w:szCs w:val="21"/>
              </w:rPr>
            </w:pPr>
            <w:r>
              <w:rPr>
                <w:rFonts w:hint="eastAsia" w:ascii="宋体" w:hAnsi="宋体" w:cs="宋体"/>
                <w:b/>
                <w:szCs w:val="21"/>
              </w:rPr>
              <w:t>本表内容与招标文件其它内容不一致的，应当以本表内容为准。</w:t>
            </w:r>
          </w:p>
          <w:p>
            <w:pPr>
              <w:numPr>
                <w:ilvl w:val="0"/>
                <w:numId w:val="7"/>
              </w:numPr>
            </w:pPr>
            <w:r>
              <w:rPr>
                <w:rFonts w:hint="eastAsia" w:ascii="宋体" w:hAnsi="宋体" w:cs="宋体"/>
                <w:b/>
                <w:szCs w:val="21"/>
              </w:rPr>
              <w:t>3、本表中“</w:t>
            </w:r>
            <w:r>
              <w:rPr>
                <w:rFonts w:hint="eastAsia" w:ascii="宋体" w:hAnsi="宋体" w:cs="宋体"/>
                <w:b/>
                <w:szCs w:val="21"/>
              </w:rPr>
              <w:fldChar w:fldCharType="begin"/>
            </w:r>
            <w:r>
              <w:rPr>
                <w:rFonts w:hint="eastAsia" w:ascii="宋体" w:hAnsi="宋体" w:cs="宋体"/>
                <w:b/>
                <w:szCs w:val="21"/>
              </w:rPr>
              <w:instrText xml:space="preserve"> eq \o\ac(□,√)</w:instrText>
            </w:r>
            <w:r>
              <w:rPr>
                <w:rFonts w:hint="eastAsia" w:ascii="宋体" w:hAnsi="宋体" w:cs="宋体"/>
                <w:b/>
                <w:szCs w:val="21"/>
              </w:rPr>
              <w:fldChar w:fldCharType="end"/>
            </w:r>
            <w:r>
              <w:rPr>
                <w:rFonts w:hint="eastAsia" w:ascii="宋体" w:hAnsi="宋体" w:cs="宋体"/>
                <w:b/>
                <w:szCs w:val="21"/>
              </w:rPr>
              <w:t>”标示选择使用该项，“□”标示不选择使用该项。</w:t>
            </w:r>
            <w:bookmarkStart w:id="15" w:name="EB61dc4c9ac9c04154b29a6c247670320a"/>
            <w:bookmarkEnd w:id="15"/>
          </w:p>
        </w:tc>
      </w:tr>
    </w:tbl>
    <w:p>
      <w:pPr>
        <w:ind w:firstLine="420" w:firstLineChars="175"/>
        <w:jc w:val="left"/>
        <w:rPr>
          <w:sz w:val="30"/>
          <w:szCs w:val="30"/>
        </w:rPr>
      </w:pPr>
      <w:r>
        <w:rPr>
          <w:sz w:val="24"/>
        </w:rPr>
        <w:t>本表是对投标人须知正文内容的具体补充、提示和修改。</w:t>
      </w:r>
    </w:p>
    <w:p>
      <w:pPr>
        <w:spacing w:line="360" w:lineRule="auto"/>
        <w:jc w:val="left"/>
        <w:rPr>
          <w:sz w:val="24"/>
          <w:szCs w:val="24"/>
        </w:rPr>
        <w:sectPr>
          <w:footerReference r:id="rId6" w:type="first"/>
          <w:footerReference r:id="rId5" w:type="default"/>
          <w:pgSz w:w="12240" w:h="15840"/>
          <w:pgMar w:top="1417" w:right="1020" w:bottom="1417" w:left="1191" w:header="964" w:footer="850" w:gutter="0"/>
          <w:pgNumType w:fmt="numberInDash" w:start="1"/>
          <w:cols w:space="720" w:num="1"/>
          <w:titlePg/>
          <w:docGrid w:linePitch="312" w:charSpace="0"/>
        </w:sectPr>
      </w:pPr>
      <w:r>
        <w:rPr>
          <w:sz w:val="24"/>
        </w:rPr>
        <w:t>特别说明：为保证本项目产品质量，良好的售后服务，最低报价不作为成交的唯一依据。</w:t>
      </w:r>
    </w:p>
    <w:p>
      <w:pPr>
        <w:pStyle w:val="3"/>
        <w:rPr>
          <w:szCs w:val="22"/>
        </w:rPr>
      </w:pPr>
      <w:bookmarkStart w:id="16" w:name="_Toc49019217"/>
      <w:bookmarkStart w:id="17" w:name="_Toc47415924"/>
      <w:bookmarkStart w:id="18" w:name="_Toc47416178"/>
      <w:bookmarkStart w:id="19" w:name="_Toc27169"/>
      <w:r>
        <w:rPr>
          <w:szCs w:val="22"/>
        </w:rPr>
        <w:t>第三章  投标人须知</w:t>
      </w:r>
      <w:bookmarkEnd w:id="16"/>
      <w:bookmarkEnd w:id="17"/>
      <w:bookmarkEnd w:id="18"/>
      <w:bookmarkEnd w:id="19"/>
      <w:bookmarkStart w:id="20" w:name="_Toc49019218"/>
      <w:bookmarkStart w:id="21" w:name="_Toc47261052"/>
      <w:bookmarkStart w:id="22" w:name="_Toc48995833"/>
      <w:bookmarkStart w:id="23" w:name="_Toc205342860"/>
      <w:bookmarkStart w:id="24" w:name="_Toc48791217"/>
      <w:bookmarkStart w:id="25" w:name="_Toc47418237"/>
      <w:bookmarkStart w:id="26" w:name="_Toc47262051"/>
      <w:bookmarkStart w:id="27" w:name="_Toc47418920"/>
      <w:bookmarkStart w:id="28" w:name="_Toc47261867"/>
      <w:bookmarkStart w:id="29" w:name="_Toc47261672"/>
      <w:bookmarkStart w:id="30" w:name="_Toc47418713"/>
    </w:p>
    <w:bookmarkEnd w:id="20"/>
    <w:bookmarkEnd w:id="21"/>
    <w:bookmarkEnd w:id="22"/>
    <w:bookmarkEnd w:id="23"/>
    <w:bookmarkEnd w:id="24"/>
    <w:bookmarkEnd w:id="25"/>
    <w:bookmarkEnd w:id="26"/>
    <w:bookmarkEnd w:id="27"/>
    <w:bookmarkEnd w:id="28"/>
    <w:bookmarkEnd w:id="29"/>
    <w:bookmarkEnd w:id="30"/>
    <w:p>
      <w:pPr>
        <w:spacing w:line="500" w:lineRule="exact"/>
        <w:ind w:firstLine="480" w:firstLineChars="200"/>
        <w:rPr>
          <w:sz w:val="24"/>
          <w:szCs w:val="24"/>
        </w:rPr>
      </w:pPr>
      <w:bookmarkStart w:id="31" w:name="_Toc47261868"/>
      <w:bookmarkStart w:id="32" w:name="_Toc47418714"/>
      <w:bookmarkStart w:id="33" w:name="_Toc205342861"/>
      <w:bookmarkStart w:id="34" w:name="_Toc47418238"/>
      <w:bookmarkStart w:id="35" w:name="_Toc49019219"/>
      <w:bookmarkStart w:id="36" w:name="_Toc47261053"/>
      <w:bookmarkStart w:id="37" w:name="_Toc47418921"/>
      <w:bookmarkStart w:id="38" w:name="_Toc47262052"/>
      <w:bookmarkStart w:id="39" w:name="_Toc48791218"/>
      <w:bookmarkStart w:id="40" w:name="_Toc48995834"/>
      <w:bookmarkStart w:id="41" w:name="_Toc47261673"/>
      <w:r>
        <w:rPr>
          <w:sz w:val="24"/>
          <w:szCs w:val="24"/>
        </w:rPr>
        <w:t>一、总则</w:t>
      </w:r>
    </w:p>
    <w:p>
      <w:pPr>
        <w:spacing w:line="500" w:lineRule="exact"/>
        <w:ind w:firstLine="480" w:firstLineChars="200"/>
        <w:rPr>
          <w:sz w:val="24"/>
          <w:szCs w:val="24"/>
        </w:rPr>
      </w:pPr>
      <w:r>
        <w:rPr>
          <w:rFonts w:eastAsia="新宋体"/>
          <w:bCs/>
          <w:sz w:val="24"/>
        </w:rPr>
        <w:t>本招标（采购）文件依据《中华人民共和国政府采购法》、《中华人民共和国政府采购法实施条例》及国家和自治区有关法律法规、规章制度编制。</w:t>
      </w:r>
      <w:r>
        <w:rPr>
          <w:sz w:val="24"/>
          <w:szCs w:val="24"/>
        </w:rPr>
        <w:t>本招标文件是采购人在本项目采购过程中的规范性文件，仅适用于本次采购中所叙述项目的货物及服务采购等内容。和采购人组织的答疑纪要一起是各潜在投标人编制投标文件的依据，也是采购人与中标候选人签订合同的依据，并作为供货合同的附件之一，与供货合同具有同等的法律效力（除非合同另有约定的部分，以正式合同内容为准）。</w:t>
      </w:r>
    </w:p>
    <w:p>
      <w:pPr>
        <w:spacing w:line="500" w:lineRule="exact"/>
        <w:ind w:firstLine="480" w:firstLineChars="200"/>
        <w:rPr>
          <w:sz w:val="24"/>
          <w:szCs w:val="24"/>
        </w:rPr>
      </w:pPr>
      <w:r>
        <w:rPr>
          <w:sz w:val="24"/>
          <w:szCs w:val="24"/>
        </w:rPr>
        <w:t>1、定义：</w:t>
      </w:r>
    </w:p>
    <w:p>
      <w:pPr>
        <w:spacing w:line="500" w:lineRule="exact"/>
        <w:ind w:firstLine="480" w:firstLineChars="200"/>
        <w:rPr>
          <w:sz w:val="24"/>
          <w:szCs w:val="24"/>
        </w:rPr>
      </w:pPr>
      <w:r>
        <w:rPr>
          <w:sz w:val="24"/>
          <w:szCs w:val="24"/>
        </w:rPr>
        <w:t>1.1.1  “采购人”指</w:t>
      </w:r>
      <w:r>
        <w:rPr>
          <w:bCs/>
          <w:kern w:val="0"/>
          <w:sz w:val="24"/>
        </w:rPr>
        <w:t>新疆农业大学</w:t>
      </w:r>
      <w:r>
        <w:rPr>
          <w:sz w:val="24"/>
          <w:szCs w:val="24"/>
        </w:rPr>
        <w:t>。</w:t>
      </w:r>
    </w:p>
    <w:p>
      <w:pPr>
        <w:spacing w:line="500" w:lineRule="exact"/>
        <w:ind w:firstLine="480" w:firstLineChars="200"/>
        <w:rPr>
          <w:sz w:val="24"/>
          <w:szCs w:val="24"/>
        </w:rPr>
      </w:pPr>
      <w:r>
        <w:rPr>
          <w:sz w:val="24"/>
          <w:szCs w:val="24"/>
        </w:rPr>
        <w:t>1.1.2  “</w:t>
      </w:r>
      <w:r>
        <w:rPr>
          <w:rFonts w:hint="eastAsia"/>
          <w:sz w:val="24"/>
          <w:szCs w:val="24"/>
        </w:rPr>
        <w:t>采购（</w:t>
      </w:r>
      <w:r>
        <w:rPr>
          <w:sz w:val="24"/>
          <w:szCs w:val="24"/>
        </w:rPr>
        <w:t>招标</w:t>
      </w:r>
      <w:r>
        <w:rPr>
          <w:rFonts w:hint="eastAsia"/>
          <w:sz w:val="24"/>
          <w:szCs w:val="24"/>
        </w:rPr>
        <w:t>）</w:t>
      </w:r>
      <w:r>
        <w:rPr>
          <w:sz w:val="24"/>
          <w:szCs w:val="24"/>
        </w:rPr>
        <w:t>代理机构”指</w:t>
      </w:r>
      <w:r>
        <w:rPr>
          <w:rFonts w:hint="eastAsia"/>
          <w:sz w:val="24"/>
          <w:szCs w:val="24"/>
        </w:rPr>
        <w:t>新疆盛世乾元工程项目管理咨询有限公司</w:t>
      </w:r>
      <w:r>
        <w:rPr>
          <w:sz w:val="24"/>
          <w:szCs w:val="24"/>
        </w:rPr>
        <w:t>。</w:t>
      </w:r>
    </w:p>
    <w:p>
      <w:pPr>
        <w:spacing w:line="500" w:lineRule="exact"/>
        <w:ind w:firstLine="480" w:firstLineChars="200"/>
        <w:rPr>
          <w:sz w:val="24"/>
          <w:szCs w:val="24"/>
        </w:rPr>
      </w:pPr>
      <w:r>
        <w:rPr>
          <w:sz w:val="24"/>
          <w:szCs w:val="24"/>
        </w:rPr>
        <w:t>1.1.3  “货物及服务”指本招标文件中第七章所述所有内容及服务。</w:t>
      </w:r>
    </w:p>
    <w:p>
      <w:pPr>
        <w:spacing w:line="500" w:lineRule="exact"/>
        <w:ind w:firstLine="480" w:firstLineChars="200"/>
        <w:rPr>
          <w:sz w:val="24"/>
          <w:szCs w:val="24"/>
        </w:rPr>
      </w:pPr>
      <w:r>
        <w:rPr>
          <w:sz w:val="24"/>
          <w:szCs w:val="24"/>
        </w:rPr>
        <w:t>1.1.4  “潜在投标人”指符合招标文件规定的合格投标人。</w:t>
      </w:r>
    </w:p>
    <w:p>
      <w:pPr>
        <w:spacing w:line="500" w:lineRule="exact"/>
        <w:ind w:firstLine="480" w:firstLineChars="200"/>
        <w:rPr>
          <w:sz w:val="24"/>
          <w:szCs w:val="24"/>
        </w:rPr>
      </w:pPr>
      <w:r>
        <w:rPr>
          <w:sz w:val="24"/>
          <w:szCs w:val="24"/>
        </w:rPr>
        <w:t>1.1.5  “投标人”指符合本文件规定并参加招标的投标人。</w:t>
      </w:r>
    </w:p>
    <w:p>
      <w:pPr>
        <w:spacing w:line="500" w:lineRule="exact"/>
        <w:ind w:firstLine="480" w:firstLineChars="200"/>
        <w:rPr>
          <w:sz w:val="24"/>
          <w:szCs w:val="24"/>
        </w:rPr>
      </w:pPr>
      <w:r>
        <w:rPr>
          <w:sz w:val="24"/>
          <w:szCs w:val="24"/>
        </w:rPr>
        <w:t>1.1.6  “质保期”是指：在一定期限内，除人为操作不当因素外，所有涉及产品的质量问题和产品故障由中标人负责修改或退换解决，采购人将不再为此支付任何费用</w:t>
      </w:r>
    </w:p>
    <w:p>
      <w:pPr>
        <w:spacing w:line="500" w:lineRule="exact"/>
        <w:ind w:firstLine="480" w:firstLineChars="200"/>
        <w:rPr>
          <w:sz w:val="24"/>
          <w:szCs w:val="24"/>
        </w:rPr>
      </w:pPr>
      <w:r>
        <w:rPr>
          <w:sz w:val="24"/>
          <w:szCs w:val="24"/>
        </w:rPr>
        <w:t>1.1.7  “交货期”是指：从合同签订生效之日起直至所有货物交付完毕、验收合格并交付使用的期限。</w:t>
      </w:r>
    </w:p>
    <w:p>
      <w:pPr>
        <w:spacing w:line="500" w:lineRule="exact"/>
        <w:ind w:firstLine="480" w:firstLineChars="200"/>
        <w:rPr>
          <w:sz w:val="24"/>
          <w:szCs w:val="24"/>
        </w:rPr>
      </w:pPr>
      <w:r>
        <w:rPr>
          <w:sz w:val="24"/>
          <w:szCs w:val="24"/>
        </w:rPr>
        <w:t>2、合格投标人、货物和服务的条件</w:t>
      </w:r>
    </w:p>
    <w:p>
      <w:pPr>
        <w:spacing w:line="500" w:lineRule="exact"/>
        <w:ind w:firstLine="480" w:firstLineChars="200"/>
        <w:rPr>
          <w:rFonts w:eastAsia="新宋体"/>
          <w:sz w:val="24"/>
          <w:szCs w:val="24"/>
        </w:rPr>
      </w:pPr>
      <w:r>
        <w:rPr>
          <w:sz w:val="24"/>
          <w:szCs w:val="24"/>
        </w:rPr>
        <w:t>2.1合格投标人的条件：</w:t>
      </w:r>
      <w:r>
        <w:rPr>
          <w:rFonts w:eastAsia="新宋体"/>
          <w:sz w:val="24"/>
        </w:rPr>
        <w:t>同招标公告中投标人资格要求。</w:t>
      </w:r>
    </w:p>
    <w:p>
      <w:pPr>
        <w:spacing w:line="500" w:lineRule="exact"/>
        <w:ind w:firstLine="480" w:firstLineChars="200"/>
        <w:rPr>
          <w:sz w:val="24"/>
          <w:szCs w:val="24"/>
        </w:rPr>
      </w:pPr>
      <w:r>
        <w:rPr>
          <w:sz w:val="24"/>
          <w:szCs w:val="24"/>
        </w:rPr>
        <w:t>2.2合格的货物和服务</w:t>
      </w:r>
    </w:p>
    <w:p>
      <w:pPr>
        <w:spacing w:line="500" w:lineRule="exact"/>
        <w:ind w:firstLine="480" w:firstLineChars="200"/>
        <w:rPr>
          <w:sz w:val="24"/>
          <w:szCs w:val="24"/>
        </w:rPr>
      </w:pPr>
      <w:r>
        <w:rPr>
          <w:sz w:val="24"/>
          <w:szCs w:val="24"/>
        </w:rPr>
        <w:t>2.2.1“货物”是指投标人制造或组织符合招标文件要求的货物等。招标文件中没有提及招标货物来源地的，根据《政府采购法》的相关规定均应是本国货物。投标的货物必须是其合法生产的符合国家有关标准要求的货物，并满足招标文件规定的规格、质量、价格、有效期、售后服务等要求。</w:t>
      </w:r>
    </w:p>
    <w:p>
      <w:pPr>
        <w:spacing w:line="500" w:lineRule="exact"/>
        <w:ind w:firstLine="480" w:firstLineChars="200"/>
        <w:rPr>
          <w:sz w:val="24"/>
          <w:szCs w:val="24"/>
        </w:rPr>
      </w:pPr>
      <w:r>
        <w:rPr>
          <w:rFonts w:hint="eastAsia"/>
          <w:sz w:val="24"/>
          <w:szCs w:val="24"/>
        </w:rPr>
        <w:t>如经财政主管部门批准可以采购进口产品，将在投标须知前附表中写明。但投标人应保证所投产品可履行合法报通关手续进入中国关境内。若投标须知前附表中未写明允许采购进口产品，如投标人所投产品为进口产品，其投标将作为无效投标被拒绝。</w:t>
      </w:r>
    </w:p>
    <w:p>
      <w:pPr>
        <w:spacing w:line="500" w:lineRule="exact"/>
        <w:ind w:firstLine="480" w:firstLineChars="200"/>
        <w:rPr>
          <w:sz w:val="24"/>
          <w:szCs w:val="24"/>
        </w:rPr>
      </w:pPr>
      <w:r>
        <w:rPr>
          <w:sz w:val="24"/>
          <w:szCs w:val="24"/>
        </w:rPr>
        <w:t>2.2.2 “服务”是指除货物和工程以外的其他政府采购对象,其中包括：投标人须承担的运输、技术支持、设计、包装、仓储、以及招标文件规定的其它服务。</w:t>
      </w:r>
    </w:p>
    <w:p>
      <w:pPr>
        <w:spacing w:line="500" w:lineRule="exact"/>
        <w:ind w:firstLine="480" w:firstLineChars="200"/>
        <w:rPr>
          <w:sz w:val="24"/>
          <w:szCs w:val="24"/>
        </w:rPr>
      </w:pPr>
      <w:r>
        <w:rPr>
          <w:sz w:val="24"/>
          <w:szCs w:val="24"/>
        </w:rPr>
        <w:t>2.2.3投标人所提供产品必须为符合国家相关法律规定的产品。所有产品均为合法正当渠道、包装完好的产品。</w:t>
      </w:r>
    </w:p>
    <w:p>
      <w:pPr>
        <w:spacing w:line="500" w:lineRule="exact"/>
        <w:ind w:firstLine="480" w:firstLineChars="200"/>
        <w:rPr>
          <w:sz w:val="24"/>
          <w:szCs w:val="24"/>
        </w:rPr>
      </w:pPr>
      <w:r>
        <w:rPr>
          <w:sz w:val="24"/>
          <w:szCs w:val="24"/>
        </w:rPr>
        <w:t>2.2.4投标人应保证，在中华人民共和国境内使用投标产品、服务或其任何一部分时，不会产生涉及第三方的专利权、商标权或其它知识产权所引起的法律和经济纠纷。如投标人不拥有相应的专利权，则在投标报价中须包括合法获取该知识产权的相关费用。</w:t>
      </w:r>
    </w:p>
    <w:p>
      <w:pPr>
        <w:spacing w:line="500" w:lineRule="exact"/>
        <w:ind w:firstLine="480" w:firstLineChars="200"/>
        <w:rPr>
          <w:sz w:val="24"/>
          <w:szCs w:val="24"/>
        </w:rPr>
      </w:pPr>
      <w:r>
        <w:rPr>
          <w:sz w:val="24"/>
          <w:szCs w:val="24"/>
        </w:rPr>
        <w:t>2.2.5投标人须拥有所投标的物的所有权或合法处分权，一切因标的物的所有权或合法处分权而引起的法律和经济纠纷由投标人自行负责，与本项目采购代理机构、采购人无关。</w:t>
      </w:r>
    </w:p>
    <w:p>
      <w:pPr>
        <w:spacing w:line="500" w:lineRule="exact"/>
        <w:ind w:firstLine="480" w:firstLineChars="200"/>
        <w:rPr>
          <w:sz w:val="24"/>
          <w:szCs w:val="24"/>
        </w:rPr>
      </w:pPr>
      <w:r>
        <w:rPr>
          <w:sz w:val="24"/>
          <w:szCs w:val="24"/>
        </w:rPr>
        <w:t>3、招标费用</w:t>
      </w:r>
    </w:p>
    <w:p>
      <w:pPr>
        <w:spacing w:line="500" w:lineRule="exact"/>
        <w:ind w:firstLine="480" w:firstLineChars="200"/>
        <w:rPr>
          <w:sz w:val="24"/>
          <w:szCs w:val="24"/>
        </w:rPr>
      </w:pPr>
      <w:r>
        <w:rPr>
          <w:sz w:val="24"/>
          <w:szCs w:val="24"/>
        </w:rPr>
        <w:t>3.1投标人自行承担响应招标、参加投标一切费用。不论投标的结果如何，采购人在任何情况下均无义务和责任承担因投标所发生的一切费用。</w:t>
      </w:r>
    </w:p>
    <w:p>
      <w:pPr>
        <w:spacing w:line="500" w:lineRule="exact"/>
        <w:ind w:firstLine="480" w:firstLineChars="200"/>
        <w:rPr>
          <w:sz w:val="24"/>
          <w:szCs w:val="24"/>
        </w:rPr>
      </w:pPr>
      <w:r>
        <w:rPr>
          <w:sz w:val="24"/>
          <w:szCs w:val="24"/>
        </w:rPr>
        <w:t>3.2投标人应承担所有与准备和参加投标有关的费用。不论投标的结果如何，招标方均无义务和责任承担这些费用。</w:t>
      </w:r>
    </w:p>
    <w:p>
      <w:pPr>
        <w:spacing w:line="500" w:lineRule="exact"/>
        <w:ind w:firstLine="480" w:firstLineChars="200"/>
        <w:rPr>
          <w:sz w:val="24"/>
          <w:szCs w:val="24"/>
        </w:rPr>
      </w:pPr>
      <w:r>
        <w:rPr>
          <w:sz w:val="24"/>
          <w:szCs w:val="24"/>
        </w:rPr>
        <w:t>3.3在招标活动中产生的其它相关费用不包含在服务费中，产生的费用由中标方承担。</w:t>
      </w:r>
    </w:p>
    <w:p>
      <w:pPr>
        <w:spacing w:line="500" w:lineRule="exact"/>
        <w:ind w:firstLine="480" w:firstLineChars="200"/>
        <w:rPr>
          <w:sz w:val="24"/>
          <w:szCs w:val="24"/>
        </w:rPr>
      </w:pPr>
      <w:r>
        <w:rPr>
          <w:sz w:val="24"/>
          <w:szCs w:val="24"/>
        </w:rPr>
        <w:t>4、通知</w:t>
      </w:r>
    </w:p>
    <w:p>
      <w:pPr>
        <w:spacing w:line="500" w:lineRule="exact"/>
        <w:ind w:firstLine="480" w:firstLineChars="200"/>
        <w:rPr>
          <w:sz w:val="24"/>
          <w:szCs w:val="24"/>
        </w:rPr>
      </w:pPr>
      <w:r>
        <w:rPr>
          <w:sz w:val="24"/>
          <w:szCs w:val="24"/>
        </w:rPr>
        <w:t>4.1 对与本项目有关的通知，招标代理机构将以书面（包括书面材料、信函、传真等，下同）的形式，送达所有与通知有关的已登记备案并领取了招标文件的潜在投标人，传真号码以潜在投标人的登记为准。潜在投标人应于收到通知的当日以书面方式予以回复确认。因登记有误或传真线路故障导致通知延迟送达或无法送达，招标代理机构不承担责任。</w:t>
      </w:r>
    </w:p>
    <w:p>
      <w:pPr>
        <w:spacing w:line="500" w:lineRule="exact"/>
        <w:ind w:firstLine="480" w:firstLineChars="200"/>
        <w:rPr>
          <w:sz w:val="24"/>
          <w:szCs w:val="24"/>
        </w:rPr>
      </w:pPr>
      <w:r>
        <w:rPr>
          <w:sz w:val="24"/>
          <w:szCs w:val="24"/>
        </w:rPr>
        <w:t>二、招标文件</w:t>
      </w:r>
      <w:bookmarkEnd w:id="31"/>
      <w:bookmarkEnd w:id="32"/>
      <w:bookmarkEnd w:id="33"/>
      <w:bookmarkEnd w:id="34"/>
      <w:bookmarkEnd w:id="35"/>
      <w:bookmarkEnd w:id="36"/>
      <w:bookmarkEnd w:id="37"/>
      <w:bookmarkEnd w:id="38"/>
      <w:bookmarkEnd w:id="39"/>
      <w:bookmarkEnd w:id="40"/>
      <w:bookmarkEnd w:id="41"/>
    </w:p>
    <w:p>
      <w:pPr>
        <w:spacing w:line="500" w:lineRule="exact"/>
        <w:ind w:firstLine="480" w:firstLineChars="200"/>
        <w:rPr>
          <w:sz w:val="24"/>
          <w:szCs w:val="24"/>
        </w:rPr>
      </w:pPr>
      <w:r>
        <w:rPr>
          <w:sz w:val="24"/>
          <w:szCs w:val="24"/>
        </w:rPr>
        <w:t>5、招标文件构成</w:t>
      </w:r>
    </w:p>
    <w:p>
      <w:pPr>
        <w:spacing w:line="500" w:lineRule="exact"/>
        <w:ind w:firstLine="480" w:firstLineChars="200"/>
        <w:rPr>
          <w:sz w:val="24"/>
          <w:szCs w:val="24"/>
        </w:rPr>
      </w:pPr>
      <w:r>
        <w:rPr>
          <w:sz w:val="24"/>
          <w:szCs w:val="24"/>
        </w:rPr>
        <w:t>5.1 招标文件包括下列内容：</w:t>
      </w:r>
    </w:p>
    <w:p>
      <w:pPr>
        <w:spacing w:line="500" w:lineRule="exact"/>
        <w:ind w:firstLine="480" w:firstLineChars="200"/>
        <w:rPr>
          <w:sz w:val="24"/>
          <w:szCs w:val="24"/>
        </w:rPr>
      </w:pPr>
      <w:r>
        <w:rPr>
          <w:sz w:val="24"/>
          <w:szCs w:val="24"/>
        </w:rPr>
        <w:t>1）招标公告</w:t>
      </w:r>
    </w:p>
    <w:p>
      <w:pPr>
        <w:spacing w:line="500" w:lineRule="exact"/>
        <w:ind w:firstLine="480" w:firstLineChars="200"/>
        <w:rPr>
          <w:sz w:val="24"/>
          <w:szCs w:val="24"/>
        </w:rPr>
      </w:pPr>
      <w:r>
        <w:rPr>
          <w:sz w:val="24"/>
          <w:szCs w:val="24"/>
        </w:rPr>
        <w:t>2)投标人须知前附表</w:t>
      </w:r>
    </w:p>
    <w:p>
      <w:pPr>
        <w:spacing w:line="500" w:lineRule="exact"/>
        <w:ind w:firstLine="480" w:firstLineChars="200"/>
        <w:rPr>
          <w:sz w:val="24"/>
          <w:szCs w:val="24"/>
        </w:rPr>
      </w:pPr>
      <w:r>
        <w:rPr>
          <w:sz w:val="24"/>
          <w:szCs w:val="24"/>
        </w:rPr>
        <w:t>3)投标人须知</w:t>
      </w:r>
    </w:p>
    <w:p>
      <w:pPr>
        <w:spacing w:line="500" w:lineRule="exact"/>
        <w:ind w:firstLine="480" w:firstLineChars="200"/>
        <w:rPr>
          <w:sz w:val="24"/>
          <w:szCs w:val="24"/>
        </w:rPr>
      </w:pPr>
      <w:r>
        <w:rPr>
          <w:sz w:val="24"/>
          <w:szCs w:val="24"/>
        </w:rPr>
        <w:t>4）合同</w:t>
      </w:r>
    </w:p>
    <w:p>
      <w:pPr>
        <w:spacing w:line="500" w:lineRule="exact"/>
        <w:ind w:firstLine="480" w:firstLineChars="200"/>
        <w:rPr>
          <w:sz w:val="24"/>
          <w:szCs w:val="24"/>
        </w:rPr>
      </w:pPr>
      <w:r>
        <w:rPr>
          <w:sz w:val="24"/>
          <w:szCs w:val="24"/>
        </w:rPr>
        <w:t>5）附件（投标文件格式）</w:t>
      </w:r>
    </w:p>
    <w:p>
      <w:pPr>
        <w:spacing w:line="500" w:lineRule="exact"/>
        <w:ind w:firstLine="480" w:firstLineChars="200"/>
        <w:rPr>
          <w:sz w:val="24"/>
          <w:szCs w:val="24"/>
        </w:rPr>
      </w:pPr>
      <w:r>
        <w:rPr>
          <w:sz w:val="24"/>
          <w:szCs w:val="24"/>
        </w:rPr>
        <w:t>6）评标标准</w:t>
      </w:r>
    </w:p>
    <w:p>
      <w:pPr>
        <w:spacing w:line="500" w:lineRule="exact"/>
        <w:ind w:firstLine="480" w:firstLineChars="200"/>
        <w:rPr>
          <w:sz w:val="24"/>
          <w:szCs w:val="24"/>
        </w:rPr>
      </w:pPr>
      <w:r>
        <w:rPr>
          <w:sz w:val="24"/>
          <w:szCs w:val="24"/>
        </w:rPr>
        <w:t>7）货物技术规格、参数与要求</w:t>
      </w:r>
    </w:p>
    <w:p>
      <w:pPr>
        <w:spacing w:line="500" w:lineRule="exact"/>
        <w:ind w:firstLine="480" w:firstLineChars="200"/>
        <w:rPr>
          <w:sz w:val="24"/>
          <w:szCs w:val="24"/>
        </w:rPr>
      </w:pPr>
      <w:r>
        <w:rPr>
          <w:sz w:val="24"/>
          <w:szCs w:val="24"/>
        </w:rPr>
        <w:t>5.2 除非有特殊要求，招标文件不单独提供采购货物使用地的自然环境、气候条件、公用设施等情况，响应投标人被视为熟悉上述与履行合同有关的一切情况。</w:t>
      </w:r>
    </w:p>
    <w:p>
      <w:pPr>
        <w:spacing w:line="500" w:lineRule="exact"/>
        <w:ind w:firstLine="480" w:firstLineChars="200"/>
        <w:rPr>
          <w:sz w:val="24"/>
          <w:szCs w:val="24"/>
        </w:rPr>
      </w:pPr>
      <w:r>
        <w:rPr>
          <w:sz w:val="24"/>
          <w:szCs w:val="24"/>
        </w:rPr>
        <w:t>5.3</w:t>
      </w:r>
      <w:r>
        <w:rPr>
          <w:rFonts w:eastAsia="新宋体"/>
          <w:kern w:val="0"/>
          <w:sz w:val="24"/>
          <w:szCs w:val="24"/>
        </w:rPr>
        <w:t>投标人</w:t>
      </w:r>
      <w:r>
        <w:rPr>
          <w:rFonts w:eastAsia="新宋体"/>
          <w:sz w:val="24"/>
          <w:szCs w:val="24"/>
        </w:rPr>
        <w:t>应认真阅读采购文件中所有的事项、格式、条款和技术规格、参数及要求等，如果</w:t>
      </w:r>
      <w:r>
        <w:rPr>
          <w:rFonts w:eastAsia="新宋体"/>
          <w:kern w:val="0"/>
          <w:sz w:val="24"/>
          <w:szCs w:val="24"/>
        </w:rPr>
        <w:t>投标人</w:t>
      </w:r>
      <w:r>
        <w:rPr>
          <w:rFonts w:eastAsia="新宋体"/>
          <w:sz w:val="24"/>
          <w:szCs w:val="24"/>
        </w:rPr>
        <w:t>没有按照采购文件要求提交全部资料，或者投标没有对采购文件在各方面都做出实质性响应，其风险应由</w:t>
      </w:r>
      <w:r>
        <w:rPr>
          <w:rFonts w:eastAsia="新宋体"/>
          <w:kern w:val="0"/>
          <w:sz w:val="24"/>
          <w:szCs w:val="24"/>
        </w:rPr>
        <w:t>投标人</w:t>
      </w:r>
      <w:r>
        <w:rPr>
          <w:rFonts w:eastAsia="新宋体"/>
          <w:sz w:val="24"/>
          <w:szCs w:val="24"/>
        </w:rPr>
        <w:t>自行承担，并根据有关政策和条款规定，其投标有可能被否决，或被认定为无效投标。</w:t>
      </w:r>
    </w:p>
    <w:p>
      <w:pPr>
        <w:spacing w:line="500" w:lineRule="exact"/>
        <w:ind w:firstLine="480" w:firstLineChars="200"/>
        <w:rPr>
          <w:sz w:val="24"/>
          <w:szCs w:val="24"/>
        </w:rPr>
      </w:pPr>
      <w:r>
        <w:rPr>
          <w:sz w:val="24"/>
          <w:szCs w:val="24"/>
        </w:rPr>
        <w:t>6、招标文件的澄清</w:t>
      </w:r>
    </w:p>
    <w:p>
      <w:pPr>
        <w:spacing w:line="500" w:lineRule="exact"/>
        <w:ind w:firstLine="480" w:firstLineChars="200"/>
        <w:rPr>
          <w:sz w:val="24"/>
          <w:szCs w:val="24"/>
        </w:rPr>
      </w:pPr>
      <w:r>
        <w:rPr>
          <w:sz w:val="24"/>
          <w:szCs w:val="24"/>
        </w:rPr>
        <w:t>6.1 投标人对招标文件如有疑点要求澄清，应在投标截止时间</w:t>
      </w:r>
      <w:r>
        <w:rPr>
          <w:sz w:val="24"/>
          <w:szCs w:val="24"/>
          <w:u w:val="single"/>
        </w:rPr>
        <w:t>10日历天</w:t>
      </w:r>
      <w:r>
        <w:rPr>
          <w:sz w:val="24"/>
          <w:szCs w:val="24"/>
        </w:rPr>
        <w:t>以前以书面形式通知代理机构。代理机构对投标人的澄清要求均以书面形式予以答复，同时将书面答复发给每个购买招标文件的投标人（答复中不包括问题的来源）。</w:t>
      </w:r>
    </w:p>
    <w:p>
      <w:pPr>
        <w:spacing w:line="500" w:lineRule="exact"/>
        <w:ind w:firstLine="480" w:firstLineChars="200"/>
        <w:rPr>
          <w:sz w:val="24"/>
          <w:szCs w:val="24"/>
        </w:rPr>
      </w:pPr>
      <w:r>
        <w:rPr>
          <w:sz w:val="24"/>
          <w:szCs w:val="24"/>
        </w:rPr>
        <w:t>7、招标文件的修改</w:t>
      </w:r>
    </w:p>
    <w:p>
      <w:pPr>
        <w:spacing w:line="500" w:lineRule="exact"/>
        <w:ind w:firstLine="480" w:firstLineChars="200"/>
        <w:rPr>
          <w:sz w:val="24"/>
          <w:szCs w:val="24"/>
        </w:rPr>
      </w:pPr>
      <w:r>
        <w:rPr>
          <w:sz w:val="24"/>
          <w:szCs w:val="24"/>
        </w:rPr>
        <w:t xml:space="preserve">7.1 </w:t>
      </w:r>
      <w:r>
        <w:rPr>
          <w:rFonts w:eastAsia="新宋体"/>
          <w:sz w:val="24"/>
          <w:szCs w:val="24"/>
        </w:rPr>
        <w:t>在投标截止时间十五日以前</w:t>
      </w:r>
      <w:r>
        <w:rPr>
          <w:sz w:val="24"/>
          <w:szCs w:val="24"/>
        </w:rPr>
        <w:t>的任何时候，无论出于何种原因，</w:t>
      </w:r>
      <w:r>
        <w:rPr>
          <w:rFonts w:eastAsia="新宋体"/>
          <w:sz w:val="24"/>
          <w:szCs w:val="24"/>
        </w:rPr>
        <w:t>采购代理机构或采购人可以主动地或在解答投标人提出的疑问时对采购文件进行修改</w:t>
      </w:r>
      <w:r>
        <w:rPr>
          <w:sz w:val="24"/>
          <w:szCs w:val="24"/>
        </w:rPr>
        <w:t>，修改的内容为招标文件的组成部分。</w:t>
      </w:r>
    </w:p>
    <w:p>
      <w:pPr>
        <w:spacing w:line="500" w:lineRule="exact"/>
        <w:ind w:firstLine="480" w:firstLineChars="200"/>
        <w:rPr>
          <w:sz w:val="24"/>
          <w:szCs w:val="24"/>
        </w:rPr>
      </w:pPr>
      <w:r>
        <w:rPr>
          <w:sz w:val="24"/>
          <w:szCs w:val="24"/>
        </w:rPr>
        <w:t>7.2 招标文件的修改将以书面形式通知所有购买招标文件的投标人，并对其具有约束力。投标人在收到上述通知后，应立即向代理机构回函确认。</w:t>
      </w:r>
    </w:p>
    <w:p>
      <w:pPr>
        <w:spacing w:line="500" w:lineRule="exact"/>
        <w:ind w:firstLine="480" w:firstLineChars="200"/>
        <w:rPr>
          <w:sz w:val="24"/>
          <w:szCs w:val="24"/>
        </w:rPr>
      </w:pPr>
      <w:r>
        <w:rPr>
          <w:sz w:val="24"/>
          <w:szCs w:val="24"/>
        </w:rPr>
        <w:t>7.3 为使投标人准备招标时有充分时间对招标文件的修改部分进行研究，代理机构可适当延长招标截止期。并以书面形式通知所有购买招标文件的投标人。</w:t>
      </w:r>
    </w:p>
    <w:p>
      <w:pPr>
        <w:spacing w:line="500" w:lineRule="exact"/>
        <w:ind w:firstLine="480" w:firstLineChars="200"/>
        <w:rPr>
          <w:sz w:val="24"/>
          <w:szCs w:val="24"/>
        </w:rPr>
      </w:pPr>
      <w:bookmarkStart w:id="42" w:name="_Toc47261869"/>
      <w:bookmarkStart w:id="43" w:name="_Toc47261054"/>
      <w:bookmarkStart w:id="44" w:name="_Toc205342862"/>
      <w:bookmarkStart w:id="45" w:name="_Toc47418715"/>
      <w:bookmarkStart w:id="46" w:name="_Toc47262053"/>
      <w:bookmarkStart w:id="47" w:name="_Toc47418239"/>
      <w:bookmarkStart w:id="48" w:name="_Toc49019220"/>
      <w:bookmarkStart w:id="49" w:name="_Toc48791219"/>
      <w:bookmarkStart w:id="50" w:name="_Toc47418922"/>
      <w:bookmarkStart w:id="51" w:name="_Toc47261674"/>
      <w:bookmarkStart w:id="52" w:name="_Toc48995835"/>
      <w:r>
        <w:rPr>
          <w:sz w:val="24"/>
          <w:szCs w:val="24"/>
        </w:rPr>
        <w:t>8、投标文件的编制</w:t>
      </w:r>
      <w:bookmarkEnd w:id="42"/>
      <w:bookmarkEnd w:id="43"/>
      <w:bookmarkEnd w:id="44"/>
      <w:bookmarkEnd w:id="45"/>
      <w:bookmarkEnd w:id="46"/>
      <w:bookmarkEnd w:id="47"/>
      <w:bookmarkEnd w:id="48"/>
      <w:bookmarkEnd w:id="49"/>
      <w:bookmarkEnd w:id="50"/>
      <w:bookmarkEnd w:id="51"/>
      <w:bookmarkEnd w:id="52"/>
    </w:p>
    <w:p>
      <w:pPr>
        <w:spacing w:line="500" w:lineRule="exact"/>
        <w:ind w:firstLine="600" w:firstLineChars="250"/>
        <w:rPr>
          <w:sz w:val="24"/>
        </w:rPr>
      </w:pPr>
      <w:r>
        <w:rPr>
          <w:sz w:val="24"/>
        </w:rPr>
        <w:t>8.1投标文件的书写要求</w:t>
      </w:r>
    </w:p>
    <w:p>
      <w:pPr>
        <w:spacing w:line="500" w:lineRule="exact"/>
        <w:rPr>
          <w:sz w:val="24"/>
        </w:rPr>
      </w:pPr>
      <w:r>
        <w:rPr>
          <w:sz w:val="24"/>
        </w:rPr>
        <w:t xml:space="preserve">    （1）投标文件必须用不褪色的墨水书写或打印。</w:t>
      </w:r>
    </w:p>
    <w:p>
      <w:pPr>
        <w:spacing w:line="500" w:lineRule="exact"/>
        <w:rPr>
          <w:sz w:val="24"/>
        </w:rPr>
      </w:pPr>
      <w:r>
        <w:rPr>
          <w:sz w:val="24"/>
        </w:rPr>
        <w:t xml:space="preserve">    （2）投标文件的书写应清楚工整，修改处应由投标人的法定代表人或其委托代理人签字或盖章盖章。</w:t>
      </w:r>
    </w:p>
    <w:p>
      <w:pPr>
        <w:spacing w:line="500" w:lineRule="exact"/>
        <w:rPr>
          <w:sz w:val="24"/>
        </w:rPr>
      </w:pPr>
      <w:r>
        <w:rPr>
          <w:sz w:val="24"/>
        </w:rPr>
        <w:t xml:space="preserve">    （3）字迹潦草、表达不清、未按要求填写而导致非唯一理解，造成非实质性响应招标文件的投标文件将会被认定为无效的投标。</w:t>
      </w:r>
    </w:p>
    <w:p>
      <w:pPr>
        <w:spacing w:line="500" w:lineRule="exact"/>
        <w:ind w:firstLine="480"/>
        <w:rPr>
          <w:sz w:val="24"/>
        </w:rPr>
      </w:pPr>
      <w:r>
        <w:rPr>
          <w:sz w:val="24"/>
        </w:rPr>
        <w:t>（4）投标文件必须在凡规定盖章、签字或盖章处按要求逐一签字或盖章、盖章。</w:t>
      </w:r>
    </w:p>
    <w:p>
      <w:pPr>
        <w:spacing w:line="500" w:lineRule="exact"/>
        <w:rPr>
          <w:sz w:val="24"/>
        </w:rPr>
      </w:pPr>
      <w:r>
        <w:rPr>
          <w:sz w:val="24"/>
        </w:rPr>
        <w:t xml:space="preserve">     8.2投标文件合装订成一本，投标文件按下列顺序编制：</w:t>
      </w:r>
    </w:p>
    <w:p>
      <w:pPr>
        <w:spacing w:line="500" w:lineRule="exact"/>
        <w:ind w:firstLine="480" w:firstLineChars="200"/>
        <w:rPr>
          <w:sz w:val="24"/>
          <w:szCs w:val="24"/>
        </w:rPr>
      </w:pPr>
      <w:r>
        <w:rPr>
          <w:sz w:val="24"/>
          <w:szCs w:val="24"/>
        </w:rPr>
        <w:t>投标人按照招标文件要求填写的“开标一览表”及“报价明细表”。 本次招标报价要求：</w:t>
      </w:r>
    </w:p>
    <w:p>
      <w:pPr>
        <w:spacing w:line="500" w:lineRule="exact"/>
        <w:ind w:firstLine="480" w:firstLineChars="200"/>
        <w:rPr>
          <w:sz w:val="24"/>
          <w:szCs w:val="24"/>
        </w:rPr>
      </w:pPr>
      <w:r>
        <w:rPr>
          <w:sz w:val="24"/>
          <w:szCs w:val="24"/>
        </w:rPr>
        <w:t>（1）投标人的报价是投标人响应招标项目要求的全部工作内容的价格体现，包括投标人完成本项目所需的一切费用。</w:t>
      </w:r>
    </w:p>
    <w:p>
      <w:pPr>
        <w:spacing w:line="500" w:lineRule="exact"/>
        <w:ind w:left="2" w:firstLine="352" w:firstLineChars="147"/>
        <w:rPr>
          <w:sz w:val="24"/>
          <w:szCs w:val="24"/>
        </w:rPr>
      </w:pPr>
      <w:r>
        <w:rPr>
          <w:sz w:val="24"/>
          <w:szCs w:val="24"/>
        </w:rPr>
        <w:t xml:space="preserve"> （2）投标人每种货物只允许有一个报价，并且在合同履行过程中是固定不变的，任何有选择或可调整的报价将不予接受，并按无效投标处理。</w:t>
      </w:r>
    </w:p>
    <w:p>
      <w:pPr>
        <w:spacing w:line="500" w:lineRule="exact"/>
        <w:ind w:firstLine="477" w:firstLineChars="199"/>
        <w:rPr>
          <w:sz w:val="24"/>
        </w:rPr>
      </w:pPr>
      <w:r>
        <w:rPr>
          <w:sz w:val="24"/>
          <w:szCs w:val="24"/>
        </w:rPr>
        <w:t>（4）</w:t>
      </w:r>
      <w:r>
        <w:rPr>
          <w:b/>
          <w:sz w:val="24"/>
        </w:rPr>
        <w:t>开标一览表必须再另行制作原件一份，单独密封于一独立包装物内并在封面上标明“×××项目开标一览表”，随同投标文件一并递交开标地点</w:t>
      </w:r>
      <w:r>
        <w:rPr>
          <w:sz w:val="24"/>
        </w:rPr>
        <w:t>。</w:t>
      </w:r>
    </w:p>
    <w:p>
      <w:pPr>
        <w:spacing w:line="500" w:lineRule="exact"/>
        <w:ind w:firstLine="480" w:firstLineChars="200"/>
        <w:rPr>
          <w:sz w:val="24"/>
          <w:szCs w:val="24"/>
        </w:rPr>
      </w:pPr>
      <w:r>
        <w:rPr>
          <w:sz w:val="24"/>
          <w:szCs w:val="24"/>
        </w:rPr>
        <w:t>（5）投标人必须按要求如实、准确、完整的提供评估因素要求的各类文件资料。否则投标将不被接受。投标文件包括以下部分（但不局限于以下部分）：</w:t>
      </w:r>
    </w:p>
    <w:p>
      <w:pPr>
        <w:numPr>
          <w:ilvl w:val="0"/>
          <w:numId w:val="8"/>
        </w:numPr>
        <w:tabs>
          <w:tab w:val="left" w:pos="840"/>
          <w:tab w:val="left" w:pos="1050"/>
        </w:tabs>
        <w:spacing w:line="500" w:lineRule="exact"/>
        <w:ind w:firstLine="215"/>
        <w:rPr>
          <w:sz w:val="24"/>
          <w:szCs w:val="24"/>
        </w:rPr>
      </w:pPr>
      <w:r>
        <w:rPr>
          <w:sz w:val="24"/>
          <w:szCs w:val="24"/>
        </w:rPr>
        <w:t>投 标 函</w:t>
      </w:r>
    </w:p>
    <w:p>
      <w:pPr>
        <w:numPr>
          <w:ilvl w:val="0"/>
          <w:numId w:val="8"/>
        </w:numPr>
        <w:tabs>
          <w:tab w:val="left" w:pos="840"/>
          <w:tab w:val="left" w:pos="1050"/>
        </w:tabs>
        <w:spacing w:line="500" w:lineRule="exact"/>
        <w:ind w:firstLine="215"/>
        <w:rPr>
          <w:sz w:val="24"/>
          <w:szCs w:val="24"/>
        </w:rPr>
      </w:pPr>
      <w:r>
        <w:rPr>
          <w:sz w:val="24"/>
          <w:szCs w:val="24"/>
        </w:rPr>
        <w:t>法定代表人身份证明书</w:t>
      </w:r>
    </w:p>
    <w:p>
      <w:pPr>
        <w:numPr>
          <w:ilvl w:val="0"/>
          <w:numId w:val="8"/>
        </w:numPr>
        <w:tabs>
          <w:tab w:val="left" w:pos="840"/>
          <w:tab w:val="left" w:pos="1050"/>
        </w:tabs>
        <w:spacing w:line="500" w:lineRule="exact"/>
        <w:ind w:firstLine="215"/>
        <w:rPr>
          <w:sz w:val="24"/>
          <w:szCs w:val="24"/>
        </w:rPr>
      </w:pPr>
      <w:r>
        <w:rPr>
          <w:sz w:val="24"/>
          <w:szCs w:val="24"/>
        </w:rPr>
        <w:t>法定代表人授权书格式（单独提交1份）</w:t>
      </w:r>
    </w:p>
    <w:p>
      <w:pPr>
        <w:numPr>
          <w:ilvl w:val="0"/>
          <w:numId w:val="8"/>
        </w:numPr>
        <w:tabs>
          <w:tab w:val="left" w:pos="840"/>
          <w:tab w:val="left" w:pos="1050"/>
        </w:tabs>
        <w:spacing w:line="500" w:lineRule="exact"/>
        <w:ind w:firstLine="215"/>
        <w:rPr>
          <w:sz w:val="24"/>
          <w:szCs w:val="24"/>
        </w:rPr>
      </w:pPr>
      <w:r>
        <w:rPr>
          <w:sz w:val="24"/>
          <w:szCs w:val="24"/>
        </w:rPr>
        <w:t>投标人资格声明格式</w:t>
      </w:r>
    </w:p>
    <w:p>
      <w:pPr>
        <w:numPr>
          <w:ilvl w:val="0"/>
          <w:numId w:val="8"/>
        </w:numPr>
        <w:tabs>
          <w:tab w:val="left" w:pos="840"/>
          <w:tab w:val="left" w:pos="1050"/>
        </w:tabs>
        <w:spacing w:line="500" w:lineRule="exact"/>
        <w:ind w:firstLine="215"/>
        <w:rPr>
          <w:sz w:val="24"/>
          <w:szCs w:val="24"/>
        </w:rPr>
      </w:pPr>
      <w:r>
        <w:rPr>
          <w:sz w:val="24"/>
          <w:szCs w:val="24"/>
        </w:rPr>
        <w:t>开标一览表</w:t>
      </w:r>
    </w:p>
    <w:p>
      <w:pPr>
        <w:numPr>
          <w:ilvl w:val="0"/>
          <w:numId w:val="8"/>
        </w:numPr>
        <w:tabs>
          <w:tab w:val="left" w:pos="840"/>
          <w:tab w:val="left" w:pos="1050"/>
        </w:tabs>
        <w:spacing w:line="500" w:lineRule="exact"/>
        <w:ind w:firstLine="215"/>
        <w:rPr>
          <w:sz w:val="24"/>
          <w:szCs w:val="24"/>
        </w:rPr>
      </w:pPr>
      <w:r>
        <w:rPr>
          <w:sz w:val="24"/>
          <w:szCs w:val="24"/>
        </w:rPr>
        <w:t>分项报价明细表</w:t>
      </w:r>
    </w:p>
    <w:p>
      <w:pPr>
        <w:numPr>
          <w:ilvl w:val="0"/>
          <w:numId w:val="8"/>
        </w:numPr>
        <w:tabs>
          <w:tab w:val="left" w:pos="840"/>
          <w:tab w:val="left" w:pos="1050"/>
        </w:tabs>
        <w:spacing w:line="500" w:lineRule="exact"/>
        <w:ind w:firstLine="215"/>
        <w:rPr>
          <w:sz w:val="24"/>
          <w:szCs w:val="24"/>
        </w:rPr>
      </w:pPr>
      <w:r>
        <w:rPr>
          <w:sz w:val="24"/>
          <w:szCs w:val="24"/>
        </w:rPr>
        <w:t>资格证明材料</w:t>
      </w:r>
    </w:p>
    <w:p>
      <w:pPr>
        <w:numPr>
          <w:ilvl w:val="0"/>
          <w:numId w:val="8"/>
        </w:numPr>
        <w:tabs>
          <w:tab w:val="left" w:pos="840"/>
          <w:tab w:val="left" w:pos="1050"/>
        </w:tabs>
        <w:spacing w:line="500" w:lineRule="exact"/>
        <w:ind w:firstLine="215"/>
        <w:rPr>
          <w:sz w:val="24"/>
          <w:szCs w:val="24"/>
        </w:rPr>
      </w:pPr>
      <w:r>
        <w:rPr>
          <w:sz w:val="24"/>
          <w:szCs w:val="24"/>
        </w:rPr>
        <w:t>投标投标人基本情况表</w:t>
      </w:r>
    </w:p>
    <w:p>
      <w:pPr>
        <w:numPr>
          <w:ilvl w:val="0"/>
          <w:numId w:val="8"/>
        </w:numPr>
        <w:tabs>
          <w:tab w:val="left" w:pos="840"/>
          <w:tab w:val="left" w:pos="1050"/>
        </w:tabs>
        <w:spacing w:line="500" w:lineRule="exact"/>
        <w:ind w:firstLine="215"/>
        <w:rPr>
          <w:sz w:val="24"/>
          <w:szCs w:val="24"/>
        </w:rPr>
      </w:pPr>
      <w:r>
        <w:rPr>
          <w:sz w:val="24"/>
          <w:szCs w:val="24"/>
        </w:rPr>
        <w:t>投标人类似项目业绩一览表</w:t>
      </w:r>
    </w:p>
    <w:p>
      <w:pPr>
        <w:numPr>
          <w:ilvl w:val="0"/>
          <w:numId w:val="8"/>
        </w:numPr>
        <w:tabs>
          <w:tab w:val="left" w:pos="840"/>
          <w:tab w:val="left" w:pos="1050"/>
        </w:tabs>
        <w:spacing w:line="500" w:lineRule="exact"/>
        <w:ind w:firstLine="215"/>
        <w:rPr>
          <w:sz w:val="24"/>
          <w:szCs w:val="24"/>
        </w:rPr>
      </w:pPr>
      <w:r>
        <w:rPr>
          <w:sz w:val="24"/>
          <w:szCs w:val="24"/>
        </w:rPr>
        <w:t>投标人本项目管理、技术、服务人员情况表</w:t>
      </w:r>
    </w:p>
    <w:p>
      <w:pPr>
        <w:numPr>
          <w:ilvl w:val="0"/>
          <w:numId w:val="8"/>
        </w:numPr>
        <w:tabs>
          <w:tab w:val="left" w:pos="840"/>
          <w:tab w:val="left" w:pos="1050"/>
        </w:tabs>
        <w:spacing w:line="500" w:lineRule="exact"/>
        <w:ind w:firstLine="215"/>
        <w:rPr>
          <w:sz w:val="24"/>
          <w:szCs w:val="24"/>
        </w:rPr>
      </w:pPr>
      <w:r>
        <w:rPr>
          <w:sz w:val="24"/>
          <w:szCs w:val="24"/>
        </w:rPr>
        <w:t>技术／商务响应与偏离表技术资料</w:t>
      </w:r>
    </w:p>
    <w:p>
      <w:pPr>
        <w:numPr>
          <w:ilvl w:val="0"/>
          <w:numId w:val="8"/>
        </w:numPr>
        <w:tabs>
          <w:tab w:val="left" w:pos="840"/>
          <w:tab w:val="left" w:pos="1050"/>
        </w:tabs>
        <w:spacing w:line="500" w:lineRule="exact"/>
        <w:ind w:firstLine="215"/>
        <w:rPr>
          <w:sz w:val="24"/>
          <w:szCs w:val="24"/>
        </w:rPr>
      </w:pPr>
      <w:r>
        <w:rPr>
          <w:sz w:val="24"/>
          <w:szCs w:val="24"/>
        </w:rPr>
        <w:t>技术资料</w:t>
      </w:r>
    </w:p>
    <w:p>
      <w:pPr>
        <w:numPr>
          <w:ilvl w:val="0"/>
          <w:numId w:val="8"/>
        </w:numPr>
        <w:tabs>
          <w:tab w:val="left" w:pos="840"/>
          <w:tab w:val="left" w:pos="1050"/>
        </w:tabs>
        <w:spacing w:line="500" w:lineRule="exact"/>
        <w:ind w:firstLine="215"/>
        <w:rPr>
          <w:sz w:val="24"/>
          <w:szCs w:val="24"/>
        </w:rPr>
      </w:pPr>
      <w:r>
        <w:rPr>
          <w:sz w:val="24"/>
          <w:szCs w:val="24"/>
        </w:rPr>
        <w:t>供货单位承诺书</w:t>
      </w:r>
    </w:p>
    <w:p>
      <w:pPr>
        <w:numPr>
          <w:ilvl w:val="0"/>
          <w:numId w:val="8"/>
        </w:numPr>
        <w:tabs>
          <w:tab w:val="left" w:pos="840"/>
          <w:tab w:val="left" w:pos="1050"/>
        </w:tabs>
        <w:spacing w:line="500" w:lineRule="exact"/>
        <w:ind w:firstLine="215"/>
        <w:rPr>
          <w:sz w:val="24"/>
          <w:szCs w:val="24"/>
        </w:rPr>
      </w:pPr>
      <w:r>
        <w:rPr>
          <w:sz w:val="24"/>
          <w:szCs w:val="24"/>
        </w:rPr>
        <w:t>投标人认为需提供的相关资料。</w:t>
      </w:r>
    </w:p>
    <w:p>
      <w:pPr>
        <w:spacing w:line="500" w:lineRule="exact"/>
        <w:ind w:left="437" w:leftChars="208"/>
        <w:rPr>
          <w:sz w:val="24"/>
          <w:szCs w:val="24"/>
        </w:rPr>
      </w:pPr>
      <w:r>
        <w:rPr>
          <w:bCs/>
          <w:sz w:val="24"/>
          <w:szCs w:val="24"/>
        </w:rPr>
        <w:t>（6）</w:t>
      </w:r>
      <w:r>
        <w:rPr>
          <w:sz w:val="24"/>
          <w:szCs w:val="24"/>
        </w:rPr>
        <w:t>证明投标货物的合格性和投标人资格符合招标文件规定的证明文件；</w:t>
      </w:r>
    </w:p>
    <w:p>
      <w:pPr>
        <w:spacing w:line="500" w:lineRule="exact"/>
        <w:ind w:left="437" w:leftChars="208"/>
        <w:rPr>
          <w:sz w:val="24"/>
          <w:szCs w:val="24"/>
        </w:rPr>
      </w:pPr>
      <w:r>
        <w:rPr>
          <w:sz w:val="24"/>
          <w:szCs w:val="24"/>
        </w:rPr>
        <w:t>（7）投标人承诺给予招标采购人的各种优惠条件（优惠条件事项不能包括采购项目本身所包括涉及的采购事项）。投标人不能以“赠送、赠予”等任何名义提供货物和服务以规避招标文件的约束。否则，投标人提供的投标文件将作为无效投标处理，投标人的投标行为将作为以不正当手段排挤其他投标人认定）；</w:t>
      </w:r>
    </w:p>
    <w:p>
      <w:pPr>
        <w:spacing w:line="500" w:lineRule="exact"/>
        <w:ind w:left="437" w:leftChars="208"/>
        <w:rPr>
          <w:sz w:val="24"/>
          <w:szCs w:val="24"/>
        </w:rPr>
      </w:pPr>
      <w:r>
        <w:rPr>
          <w:sz w:val="24"/>
          <w:szCs w:val="24"/>
        </w:rPr>
        <w:t>（8）其他要求：投标人应根据招标文件要求的技术规格及投标文件格式，在投标文件中详细说明所提供产品的技术规格、加工工艺等。</w:t>
      </w:r>
    </w:p>
    <w:p>
      <w:pPr>
        <w:spacing w:line="500" w:lineRule="exact"/>
        <w:ind w:firstLine="480" w:firstLineChars="200"/>
        <w:rPr>
          <w:sz w:val="24"/>
          <w:szCs w:val="24"/>
        </w:rPr>
      </w:pPr>
      <w:r>
        <w:rPr>
          <w:sz w:val="24"/>
          <w:szCs w:val="24"/>
        </w:rPr>
        <w:t>投标人应按招标文件中提供的投标文件格式编制投标文件，但可以同样格式扩展。</w:t>
      </w:r>
    </w:p>
    <w:p>
      <w:pPr>
        <w:spacing w:line="500" w:lineRule="exact"/>
        <w:ind w:firstLine="480" w:firstLineChars="200"/>
        <w:rPr>
          <w:sz w:val="24"/>
          <w:szCs w:val="24"/>
        </w:rPr>
      </w:pPr>
      <w:r>
        <w:rPr>
          <w:sz w:val="24"/>
          <w:szCs w:val="24"/>
        </w:rPr>
        <w:t>本合同的招标文件还包括采购人发出的补充通知、澄清及答疑电子邮件或书面文件。</w:t>
      </w:r>
    </w:p>
    <w:p>
      <w:pPr>
        <w:spacing w:line="500" w:lineRule="exact"/>
        <w:ind w:firstLine="480" w:firstLineChars="200"/>
        <w:rPr>
          <w:sz w:val="24"/>
          <w:szCs w:val="24"/>
        </w:rPr>
      </w:pPr>
      <w:r>
        <w:rPr>
          <w:sz w:val="24"/>
          <w:szCs w:val="24"/>
        </w:rPr>
        <w:t>本项目要求按照上述内容编制标书，并按照标书中所附的投标书规格编写，并要求打印装订成册。</w:t>
      </w:r>
    </w:p>
    <w:p>
      <w:pPr>
        <w:spacing w:line="500" w:lineRule="exact"/>
        <w:ind w:firstLine="480" w:firstLineChars="200"/>
        <w:rPr>
          <w:sz w:val="24"/>
          <w:szCs w:val="24"/>
        </w:rPr>
      </w:pPr>
      <w:r>
        <w:rPr>
          <w:sz w:val="24"/>
          <w:szCs w:val="24"/>
        </w:rPr>
        <w:t>投标文件规格幅面为A4，使用宋体字，按照投标文件规定的顺序，统一编目编码装订，装订成一册。</w:t>
      </w:r>
    </w:p>
    <w:p>
      <w:pPr>
        <w:spacing w:line="500" w:lineRule="exact"/>
        <w:ind w:firstLine="480" w:firstLineChars="200"/>
        <w:rPr>
          <w:sz w:val="24"/>
          <w:szCs w:val="24"/>
        </w:rPr>
      </w:pPr>
      <w:r>
        <w:rPr>
          <w:sz w:val="24"/>
          <w:szCs w:val="24"/>
        </w:rPr>
        <w:t>8.3. 对于给定格式的必须按照给定的格式进行填报；没有给定格式的，投标人可以自行设计。</w:t>
      </w:r>
    </w:p>
    <w:p>
      <w:pPr>
        <w:spacing w:line="500" w:lineRule="exact"/>
        <w:ind w:firstLine="480" w:firstLineChars="200"/>
        <w:rPr>
          <w:sz w:val="24"/>
          <w:szCs w:val="24"/>
        </w:rPr>
      </w:pPr>
      <w:r>
        <w:rPr>
          <w:sz w:val="24"/>
          <w:szCs w:val="24"/>
        </w:rPr>
        <w:t>8.4. 投标人在装订投标文件时，应严格按照顺序进行装订。</w:t>
      </w:r>
    </w:p>
    <w:p>
      <w:pPr>
        <w:spacing w:line="500" w:lineRule="exact"/>
        <w:ind w:firstLine="480" w:firstLineChars="200"/>
        <w:rPr>
          <w:sz w:val="24"/>
          <w:szCs w:val="24"/>
        </w:rPr>
      </w:pPr>
      <w:r>
        <w:rPr>
          <w:sz w:val="24"/>
          <w:szCs w:val="24"/>
        </w:rPr>
        <w:t>9、投标文件格式：</w:t>
      </w:r>
    </w:p>
    <w:p>
      <w:pPr>
        <w:spacing w:line="500" w:lineRule="exact"/>
        <w:ind w:firstLine="480" w:firstLineChars="200"/>
        <w:rPr>
          <w:sz w:val="24"/>
          <w:szCs w:val="24"/>
        </w:rPr>
      </w:pPr>
      <w:r>
        <w:rPr>
          <w:sz w:val="24"/>
          <w:szCs w:val="24"/>
        </w:rPr>
        <w:t>9.1 投标人应按招标文件的内容与要求和提供的格式编写其投标文件，投标人不得缺少或留空任何招标文件要求填写的表格或提交的资料。</w:t>
      </w:r>
    </w:p>
    <w:p>
      <w:pPr>
        <w:spacing w:line="500" w:lineRule="exact"/>
        <w:ind w:firstLine="480" w:firstLineChars="200"/>
        <w:rPr>
          <w:sz w:val="24"/>
          <w:szCs w:val="24"/>
        </w:rPr>
      </w:pPr>
      <w:r>
        <w:rPr>
          <w:sz w:val="24"/>
          <w:szCs w:val="24"/>
        </w:rPr>
        <w:t>9.2投标人应将投标文件按规定的顺序编排、并应编制目录、逐页标注连续页码，并装定成册。（不允许漏页）</w:t>
      </w:r>
    </w:p>
    <w:p>
      <w:pPr>
        <w:pStyle w:val="11"/>
        <w:adjustRightInd w:val="0"/>
        <w:snapToGrid w:val="0"/>
        <w:spacing w:line="500" w:lineRule="exact"/>
        <w:ind w:firstLine="480" w:firstLineChars="200"/>
        <w:rPr>
          <w:rFonts w:ascii="Times New Roman" w:eastAsia="新宋体"/>
          <w:sz w:val="24"/>
          <w:szCs w:val="24"/>
        </w:rPr>
      </w:pPr>
      <w:r>
        <w:rPr>
          <w:rFonts w:ascii="Times New Roman" w:eastAsia="新宋体"/>
          <w:sz w:val="24"/>
          <w:szCs w:val="24"/>
        </w:rPr>
        <w:t>9.3 投标人提交的投标文件以及投标人与或采购人就有关投标的所有来往函电均应使用简体中文。投标人提交的支持文件或印刷的文献可以用另一种语言，但相应内容应附有简体中文翻译本，在解释投标文件的修改内容时以简体中文翻译本为准。</w:t>
      </w:r>
    </w:p>
    <w:p>
      <w:pPr>
        <w:spacing w:line="500" w:lineRule="exact"/>
        <w:ind w:firstLine="480" w:firstLineChars="200"/>
        <w:rPr>
          <w:rFonts w:eastAsia="新宋体"/>
          <w:sz w:val="24"/>
        </w:rPr>
      </w:pPr>
      <w:r>
        <w:rPr>
          <w:rFonts w:eastAsia="新宋体"/>
          <w:sz w:val="24"/>
        </w:rPr>
        <w:t>9.4 除采购文件另有规定外，投标文件所使用的度量衡单位均应采用公制。</w:t>
      </w:r>
    </w:p>
    <w:p>
      <w:pPr>
        <w:spacing w:line="500" w:lineRule="exact"/>
        <w:ind w:firstLine="480" w:firstLineChars="200"/>
        <w:rPr>
          <w:sz w:val="24"/>
          <w:szCs w:val="24"/>
        </w:rPr>
      </w:pPr>
    </w:p>
    <w:p>
      <w:pPr>
        <w:spacing w:line="500" w:lineRule="exact"/>
        <w:ind w:firstLine="480" w:firstLineChars="200"/>
        <w:rPr>
          <w:sz w:val="24"/>
          <w:szCs w:val="24"/>
        </w:rPr>
      </w:pPr>
      <w:r>
        <w:rPr>
          <w:sz w:val="24"/>
          <w:szCs w:val="24"/>
        </w:rPr>
        <w:t>10、招标报价</w:t>
      </w:r>
    </w:p>
    <w:p>
      <w:pPr>
        <w:adjustRightInd w:val="0"/>
        <w:snapToGrid w:val="0"/>
        <w:spacing w:line="500" w:lineRule="exact"/>
        <w:ind w:firstLine="480" w:firstLineChars="200"/>
        <w:rPr>
          <w:sz w:val="24"/>
        </w:rPr>
      </w:pPr>
      <w:r>
        <w:rPr>
          <w:sz w:val="24"/>
        </w:rPr>
        <w:t>10.1 招标报价应包括投标设备（含备品备件、专用工具）、技术资料、技术服务、人员培训及支付的各种税费、运费、装卸费、仓储费、保险费、安装、调试等有关费用。</w:t>
      </w:r>
    </w:p>
    <w:p>
      <w:pPr>
        <w:adjustRightInd w:val="0"/>
        <w:snapToGrid w:val="0"/>
        <w:spacing w:line="500" w:lineRule="exact"/>
        <w:ind w:firstLine="480" w:firstLineChars="200"/>
        <w:rPr>
          <w:sz w:val="24"/>
        </w:rPr>
      </w:pPr>
      <w:r>
        <w:rPr>
          <w:sz w:val="24"/>
          <w:szCs w:val="24"/>
        </w:rPr>
        <w:t>10.2所有税费均计入总报价</w:t>
      </w:r>
    </w:p>
    <w:p>
      <w:pPr>
        <w:spacing w:line="500" w:lineRule="exact"/>
        <w:ind w:firstLine="480" w:firstLineChars="200"/>
        <w:rPr>
          <w:sz w:val="24"/>
          <w:szCs w:val="24"/>
        </w:rPr>
      </w:pPr>
      <w:r>
        <w:rPr>
          <w:sz w:val="24"/>
          <w:szCs w:val="24"/>
        </w:rPr>
        <w:t>10.3 投标人应在投标分项报价表上标明拟提供货物的单价、合价和总价。</w:t>
      </w:r>
    </w:p>
    <w:p>
      <w:pPr>
        <w:spacing w:line="500" w:lineRule="exact"/>
        <w:ind w:firstLine="480" w:firstLineChars="200"/>
        <w:rPr>
          <w:sz w:val="24"/>
          <w:szCs w:val="24"/>
        </w:rPr>
      </w:pPr>
      <w:r>
        <w:rPr>
          <w:sz w:val="24"/>
          <w:szCs w:val="24"/>
        </w:rPr>
        <w:t>所有根据合同或其它原因应由投标人支付的税款和其它应交纳的费用都要包括在投标人提交的招标报价中。</w:t>
      </w:r>
    </w:p>
    <w:p>
      <w:pPr>
        <w:spacing w:line="500" w:lineRule="exact"/>
        <w:ind w:firstLine="480" w:firstLineChars="200"/>
        <w:rPr>
          <w:sz w:val="24"/>
          <w:szCs w:val="24"/>
        </w:rPr>
      </w:pPr>
      <w:r>
        <w:rPr>
          <w:sz w:val="24"/>
          <w:szCs w:val="24"/>
        </w:rPr>
        <w:t>10.4 投标人根据本须知的规定将投标价分成几部分，只是为了方便采购方对投标文件进行比较，并不限制采购人以上述任何条件订立合同的权力。</w:t>
      </w:r>
    </w:p>
    <w:p>
      <w:pPr>
        <w:spacing w:line="500" w:lineRule="exact"/>
        <w:ind w:firstLine="480" w:firstLineChars="200"/>
        <w:rPr>
          <w:sz w:val="24"/>
          <w:szCs w:val="24"/>
        </w:rPr>
      </w:pPr>
      <w:r>
        <w:rPr>
          <w:sz w:val="24"/>
          <w:szCs w:val="24"/>
        </w:rPr>
        <w:t>10.5 投标人所报的投标价在合同执行过程中是固定不变的，不得以任何理由予以变更。任何包含价格调整要求的投标，将被认为是非响应性投标而予以拒绝。</w:t>
      </w:r>
    </w:p>
    <w:p>
      <w:pPr>
        <w:spacing w:line="500" w:lineRule="exact"/>
        <w:ind w:firstLine="480" w:firstLineChars="200"/>
        <w:rPr>
          <w:sz w:val="24"/>
          <w:szCs w:val="24"/>
        </w:rPr>
      </w:pPr>
      <w:r>
        <w:rPr>
          <w:sz w:val="24"/>
          <w:szCs w:val="24"/>
        </w:rPr>
        <w:t>10.6 采购人不接受投标人对任何未办理正常进口手续的非中华人民共和国境内生产的货物的招标报价。</w:t>
      </w:r>
    </w:p>
    <w:p>
      <w:pPr>
        <w:spacing w:line="500" w:lineRule="exact"/>
        <w:ind w:firstLine="480" w:firstLineChars="200"/>
        <w:rPr>
          <w:sz w:val="24"/>
          <w:szCs w:val="24"/>
        </w:rPr>
      </w:pPr>
      <w:r>
        <w:rPr>
          <w:sz w:val="24"/>
          <w:szCs w:val="24"/>
        </w:rPr>
        <w:t>10.7 投标人不得以低于成本的报价竞标，否则将做废标处理。</w:t>
      </w:r>
    </w:p>
    <w:p>
      <w:pPr>
        <w:spacing w:line="500" w:lineRule="exact"/>
        <w:ind w:firstLine="480" w:firstLineChars="200"/>
        <w:rPr>
          <w:sz w:val="24"/>
          <w:szCs w:val="24"/>
        </w:rPr>
      </w:pPr>
      <w:r>
        <w:rPr>
          <w:sz w:val="24"/>
          <w:szCs w:val="24"/>
        </w:rPr>
        <w:t>11、投标货币</w:t>
      </w:r>
    </w:p>
    <w:p>
      <w:pPr>
        <w:spacing w:line="500" w:lineRule="exact"/>
        <w:ind w:firstLine="480" w:firstLineChars="200"/>
        <w:rPr>
          <w:sz w:val="24"/>
          <w:szCs w:val="24"/>
        </w:rPr>
      </w:pPr>
      <w:r>
        <w:rPr>
          <w:sz w:val="24"/>
          <w:szCs w:val="24"/>
        </w:rPr>
        <w:t>11.1 投标人提供的货物和服务一律用人民币报价。任何非人民币币种的招标报价将被拒绝。</w:t>
      </w:r>
    </w:p>
    <w:p>
      <w:pPr>
        <w:spacing w:line="500" w:lineRule="exact"/>
        <w:ind w:firstLine="480" w:firstLineChars="200"/>
        <w:rPr>
          <w:sz w:val="24"/>
          <w:szCs w:val="24"/>
        </w:rPr>
      </w:pPr>
      <w:r>
        <w:rPr>
          <w:sz w:val="24"/>
          <w:szCs w:val="24"/>
        </w:rPr>
        <w:t>12、证明投标人合格和有资格投标的文件</w:t>
      </w:r>
    </w:p>
    <w:p>
      <w:pPr>
        <w:spacing w:line="500" w:lineRule="exact"/>
        <w:ind w:firstLine="480" w:firstLineChars="200"/>
      </w:pPr>
      <w:r>
        <w:rPr>
          <w:sz w:val="24"/>
          <w:szCs w:val="24"/>
        </w:rPr>
        <w:t>12.1 投标人应提交证明其有资格参加投标和中标后有能力履行合同的文件，并作为其投标文件的</w:t>
      </w:r>
      <w:r>
        <w:t>一部分。</w:t>
      </w:r>
    </w:p>
    <w:p>
      <w:pPr>
        <w:spacing w:line="500" w:lineRule="exact"/>
        <w:ind w:firstLine="480" w:firstLineChars="200"/>
        <w:rPr>
          <w:sz w:val="24"/>
          <w:szCs w:val="24"/>
        </w:rPr>
      </w:pPr>
      <w:r>
        <w:rPr>
          <w:sz w:val="24"/>
          <w:szCs w:val="24"/>
        </w:rPr>
        <w:t>12.2 投标人提交的合格性证明文件应使采购方满意，投标人在招标时应符合本须知的规定。</w:t>
      </w:r>
    </w:p>
    <w:p>
      <w:pPr>
        <w:widowControl/>
        <w:spacing w:line="500" w:lineRule="exact"/>
        <w:ind w:firstLine="480" w:firstLineChars="200"/>
        <w:rPr>
          <w:kern w:val="0"/>
          <w:sz w:val="24"/>
        </w:rPr>
      </w:pPr>
      <w:r>
        <w:rPr>
          <w:sz w:val="24"/>
          <w:szCs w:val="24"/>
        </w:rPr>
        <w:t>12.3 投标人提交的证明其中标后能履行合同的资格证明文件应使采购方满意，即:</w:t>
      </w:r>
      <w:r>
        <w:rPr>
          <w:kern w:val="0"/>
          <w:sz w:val="24"/>
        </w:rPr>
        <w:t>若投标人提供的设备不是投标人制造或供应的，则投标人须</w:t>
      </w:r>
      <w:r>
        <w:rPr>
          <w:rFonts w:hint="eastAsia"/>
          <w:kern w:val="0"/>
          <w:sz w:val="24"/>
        </w:rPr>
        <w:t>提供可</w:t>
      </w:r>
      <w:r>
        <w:rPr>
          <w:kern w:val="0"/>
          <w:sz w:val="24"/>
        </w:rPr>
        <w:t>得到设备的充分授权</w:t>
      </w:r>
      <w:r>
        <w:rPr>
          <w:rFonts w:hint="eastAsia"/>
          <w:kern w:val="0"/>
          <w:sz w:val="24"/>
        </w:rPr>
        <w:t>的承诺</w:t>
      </w:r>
      <w:r>
        <w:rPr>
          <w:kern w:val="0"/>
          <w:sz w:val="24"/>
        </w:rPr>
        <w:t>。</w:t>
      </w:r>
    </w:p>
    <w:p>
      <w:pPr>
        <w:spacing w:line="500" w:lineRule="exact"/>
        <w:ind w:firstLine="480" w:firstLineChars="200"/>
        <w:rPr>
          <w:sz w:val="24"/>
          <w:szCs w:val="24"/>
        </w:rPr>
      </w:pPr>
      <w:r>
        <w:rPr>
          <w:sz w:val="24"/>
          <w:szCs w:val="24"/>
        </w:rPr>
        <w:t>投标人已具备履行合同所需的财务、技术和生产能力；</w:t>
      </w:r>
    </w:p>
    <w:p>
      <w:pPr>
        <w:spacing w:line="500" w:lineRule="exact"/>
        <w:ind w:firstLine="480" w:firstLineChars="200"/>
        <w:rPr>
          <w:sz w:val="24"/>
          <w:szCs w:val="24"/>
        </w:rPr>
      </w:pPr>
      <w:r>
        <w:rPr>
          <w:sz w:val="24"/>
          <w:szCs w:val="24"/>
        </w:rPr>
        <w:t>投标人满足“投标人须知前附表”中列出的资格标准及业绩要求。</w:t>
      </w:r>
    </w:p>
    <w:p>
      <w:pPr>
        <w:spacing w:line="500" w:lineRule="exact"/>
        <w:ind w:firstLine="480" w:firstLineChars="200"/>
        <w:rPr>
          <w:sz w:val="24"/>
          <w:szCs w:val="24"/>
        </w:rPr>
      </w:pPr>
      <w:r>
        <w:rPr>
          <w:sz w:val="24"/>
          <w:szCs w:val="24"/>
        </w:rPr>
        <w:t>13、证明货物的合格性和符合招标文件规定的文件</w:t>
      </w:r>
    </w:p>
    <w:p>
      <w:pPr>
        <w:spacing w:line="500" w:lineRule="exact"/>
        <w:ind w:firstLine="480" w:firstLineChars="200"/>
        <w:rPr>
          <w:sz w:val="24"/>
          <w:szCs w:val="24"/>
        </w:rPr>
      </w:pPr>
      <w:r>
        <w:rPr>
          <w:sz w:val="24"/>
          <w:szCs w:val="24"/>
        </w:rPr>
        <w:t>13.1 投标人应提交证明文件证明其拟投标的货物的合格性符合招标文件规定。该证明文件作为投标文件的一部分。</w:t>
      </w:r>
    </w:p>
    <w:p>
      <w:pPr>
        <w:spacing w:line="500" w:lineRule="exact"/>
        <w:ind w:firstLine="480" w:firstLineChars="200"/>
        <w:rPr>
          <w:sz w:val="24"/>
          <w:szCs w:val="24"/>
        </w:rPr>
      </w:pPr>
      <w:r>
        <w:rPr>
          <w:sz w:val="24"/>
          <w:szCs w:val="24"/>
        </w:rPr>
        <w:t>13.2 证明货物和服务与招标文件的要求一致的文件，可以是文字资料、图纸和数据，它包括：</w:t>
      </w:r>
    </w:p>
    <w:p>
      <w:pPr>
        <w:spacing w:line="500" w:lineRule="exact"/>
        <w:ind w:firstLine="480" w:firstLineChars="200"/>
        <w:rPr>
          <w:sz w:val="24"/>
          <w:szCs w:val="24"/>
        </w:rPr>
      </w:pPr>
      <w:r>
        <w:rPr>
          <w:sz w:val="24"/>
          <w:szCs w:val="24"/>
        </w:rPr>
        <w:t>货物主要技术指标和性能的详细说明。</w:t>
      </w:r>
    </w:p>
    <w:p>
      <w:pPr>
        <w:spacing w:line="500" w:lineRule="exact"/>
        <w:ind w:firstLine="480" w:firstLineChars="200"/>
        <w:rPr>
          <w:sz w:val="24"/>
          <w:szCs w:val="24"/>
        </w:rPr>
      </w:pPr>
      <w:r>
        <w:rPr>
          <w:sz w:val="24"/>
          <w:szCs w:val="24"/>
        </w:rPr>
        <w:t>货物从采购人开始使用至“投标人须知前附表”中规定的周期内正常、连续地使用所必须的备品备件和专用工具清单，包括备品备件和专用工具的供货来源及现行价格。</w:t>
      </w:r>
    </w:p>
    <w:p>
      <w:pPr>
        <w:spacing w:line="500" w:lineRule="exact"/>
        <w:ind w:firstLine="480" w:firstLineChars="200"/>
        <w:rPr>
          <w:sz w:val="24"/>
          <w:szCs w:val="24"/>
        </w:rPr>
      </w:pPr>
      <w:r>
        <w:rPr>
          <w:sz w:val="24"/>
          <w:szCs w:val="24"/>
        </w:rPr>
        <w:t>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pPr>
        <w:spacing w:line="500" w:lineRule="exact"/>
        <w:ind w:firstLine="480" w:firstLineChars="200"/>
        <w:rPr>
          <w:sz w:val="24"/>
          <w:szCs w:val="24"/>
        </w:rPr>
      </w:pPr>
      <w:r>
        <w:rPr>
          <w:sz w:val="24"/>
          <w:szCs w:val="24"/>
        </w:rPr>
        <w:t>13.3 投标人在阐述上述时应注意招标文件 “货物技术规格、参数与要求” 中指出的工艺、材料和设备的标准以及参照的牌号或分类号仅起说明作用，并没有任何限制性。投标人在响应中可以选用替代标准、牌号或分类号，但这些替代要实质上相当于技术规格的要求，并且使采购方满意。</w:t>
      </w:r>
    </w:p>
    <w:p>
      <w:pPr>
        <w:spacing w:line="500" w:lineRule="exact"/>
        <w:ind w:firstLine="480" w:firstLineChars="200"/>
        <w:rPr>
          <w:sz w:val="24"/>
          <w:szCs w:val="24"/>
        </w:rPr>
      </w:pPr>
      <w:r>
        <w:rPr>
          <w:sz w:val="24"/>
          <w:szCs w:val="24"/>
        </w:rPr>
        <w:t>14、投标保证金</w:t>
      </w:r>
    </w:p>
    <w:p>
      <w:pPr>
        <w:spacing w:line="500" w:lineRule="exact"/>
        <w:ind w:firstLine="480" w:firstLineChars="200"/>
        <w:rPr>
          <w:sz w:val="24"/>
        </w:rPr>
      </w:pPr>
      <w:r>
        <w:rPr>
          <w:sz w:val="24"/>
        </w:rPr>
        <w:t>14.1 投标保证金是为了保护采购人免遭因响应投标人的行为而蒙受损失。采购人在因响应投标人的行为受到损害时可根据本须知的规定没收响应投标人的招标保证金。</w:t>
      </w:r>
    </w:p>
    <w:p>
      <w:pPr>
        <w:spacing w:line="500" w:lineRule="exact"/>
        <w:ind w:firstLine="480" w:firstLineChars="200"/>
        <w:rPr>
          <w:sz w:val="24"/>
        </w:rPr>
      </w:pPr>
      <w:r>
        <w:rPr>
          <w:sz w:val="24"/>
        </w:rPr>
        <w:t>14.2 投标保证金的货币为人民币，并采用电汇，支票等非现金的形式，如电汇产生的一切费用由响应投标人自行承担。(电汇、支票均须在递交投标保证金截止时间前确认到账)</w:t>
      </w:r>
    </w:p>
    <w:p>
      <w:pPr>
        <w:spacing w:line="500" w:lineRule="exact"/>
        <w:ind w:firstLine="360" w:firstLineChars="150"/>
        <w:rPr>
          <w:sz w:val="24"/>
        </w:rPr>
      </w:pPr>
      <w:r>
        <w:rPr>
          <w:sz w:val="24"/>
        </w:rPr>
        <w:t>（1）、招标保证金额：详见《投标人须知前附表》第14项；</w:t>
      </w:r>
    </w:p>
    <w:p>
      <w:pPr>
        <w:spacing w:line="500" w:lineRule="exact"/>
        <w:ind w:firstLine="360" w:firstLineChars="150"/>
        <w:rPr>
          <w:sz w:val="24"/>
        </w:rPr>
      </w:pPr>
      <w:r>
        <w:rPr>
          <w:sz w:val="24"/>
        </w:rPr>
        <w:t>（2）、递交招标保证金截止时间：</w:t>
      </w:r>
      <w:r>
        <w:rPr>
          <w:bCs/>
          <w:kern w:val="0"/>
          <w:sz w:val="24"/>
          <w:szCs w:val="24"/>
        </w:rPr>
        <w:t>投标保证金须在</w:t>
      </w:r>
      <w:r>
        <w:rPr>
          <w:sz w:val="24"/>
        </w:rPr>
        <w:t>《投标人须知前附表》第14项规定</w:t>
      </w:r>
      <w:r>
        <w:rPr>
          <w:bCs/>
          <w:kern w:val="0"/>
          <w:sz w:val="24"/>
          <w:szCs w:val="24"/>
        </w:rPr>
        <w:t>时间前确认到账。</w:t>
      </w:r>
      <w:r>
        <w:rPr>
          <w:sz w:val="24"/>
        </w:rPr>
        <w:t>凡未提交投标保证金的响应，将视为非实质性响应而被拒绝</w:t>
      </w:r>
    </w:p>
    <w:p>
      <w:pPr>
        <w:spacing w:line="500" w:lineRule="exact"/>
        <w:ind w:firstLine="480" w:firstLineChars="200"/>
        <w:rPr>
          <w:sz w:val="24"/>
        </w:rPr>
      </w:pPr>
      <w:r>
        <w:rPr>
          <w:sz w:val="24"/>
        </w:rPr>
        <w:t>14.3 凡没有根据本须知的规定随附投标保证金的响应，将被视为非响应性予以拒绝。</w:t>
      </w:r>
    </w:p>
    <w:p>
      <w:pPr>
        <w:spacing w:line="500" w:lineRule="exact"/>
        <w:ind w:firstLine="480" w:firstLineChars="200"/>
        <w:rPr>
          <w:sz w:val="24"/>
        </w:rPr>
      </w:pPr>
      <w:r>
        <w:rPr>
          <w:sz w:val="24"/>
        </w:rPr>
        <w:t xml:space="preserve">14.4 </w:t>
      </w:r>
      <w:r>
        <w:rPr>
          <w:rFonts w:eastAsia="新宋体"/>
          <w:sz w:val="24"/>
        </w:rPr>
        <w:t>未中标的投标人，其投标保证金在中标通知书发出后五个工作日内退还；中标人的投标保证金在合同签订后五个工作日内退还。</w:t>
      </w:r>
    </w:p>
    <w:p>
      <w:pPr>
        <w:spacing w:line="500" w:lineRule="exact"/>
        <w:ind w:firstLine="480" w:firstLineChars="200"/>
        <w:rPr>
          <w:sz w:val="24"/>
          <w:szCs w:val="22"/>
        </w:rPr>
      </w:pPr>
      <w:r>
        <w:rPr>
          <w:sz w:val="24"/>
          <w:szCs w:val="22"/>
        </w:rPr>
        <w:t xml:space="preserve">14.5 </w:t>
      </w:r>
      <w:r>
        <w:rPr>
          <w:b/>
          <w:bCs/>
          <w:sz w:val="24"/>
          <w:szCs w:val="22"/>
        </w:rPr>
        <w:t>退投标保证金程序：</w:t>
      </w:r>
    </w:p>
    <w:p>
      <w:pPr>
        <w:numPr>
          <w:ilvl w:val="0"/>
          <w:numId w:val="9"/>
        </w:numPr>
        <w:autoSpaceDE w:val="0"/>
        <w:autoSpaceDN w:val="0"/>
        <w:adjustRightInd w:val="0"/>
        <w:spacing w:line="500" w:lineRule="exact"/>
        <w:ind w:left="5" w:firstLine="415"/>
        <w:rPr>
          <w:b/>
          <w:bCs/>
          <w:sz w:val="24"/>
          <w:szCs w:val="24"/>
        </w:rPr>
      </w:pPr>
      <w:r>
        <w:rPr>
          <w:b/>
          <w:bCs/>
          <w:sz w:val="24"/>
          <w:szCs w:val="24"/>
        </w:rPr>
        <w:t>退还保证金的投标单位需对开收据、提供公司开户许可证复印件并盖章（复印件上写明行号、联系人、电话）。全部以电汇方式退款。</w:t>
      </w:r>
    </w:p>
    <w:p>
      <w:pPr>
        <w:numPr>
          <w:ilvl w:val="0"/>
          <w:numId w:val="9"/>
        </w:numPr>
        <w:autoSpaceDE w:val="0"/>
        <w:autoSpaceDN w:val="0"/>
        <w:adjustRightInd w:val="0"/>
        <w:spacing w:line="500" w:lineRule="exact"/>
        <w:ind w:left="5" w:firstLine="415"/>
        <w:rPr>
          <w:b/>
          <w:bCs/>
          <w:sz w:val="24"/>
          <w:szCs w:val="24"/>
        </w:rPr>
      </w:pPr>
      <w:r>
        <w:rPr>
          <w:b/>
          <w:bCs/>
          <w:sz w:val="24"/>
          <w:szCs w:val="24"/>
        </w:rPr>
        <w:t>办理退投标保证金业务的人员，需持法定代表人授权委托书。</w:t>
      </w:r>
    </w:p>
    <w:p>
      <w:pPr>
        <w:numPr>
          <w:ilvl w:val="0"/>
          <w:numId w:val="9"/>
        </w:numPr>
        <w:autoSpaceDE w:val="0"/>
        <w:autoSpaceDN w:val="0"/>
        <w:adjustRightInd w:val="0"/>
        <w:spacing w:line="500" w:lineRule="exact"/>
        <w:ind w:left="5" w:firstLine="415"/>
        <w:rPr>
          <w:b/>
          <w:bCs/>
          <w:sz w:val="24"/>
          <w:szCs w:val="24"/>
        </w:rPr>
      </w:pPr>
      <w:r>
        <w:rPr>
          <w:b/>
          <w:bCs/>
          <w:sz w:val="24"/>
          <w:szCs w:val="24"/>
        </w:rPr>
        <w:t>退还投标保证金时间：中标公示期满后，未中标单位可携带以上资料到财务室办理退款；中标单位在合同签订后，须带以上资料和合同原件及复印件各1份找项目负责人办理退款。</w:t>
      </w:r>
    </w:p>
    <w:p>
      <w:pPr>
        <w:spacing w:line="500" w:lineRule="exact"/>
        <w:ind w:firstLine="480" w:firstLineChars="200"/>
        <w:rPr>
          <w:sz w:val="24"/>
        </w:rPr>
      </w:pPr>
      <w:r>
        <w:rPr>
          <w:sz w:val="24"/>
        </w:rPr>
        <w:t>14.6下列任何情况发生时，投标保证金将被没收。</w:t>
      </w:r>
    </w:p>
    <w:p>
      <w:pPr>
        <w:spacing w:line="500" w:lineRule="exact"/>
        <w:ind w:firstLine="480" w:firstLineChars="200"/>
        <w:rPr>
          <w:sz w:val="24"/>
        </w:rPr>
      </w:pPr>
      <w:r>
        <w:rPr>
          <w:sz w:val="24"/>
        </w:rPr>
        <w:t>1、响应投标人在招标文件规定的招标有效期内撤回其响应的；</w:t>
      </w:r>
    </w:p>
    <w:p>
      <w:pPr>
        <w:spacing w:line="500" w:lineRule="exact"/>
        <w:ind w:firstLine="480" w:firstLineChars="200"/>
        <w:rPr>
          <w:sz w:val="24"/>
        </w:rPr>
      </w:pPr>
      <w:r>
        <w:rPr>
          <w:sz w:val="24"/>
        </w:rPr>
        <w:t>2、成交方在规定期限内未能按规定与采购人签订合同的。</w:t>
      </w:r>
    </w:p>
    <w:p>
      <w:pPr>
        <w:spacing w:line="500" w:lineRule="exact"/>
        <w:ind w:firstLine="480" w:firstLineChars="200"/>
        <w:rPr>
          <w:sz w:val="24"/>
        </w:rPr>
      </w:pPr>
      <w:r>
        <w:rPr>
          <w:sz w:val="24"/>
        </w:rPr>
        <w:t>3、中标候选人在规定期限内未能提交履约保证金。</w:t>
      </w:r>
    </w:p>
    <w:p>
      <w:pPr>
        <w:spacing w:line="500" w:lineRule="exact"/>
        <w:ind w:firstLine="480" w:firstLineChars="200"/>
        <w:rPr>
          <w:sz w:val="24"/>
          <w:szCs w:val="24"/>
        </w:rPr>
      </w:pPr>
      <w:r>
        <w:rPr>
          <w:sz w:val="24"/>
          <w:szCs w:val="24"/>
        </w:rPr>
        <w:t>15、招标有效期</w:t>
      </w:r>
    </w:p>
    <w:p>
      <w:pPr>
        <w:spacing w:line="500" w:lineRule="exact"/>
        <w:ind w:firstLine="480" w:firstLineChars="200"/>
        <w:rPr>
          <w:sz w:val="24"/>
          <w:szCs w:val="24"/>
        </w:rPr>
      </w:pPr>
      <w:r>
        <w:rPr>
          <w:sz w:val="24"/>
          <w:szCs w:val="24"/>
        </w:rPr>
        <w:t>15.1 响应应自本须知规定的开标日起，并在“投标人须知前附表”中所述招标有效期内保持有效。招标有效期不足的将被视为非响应性而予以拒绝。</w:t>
      </w:r>
    </w:p>
    <w:p>
      <w:pPr>
        <w:spacing w:line="500" w:lineRule="exact"/>
        <w:ind w:firstLine="480" w:firstLineChars="200"/>
        <w:rPr>
          <w:sz w:val="24"/>
          <w:szCs w:val="24"/>
        </w:rPr>
      </w:pPr>
      <w:r>
        <w:rPr>
          <w:sz w:val="24"/>
          <w:szCs w:val="24"/>
        </w:rPr>
        <w:t>15.2特殊情况下，在原投标有效期截止之前，（采购代理机构）或采购人可要求投标人延长投标有效期。这种要求与答复均应以书面形式提交。投标人可拒绝采购代理机构或采购人的这种要求，其投标保证金将不会被没收，但其投标在原投标有效期期满后将不再有效。同意延长投标有效期的投标人将不会被要求和允许修正其投标，而只会被要求相应地延长其投标保证金的有效期。在这种情况下，本须知有关投标保证金的退还和不于退还的规定将在延长了的有效期内继续有效。</w:t>
      </w:r>
    </w:p>
    <w:p>
      <w:pPr>
        <w:spacing w:line="500" w:lineRule="exact"/>
        <w:ind w:firstLine="480" w:firstLineChars="200"/>
        <w:rPr>
          <w:sz w:val="24"/>
          <w:szCs w:val="24"/>
        </w:rPr>
      </w:pPr>
      <w:r>
        <w:rPr>
          <w:sz w:val="24"/>
          <w:szCs w:val="24"/>
        </w:rPr>
        <w:t>16、投标文件的制作和签署</w:t>
      </w:r>
    </w:p>
    <w:p>
      <w:pPr>
        <w:spacing w:line="500" w:lineRule="exact"/>
        <w:ind w:firstLine="480" w:firstLineChars="200"/>
        <w:rPr>
          <w:sz w:val="24"/>
          <w:szCs w:val="24"/>
        </w:rPr>
      </w:pPr>
      <w:r>
        <w:rPr>
          <w:sz w:val="24"/>
          <w:szCs w:val="24"/>
        </w:rPr>
        <w:t>16.1 投标人应编制投标文件，其份数见投标人须知前附表，投标文件的副本可采用正本的复印件。每套投标文件须清楚地标明“正本”、“副本”。若副本与正本不符，以正本为准。</w:t>
      </w:r>
    </w:p>
    <w:p>
      <w:pPr>
        <w:spacing w:line="500" w:lineRule="exact"/>
        <w:ind w:firstLine="480" w:firstLineChars="200"/>
        <w:rPr>
          <w:sz w:val="24"/>
          <w:szCs w:val="24"/>
        </w:rPr>
      </w:pPr>
      <w:r>
        <w:rPr>
          <w:sz w:val="24"/>
          <w:szCs w:val="24"/>
        </w:rPr>
        <w:t>16.2 投标文件的正本需打印，</w:t>
      </w:r>
      <w:r>
        <w:rPr>
          <w:rFonts w:eastAsia="新宋体"/>
          <w:kern w:val="0"/>
          <w:sz w:val="24"/>
        </w:rPr>
        <w:t>并加盖公章和由法定代表人或经其正式授权的代表签字或盖章</w:t>
      </w:r>
      <w:r>
        <w:rPr>
          <w:sz w:val="24"/>
          <w:szCs w:val="24"/>
        </w:rPr>
        <w:t>。</w:t>
      </w:r>
    </w:p>
    <w:p>
      <w:pPr>
        <w:spacing w:line="500" w:lineRule="exact"/>
        <w:ind w:firstLine="480" w:firstLineChars="200"/>
        <w:rPr>
          <w:sz w:val="24"/>
          <w:szCs w:val="24"/>
        </w:rPr>
      </w:pPr>
      <w:r>
        <w:rPr>
          <w:sz w:val="24"/>
          <w:szCs w:val="24"/>
        </w:rPr>
        <w:t>16.3 任何行间插字、涂改或增删，必须重新加盖公章。</w:t>
      </w:r>
    </w:p>
    <w:p>
      <w:pPr>
        <w:spacing w:line="500" w:lineRule="exact"/>
        <w:ind w:firstLine="480" w:firstLineChars="200"/>
        <w:rPr>
          <w:sz w:val="24"/>
          <w:szCs w:val="24"/>
        </w:rPr>
      </w:pPr>
      <w:r>
        <w:rPr>
          <w:sz w:val="24"/>
          <w:szCs w:val="24"/>
        </w:rPr>
        <w:t>17、投标文件的密封和标记及递交</w:t>
      </w:r>
    </w:p>
    <w:p>
      <w:pPr>
        <w:spacing w:line="500" w:lineRule="exact"/>
        <w:ind w:firstLine="480" w:firstLineChars="200"/>
        <w:rPr>
          <w:sz w:val="24"/>
          <w:szCs w:val="24"/>
        </w:rPr>
      </w:pPr>
      <w:r>
        <w:rPr>
          <w:sz w:val="24"/>
          <w:szCs w:val="24"/>
        </w:rPr>
        <w:t>17.1 为方便开标唱标，投标人应将开标一览表单独密封一份，并在信封上标明“开标一览表”字样。</w:t>
      </w:r>
    </w:p>
    <w:p>
      <w:pPr>
        <w:spacing w:line="500" w:lineRule="exact"/>
        <w:ind w:firstLine="480" w:firstLineChars="200"/>
        <w:rPr>
          <w:sz w:val="24"/>
          <w:szCs w:val="24"/>
        </w:rPr>
      </w:pPr>
      <w:r>
        <w:rPr>
          <w:sz w:val="24"/>
          <w:szCs w:val="24"/>
        </w:rPr>
        <w:t>17.2 投标人应将投标文件正本单独密封，并标明“投标文件正本”字样。</w:t>
      </w:r>
    </w:p>
    <w:p>
      <w:pPr>
        <w:spacing w:line="500" w:lineRule="exact"/>
        <w:ind w:firstLine="480" w:firstLineChars="200"/>
        <w:rPr>
          <w:sz w:val="24"/>
          <w:szCs w:val="24"/>
        </w:rPr>
      </w:pPr>
      <w:r>
        <w:rPr>
          <w:sz w:val="24"/>
          <w:szCs w:val="24"/>
        </w:rPr>
        <w:t>17.3投标人应将投标文件所有的副本密封装在一起，且标明 “副本”字样。均应按《投标人须知前附表》要求密封：</w:t>
      </w:r>
    </w:p>
    <w:p>
      <w:pPr>
        <w:spacing w:line="500" w:lineRule="exact"/>
        <w:ind w:firstLine="480" w:firstLineChars="200"/>
        <w:rPr>
          <w:sz w:val="24"/>
          <w:szCs w:val="24"/>
        </w:rPr>
      </w:pPr>
      <w:r>
        <w:rPr>
          <w:sz w:val="24"/>
          <w:szCs w:val="24"/>
        </w:rPr>
        <w:t>17.4 如果未按本须知要求加写标记、签字或盖章和密封的，其响应将被拒绝。</w:t>
      </w:r>
    </w:p>
    <w:p>
      <w:pPr>
        <w:spacing w:line="500" w:lineRule="exact"/>
        <w:ind w:firstLine="480" w:firstLineChars="200"/>
        <w:rPr>
          <w:sz w:val="24"/>
          <w:szCs w:val="24"/>
        </w:rPr>
      </w:pPr>
      <w:r>
        <w:rPr>
          <w:sz w:val="24"/>
          <w:szCs w:val="24"/>
        </w:rPr>
        <w:t>18、招标截止期</w:t>
      </w:r>
    </w:p>
    <w:p>
      <w:pPr>
        <w:spacing w:line="500" w:lineRule="exact"/>
        <w:ind w:firstLine="480" w:firstLineChars="200"/>
        <w:rPr>
          <w:sz w:val="24"/>
          <w:szCs w:val="24"/>
        </w:rPr>
      </w:pPr>
      <w:r>
        <w:rPr>
          <w:sz w:val="24"/>
          <w:szCs w:val="24"/>
        </w:rPr>
        <w:t>18.1 投标人应在不迟于“投标人须知前附表”中规定的截止日期和时间将投标文件递交至代理机构，递交地点应是“投标人须知前附表”中指明的地址。</w:t>
      </w:r>
    </w:p>
    <w:p>
      <w:pPr>
        <w:spacing w:line="500" w:lineRule="exact"/>
        <w:ind w:firstLine="480" w:firstLineChars="200"/>
        <w:rPr>
          <w:sz w:val="24"/>
          <w:szCs w:val="24"/>
        </w:rPr>
      </w:pPr>
      <w:r>
        <w:rPr>
          <w:sz w:val="24"/>
          <w:szCs w:val="24"/>
        </w:rPr>
        <w:t>18.2 代理机构可以按本须知规定，通知修改招标文件适当延长招标截止期。在此情况下，代理机构、采购人和投标人受招标截止期制约的所有权利和义务均应延长至新的截止期。</w:t>
      </w:r>
    </w:p>
    <w:p>
      <w:pPr>
        <w:spacing w:line="500" w:lineRule="exact"/>
        <w:ind w:firstLine="480" w:firstLineChars="200"/>
        <w:rPr>
          <w:sz w:val="24"/>
          <w:szCs w:val="24"/>
        </w:rPr>
      </w:pPr>
      <w:r>
        <w:rPr>
          <w:sz w:val="24"/>
          <w:szCs w:val="24"/>
        </w:rPr>
        <w:t>19、迟交的投标文件</w:t>
      </w:r>
    </w:p>
    <w:p>
      <w:pPr>
        <w:spacing w:line="500" w:lineRule="exact"/>
        <w:ind w:firstLine="480" w:firstLineChars="200"/>
        <w:rPr>
          <w:sz w:val="24"/>
          <w:szCs w:val="24"/>
        </w:rPr>
      </w:pPr>
      <w:r>
        <w:rPr>
          <w:sz w:val="24"/>
          <w:szCs w:val="24"/>
        </w:rPr>
        <w:t>19.1 代理机构将拒绝接收在本须知规定的截止期后送达的任何投标文件。</w:t>
      </w:r>
    </w:p>
    <w:p>
      <w:pPr>
        <w:spacing w:line="500" w:lineRule="exact"/>
        <w:ind w:firstLine="480" w:firstLineChars="200"/>
        <w:rPr>
          <w:sz w:val="24"/>
          <w:szCs w:val="24"/>
        </w:rPr>
      </w:pPr>
      <w:r>
        <w:rPr>
          <w:sz w:val="24"/>
          <w:szCs w:val="24"/>
        </w:rPr>
        <w:t>投标文件的修改与撤回</w:t>
      </w:r>
    </w:p>
    <w:p>
      <w:pPr>
        <w:spacing w:line="500" w:lineRule="exact"/>
        <w:ind w:firstLine="480" w:firstLineChars="200"/>
        <w:rPr>
          <w:sz w:val="24"/>
          <w:szCs w:val="24"/>
        </w:rPr>
      </w:pPr>
      <w:r>
        <w:rPr>
          <w:sz w:val="24"/>
          <w:szCs w:val="24"/>
        </w:rPr>
        <w:t>19.1 投标人在递交投标文件后，可以修改或撤回其响应，但投标人必须在规定的招标截止期之前将修改或撤回的书面通知递交到代理机构。</w:t>
      </w:r>
    </w:p>
    <w:p>
      <w:pPr>
        <w:spacing w:line="500" w:lineRule="exact"/>
        <w:ind w:firstLine="480" w:firstLineChars="200"/>
        <w:rPr>
          <w:sz w:val="24"/>
          <w:szCs w:val="24"/>
        </w:rPr>
      </w:pPr>
      <w:r>
        <w:rPr>
          <w:sz w:val="24"/>
          <w:szCs w:val="24"/>
        </w:rPr>
        <w:t>19.2 投标人的修改或撤回通知应按本须知规定编制、密封、标记和递交。</w:t>
      </w:r>
    </w:p>
    <w:p>
      <w:pPr>
        <w:spacing w:line="500" w:lineRule="exact"/>
        <w:ind w:firstLine="480" w:firstLineChars="200"/>
        <w:rPr>
          <w:sz w:val="24"/>
          <w:szCs w:val="24"/>
        </w:rPr>
      </w:pPr>
      <w:r>
        <w:rPr>
          <w:sz w:val="24"/>
          <w:szCs w:val="24"/>
        </w:rPr>
        <w:t>19.3 在招标截止期之后，投标人不得对其响应做任何修改。</w:t>
      </w:r>
    </w:p>
    <w:p>
      <w:pPr>
        <w:spacing w:line="500" w:lineRule="exact"/>
        <w:ind w:firstLine="480" w:firstLineChars="200"/>
        <w:rPr>
          <w:sz w:val="24"/>
          <w:szCs w:val="24"/>
        </w:rPr>
      </w:pPr>
      <w:r>
        <w:rPr>
          <w:sz w:val="24"/>
          <w:szCs w:val="24"/>
        </w:rPr>
        <w:t>19.4 从招标截止期至投标人在投标文件格式中确定的招标有效期期满这段时间内，投标人不得撤回，否则其招标保证金将按照本须知的规定被没收。</w:t>
      </w:r>
    </w:p>
    <w:p>
      <w:pPr>
        <w:spacing w:line="500" w:lineRule="exact"/>
        <w:ind w:firstLine="480" w:firstLineChars="200"/>
        <w:rPr>
          <w:sz w:val="24"/>
          <w:szCs w:val="24"/>
        </w:rPr>
      </w:pPr>
      <w:bookmarkStart w:id="53" w:name="_Toc47261056"/>
      <w:bookmarkStart w:id="54" w:name="_Toc47418717"/>
      <w:bookmarkStart w:id="55" w:name="_Toc205342864"/>
      <w:bookmarkStart w:id="56" w:name="_Toc47261871"/>
      <w:bookmarkStart w:id="57" w:name="_Toc47418241"/>
      <w:bookmarkStart w:id="58" w:name="_Toc47418924"/>
      <w:bookmarkStart w:id="59" w:name="_Toc47262055"/>
      <w:bookmarkStart w:id="60" w:name="_Toc48791221"/>
      <w:bookmarkStart w:id="61" w:name="_Toc49019222"/>
      <w:bookmarkStart w:id="62" w:name="_Toc48995837"/>
      <w:bookmarkStart w:id="63" w:name="_Toc47261676"/>
      <w:r>
        <w:rPr>
          <w:sz w:val="24"/>
          <w:szCs w:val="24"/>
        </w:rPr>
        <w:t>五、开标与评标</w:t>
      </w:r>
      <w:bookmarkEnd w:id="53"/>
      <w:bookmarkEnd w:id="54"/>
      <w:bookmarkEnd w:id="55"/>
      <w:bookmarkEnd w:id="56"/>
      <w:bookmarkEnd w:id="57"/>
      <w:bookmarkEnd w:id="58"/>
      <w:bookmarkEnd w:id="59"/>
      <w:bookmarkEnd w:id="60"/>
      <w:bookmarkEnd w:id="61"/>
      <w:bookmarkEnd w:id="62"/>
      <w:bookmarkEnd w:id="63"/>
    </w:p>
    <w:p>
      <w:pPr>
        <w:spacing w:line="500" w:lineRule="exact"/>
        <w:ind w:firstLine="480" w:firstLineChars="200"/>
        <w:rPr>
          <w:sz w:val="24"/>
          <w:szCs w:val="24"/>
        </w:rPr>
      </w:pPr>
      <w:r>
        <w:rPr>
          <w:sz w:val="24"/>
          <w:szCs w:val="24"/>
        </w:rPr>
        <w:t>20、开标</w:t>
      </w:r>
    </w:p>
    <w:p>
      <w:pPr>
        <w:spacing w:line="500" w:lineRule="exact"/>
        <w:ind w:firstLine="480" w:firstLineChars="200"/>
        <w:rPr>
          <w:sz w:val="24"/>
          <w:szCs w:val="24"/>
        </w:rPr>
      </w:pPr>
      <w:r>
        <w:rPr>
          <w:sz w:val="24"/>
          <w:szCs w:val="24"/>
        </w:rPr>
        <w:t>20.1 代理机构在</w:t>
      </w:r>
      <w:r>
        <w:rPr>
          <w:sz w:val="24"/>
        </w:rPr>
        <w:t>《投标人须知前附表》规定的时间、地点</w:t>
      </w:r>
      <w:r>
        <w:rPr>
          <w:sz w:val="24"/>
          <w:szCs w:val="24"/>
        </w:rPr>
        <w:t>组织开标。邀请</w:t>
      </w:r>
      <w:r>
        <w:rPr>
          <w:rFonts w:eastAsia="新宋体"/>
          <w:sz w:val="24"/>
        </w:rPr>
        <w:t>采购人和</w:t>
      </w:r>
      <w:r>
        <w:rPr>
          <w:sz w:val="24"/>
          <w:szCs w:val="24"/>
        </w:rPr>
        <w:t>所有投标人授权代表参加</w:t>
      </w:r>
      <w:r>
        <w:rPr>
          <w:rFonts w:eastAsia="新宋体"/>
          <w:sz w:val="24"/>
        </w:rPr>
        <w:t>，并邀请政府采购政府监督管理部门、监察等有关单位代表参加。</w:t>
      </w:r>
      <w:r>
        <w:rPr>
          <w:sz w:val="24"/>
          <w:szCs w:val="24"/>
        </w:rPr>
        <w:t>参加开标的代表应签名报到以证明其出席。</w:t>
      </w:r>
    </w:p>
    <w:p>
      <w:pPr>
        <w:spacing w:line="500" w:lineRule="exact"/>
        <w:ind w:firstLine="480" w:firstLineChars="200"/>
        <w:rPr>
          <w:sz w:val="24"/>
          <w:szCs w:val="24"/>
        </w:rPr>
      </w:pPr>
      <w:r>
        <w:rPr>
          <w:sz w:val="24"/>
          <w:szCs w:val="24"/>
        </w:rPr>
        <w:t xml:space="preserve">20.2 </w:t>
      </w:r>
      <w:r>
        <w:rPr>
          <w:rFonts w:eastAsia="新宋体"/>
          <w:sz w:val="24"/>
          <w:szCs w:val="24"/>
        </w:rPr>
        <w:t>开标时，由投标人或其推选的代表检查投标文件的密封情况，也可以由采购人委托的公证机构检查并公证，经确认无误后由</w:t>
      </w:r>
      <w:r>
        <w:rPr>
          <w:sz w:val="24"/>
          <w:szCs w:val="24"/>
        </w:rPr>
        <w:t>代理机构当众宣读投标人名称、项目编号（包号）、投标报价、</w:t>
      </w:r>
      <w:r>
        <w:rPr>
          <w:rFonts w:eastAsia="新宋体"/>
          <w:sz w:val="24"/>
          <w:szCs w:val="24"/>
        </w:rPr>
        <w:t>价格折扣、采购文件允许提供的备选投标方案和投标文件的其他主要内容</w:t>
      </w:r>
      <w:r>
        <w:rPr>
          <w:sz w:val="24"/>
          <w:szCs w:val="24"/>
        </w:rPr>
        <w:t>，以及代理机构认为合适的其他内容。除了按照本须知的规定原封退回迟到的响应之外，开标时将不得拒绝任何准时到达的响应。</w:t>
      </w:r>
    </w:p>
    <w:p>
      <w:pPr>
        <w:spacing w:line="500" w:lineRule="exact"/>
        <w:ind w:firstLine="480" w:firstLineChars="200"/>
        <w:rPr>
          <w:rFonts w:eastAsia="新宋体"/>
          <w:kern w:val="0"/>
          <w:sz w:val="24"/>
          <w:szCs w:val="24"/>
        </w:rPr>
      </w:pPr>
      <w:r>
        <w:rPr>
          <w:sz w:val="24"/>
          <w:szCs w:val="24"/>
        </w:rPr>
        <w:t xml:space="preserve">20.3 </w:t>
      </w:r>
      <w:r>
        <w:rPr>
          <w:rFonts w:eastAsia="新宋体"/>
          <w:sz w:val="24"/>
          <w:szCs w:val="24"/>
        </w:rPr>
        <w:t>采购代理机构</w:t>
      </w:r>
      <w:r>
        <w:rPr>
          <w:rFonts w:eastAsia="新宋体"/>
          <w:kern w:val="0"/>
          <w:sz w:val="24"/>
          <w:szCs w:val="24"/>
        </w:rPr>
        <w:t>做好开标记录，开标记录由</w:t>
      </w:r>
      <w:r>
        <w:rPr>
          <w:rFonts w:eastAsia="新宋体"/>
          <w:sz w:val="24"/>
          <w:szCs w:val="24"/>
        </w:rPr>
        <w:t>各投标人签字确认</w:t>
      </w:r>
      <w:r>
        <w:rPr>
          <w:rFonts w:eastAsia="新宋体"/>
          <w:kern w:val="0"/>
          <w:sz w:val="24"/>
          <w:szCs w:val="24"/>
        </w:rPr>
        <w:t>。</w:t>
      </w:r>
    </w:p>
    <w:p>
      <w:pPr>
        <w:spacing w:line="500" w:lineRule="exact"/>
        <w:ind w:firstLine="482" w:firstLineChars="200"/>
        <w:rPr>
          <w:rFonts w:eastAsia="新宋体"/>
          <w:b/>
          <w:bCs/>
          <w:kern w:val="0"/>
          <w:sz w:val="24"/>
          <w:szCs w:val="24"/>
        </w:rPr>
      </w:pPr>
      <w:r>
        <w:rPr>
          <w:rFonts w:eastAsia="新宋体"/>
          <w:b/>
          <w:bCs/>
          <w:kern w:val="0"/>
          <w:sz w:val="24"/>
          <w:szCs w:val="24"/>
        </w:rPr>
        <w:t>20.4 如果资格审查合格的投标人不足3家，将不进行评标，采购人将依法重新组织招标或采用其它采购方式采购。</w:t>
      </w:r>
    </w:p>
    <w:p>
      <w:pPr>
        <w:spacing w:line="500" w:lineRule="exact"/>
        <w:ind w:firstLine="480" w:firstLineChars="200"/>
        <w:rPr>
          <w:rFonts w:eastAsia="新宋体"/>
          <w:kern w:val="0"/>
          <w:sz w:val="24"/>
          <w:szCs w:val="24"/>
        </w:rPr>
      </w:pPr>
      <w:r>
        <w:rPr>
          <w:rFonts w:eastAsia="新宋体"/>
          <w:kern w:val="0"/>
          <w:sz w:val="24"/>
          <w:szCs w:val="24"/>
        </w:rPr>
        <w:t>20.5投标人应当遵循公平竞争的原则，不得恶意串通，不得妨碍其他投标人的竞争行为，不得损害采购人或者其他投标人的合法权益。</w:t>
      </w:r>
    </w:p>
    <w:p>
      <w:pPr>
        <w:spacing w:line="500" w:lineRule="exact"/>
        <w:ind w:firstLine="480" w:firstLineChars="200"/>
        <w:rPr>
          <w:rFonts w:eastAsia="新宋体"/>
          <w:kern w:val="0"/>
          <w:sz w:val="24"/>
          <w:szCs w:val="24"/>
        </w:rPr>
      </w:pPr>
      <w:r>
        <w:rPr>
          <w:rFonts w:eastAsia="新宋体"/>
          <w:kern w:val="0"/>
          <w:sz w:val="24"/>
          <w:szCs w:val="24"/>
        </w:rPr>
        <w:t>在评标过程中发现投标人有上述情形的，评标委员会应当</w:t>
      </w:r>
      <w:r>
        <w:rPr>
          <w:rFonts w:eastAsia="新宋体"/>
          <w:b/>
          <w:bCs/>
          <w:kern w:val="0"/>
          <w:sz w:val="24"/>
          <w:szCs w:val="24"/>
        </w:rPr>
        <w:t>认定其投标无效</w:t>
      </w:r>
      <w:r>
        <w:rPr>
          <w:rFonts w:eastAsia="新宋体"/>
          <w:kern w:val="0"/>
          <w:sz w:val="24"/>
          <w:szCs w:val="24"/>
        </w:rPr>
        <w:t>， 并书面报告本级财政部门。</w:t>
      </w:r>
    </w:p>
    <w:p>
      <w:pPr>
        <w:spacing w:line="500" w:lineRule="exact"/>
        <w:ind w:firstLine="480" w:firstLineChars="200"/>
        <w:rPr>
          <w:rFonts w:eastAsia="新宋体"/>
          <w:kern w:val="0"/>
          <w:sz w:val="24"/>
          <w:szCs w:val="24"/>
        </w:rPr>
      </w:pPr>
      <w:r>
        <w:rPr>
          <w:rFonts w:eastAsia="新宋体"/>
          <w:kern w:val="0"/>
          <w:sz w:val="24"/>
          <w:szCs w:val="24"/>
        </w:rPr>
        <w:t>20.6有下列情形之一的，视为投标人串通投标，其投标无效,并对投标人依照《政府采购法》第七十七条的规定追究法律责任：</w:t>
      </w:r>
    </w:p>
    <w:p>
      <w:pPr>
        <w:pStyle w:val="23"/>
        <w:numPr>
          <w:ilvl w:val="0"/>
          <w:numId w:val="10"/>
        </w:numPr>
        <w:spacing w:line="500" w:lineRule="exact"/>
        <w:ind w:left="220" w:firstLine="420" w:firstLineChars="0"/>
        <w:rPr>
          <w:sz w:val="24"/>
        </w:rPr>
      </w:pPr>
      <w:r>
        <w:rPr>
          <w:spacing w:val="-2"/>
          <w:sz w:val="24"/>
        </w:rPr>
        <w:t>不同投标人的投标文件由同一单位或者个人编制；</w:t>
      </w:r>
    </w:p>
    <w:p>
      <w:pPr>
        <w:pStyle w:val="23"/>
        <w:numPr>
          <w:ilvl w:val="0"/>
          <w:numId w:val="10"/>
        </w:numPr>
        <w:spacing w:line="500" w:lineRule="exact"/>
        <w:ind w:left="220" w:firstLine="420" w:firstLineChars="0"/>
        <w:rPr>
          <w:spacing w:val="-2"/>
          <w:sz w:val="24"/>
        </w:rPr>
      </w:pPr>
      <w:r>
        <w:rPr>
          <w:spacing w:val="-2"/>
          <w:sz w:val="24"/>
        </w:rPr>
        <w:t>不同投标人委托同一单位或者个人办理投标事宜；</w:t>
      </w:r>
    </w:p>
    <w:p>
      <w:pPr>
        <w:pStyle w:val="23"/>
        <w:numPr>
          <w:ilvl w:val="0"/>
          <w:numId w:val="10"/>
        </w:numPr>
        <w:spacing w:line="500" w:lineRule="exact"/>
        <w:ind w:left="220" w:firstLine="420" w:firstLineChars="0"/>
        <w:rPr>
          <w:spacing w:val="-2"/>
          <w:sz w:val="24"/>
        </w:rPr>
      </w:pPr>
      <w:r>
        <w:rPr>
          <w:spacing w:val="-2"/>
          <w:sz w:val="24"/>
        </w:rPr>
        <w:t>不同投标人的投标文件载明的项目管理成员或者联系人员为同一人；</w:t>
      </w:r>
    </w:p>
    <w:p>
      <w:pPr>
        <w:pStyle w:val="23"/>
        <w:numPr>
          <w:ilvl w:val="0"/>
          <w:numId w:val="10"/>
        </w:numPr>
        <w:spacing w:line="500" w:lineRule="exact"/>
        <w:ind w:left="220" w:firstLine="420" w:firstLineChars="0"/>
        <w:rPr>
          <w:spacing w:val="-2"/>
          <w:sz w:val="24"/>
        </w:rPr>
      </w:pPr>
      <w:r>
        <w:rPr>
          <w:spacing w:val="-2"/>
          <w:sz w:val="24"/>
        </w:rPr>
        <w:t>不同投标人的投标文件异常一致或者投标报价呈规律性差异；</w:t>
      </w:r>
    </w:p>
    <w:p>
      <w:pPr>
        <w:pStyle w:val="23"/>
        <w:numPr>
          <w:ilvl w:val="0"/>
          <w:numId w:val="10"/>
        </w:numPr>
        <w:spacing w:line="500" w:lineRule="exact"/>
        <w:ind w:left="220" w:firstLine="420" w:firstLineChars="0"/>
        <w:rPr>
          <w:spacing w:val="-2"/>
          <w:sz w:val="24"/>
        </w:rPr>
      </w:pPr>
      <w:r>
        <w:rPr>
          <w:spacing w:val="-2"/>
          <w:sz w:val="24"/>
        </w:rPr>
        <w:t>不同投标人的投标文件相互混装；</w:t>
      </w:r>
    </w:p>
    <w:p>
      <w:pPr>
        <w:pStyle w:val="23"/>
        <w:numPr>
          <w:ilvl w:val="0"/>
          <w:numId w:val="10"/>
        </w:numPr>
        <w:spacing w:line="500" w:lineRule="exact"/>
        <w:ind w:left="220" w:firstLine="420" w:firstLineChars="0"/>
        <w:rPr>
          <w:spacing w:val="-2"/>
          <w:sz w:val="24"/>
        </w:rPr>
      </w:pPr>
      <w:r>
        <w:rPr>
          <w:spacing w:val="-2"/>
          <w:sz w:val="24"/>
        </w:rPr>
        <w:t>不同投标人的投标保证金从同一单位或者个人的账户转出。</w:t>
      </w:r>
    </w:p>
    <w:p>
      <w:pPr>
        <w:spacing w:line="500" w:lineRule="exact"/>
        <w:ind w:firstLine="480" w:firstLineChars="200"/>
        <w:rPr>
          <w:sz w:val="24"/>
          <w:szCs w:val="24"/>
        </w:rPr>
      </w:pPr>
      <w:r>
        <w:rPr>
          <w:sz w:val="24"/>
          <w:szCs w:val="24"/>
        </w:rPr>
        <w:t>21.  评标</w:t>
      </w:r>
    </w:p>
    <w:p>
      <w:pPr>
        <w:spacing w:line="500" w:lineRule="exact"/>
        <w:ind w:firstLine="480" w:firstLineChars="200"/>
        <w:rPr>
          <w:sz w:val="24"/>
          <w:szCs w:val="24"/>
        </w:rPr>
      </w:pPr>
      <w:r>
        <w:rPr>
          <w:sz w:val="24"/>
          <w:szCs w:val="24"/>
        </w:rPr>
        <w:t>21.1 评标委员会</w:t>
      </w:r>
    </w:p>
    <w:p>
      <w:pPr>
        <w:spacing w:line="500" w:lineRule="exact"/>
        <w:ind w:firstLine="480" w:firstLineChars="200"/>
        <w:rPr>
          <w:sz w:val="24"/>
          <w:szCs w:val="24"/>
        </w:rPr>
      </w:pPr>
      <w:r>
        <w:rPr>
          <w:sz w:val="24"/>
          <w:szCs w:val="24"/>
        </w:rPr>
        <w:t>21.1.1 代理机构将按照“中华人民共和国招标投标法”及有关规定组建评标委员会。</w:t>
      </w:r>
    </w:p>
    <w:p>
      <w:pPr>
        <w:spacing w:line="500" w:lineRule="exact"/>
        <w:ind w:firstLine="480" w:firstLineChars="200"/>
        <w:rPr>
          <w:sz w:val="24"/>
          <w:szCs w:val="24"/>
        </w:rPr>
      </w:pPr>
      <w:r>
        <w:rPr>
          <w:sz w:val="24"/>
          <w:szCs w:val="24"/>
        </w:rPr>
        <w:t>评标委员会由采购人代表和评标专家组成，成员人数应当为 5 人</w:t>
      </w:r>
      <w:r>
        <w:rPr>
          <w:rFonts w:hint="eastAsia"/>
          <w:sz w:val="24"/>
          <w:szCs w:val="24"/>
        </w:rPr>
        <w:t>及</w:t>
      </w:r>
      <w:r>
        <w:rPr>
          <w:sz w:val="24"/>
          <w:szCs w:val="24"/>
        </w:rPr>
        <w:t>以上单数，其中评标专家不得少于成员总数的三分之二。评标委员会成员与投标人存在利害关系的，应当回避。</w:t>
      </w:r>
    </w:p>
    <w:p>
      <w:pPr>
        <w:spacing w:line="500" w:lineRule="exact"/>
        <w:ind w:firstLine="480" w:firstLineChars="200"/>
        <w:rPr>
          <w:sz w:val="24"/>
          <w:szCs w:val="24"/>
        </w:rPr>
      </w:pPr>
      <w:r>
        <w:rPr>
          <w:sz w:val="24"/>
          <w:szCs w:val="24"/>
        </w:rPr>
        <w:t>21.1.2 采购项目符合下列情形之一的，评标委员会成员人数应当为 7 人以上单数：</w:t>
      </w:r>
    </w:p>
    <w:p>
      <w:pPr>
        <w:pStyle w:val="23"/>
        <w:numPr>
          <w:ilvl w:val="0"/>
          <w:numId w:val="11"/>
        </w:numPr>
        <w:tabs>
          <w:tab w:val="left" w:pos="840"/>
        </w:tabs>
        <w:spacing w:line="500" w:lineRule="exact"/>
        <w:ind w:left="0" w:firstLine="640" w:firstLineChars="0"/>
        <w:rPr>
          <w:sz w:val="24"/>
        </w:rPr>
      </w:pPr>
      <w:r>
        <w:rPr>
          <w:spacing w:val="-8"/>
          <w:sz w:val="24"/>
        </w:rPr>
        <w:t xml:space="preserve">采购预算金额在 </w:t>
      </w:r>
      <w:r>
        <w:rPr>
          <w:sz w:val="24"/>
        </w:rPr>
        <w:t>1000</w:t>
      </w:r>
      <w:r>
        <w:rPr>
          <w:spacing w:val="-10"/>
          <w:sz w:val="24"/>
        </w:rPr>
        <w:t xml:space="preserve"> 万元以上；</w:t>
      </w:r>
    </w:p>
    <w:p>
      <w:pPr>
        <w:pStyle w:val="23"/>
        <w:numPr>
          <w:ilvl w:val="0"/>
          <w:numId w:val="11"/>
        </w:numPr>
        <w:tabs>
          <w:tab w:val="left" w:pos="840"/>
        </w:tabs>
        <w:spacing w:line="500" w:lineRule="exact"/>
        <w:ind w:left="0" w:firstLine="640" w:firstLineChars="0"/>
        <w:rPr>
          <w:spacing w:val="-8"/>
          <w:sz w:val="24"/>
        </w:rPr>
      </w:pPr>
      <w:r>
        <w:rPr>
          <w:spacing w:val="-8"/>
          <w:sz w:val="24"/>
        </w:rPr>
        <w:t>技术复杂；</w:t>
      </w:r>
    </w:p>
    <w:p>
      <w:pPr>
        <w:pStyle w:val="23"/>
        <w:numPr>
          <w:ilvl w:val="0"/>
          <w:numId w:val="11"/>
        </w:numPr>
        <w:tabs>
          <w:tab w:val="left" w:pos="840"/>
        </w:tabs>
        <w:spacing w:line="500" w:lineRule="exact"/>
        <w:ind w:left="0" w:firstLine="640" w:firstLineChars="0"/>
        <w:rPr>
          <w:spacing w:val="-8"/>
          <w:sz w:val="24"/>
        </w:rPr>
      </w:pPr>
      <w:r>
        <w:rPr>
          <w:spacing w:val="-8"/>
          <w:sz w:val="24"/>
        </w:rPr>
        <w:t>社会影响较大。</w:t>
      </w:r>
    </w:p>
    <w:p>
      <w:pPr>
        <w:spacing w:line="500" w:lineRule="exact"/>
        <w:ind w:firstLine="480" w:firstLineChars="200"/>
        <w:rPr>
          <w:sz w:val="24"/>
          <w:szCs w:val="24"/>
        </w:rPr>
      </w:pPr>
      <w:r>
        <w:rPr>
          <w:sz w:val="24"/>
          <w:szCs w:val="24"/>
        </w:rPr>
        <w:t>21.1.3 评标委员会由采购人代表及有关经济、技术等方面的专家组成。</w:t>
      </w:r>
    </w:p>
    <w:p>
      <w:pPr>
        <w:spacing w:line="500" w:lineRule="exact"/>
        <w:ind w:firstLine="480" w:firstLineChars="200"/>
        <w:rPr>
          <w:sz w:val="24"/>
          <w:szCs w:val="24"/>
        </w:rPr>
      </w:pPr>
      <w:r>
        <w:rPr>
          <w:sz w:val="24"/>
          <w:szCs w:val="24"/>
        </w:rPr>
        <w:t>21.1.4评标委员会负责评标工作，对投标文件进行审查和评估向采购方提交书面评标报告。</w:t>
      </w:r>
    </w:p>
    <w:p>
      <w:pPr>
        <w:spacing w:line="500" w:lineRule="exact"/>
        <w:ind w:firstLine="480" w:firstLineChars="200"/>
        <w:rPr>
          <w:sz w:val="24"/>
          <w:szCs w:val="24"/>
        </w:rPr>
      </w:pPr>
      <w:r>
        <w:rPr>
          <w:sz w:val="24"/>
          <w:szCs w:val="24"/>
        </w:rPr>
        <w:t>21.1.5评审委员会将按照采购文件确定的评审方法和评审标准进行评审。评审委员会对投标文件的评审分为资格性审查、符合性检查、商务评议、技术评议和价格评议。</w:t>
      </w:r>
    </w:p>
    <w:p>
      <w:pPr>
        <w:spacing w:line="500" w:lineRule="exact"/>
        <w:ind w:firstLine="480" w:firstLineChars="200"/>
        <w:rPr>
          <w:sz w:val="24"/>
          <w:szCs w:val="24"/>
        </w:rPr>
      </w:pPr>
      <w:r>
        <w:rPr>
          <w:sz w:val="24"/>
          <w:szCs w:val="24"/>
        </w:rPr>
        <w:t>21.1.6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500" w:lineRule="exact"/>
        <w:ind w:firstLine="480" w:firstLineChars="200"/>
        <w:rPr>
          <w:sz w:val="24"/>
          <w:szCs w:val="24"/>
        </w:rPr>
      </w:pPr>
      <w:r>
        <w:rPr>
          <w:sz w:val="24"/>
          <w:szCs w:val="24"/>
        </w:rPr>
        <w:t>24.1.7本次评审方法：综合评分法，是指投标文件满足采购文件全部实质性要求且按照评审因素的量化指标评审得分最高的投标人为中标候选人的评标方法。</w:t>
      </w:r>
    </w:p>
    <w:p>
      <w:pPr>
        <w:spacing w:line="500" w:lineRule="exact"/>
        <w:ind w:firstLine="480" w:firstLineChars="200"/>
        <w:rPr>
          <w:sz w:val="24"/>
          <w:szCs w:val="24"/>
        </w:rPr>
      </w:pPr>
      <w:r>
        <w:rPr>
          <w:sz w:val="24"/>
          <w:szCs w:val="24"/>
        </w:rPr>
        <w:t>21.2投标文件的澄清</w:t>
      </w:r>
    </w:p>
    <w:p>
      <w:pPr>
        <w:spacing w:line="480" w:lineRule="exact"/>
        <w:ind w:firstLine="480" w:firstLineChars="200"/>
        <w:rPr>
          <w:sz w:val="24"/>
          <w:szCs w:val="24"/>
        </w:rPr>
      </w:pPr>
      <w:r>
        <w:rPr>
          <w:sz w:val="24"/>
          <w:szCs w:val="24"/>
        </w:rPr>
        <w:t>21.2.1评审期间，评标委员会有权要求投标人对其投标文件中含义不明确、同类问题表述不一致或者有明显文字和计算错误的内容等作必要的澄清、说明或者补正。投标人必须按照评审委员会要求的澄清内容和时间做出澄清。除按本采购文件须知规定的改正算术错误外，投标人对投标文件的澄清不得超出投标文件的范围或者改变投标文件的实质性内容。有关澄清的答复均应由投标人的法定代表人或授权代表签字的书面形式作出并加盖投标人的公章。</w:t>
      </w:r>
    </w:p>
    <w:p>
      <w:pPr>
        <w:spacing w:line="480" w:lineRule="exact"/>
        <w:ind w:firstLine="480" w:firstLineChars="200"/>
        <w:rPr>
          <w:sz w:val="24"/>
          <w:szCs w:val="24"/>
        </w:rPr>
      </w:pPr>
      <w:r>
        <w:rPr>
          <w:sz w:val="24"/>
          <w:szCs w:val="24"/>
        </w:rPr>
        <w:t>21.2.2投标人的澄清文件是其投标文件的组成部分。</w:t>
      </w:r>
    </w:p>
    <w:p>
      <w:pPr>
        <w:spacing w:line="480" w:lineRule="exact"/>
        <w:ind w:firstLine="480" w:firstLineChars="200"/>
        <w:rPr>
          <w:sz w:val="24"/>
          <w:szCs w:val="24"/>
        </w:rPr>
      </w:pPr>
      <w:r>
        <w:rPr>
          <w:sz w:val="24"/>
          <w:szCs w:val="24"/>
        </w:rPr>
        <w:t>21.3  投标文件的初审（详见第六章评标标准—评标标准及办法）</w:t>
      </w:r>
    </w:p>
    <w:p>
      <w:pPr>
        <w:spacing w:line="480" w:lineRule="exact"/>
        <w:ind w:firstLine="480" w:firstLineChars="200"/>
        <w:rPr>
          <w:sz w:val="24"/>
          <w:szCs w:val="24"/>
        </w:rPr>
      </w:pPr>
      <w:r>
        <w:rPr>
          <w:sz w:val="24"/>
          <w:szCs w:val="24"/>
        </w:rPr>
        <w:t>21.4  投标文件的详细评审（详见第六章评标标准—评标标准及办法）</w:t>
      </w:r>
    </w:p>
    <w:p>
      <w:pPr>
        <w:spacing w:line="480" w:lineRule="exact"/>
        <w:ind w:firstLine="480" w:firstLineChars="200"/>
        <w:rPr>
          <w:sz w:val="24"/>
          <w:szCs w:val="24"/>
        </w:rPr>
      </w:pPr>
      <w:r>
        <w:rPr>
          <w:sz w:val="24"/>
          <w:szCs w:val="24"/>
        </w:rPr>
        <w:t>22.   与代理机构、采购人和评标委员会的接触</w:t>
      </w:r>
    </w:p>
    <w:p>
      <w:pPr>
        <w:spacing w:line="480" w:lineRule="exact"/>
        <w:ind w:firstLine="480" w:firstLineChars="200"/>
        <w:rPr>
          <w:sz w:val="24"/>
          <w:szCs w:val="24"/>
        </w:rPr>
      </w:pPr>
      <w:r>
        <w:rPr>
          <w:sz w:val="24"/>
          <w:szCs w:val="24"/>
        </w:rPr>
        <w:t>22.1 除本须知的规定外，从开标之日起至授予合同期间，投标人不得就与其响应有关的事项与代理机构、采购人以及评标委员会成员接触。</w:t>
      </w:r>
    </w:p>
    <w:p>
      <w:pPr>
        <w:spacing w:line="480" w:lineRule="exact"/>
        <w:ind w:firstLine="480" w:firstLineChars="200"/>
        <w:rPr>
          <w:sz w:val="24"/>
          <w:szCs w:val="24"/>
        </w:rPr>
      </w:pPr>
      <w:r>
        <w:rPr>
          <w:sz w:val="24"/>
          <w:szCs w:val="24"/>
        </w:rPr>
        <w:t>22.2 投标人试图对代理机构、采购人和评标委员会的评标、比较或授予合同的决定进行影响，都可能导致其投标被拒绝。</w:t>
      </w:r>
    </w:p>
    <w:p>
      <w:pPr>
        <w:spacing w:line="480" w:lineRule="exact"/>
        <w:ind w:firstLine="480" w:firstLineChars="200"/>
        <w:rPr>
          <w:sz w:val="24"/>
          <w:szCs w:val="24"/>
        </w:rPr>
      </w:pPr>
      <w:r>
        <w:rPr>
          <w:sz w:val="24"/>
          <w:szCs w:val="24"/>
        </w:rPr>
        <w:t>23. 定标</w:t>
      </w:r>
    </w:p>
    <w:p>
      <w:pPr>
        <w:spacing w:line="480" w:lineRule="exact"/>
        <w:ind w:firstLine="480" w:firstLineChars="200"/>
        <w:rPr>
          <w:sz w:val="24"/>
          <w:szCs w:val="24"/>
        </w:rPr>
      </w:pPr>
      <w:r>
        <w:rPr>
          <w:sz w:val="24"/>
          <w:szCs w:val="24"/>
        </w:rPr>
        <w:t>23.1 评审委员会按照采购文件确定的评标方法、步骤、标准，对投标文件进行评审，提出书面评审报告，按照综合得分由高到低的顺序推荐中标候选人名单。</w:t>
      </w:r>
    </w:p>
    <w:p>
      <w:pPr>
        <w:spacing w:line="480" w:lineRule="exact"/>
        <w:ind w:firstLine="480" w:firstLineChars="200"/>
        <w:rPr>
          <w:sz w:val="24"/>
          <w:szCs w:val="24"/>
        </w:rPr>
      </w:pPr>
      <w:r>
        <w:rPr>
          <w:sz w:val="24"/>
          <w:szCs w:val="24"/>
        </w:rPr>
        <w:t>23.2 采购人按照评审委员会推荐中标候选人顺序确定中标投标人。</w:t>
      </w:r>
    </w:p>
    <w:p>
      <w:pPr>
        <w:spacing w:line="480" w:lineRule="exact"/>
        <w:ind w:firstLine="480" w:firstLineChars="200"/>
        <w:rPr>
          <w:sz w:val="24"/>
          <w:szCs w:val="24"/>
        </w:rPr>
      </w:pPr>
      <w:r>
        <w:rPr>
          <w:sz w:val="24"/>
          <w:szCs w:val="24"/>
        </w:rPr>
        <w:t>23.3 中标投标人因不可抗力或者自身原因不能履行政府采购合同的，采购人可以与排位在中标投标人之后第一位的中标候选投标人签订政府采购合同，以此类推。</w:t>
      </w:r>
    </w:p>
    <w:p>
      <w:pPr>
        <w:spacing w:line="480" w:lineRule="exact"/>
        <w:ind w:firstLine="480" w:firstLineChars="200"/>
        <w:rPr>
          <w:sz w:val="24"/>
          <w:szCs w:val="24"/>
        </w:rPr>
      </w:pPr>
      <w:r>
        <w:rPr>
          <w:sz w:val="24"/>
          <w:szCs w:val="24"/>
        </w:rPr>
        <w:t>23.4 中标投标人确定后，采购代理机构将在政府采购政府监督管理部门指定的媒体上发布中标结果公告，公告期满无异议后，向中标投标人和采购人发出《中标通知书》。《中标通知书》是合同的组成部分,对中标投标人和采购人具有同等法律效力。</w:t>
      </w:r>
    </w:p>
    <w:p>
      <w:pPr>
        <w:spacing w:line="480" w:lineRule="exact"/>
        <w:ind w:firstLine="480" w:firstLineChars="200"/>
        <w:rPr>
          <w:sz w:val="24"/>
          <w:szCs w:val="24"/>
        </w:rPr>
      </w:pPr>
      <w:r>
        <w:rPr>
          <w:sz w:val="24"/>
          <w:szCs w:val="24"/>
        </w:rPr>
        <w:t>23.5 在评审期间，投标人不得非法干预、影响评审过程。</w:t>
      </w:r>
    </w:p>
    <w:p>
      <w:pPr>
        <w:spacing w:line="480" w:lineRule="exact"/>
        <w:ind w:firstLine="480" w:firstLineChars="200"/>
        <w:rPr>
          <w:sz w:val="24"/>
          <w:szCs w:val="24"/>
        </w:rPr>
      </w:pPr>
      <w:r>
        <w:rPr>
          <w:sz w:val="24"/>
          <w:szCs w:val="24"/>
        </w:rPr>
        <w:t>24. 授标时更改采购货物数量的权力</w:t>
      </w:r>
    </w:p>
    <w:p>
      <w:pPr>
        <w:spacing w:line="480" w:lineRule="exact"/>
        <w:ind w:firstLine="480" w:firstLineChars="200"/>
        <w:rPr>
          <w:sz w:val="24"/>
          <w:szCs w:val="24"/>
        </w:rPr>
      </w:pPr>
      <w:r>
        <w:rPr>
          <w:sz w:val="24"/>
          <w:szCs w:val="24"/>
        </w:rPr>
        <w:t>24.1 采购方在授予合同时有权在“投标人须知前附表”规定的幅度内对招标文件规定的货物数量和服务予以增加或减少，但不得对单价或其它的条款和条件做任何改变。</w:t>
      </w:r>
    </w:p>
    <w:p>
      <w:pPr>
        <w:spacing w:line="480" w:lineRule="exact"/>
        <w:ind w:firstLine="480" w:firstLineChars="200"/>
        <w:rPr>
          <w:sz w:val="24"/>
          <w:szCs w:val="24"/>
        </w:rPr>
      </w:pPr>
      <w:r>
        <w:rPr>
          <w:sz w:val="24"/>
          <w:szCs w:val="24"/>
        </w:rPr>
        <w:t>25公告、质疑</w:t>
      </w:r>
    </w:p>
    <w:p>
      <w:pPr>
        <w:spacing w:line="480" w:lineRule="exact"/>
        <w:ind w:firstLine="480" w:firstLineChars="200"/>
        <w:rPr>
          <w:sz w:val="24"/>
          <w:szCs w:val="24"/>
        </w:rPr>
      </w:pPr>
      <w:r>
        <w:rPr>
          <w:sz w:val="24"/>
          <w:szCs w:val="24"/>
        </w:rPr>
        <w:t>25.1采购代理机构将在政府采购监督管理部门指定媒体上发布招标公告、更正公告、通知、中标结果公告等政府采购的信息。</w:t>
      </w:r>
    </w:p>
    <w:p>
      <w:pPr>
        <w:spacing w:line="480" w:lineRule="exact"/>
        <w:ind w:firstLine="480" w:firstLineChars="200"/>
        <w:rPr>
          <w:sz w:val="24"/>
          <w:szCs w:val="24"/>
        </w:rPr>
      </w:pPr>
      <w:r>
        <w:rPr>
          <w:sz w:val="24"/>
          <w:szCs w:val="24"/>
        </w:rPr>
        <w:t>25.2如果投标人对此次采购活动有疑问，可依据《中华人民共和国政府采购法》等相关规定，向采购人或采购代理机构提出质疑。</w:t>
      </w:r>
    </w:p>
    <w:p>
      <w:pPr>
        <w:spacing w:line="480" w:lineRule="exact"/>
        <w:ind w:firstLine="480" w:firstLineChars="200"/>
        <w:rPr>
          <w:sz w:val="24"/>
          <w:szCs w:val="24"/>
        </w:rPr>
      </w:pPr>
      <w:r>
        <w:rPr>
          <w:sz w:val="24"/>
          <w:szCs w:val="24"/>
        </w:rPr>
        <w:t>25.3公告期内如有质疑，采购人或采购代理机构将依法给与答复，并将结果告知所有当事人。</w:t>
      </w:r>
    </w:p>
    <w:p>
      <w:pPr>
        <w:spacing w:line="480" w:lineRule="exact"/>
        <w:ind w:firstLine="480" w:firstLineChars="200"/>
        <w:rPr>
          <w:sz w:val="24"/>
          <w:szCs w:val="24"/>
        </w:rPr>
      </w:pPr>
      <w:r>
        <w:rPr>
          <w:sz w:val="24"/>
          <w:szCs w:val="24"/>
        </w:rPr>
        <w:t>26废标条款</w:t>
      </w:r>
    </w:p>
    <w:p>
      <w:pPr>
        <w:spacing w:line="480" w:lineRule="exact"/>
        <w:ind w:firstLine="480" w:firstLineChars="200"/>
        <w:rPr>
          <w:sz w:val="24"/>
          <w:szCs w:val="24"/>
        </w:rPr>
      </w:pPr>
      <w:r>
        <w:rPr>
          <w:sz w:val="24"/>
          <w:szCs w:val="24"/>
        </w:rPr>
        <w:t>26.1在招标采购中，出现下列情形之一的，应予废标：</w:t>
      </w:r>
    </w:p>
    <w:p>
      <w:pPr>
        <w:spacing w:line="480" w:lineRule="exact"/>
        <w:ind w:firstLine="480" w:firstLineChars="200"/>
        <w:rPr>
          <w:sz w:val="24"/>
          <w:szCs w:val="24"/>
        </w:rPr>
      </w:pPr>
      <w:r>
        <w:rPr>
          <w:sz w:val="24"/>
          <w:szCs w:val="24"/>
        </w:rPr>
        <w:t>1)符合专业条件的投标人或者对采购文件作实质响应的投标人不足三家的（经政府采购监督管理部门同意变更采购方式的除外）；</w:t>
      </w:r>
    </w:p>
    <w:p>
      <w:pPr>
        <w:spacing w:line="480" w:lineRule="exact"/>
        <w:ind w:firstLine="480" w:firstLineChars="200"/>
        <w:rPr>
          <w:sz w:val="24"/>
          <w:szCs w:val="24"/>
        </w:rPr>
      </w:pPr>
      <w:r>
        <w:rPr>
          <w:sz w:val="24"/>
          <w:szCs w:val="24"/>
        </w:rPr>
        <w:t>2)出现影响采购公正的违法、违规行为的；</w:t>
      </w:r>
    </w:p>
    <w:p>
      <w:pPr>
        <w:spacing w:line="480" w:lineRule="exact"/>
        <w:ind w:firstLine="480" w:firstLineChars="200"/>
        <w:rPr>
          <w:sz w:val="24"/>
          <w:szCs w:val="24"/>
        </w:rPr>
      </w:pPr>
      <w:r>
        <w:rPr>
          <w:sz w:val="24"/>
          <w:szCs w:val="24"/>
        </w:rPr>
        <w:t xml:space="preserve">    3)投标人的报价均超过了采购预算，采购人不能支付的；</w:t>
      </w:r>
    </w:p>
    <w:p>
      <w:pPr>
        <w:spacing w:line="480" w:lineRule="exact"/>
        <w:ind w:firstLine="480" w:firstLineChars="200"/>
        <w:rPr>
          <w:sz w:val="24"/>
          <w:szCs w:val="24"/>
        </w:rPr>
      </w:pPr>
      <w:r>
        <w:rPr>
          <w:sz w:val="24"/>
          <w:szCs w:val="24"/>
        </w:rPr>
        <w:t xml:space="preserve">    4)因重大变故，采购任务取消的。</w:t>
      </w:r>
    </w:p>
    <w:p>
      <w:pPr>
        <w:spacing w:line="480" w:lineRule="exact"/>
        <w:ind w:firstLine="480" w:firstLineChars="200"/>
        <w:rPr>
          <w:sz w:val="24"/>
          <w:szCs w:val="24"/>
        </w:rPr>
      </w:pPr>
      <w:r>
        <w:rPr>
          <w:sz w:val="24"/>
          <w:szCs w:val="24"/>
        </w:rPr>
        <w:t>八、终止招标</w:t>
      </w:r>
    </w:p>
    <w:p>
      <w:pPr>
        <w:spacing w:line="480" w:lineRule="exact"/>
        <w:ind w:firstLine="480" w:firstLineChars="200"/>
        <w:rPr>
          <w:sz w:val="24"/>
          <w:szCs w:val="24"/>
        </w:rPr>
      </w:pPr>
      <w:r>
        <w:rPr>
          <w:sz w:val="24"/>
          <w:szCs w:val="24"/>
        </w:rPr>
        <w:t>终止招标的，采购或采购代理机构在发布招标公告、资格预审公司或者发出投标邀请书后，除因重大变故采购任务取消情况外，不得擅自终止招标活动。</w:t>
      </w:r>
    </w:p>
    <w:p>
      <w:pPr>
        <w:spacing w:line="480" w:lineRule="exact"/>
        <w:ind w:firstLine="480" w:firstLineChars="200"/>
        <w:rPr>
          <w:rFonts w:eastAsia="新宋体"/>
          <w:sz w:val="24"/>
          <w:szCs w:val="24"/>
        </w:rPr>
      </w:pPr>
      <w:r>
        <w:rPr>
          <w:rFonts w:eastAsia="新宋体"/>
          <w:sz w:val="24"/>
          <w:szCs w:val="24"/>
        </w:rPr>
        <w:t>终止招标的，采购人或者采购代理机构应当及时在原公告发布媒体上发布终止公敌，以书面形式通知已经获取招标文件、资格预审文件或者被邀请的潜在投标人，并将项目实施情况和采购任务取消原因报告本级财政部门。已经收到招标文件费用或者投标保证金的，采购人或者采购代理机构应当在终止采购活动后5个工作日内，退还所收取的招标文件费用和所收取的投标保证金。</w:t>
      </w:r>
    </w:p>
    <w:p>
      <w:pPr>
        <w:spacing w:line="480" w:lineRule="exact"/>
        <w:ind w:firstLine="480" w:firstLineChars="200"/>
        <w:rPr>
          <w:sz w:val="24"/>
          <w:szCs w:val="24"/>
        </w:rPr>
      </w:pPr>
      <w:r>
        <w:rPr>
          <w:sz w:val="24"/>
          <w:szCs w:val="24"/>
        </w:rPr>
        <w:t>27. 中标通知书 </w:t>
      </w:r>
    </w:p>
    <w:p>
      <w:pPr>
        <w:spacing w:line="480" w:lineRule="exact"/>
        <w:ind w:firstLine="480" w:firstLineChars="200"/>
        <w:rPr>
          <w:sz w:val="24"/>
          <w:szCs w:val="24"/>
        </w:rPr>
      </w:pPr>
      <w:r>
        <w:rPr>
          <w:sz w:val="24"/>
          <w:szCs w:val="24"/>
        </w:rPr>
        <w:t>27.1 中标候选人确定后，代理机构将向中标候选人发出中标通知书。</w:t>
      </w:r>
    </w:p>
    <w:p>
      <w:pPr>
        <w:spacing w:line="480" w:lineRule="exact"/>
        <w:ind w:firstLine="480" w:firstLineChars="200"/>
        <w:rPr>
          <w:sz w:val="24"/>
          <w:szCs w:val="24"/>
        </w:rPr>
      </w:pPr>
      <w:r>
        <w:rPr>
          <w:sz w:val="24"/>
          <w:szCs w:val="24"/>
        </w:rPr>
        <w:t>27.2 中标通知书 是合同的一个组成部分。</w:t>
      </w:r>
    </w:p>
    <w:p>
      <w:pPr>
        <w:spacing w:line="480" w:lineRule="exact"/>
        <w:ind w:firstLine="480" w:firstLineChars="200"/>
        <w:rPr>
          <w:sz w:val="24"/>
          <w:szCs w:val="24"/>
        </w:rPr>
      </w:pPr>
      <w:r>
        <w:rPr>
          <w:sz w:val="24"/>
          <w:szCs w:val="24"/>
        </w:rPr>
        <w:t>28. 签订合同</w:t>
      </w:r>
    </w:p>
    <w:p>
      <w:pPr>
        <w:spacing w:line="480" w:lineRule="exact"/>
        <w:ind w:firstLine="480" w:firstLineChars="200"/>
        <w:rPr>
          <w:sz w:val="24"/>
          <w:szCs w:val="24"/>
        </w:rPr>
      </w:pPr>
      <w:r>
        <w:rPr>
          <w:sz w:val="24"/>
          <w:szCs w:val="24"/>
        </w:rPr>
        <w:t>28.1中标候选人在收到代理机构的中标通知书后三十（30）天内，应按招标文件的要求与采购人签订</w:t>
      </w:r>
    </w:p>
    <w:p>
      <w:pPr>
        <w:spacing w:line="480" w:lineRule="exact"/>
        <w:ind w:firstLine="480" w:firstLineChars="200"/>
        <w:rPr>
          <w:sz w:val="24"/>
        </w:rPr>
      </w:pPr>
      <w:r>
        <w:rPr>
          <w:sz w:val="24"/>
        </w:rPr>
        <w:t>29.服务费收费标准依据</w:t>
      </w:r>
    </w:p>
    <w:p>
      <w:pPr>
        <w:spacing w:line="480" w:lineRule="exact"/>
        <w:ind w:firstLine="480" w:firstLineChars="200"/>
        <w:rPr>
          <w:sz w:val="24"/>
          <w:szCs w:val="24"/>
        </w:rPr>
      </w:pPr>
      <w:r>
        <w:rPr>
          <w:sz w:val="24"/>
          <w:szCs w:val="24"/>
        </w:rPr>
        <w:t>29.1、中标人必须在确定中标之日起3日内向代理机构支付服务费。</w:t>
      </w:r>
    </w:p>
    <w:p>
      <w:pPr>
        <w:spacing w:line="480" w:lineRule="exact"/>
        <w:ind w:firstLine="480" w:firstLineChars="200"/>
        <w:rPr>
          <w:sz w:val="24"/>
          <w:szCs w:val="24"/>
        </w:rPr>
      </w:pPr>
      <w:r>
        <w:rPr>
          <w:sz w:val="24"/>
          <w:szCs w:val="24"/>
        </w:rPr>
        <w:t>29.2、服务费收费标准依据国家发展计划委员会文件（计价格[2002]1980号文）和（发改办价格[2003]857号文件）执行，由中标人支付</w:t>
      </w:r>
    </w:p>
    <w:p>
      <w:pPr>
        <w:spacing w:line="300" w:lineRule="exact"/>
        <w:ind w:firstLine="480" w:firstLineChars="200"/>
        <w:rPr>
          <w:sz w:val="24"/>
          <w:szCs w:val="24"/>
        </w:rPr>
      </w:pPr>
      <w:r>
        <w:rPr>
          <w:sz w:val="24"/>
          <w:szCs w:val="24"/>
        </w:rPr>
        <w:t xml:space="preserve"> </w:t>
      </w:r>
    </w:p>
    <w:p>
      <w:pPr>
        <w:jc w:val="center"/>
        <w:rPr>
          <w:sz w:val="24"/>
        </w:rPr>
      </w:pPr>
    </w:p>
    <w:p>
      <w:pPr>
        <w:jc w:val="center"/>
        <w:rPr>
          <w:sz w:val="24"/>
        </w:rPr>
      </w:pPr>
    </w:p>
    <w:p>
      <w:pPr>
        <w:pStyle w:val="3"/>
        <w:rPr>
          <w:szCs w:val="22"/>
        </w:rPr>
      </w:pPr>
      <w:bookmarkStart w:id="64" w:name="_Toc26250"/>
      <w:r>
        <w:rPr>
          <w:szCs w:val="22"/>
        </w:rPr>
        <w:t>第四章   合   同</w:t>
      </w:r>
      <w:bookmarkEnd w:id="64"/>
    </w:p>
    <w:p>
      <w:pPr>
        <w:spacing w:line="520" w:lineRule="exact"/>
        <w:jc w:val="center"/>
        <w:rPr>
          <w:rFonts w:eastAsia="新宋体"/>
          <w:b/>
          <w:sz w:val="24"/>
        </w:rPr>
      </w:pPr>
    </w:p>
    <w:p>
      <w:pPr>
        <w:spacing w:line="520" w:lineRule="exact"/>
        <w:jc w:val="center"/>
        <w:rPr>
          <w:rFonts w:eastAsia="新宋体"/>
          <w:sz w:val="24"/>
        </w:rPr>
      </w:pPr>
      <w:r>
        <w:rPr>
          <w:rFonts w:eastAsia="新宋体"/>
          <w:sz w:val="24"/>
        </w:rPr>
        <w:t>（政府采购代理机构名称）</w:t>
      </w:r>
    </w:p>
    <w:p>
      <w:pPr>
        <w:spacing w:line="520" w:lineRule="exact"/>
        <w:jc w:val="center"/>
        <w:rPr>
          <w:rFonts w:eastAsia="新宋体"/>
          <w:sz w:val="24"/>
        </w:rPr>
      </w:pPr>
    </w:p>
    <w:p>
      <w:pPr>
        <w:spacing w:line="520" w:lineRule="exact"/>
        <w:ind w:firstLine="2640" w:firstLineChars="1100"/>
        <w:rPr>
          <w:rFonts w:eastAsia="新宋体"/>
          <w:sz w:val="24"/>
        </w:rPr>
      </w:pPr>
      <w:r>
        <w:rPr>
          <w:rFonts w:eastAsia="新宋体"/>
          <w:sz w:val="24"/>
        </w:rPr>
        <w:t>政府采购合同</w:t>
      </w:r>
    </w:p>
    <w:p>
      <w:pPr>
        <w:spacing w:line="520" w:lineRule="exact"/>
        <w:jc w:val="center"/>
        <w:rPr>
          <w:rFonts w:eastAsia="新宋体"/>
          <w:sz w:val="24"/>
        </w:rPr>
      </w:pPr>
      <w:r>
        <w:rPr>
          <w:rFonts w:eastAsia="新宋体"/>
          <w:sz w:val="24"/>
        </w:rPr>
        <w:t xml:space="preserve"> （   ）类</w:t>
      </w:r>
    </w:p>
    <w:p>
      <w:pPr>
        <w:spacing w:line="520" w:lineRule="exact"/>
        <w:jc w:val="center"/>
        <w:rPr>
          <w:rFonts w:eastAsia="新宋体"/>
          <w:sz w:val="24"/>
        </w:rPr>
      </w:pPr>
    </w:p>
    <w:p>
      <w:pPr>
        <w:spacing w:line="520" w:lineRule="exact"/>
        <w:jc w:val="center"/>
        <w:rPr>
          <w:rFonts w:eastAsia="新宋体"/>
          <w:b/>
          <w:sz w:val="24"/>
        </w:rPr>
      </w:pPr>
    </w:p>
    <w:p>
      <w:pPr>
        <w:spacing w:line="520" w:lineRule="exact"/>
        <w:rPr>
          <w:rFonts w:eastAsia="新宋体"/>
          <w:sz w:val="24"/>
        </w:rPr>
      </w:pPr>
    </w:p>
    <w:p>
      <w:pPr>
        <w:spacing w:line="520" w:lineRule="exact"/>
        <w:ind w:firstLine="480" w:firstLineChars="200"/>
        <w:rPr>
          <w:rFonts w:eastAsia="新宋体"/>
          <w:bCs/>
          <w:sz w:val="24"/>
          <w:u w:val="single"/>
        </w:rPr>
      </w:pPr>
      <w:r>
        <w:rPr>
          <w:rFonts w:eastAsia="新宋体"/>
          <w:sz w:val="24"/>
        </w:rPr>
        <w:t>项目名称</w:t>
      </w:r>
      <w:r>
        <w:rPr>
          <w:rFonts w:eastAsia="新宋体"/>
          <w:bCs/>
          <w:sz w:val="24"/>
        </w:rPr>
        <w:t xml:space="preserve">: </w:t>
      </w:r>
      <w:r>
        <w:rPr>
          <w:rFonts w:eastAsia="新宋体"/>
          <w:sz w:val="24"/>
          <w:u w:val="single"/>
        </w:rPr>
        <w:t xml:space="preserve">                      </w:t>
      </w:r>
    </w:p>
    <w:p>
      <w:pPr>
        <w:spacing w:line="520" w:lineRule="exact"/>
        <w:ind w:firstLine="470" w:firstLineChars="196"/>
        <w:rPr>
          <w:rFonts w:eastAsia="新宋体"/>
          <w:sz w:val="24"/>
        </w:rPr>
      </w:pPr>
      <w:r>
        <w:rPr>
          <w:rFonts w:eastAsia="新宋体"/>
          <w:bCs/>
          <w:sz w:val="24"/>
        </w:rPr>
        <w:t>批准文号：</w:t>
      </w:r>
      <w:r>
        <w:rPr>
          <w:rFonts w:eastAsia="新宋体"/>
          <w:sz w:val="24"/>
          <w:u w:val="single"/>
        </w:rPr>
        <w:t xml:space="preserve">                      </w:t>
      </w:r>
      <w:r>
        <w:rPr>
          <w:rFonts w:eastAsia="新宋体"/>
          <w:bCs/>
          <w:sz w:val="24"/>
        </w:rPr>
        <w:t xml:space="preserve">   </w:t>
      </w:r>
    </w:p>
    <w:p>
      <w:pPr>
        <w:spacing w:line="520" w:lineRule="exact"/>
        <w:ind w:firstLine="480" w:firstLineChars="200"/>
        <w:rPr>
          <w:rFonts w:eastAsia="新宋体"/>
          <w:sz w:val="24"/>
        </w:rPr>
      </w:pPr>
      <w:r>
        <w:rPr>
          <w:rFonts w:eastAsia="新宋体"/>
          <w:sz w:val="24"/>
        </w:rPr>
        <w:t>合同编号：</w:t>
      </w:r>
      <w:r>
        <w:rPr>
          <w:rFonts w:eastAsia="新宋体"/>
          <w:sz w:val="24"/>
          <w:u w:val="single"/>
        </w:rPr>
        <w:t xml:space="preserve">            </w:t>
      </w:r>
      <w:r>
        <w:rPr>
          <w:rFonts w:eastAsia="新宋体"/>
          <w:sz w:val="24"/>
        </w:rPr>
        <w:t>（第</w:t>
      </w:r>
      <w:r>
        <w:rPr>
          <w:rFonts w:eastAsia="新宋体"/>
          <w:sz w:val="24"/>
          <w:u w:val="single"/>
        </w:rPr>
        <w:t xml:space="preserve">  </w:t>
      </w:r>
      <w:r>
        <w:rPr>
          <w:rFonts w:eastAsia="新宋体"/>
          <w:sz w:val="24"/>
        </w:rPr>
        <w:t xml:space="preserve">包）      </w:t>
      </w:r>
    </w:p>
    <w:p>
      <w:pPr>
        <w:spacing w:line="520" w:lineRule="exact"/>
        <w:ind w:firstLine="480" w:firstLineChars="200"/>
        <w:rPr>
          <w:rFonts w:eastAsia="新宋体"/>
          <w:sz w:val="24"/>
          <w:u w:val="single"/>
        </w:rPr>
      </w:pPr>
      <w:r>
        <w:rPr>
          <w:rFonts w:eastAsia="新宋体"/>
          <w:sz w:val="24"/>
        </w:rPr>
        <w:t>采购代理机构：</w:t>
      </w:r>
      <w:r>
        <w:rPr>
          <w:rFonts w:eastAsia="新宋体"/>
          <w:sz w:val="24"/>
          <w:u w:val="single"/>
        </w:rPr>
        <w:t xml:space="preserve">                </w:t>
      </w:r>
    </w:p>
    <w:p>
      <w:pPr>
        <w:spacing w:line="520" w:lineRule="exact"/>
        <w:ind w:firstLine="480" w:firstLineChars="200"/>
        <w:rPr>
          <w:rFonts w:eastAsia="新宋体"/>
          <w:sz w:val="24"/>
          <w:u w:val="single"/>
        </w:rPr>
      </w:pPr>
      <w:r>
        <w:rPr>
          <w:rFonts w:eastAsia="新宋体"/>
          <w:sz w:val="24"/>
        </w:rPr>
        <w:t xml:space="preserve">买方： </w:t>
      </w:r>
      <w:r>
        <w:rPr>
          <w:rFonts w:eastAsia="新宋体"/>
          <w:sz w:val="24"/>
          <w:u w:val="single"/>
        </w:rPr>
        <w:t>（采购人名称）</w:t>
      </w:r>
    </w:p>
    <w:p>
      <w:pPr>
        <w:spacing w:line="520" w:lineRule="exact"/>
        <w:ind w:firstLine="480" w:firstLineChars="200"/>
        <w:rPr>
          <w:rFonts w:eastAsia="新宋体"/>
          <w:sz w:val="24"/>
          <w:u w:val="single"/>
        </w:rPr>
      </w:pPr>
      <w:r>
        <w:rPr>
          <w:rFonts w:eastAsia="新宋体"/>
          <w:sz w:val="24"/>
        </w:rPr>
        <w:t xml:space="preserve">卖方： </w:t>
      </w:r>
      <w:r>
        <w:rPr>
          <w:rFonts w:eastAsia="新宋体"/>
          <w:sz w:val="24"/>
          <w:u w:val="single"/>
        </w:rPr>
        <w:t>（投标人名称）</w:t>
      </w:r>
    </w:p>
    <w:p>
      <w:pPr>
        <w:spacing w:line="520" w:lineRule="exact"/>
        <w:rPr>
          <w:rFonts w:eastAsia="新宋体"/>
          <w:sz w:val="24"/>
        </w:rPr>
      </w:pPr>
    </w:p>
    <w:p>
      <w:pPr>
        <w:spacing w:line="520" w:lineRule="exact"/>
        <w:rPr>
          <w:rFonts w:eastAsia="新宋体"/>
          <w:sz w:val="24"/>
        </w:rPr>
      </w:pPr>
    </w:p>
    <w:p>
      <w:pPr>
        <w:spacing w:line="520" w:lineRule="exact"/>
        <w:rPr>
          <w:rFonts w:eastAsia="新宋体"/>
          <w:sz w:val="24"/>
        </w:rPr>
      </w:pPr>
    </w:p>
    <w:p>
      <w:pPr>
        <w:spacing w:line="520" w:lineRule="exact"/>
        <w:ind w:firstLine="711" w:firstLineChars="295"/>
        <w:rPr>
          <w:rFonts w:eastAsia="新宋体"/>
          <w:bCs/>
          <w:sz w:val="24"/>
          <w:u w:val="single"/>
        </w:rPr>
      </w:pPr>
      <w:r>
        <w:rPr>
          <w:rFonts w:eastAsia="新宋体"/>
          <w:b/>
          <w:bCs/>
          <w:sz w:val="24"/>
        </w:rPr>
        <w:t>签订地点：</w:t>
      </w:r>
      <w:r>
        <w:rPr>
          <w:rFonts w:eastAsia="新宋体"/>
          <w:bCs/>
          <w:sz w:val="24"/>
          <w:u w:val="single"/>
        </w:rPr>
        <w:t xml:space="preserve">                         </w:t>
      </w:r>
    </w:p>
    <w:p>
      <w:pPr>
        <w:spacing w:line="520" w:lineRule="exact"/>
        <w:ind w:firstLine="711" w:firstLineChars="295"/>
        <w:rPr>
          <w:rFonts w:eastAsia="新宋体"/>
          <w:sz w:val="24"/>
        </w:rPr>
      </w:pPr>
      <w:r>
        <w:rPr>
          <w:rFonts w:eastAsia="新宋体"/>
          <w:b/>
          <w:bCs/>
          <w:sz w:val="24"/>
        </w:rPr>
        <w:t>签订日期：</w:t>
      </w:r>
      <w:r>
        <w:rPr>
          <w:rFonts w:eastAsia="新宋体"/>
          <w:sz w:val="24"/>
          <w:u w:val="single"/>
        </w:rPr>
        <w:t xml:space="preserve">         </w:t>
      </w:r>
      <w:r>
        <w:rPr>
          <w:rFonts w:eastAsia="新宋体"/>
          <w:sz w:val="24"/>
        </w:rPr>
        <w:t>年</w:t>
      </w:r>
      <w:r>
        <w:rPr>
          <w:rFonts w:eastAsia="新宋体"/>
          <w:sz w:val="24"/>
          <w:u w:val="single"/>
        </w:rPr>
        <w:t xml:space="preserve">    </w:t>
      </w:r>
      <w:r>
        <w:rPr>
          <w:rFonts w:eastAsia="新宋体"/>
          <w:sz w:val="24"/>
        </w:rPr>
        <w:t>月</w:t>
      </w:r>
      <w:r>
        <w:rPr>
          <w:rFonts w:eastAsia="新宋体"/>
          <w:sz w:val="24"/>
          <w:u w:val="single"/>
        </w:rPr>
        <w:t xml:space="preserve">     </w:t>
      </w:r>
      <w:r>
        <w:rPr>
          <w:rFonts w:eastAsia="新宋体"/>
          <w:sz w:val="24"/>
        </w:rPr>
        <w:t>日</w:t>
      </w:r>
    </w:p>
    <w:p>
      <w:pPr>
        <w:spacing w:line="520" w:lineRule="exact"/>
        <w:rPr>
          <w:rFonts w:eastAsia="新宋体"/>
          <w:sz w:val="24"/>
        </w:rPr>
      </w:pPr>
    </w:p>
    <w:p>
      <w:pPr>
        <w:spacing w:line="520" w:lineRule="exact"/>
        <w:rPr>
          <w:rFonts w:eastAsia="新宋体"/>
          <w:sz w:val="24"/>
        </w:rPr>
      </w:pPr>
    </w:p>
    <w:p>
      <w:pPr>
        <w:spacing w:line="520" w:lineRule="exact"/>
        <w:jc w:val="center"/>
        <w:rPr>
          <w:rFonts w:eastAsia="新宋体"/>
          <w:b/>
          <w:sz w:val="32"/>
          <w:szCs w:val="32"/>
        </w:rPr>
      </w:pPr>
      <w:r>
        <w:rPr>
          <w:rFonts w:eastAsia="新宋体"/>
          <w:sz w:val="24"/>
        </w:rPr>
        <w:br w:type="page"/>
      </w:r>
      <w:r>
        <w:rPr>
          <w:rFonts w:eastAsia="新宋体"/>
          <w:b/>
          <w:sz w:val="32"/>
          <w:szCs w:val="32"/>
        </w:rPr>
        <w:t>政府采购合同</w:t>
      </w:r>
    </w:p>
    <w:p>
      <w:pPr>
        <w:spacing w:line="520" w:lineRule="exact"/>
        <w:ind w:right="600"/>
        <w:jc w:val="center"/>
        <w:rPr>
          <w:rFonts w:eastAsia="新宋体"/>
          <w:sz w:val="24"/>
        </w:rPr>
      </w:pPr>
    </w:p>
    <w:p>
      <w:pPr>
        <w:spacing w:line="520" w:lineRule="exact"/>
        <w:rPr>
          <w:rFonts w:eastAsia="新宋体"/>
          <w:sz w:val="24"/>
        </w:rPr>
      </w:pPr>
      <w:r>
        <w:rPr>
          <w:rFonts w:eastAsia="新宋体"/>
          <w:sz w:val="24"/>
        </w:rPr>
        <w:t xml:space="preserve">项 目 名 称： </w:t>
      </w:r>
    </w:p>
    <w:p>
      <w:pPr>
        <w:spacing w:line="520" w:lineRule="exact"/>
        <w:rPr>
          <w:rFonts w:eastAsia="新宋体"/>
          <w:b/>
          <w:sz w:val="24"/>
        </w:rPr>
      </w:pPr>
      <w:r>
        <w:rPr>
          <w:rFonts w:eastAsia="新宋体"/>
          <w:sz w:val="24"/>
        </w:rPr>
        <w:t>合 同 编 号：</w:t>
      </w:r>
    </w:p>
    <w:p>
      <w:pPr>
        <w:spacing w:line="520" w:lineRule="exact"/>
        <w:rPr>
          <w:rFonts w:eastAsia="新宋体"/>
          <w:sz w:val="24"/>
        </w:rPr>
      </w:pPr>
      <w:r>
        <w:rPr>
          <w:rFonts w:eastAsia="新宋体"/>
          <w:sz w:val="24"/>
        </w:rPr>
        <w:t>采购代理机构名称：</w:t>
      </w:r>
    </w:p>
    <w:p>
      <w:pPr>
        <w:spacing w:line="520" w:lineRule="exact"/>
        <w:rPr>
          <w:rFonts w:eastAsia="新宋体"/>
          <w:sz w:val="24"/>
        </w:rPr>
      </w:pPr>
      <w:r>
        <w:rPr>
          <w:rFonts w:eastAsia="新宋体"/>
          <w:sz w:val="24"/>
        </w:rPr>
        <w:t xml:space="preserve">买方：（采购人名称） </w:t>
      </w:r>
    </w:p>
    <w:p>
      <w:pPr>
        <w:spacing w:line="520" w:lineRule="exact"/>
        <w:rPr>
          <w:rFonts w:eastAsia="新宋体"/>
          <w:sz w:val="24"/>
        </w:rPr>
      </w:pPr>
      <w:r>
        <w:rPr>
          <w:rFonts w:eastAsia="新宋体"/>
          <w:sz w:val="24"/>
        </w:rPr>
        <w:t xml:space="preserve">卖方：（投标人名称） </w:t>
      </w:r>
    </w:p>
    <w:p>
      <w:pPr>
        <w:spacing w:line="520" w:lineRule="exact"/>
        <w:rPr>
          <w:rFonts w:eastAsia="新宋体"/>
          <w:sz w:val="24"/>
        </w:rPr>
      </w:pPr>
      <w:r>
        <w:rPr>
          <w:rFonts w:eastAsia="新宋体"/>
          <w:sz w:val="24"/>
        </w:rPr>
        <w:t>合同签订地点：</w:t>
      </w:r>
    </w:p>
    <w:p>
      <w:pPr>
        <w:spacing w:line="520" w:lineRule="exact"/>
        <w:ind w:firstLine="480" w:firstLineChars="200"/>
        <w:rPr>
          <w:rFonts w:eastAsia="新宋体"/>
          <w:sz w:val="24"/>
        </w:rPr>
      </w:pPr>
      <w:r>
        <w:rPr>
          <w:rFonts w:eastAsia="新宋体"/>
          <w:sz w:val="24"/>
        </w:rPr>
        <w:t>经（同级财政单位名称）批准（项目批准书文号），（采购代理机构名称）受（采购人名称）委托，采用（采购方式），已完成（------）项目的采购活动。</w:t>
      </w:r>
    </w:p>
    <w:p>
      <w:pPr>
        <w:spacing w:line="520" w:lineRule="exact"/>
        <w:ind w:firstLine="480" w:firstLineChars="200"/>
        <w:rPr>
          <w:rFonts w:eastAsia="新宋体"/>
          <w:sz w:val="24"/>
        </w:rPr>
      </w:pPr>
      <w:r>
        <w:rPr>
          <w:rFonts w:eastAsia="新宋体"/>
          <w:sz w:val="24"/>
        </w:rPr>
        <w:t>根据《中华人民共和国政府采购法》和《中华人民共和国合同法》等相关法律法规，遵循本项目招标（采购）文件（编号：）的各项规定和中标人投标文件的相关约定，为保护供需双方合法权益，</w:t>
      </w:r>
      <w:r>
        <w:rPr>
          <w:rFonts w:eastAsia="新宋体"/>
          <w:spacing w:val="-10"/>
          <w:sz w:val="24"/>
        </w:rPr>
        <w:t>按照平等、自愿的原则，经</w:t>
      </w:r>
      <w:r>
        <w:rPr>
          <w:rFonts w:eastAsia="新宋体"/>
          <w:sz w:val="24"/>
        </w:rPr>
        <w:t>采购代理机构</w:t>
      </w:r>
      <w:r>
        <w:rPr>
          <w:rFonts w:eastAsia="新宋体"/>
          <w:spacing w:val="-10"/>
          <w:sz w:val="24"/>
        </w:rPr>
        <w:t>、采购人</w:t>
      </w:r>
      <w:r>
        <w:rPr>
          <w:rFonts w:eastAsia="新宋体"/>
          <w:sz w:val="24"/>
        </w:rPr>
        <w:t>和投标人</w:t>
      </w:r>
      <w:r>
        <w:rPr>
          <w:rFonts w:eastAsia="新宋体"/>
          <w:spacing w:val="-10"/>
          <w:sz w:val="24"/>
        </w:rPr>
        <w:t>共同审核，三方一致同意</w:t>
      </w:r>
      <w:r>
        <w:rPr>
          <w:rFonts w:eastAsia="新宋体"/>
          <w:sz w:val="24"/>
        </w:rPr>
        <w:t>签订本政府采购合同，并承诺共同遵守。</w:t>
      </w:r>
    </w:p>
    <w:p>
      <w:pPr>
        <w:spacing w:line="520" w:lineRule="exact"/>
        <w:ind w:firstLine="482" w:firstLineChars="200"/>
        <w:rPr>
          <w:rFonts w:eastAsia="新宋体"/>
          <w:b/>
          <w:sz w:val="24"/>
        </w:rPr>
      </w:pPr>
      <w:r>
        <w:rPr>
          <w:rFonts w:eastAsia="新宋体"/>
          <w:b/>
          <w:sz w:val="24"/>
        </w:rPr>
        <w:t>一、合同文件</w:t>
      </w:r>
    </w:p>
    <w:p>
      <w:pPr>
        <w:spacing w:line="520" w:lineRule="exact"/>
        <w:ind w:firstLine="480" w:firstLineChars="200"/>
        <w:rPr>
          <w:rFonts w:eastAsia="新宋体"/>
          <w:sz w:val="24"/>
        </w:rPr>
      </w:pPr>
      <w:r>
        <w:rPr>
          <w:rFonts w:eastAsia="新宋体"/>
          <w:sz w:val="24"/>
        </w:rPr>
        <w:t>下列文件、资料是构成本合同不可分割的部分：</w:t>
      </w:r>
    </w:p>
    <w:p>
      <w:pPr>
        <w:spacing w:line="520" w:lineRule="exact"/>
        <w:ind w:firstLine="480" w:firstLineChars="200"/>
        <w:rPr>
          <w:rFonts w:eastAsia="新宋体"/>
          <w:sz w:val="24"/>
        </w:rPr>
      </w:pPr>
      <w:r>
        <w:rPr>
          <w:rFonts w:eastAsia="新宋体"/>
          <w:sz w:val="24"/>
        </w:rPr>
        <w:t>1.采购文件规定的各项条款；</w:t>
      </w:r>
    </w:p>
    <w:p>
      <w:pPr>
        <w:spacing w:line="520" w:lineRule="exact"/>
        <w:ind w:firstLine="480" w:firstLineChars="200"/>
        <w:rPr>
          <w:rFonts w:eastAsia="新宋体"/>
          <w:sz w:val="24"/>
        </w:rPr>
      </w:pPr>
      <w:r>
        <w:rPr>
          <w:rFonts w:eastAsia="新宋体"/>
          <w:sz w:val="24"/>
        </w:rPr>
        <w:t>2.投标人提交的全部投标文件；</w:t>
      </w:r>
    </w:p>
    <w:p>
      <w:pPr>
        <w:spacing w:line="520" w:lineRule="exact"/>
        <w:ind w:firstLine="480" w:firstLineChars="200"/>
        <w:rPr>
          <w:rFonts w:eastAsia="新宋体"/>
          <w:sz w:val="24"/>
        </w:rPr>
      </w:pPr>
      <w:r>
        <w:rPr>
          <w:rFonts w:eastAsia="新宋体"/>
          <w:sz w:val="24"/>
        </w:rPr>
        <w:t>3.在采购活动中，评委会与中标人或采购人与中标人议定的各项以文字记述的补充条款或承诺；</w:t>
      </w:r>
    </w:p>
    <w:p>
      <w:pPr>
        <w:spacing w:line="520" w:lineRule="exact"/>
        <w:ind w:firstLine="480" w:firstLineChars="200"/>
        <w:rPr>
          <w:rFonts w:eastAsia="新宋体"/>
          <w:sz w:val="24"/>
        </w:rPr>
      </w:pPr>
      <w:r>
        <w:rPr>
          <w:rFonts w:eastAsia="新宋体"/>
          <w:sz w:val="24"/>
        </w:rPr>
        <w:t>4.中标通知书。</w:t>
      </w:r>
    </w:p>
    <w:p>
      <w:pPr>
        <w:spacing w:line="520" w:lineRule="exact"/>
        <w:ind w:firstLine="480" w:firstLineChars="200"/>
        <w:rPr>
          <w:rFonts w:eastAsia="新宋体"/>
          <w:sz w:val="24"/>
        </w:rPr>
      </w:pPr>
      <w:r>
        <w:rPr>
          <w:rFonts w:eastAsia="新宋体"/>
          <w:sz w:val="24"/>
        </w:rPr>
        <w:t>5.履约保证金；</w:t>
      </w:r>
    </w:p>
    <w:p>
      <w:pPr>
        <w:spacing w:line="520" w:lineRule="exact"/>
        <w:ind w:firstLine="482" w:firstLineChars="200"/>
        <w:rPr>
          <w:rFonts w:eastAsia="新宋体"/>
          <w:b/>
          <w:sz w:val="24"/>
        </w:rPr>
      </w:pPr>
      <w:r>
        <w:rPr>
          <w:rFonts w:eastAsia="新宋体"/>
          <w:b/>
          <w:sz w:val="24"/>
        </w:rPr>
        <w:t>二、合同范围和条件</w:t>
      </w:r>
    </w:p>
    <w:p>
      <w:pPr>
        <w:spacing w:line="520" w:lineRule="exact"/>
        <w:ind w:firstLine="480" w:firstLineChars="200"/>
        <w:rPr>
          <w:rFonts w:eastAsia="新宋体"/>
          <w:sz w:val="24"/>
        </w:rPr>
      </w:pPr>
      <w:r>
        <w:rPr>
          <w:rFonts w:eastAsia="新宋体"/>
          <w:sz w:val="24"/>
        </w:rPr>
        <w:t>本合同的范围和条件应与上述合同文件的规定内容相一致。</w:t>
      </w:r>
    </w:p>
    <w:p>
      <w:pPr>
        <w:spacing w:line="520" w:lineRule="exact"/>
        <w:ind w:firstLine="482" w:firstLineChars="200"/>
        <w:rPr>
          <w:rFonts w:eastAsia="新宋体"/>
          <w:b/>
          <w:sz w:val="24"/>
        </w:rPr>
      </w:pPr>
      <w:r>
        <w:rPr>
          <w:rFonts w:eastAsia="新宋体"/>
          <w:b/>
          <w:sz w:val="24"/>
        </w:rPr>
        <w:t>三、采购货物、服务有关信息</w:t>
      </w:r>
    </w:p>
    <w:p>
      <w:pPr>
        <w:spacing w:line="520" w:lineRule="exact"/>
        <w:ind w:firstLine="482" w:firstLineChars="200"/>
        <w:rPr>
          <w:rFonts w:eastAsia="新宋体"/>
          <w:b/>
          <w:sz w:val="24"/>
        </w:rPr>
      </w:pPr>
      <w:r>
        <w:rPr>
          <w:rFonts w:eastAsia="新宋体"/>
          <w:b/>
          <w:sz w:val="24"/>
        </w:rPr>
        <w:t>表1、采购货物、服务信息一览表</w:t>
      </w:r>
    </w:p>
    <w:tbl>
      <w:tblPr>
        <w:tblStyle w:val="18"/>
        <w:tblW w:w="0" w:type="auto"/>
        <w:tblInd w:w="-637" w:type="dxa"/>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532"/>
        <w:gridCol w:w="1030"/>
        <w:gridCol w:w="603"/>
        <w:gridCol w:w="663"/>
        <w:gridCol w:w="756"/>
        <w:gridCol w:w="476"/>
        <w:gridCol w:w="454"/>
        <w:gridCol w:w="7"/>
        <w:gridCol w:w="757"/>
        <w:gridCol w:w="657"/>
        <w:gridCol w:w="952"/>
        <w:gridCol w:w="420"/>
        <w:gridCol w:w="420"/>
        <w:gridCol w:w="686"/>
        <w:gridCol w:w="644"/>
        <w:gridCol w:w="434"/>
      </w:tblGrid>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1569" w:hRule="atLeast"/>
        </w:trPr>
        <w:tc>
          <w:tcPr>
            <w:tcW w:w="532" w:type="dxa"/>
            <w:tcMar>
              <w:left w:w="0" w:type="dxa"/>
              <w:right w:w="0" w:type="dxa"/>
            </w:tcMar>
            <w:vAlign w:val="center"/>
          </w:tcPr>
          <w:p>
            <w:pPr>
              <w:spacing w:line="300" w:lineRule="exact"/>
              <w:jc w:val="center"/>
              <w:rPr>
                <w:rFonts w:eastAsia="新宋体"/>
                <w:sz w:val="24"/>
              </w:rPr>
            </w:pPr>
            <w:r>
              <w:rPr>
                <w:rFonts w:eastAsia="新宋体"/>
                <w:sz w:val="24"/>
              </w:rPr>
              <w:t>编</w:t>
            </w:r>
          </w:p>
          <w:p>
            <w:pPr>
              <w:spacing w:line="300" w:lineRule="exact"/>
              <w:jc w:val="center"/>
              <w:rPr>
                <w:rFonts w:eastAsia="新宋体"/>
                <w:sz w:val="24"/>
              </w:rPr>
            </w:pPr>
            <w:r>
              <w:rPr>
                <w:rFonts w:eastAsia="新宋体"/>
                <w:sz w:val="24"/>
              </w:rPr>
              <w:t>号</w:t>
            </w:r>
          </w:p>
        </w:tc>
        <w:tc>
          <w:tcPr>
            <w:tcW w:w="1030" w:type="dxa"/>
            <w:tcMar>
              <w:left w:w="0" w:type="dxa"/>
              <w:right w:w="0" w:type="dxa"/>
            </w:tcMar>
            <w:vAlign w:val="center"/>
          </w:tcPr>
          <w:p>
            <w:pPr>
              <w:spacing w:line="300" w:lineRule="exact"/>
              <w:jc w:val="center"/>
              <w:rPr>
                <w:rFonts w:eastAsia="新宋体"/>
                <w:sz w:val="24"/>
              </w:rPr>
            </w:pPr>
            <w:r>
              <w:rPr>
                <w:rFonts w:eastAsia="新宋体"/>
                <w:sz w:val="24"/>
              </w:rPr>
              <w:t>货物、服务品目名称</w:t>
            </w:r>
          </w:p>
        </w:tc>
        <w:tc>
          <w:tcPr>
            <w:tcW w:w="603" w:type="dxa"/>
            <w:tcBorders>
              <w:righ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品牌</w:t>
            </w:r>
          </w:p>
        </w:tc>
        <w:tc>
          <w:tcPr>
            <w:tcW w:w="663" w:type="dxa"/>
            <w:tcBorders>
              <w:righ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生产</w:t>
            </w:r>
          </w:p>
          <w:p>
            <w:pPr>
              <w:spacing w:line="300" w:lineRule="exact"/>
              <w:jc w:val="center"/>
              <w:rPr>
                <w:rFonts w:eastAsia="新宋体"/>
                <w:sz w:val="24"/>
              </w:rPr>
            </w:pPr>
            <w:r>
              <w:rPr>
                <w:rFonts w:eastAsia="新宋体"/>
                <w:sz w:val="24"/>
              </w:rPr>
              <w:t>厂家</w:t>
            </w:r>
          </w:p>
          <w:p>
            <w:pPr>
              <w:spacing w:line="300" w:lineRule="exact"/>
              <w:jc w:val="center"/>
              <w:rPr>
                <w:rFonts w:eastAsia="新宋体"/>
                <w:sz w:val="24"/>
              </w:rPr>
            </w:pPr>
          </w:p>
        </w:tc>
        <w:tc>
          <w:tcPr>
            <w:tcW w:w="756" w:type="dxa"/>
            <w:tcBorders>
              <w:lef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产品类型（进口/国产）</w:t>
            </w:r>
          </w:p>
        </w:tc>
        <w:tc>
          <w:tcPr>
            <w:tcW w:w="476" w:type="dxa"/>
            <w:tcBorders>
              <w:lef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规格型号</w:t>
            </w:r>
          </w:p>
        </w:tc>
        <w:tc>
          <w:tcPr>
            <w:tcW w:w="454" w:type="dxa"/>
            <w:tcBorders>
              <w:lef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产品属性</w:t>
            </w:r>
          </w:p>
        </w:tc>
        <w:tc>
          <w:tcPr>
            <w:tcW w:w="764" w:type="dxa"/>
            <w:gridSpan w:val="2"/>
            <w:tcBorders>
              <w:lef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品目类别（排气量）</w:t>
            </w:r>
          </w:p>
        </w:tc>
        <w:tc>
          <w:tcPr>
            <w:tcW w:w="657" w:type="dxa"/>
            <w:tcBorders>
              <w:lef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重点统计指标</w:t>
            </w:r>
          </w:p>
        </w:tc>
        <w:tc>
          <w:tcPr>
            <w:tcW w:w="952" w:type="dxa"/>
            <w:tcBorders>
              <w:lef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技术参数、性能指标和主要配置</w:t>
            </w:r>
          </w:p>
        </w:tc>
        <w:tc>
          <w:tcPr>
            <w:tcW w:w="420" w:type="dxa"/>
            <w:tcMar>
              <w:left w:w="0" w:type="dxa"/>
              <w:right w:w="0" w:type="dxa"/>
            </w:tcMar>
            <w:vAlign w:val="center"/>
          </w:tcPr>
          <w:p>
            <w:pPr>
              <w:spacing w:line="300" w:lineRule="exact"/>
              <w:jc w:val="center"/>
              <w:rPr>
                <w:rFonts w:eastAsia="新宋体"/>
                <w:sz w:val="24"/>
              </w:rPr>
            </w:pPr>
            <w:r>
              <w:rPr>
                <w:rFonts w:eastAsia="新宋体"/>
                <w:sz w:val="24"/>
              </w:rPr>
              <w:t>数量</w:t>
            </w:r>
          </w:p>
        </w:tc>
        <w:tc>
          <w:tcPr>
            <w:tcW w:w="420" w:type="dxa"/>
            <w:tcBorders>
              <w:right w:val="single" w:color="auto" w:sz="4" w:space="0"/>
            </w:tcBorders>
            <w:tcMar>
              <w:left w:w="0" w:type="dxa"/>
              <w:right w:w="0" w:type="dxa"/>
            </w:tcMar>
            <w:vAlign w:val="center"/>
          </w:tcPr>
          <w:p>
            <w:pPr>
              <w:spacing w:line="300" w:lineRule="exact"/>
              <w:jc w:val="center"/>
              <w:rPr>
                <w:rFonts w:eastAsia="新宋体"/>
                <w:sz w:val="24"/>
              </w:rPr>
            </w:pPr>
            <w:r>
              <w:rPr>
                <w:rFonts w:eastAsia="新宋体"/>
                <w:sz w:val="24"/>
              </w:rPr>
              <w:t>单位</w:t>
            </w:r>
          </w:p>
        </w:tc>
        <w:tc>
          <w:tcPr>
            <w:tcW w:w="686" w:type="dxa"/>
            <w:tcBorders>
              <w:left w:val="single" w:color="auto" w:sz="4" w:space="0"/>
            </w:tcBorders>
            <w:vAlign w:val="center"/>
          </w:tcPr>
          <w:p>
            <w:pPr>
              <w:spacing w:line="300" w:lineRule="exact"/>
              <w:jc w:val="center"/>
              <w:rPr>
                <w:rFonts w:eastAsia="新宋体"/>
                <w:sz w:val="24"/>
              </w:rPr>
            </w:pPr>
            <w:r>
              <w:rPr>
                <w:rFonts w:eastAsia="新宋体"/>
                <w:sz w:val="24"/>
              </w:rPr>
              <w:t>单价</w:t>
            </w:r>
            <w:r>
              <w:rPr>
                <w:rFonts w:eastAsia="新宋体"/>
                <w:spacing w:val="-20"/>
                <w:sz w:val="24"/>
              </w:rPr>
              <w:t>（元）</w:t>
            </w:r>
          </w:p>
        </w:tc>
        <w:tc>
          <w:tcPr>
            <w:tcW w:w="644" w:type="dxa"/>
            <w:tcBorders>
              <w:left w:val="single" w:color="auto" w:sz="4" w:space="0"/>
            </w:tcBorders>
            <w:vAlign w:val="center"/>
          </w:tcPr>
          <w:p>
            <w:pPr>
              <w:spacing w:line="300" w:lineRule="exact"/>
              <w:jc w:val="center"/>
              <w:rPr>
                <w:rFonts w:eastAsia="新宋体"/>
                <w:sz w:val="24"/>
              </w:rPr>
            </w:pPr>
            <w:r>
              <w:rPr>
                <w:rFonts w:eastAsia="新宋体"/>
                <w:sz w:val="24"/>
              </w:rPr>
              <w:t>合计</w:t>
            </w:r>
            <w:r>
              <w:rPr>
                <w:rFonts w:eastAsia="新宋体"/>
                <w:spacing w:val="-20"/>
                <w:sz w:val="24"/>
              </w:rPr>
              <w:t>（元）</w:t>
            </w:r>
          </w:p>
        </w:tc>
        <w:tc>
          <w:tcPr>
            <w:tcW w:w="434" w:type="dxa"/>
            <w:tcBorders>
              <w:left w:val="single" w:color="auto" w:sz="4" w:space="0"/>
            </w:tcBorders>
            <w:vAlign w:val="center"/>
          </w:tcPr>
          <w:p>
            <w:pPr>
              <w:spacing w:line="300" w:lineRule="exact"/>
              <w:jc w:val="center"/>
              <w:rPr>
                <w:rFonts w:eastAsia="新宋体"/>
                <w:sz w:val="24"/>
              </w:rPr>
            </w:pPr>
            <w:r>
              <w:rPr>
                <w:rFonts w:eastAsia="新宋体"/>
                <w:sz w:val="24"/>
              </w:rPr>
              <w:t>质保期</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292" w:hRule="atLeast"/>
        </w:trPr>
        <w:tc>
          <w:tcPr>
            <w:tcW w:w="532" w:type="dxa"/>
            <w:tcBorders>
              <w:bottom w:val="single" w:color="auto" w:sz="4" w:space="0"/>
            </w:tcBorders>
            <w:shd w:val="clear" w:color="auto" w:fill="FFFFFF"/>
            <w:vAlign w:val="center"/>
          </w:tcPr>
          <w:p>
            <w:pPr>
              <w:spacing w:line="520" w:lineRule="exact"/>
              <w:ind w:firstLine="480" w:firstLineChars="200"/>
              <w:rPr>
                <w:rFonts w:eastAsia="新宋体"/>
                <w:sz w:val="24"/>
              </w:rPr>
            </w:pPr>
          </w:p>
        </w:tc>
        <w:tc>
          <w:tcPr>
            <w:tcW w:w="1030" w:type="dxa"/>
            <w:tcBorders>
              <w:bottom w:val="single" w:color="auto" w:sz="4" w:space="0"/>
            </w:tcBorders>
            <w:vAlign w:val="center"/>
          </w:tcPr>
          <w:p>
            <w:pPr>
              <w:spacing w:line="520" w:lineRule="exact"/>
              <w:ind w:firstLine="480" w:firstLineChars="200"/>
              <w:rPr>
                <w:rFonts w:eastAsia="新宋体"/>
                <w:sz w:val="24"/>
              </w:rPr>
            </w:pPr>
          </w:p>
        </w:tc>
        <w:tc>
          <w:tcPr>
            <w:tcW w:w="603" w:type="dxa"/>
            <w:tcBorders>
              <w:bottom w:val="single" w:color="auto" w:sz="4" w:space="0"/>
              <w:right w:val="single" w:color="auto" w:sz="4" w:space="0"/>
            </w:tcBorders>
            <w:vAlign w:val="center"/>
          </w:tcPr>
          <w:p>
            <w:pPr>
              <w:spacing w:line="520" w:lineRule="exact"/>
              <w:ind w:firstLine="480" w:firstLineChars="200"/>
              <w:rPr>
                <w:rFonts w:eastAsia="新宋体"/>
                <w:sz w:val="24"/>
              </w:rPr>
            </w:pPr>
          </w:p>
        </w:tc>
        <w:tc>
          <w:tcPr>
            <w:tcW w:w="663" w:type="dxa"/>
            <w:tcBorders>
              <w:bottom w:val="single" w:color="auto" w:sz="4" w:space="0"/>
              <w:right w:val="single" w:color="auto" w:sz="4" w:space="0"/>
            </w:tcBorders>
            <w:vAlign w:val="center"/>
          </w:tcPr>
          <w:p>
            <w:pPr>
              <w:spacing w:line="520" w:lineRule="exact"/>
              <w:ind w:firstLine="480" w:firstLineChars="200"/>
              <w:rPr>
                <w:rFonts w:eastAsia="新宋体"/>
                <w:sz w:val="24"/>
              </w:rPr>
            </w:pPr>
          </w:p>
        </w:tc>
        <w:tc>
          <w:tcPr>
            <w:tcW w:w="756" w:type="dxa"/>
            <w:tcBorders>
              <w:left w:val="single" w:color="auto" w:sz="4" w:space="0"/>
              <w:bottom w:val="single" w:color="auto" w:sz="4" w:space="0"/>
            </w:tcBorders>
            <w:vAlign w:val="center"/>
          </w:tcPr>
          <w:p>
            <w:pPr>
              <w:spacing w:line="520" w:lineRule="exact"/>
              <w:ind w:firstLine="120" w:firstLineChars="50"/>
              <w:rPr>
                <w:rFonts w:eastAsia="新宋体"/>
                <w:sz w:val="24"/>
              </w:rPr>
            </w:pPr>
          </w:p>
        </w:tc>
        <w:tc>
          <w:tcPr>
            <w:tcW w:w="476" w:type="dxa"/>
            <w:tcBorders>
              <w:left w:val="single" w:color="auto" w:sz="4" w:space="0"/>
              <w:bottom w:val="single" w:color="auto" w:sz="4" w:space="0"/>
            </w:tcBorders>
            <w:vAlign w:val="center"/>
          </w:tcPr>
          <w:p>
            <w:pPr>
              <w:spacing w:line="520" w:lineRule="exact"/>
              <w:ind w:firstLine="120" w:firstLineChars="50"/>
              <w:rPr>
                <w:rFonts w:eastAsia="新宋体"/>
                <w:sz w:val="24"/>
              </w:rPr>
            </w:pPr>
          </w:p>
        </w:tc>
        <w:tc>
          <w:tcPr>
            <w:tcW w:w="461" w:type="dxa"/>
            <w:gridSpan w:val="2"/>
            <w:tcBorders>
              <w:left w:val="single" w:color="auto" w:sz="4" w:space="0"/>
              <w:bottom w:val="single" w:color="auto" w:sz="4" w:space="0"/>
            </w:tcBorders>
            <w:vAlign w:val="center"/>
          </w:tcPr>
          <w:p>
            <w:pPr>
              <w:spacing w:line="520" w:lineRule="exact"/>
              <w:ind w:firstLine="120" w:firstLineChars="50"/>
              <w:rPr>
                <w:rFonts w:eastAsia="新宋体"/>
                <w:sz w:val="24"/>
              </w:rPr>
            </w:pPr>
          </w:p>
        </w:tc>
        <w:tc>
          <w:tcPr>
            <w:tcW w:w="757" w:type="dxa"/>
            <w:tcBorders>
              <w:left w:val="single" w:color="auto" w:sz="4" w:space="0"/>
              <w:bottom w:val="single" w:color="auto" w:sz="4" w:space="0"/>
            </w:tcBorders>
            <w:vAlign w:val="center"/>
          </w:tcPr>
          <w:p>
            <w:pPr>
              <w:spacing w:line="520" w:lineRule="exact"/>
              <w:ind w:firstLine="120" w:firstLineChars="50"/>
              <w:rPr>
                <w:rFonts w:eastAsia="新宋体"/>
                <w:sz w:val="24"/>
              </w:rPr>
            </w:pPr>
          </w:p>
        </w:tc>
        <w:tc>
          <w:tcPr>
            <w:tcW w:w="657" w:type="dxa"/>
            <w:tcBorders>
              <w:left w:val="single" w:color="auto" w:sz="4" w:space="0"/>
              <w:bottom w:val="single" w:color="auto" w:sz="4" w:space="0"/>
            </w:tcBorders>
            <w:vAlign w:val="center"/>
          </w:tcPr>
          <w:p>
            <w:pPr>
              <w:spacing w:line="520" w:lineRule="exact"/>
              <w:ind w:firstLine="120" w:firstLineChars="50"/>
              <w:rPr>
                <w:rFonts w:eastAsia="新宋体"/>
                <w:sz w:val="24"/>
              </w:rPr>
            </w:pPr>
          </w:p>
        </w:tc>
        <w:tc>
          <w:tcPr>
            <w:tcW w:w="952" w:type="dxa"/>
            <w:tcBorders>
              <w:left w:val="single" w:color="auto" w:sz="4" w:space="0"/>
              <w:bottom w:val="single" w:color="auto" w:sz="4" w:space="0"/>
            </w:tcBorders>
            <w:vAlign w:val="center"/>
          </w:tcPr>
          <w:p>
            <w:pPr>
              <w:spacing w:line="520" w:lineRule="exact"/>
              <w:rPr>
                <w:rFonts w:eastAsia="新宋体"/>
                <w:spacing w:val="-8"/>
                <w:sz w:val="24"/>
              </w:rPr>
            </w:pPr>
            <w:r>
              <w:rPr>
                <w:rFonts w:eastAsia="新宋体"/>
                <w:spacing w:val="-8"/>
                <w:sz w:val="24"/>
              </w:rPr>
              <w:t>详见表2</w:t>
            </w:r>
          </w:p>
        </w:tc>
        <w:tc>
          <w:tcPr>
            <w:tcW w:w="420" w:type="dxa"/>
            <w:tcBorders>
              <w:bottom w:val="single" w:color="auto" w:sz="4" w:space="0"/>
            </w:tcBorders>
            <w:vAlign w:val="center"/>
          </w:tcPr>
          <w:p>
            <w:pPr>
              <w:spacing w:line="520" w:lineRule="exact"/>
              <w:ind w:firstLine="480" w:firstLineChars="200"/>
              <w:rPr>
                <w:rFonts w:eastAsia="新宋体"/>
                <w:sz w:val="24"/>
              </w:rPr>
            </w:pPr>
          </w:p>
        </w:tc>
        <w:tc>
          <w:tcPr>
            <w:tcW w:w="420" w:type="dxa"/>
            <w:tcBorders>
              <w:bottom w:val="single" w:color="auto" w:sz="4" w:space="0"/>
              <w:right w:val="single" w:color="auto" w:sz="4" w:space="0"/>
            </w:tcBorders>
            <w:vAlign w:val="center"/>
          </w:tcPr>
          <w:p>
            <w:pPr>
              <w:spacing w:line="520" w:lineRule="exact"/>
              <w:ind w:firstLine="480" w:firstLineChars="200"/>
              <w:rPr>
                <w:rFonts w:eastAsia="新宋体"/>
                <w:sz w:val="24"/>
              </w:rPr>
            </w:pPr>
          </w:p>
        </w:tc>
        <w:tc>
          <w:tcPr>
            <w:tcW w:w="686" w:type="dxa"/>
            <w:tcBorders>
              <w:left w:val="single" w:color="auto" w:sz="4" w:space="0"/>
              <w:bottom w:val="single" w:color="auto" w:sz="4" w:space="0"/>
            </w:tcBorders>
            <w:vAlign w:val="center"/>
          </w:tcPr>
          <w:p>
            <w:pPr>
              <w:spacing w:line="520" w:lineRule="exact"/>
              <w:ind w:firstLine="480" w:firstLineChars="200"/>
              <w:rPr>
                <w:rFonts w:eastAsia="新宋体"/>
                <w:sz w:val="24"/>
              </w:rPr>
            </w:pPr>
          </w:p>
        </w:tc>
        <w:tc>
          <w:tcPr>
            <w:tcW w:w="644" w:type="dxa"/>
            <w:tcBorders>
              <w:left w:val="single" w:color="auto" w:sz="4" w:space="0"/>
              <w:bottom w:val="single" w:color="auto" w:sz="4" w:space="0"/>
            </w:tcBorders>
            <w:vAlign w:val="center"/>
          </w:tcPr>
          <w:p>
            <w:pPr>
              <w:spacing w:line="520" w:lineRule="exact"/>
              <w:ind w:firstLine="480" w:firstLineChars="200"/>
              <w:rPr>
                <w:rFonts w:eastAsia="新宋体"/>
                <w:sz w:val="24"/>
              </w:rPr>
            </w:pPr>
          </w:p>
        </w:tc>
        <w:tc>
          <w:tcPr>
            <w:tcW w:w="434" w:type="dxa"/>
            <w:tcBorders>
              <w:left w:val="single" w:color="auto" w:sz="4" w:space="0"/>
              <w:bottom w:val="single" w:color="auto" w:sz="4" w:space="0"/>
            </w:tcBorders>
            <w:vAlign w:val="center"/>
          </w:tcPr>
          <w:p>
            <w:pPr>
              <w:spacing w:line="520" w:lineRule="exact"/>
              <w:ind w:firstLine="480" w:firstLineChars="200"/>
              <w:rPr>
                <w:rFonts w:eastAsia="新宋体"/>
                <w:sz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303" w:hRule="atLeast"/>
        </w:trPr>
        <w:tc>
          <w:tcPr>
            <w:tcW w:w="532" w:type="dxa"/>
            <w:tcBorders>
              <w:top w:val="single" w:color="auto" w:sz="4" w:space="0"/>
              <w:bottom w:val="single" w:color="auto" w:sz="4" w:space="0"/>
            </w:tcBorders>
            <w:shd w:val="clear" w:color="auto" w:fill="FFFFFF"/>
            <w:vAlign w:val="center"/>
          </w:tcPr>
          <w:p>
            <w:pPr>
              <w:spacing w:line="520" w:lineRule="exact"/>
              <w:ind w:firstLine="480" w:firstLineChars="200"/>
              <w:rPr>
                <w:rFonts w:eastAsia="新宋体"/>
                <w:sz w:val="24"/>
              </w:rPr>
            </w:pPr>
          </w:p>
        </w:tc>
        <w:tc>
          <w:tcPr>
            <w:tcW w:w="1030" w:type="dxa"/>
            <w:tcBorders>
              <w:top w:val="single" w:color="auto" w:sz="4" w:space="0"/>
              <w:bottom w:val="single" w:color="auto" w:sz="4" w:space="0"/>
            </w:tcBorders>
            <w:vAlign w:val="center"/>
          </w:tcPr>
          <w:p>
            <w:pPr>
              <w:spacing w:line="520" w:lineRule="exact"/>
              <w:ind w:firstLine="480" w:firstLineChars="200"/>
              <w:rPr>
                <w:rFonts w:eastAsia="新宋体"/>
                <w:sz w:val="24"/>
              </w:rPr>
            </w:pPr>
          </w:p>
        </w:tc>
        <w:tc>
          <w:tcPr>
            <w:tcW w:w="603"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sz w:val="24"/>
              </w:rPr>
            </w:pPr>
          </w:p>
        </w:tc>
        <w:tc>
          <w:tcPr>
            <w:tcW w:w="663"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sz w:val="24"/>
              </w:rPr>
            </w:pPr>
          </w:p>
        </w:tc>
        <w:tc>
          <w:tcPr>
            <w:tcW w:w="756"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sz w:val="24"/>
              </w:rPr>
            </w:pPr>
          </w:p>
        </w:tc>
        <w:tc>
          <w:tcPr>
            <w:tcW w:w="476"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sz w:val="24"/>
              </w:rPr>
            </w:pPr>
          </w:p>
        </w:tc>
        <w:tc>
          <w:tcPr>
            <w:tcW w:w="461" w:type="dxa"/>
            <w:gridSpan w:val="2"/>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sz w:val="24"/>
              </w:rPr>
            </w:pPr>
          </w:p>
        </w:tc>
        <w:tc>
          <w:tcPr>
            <w:tcW w:w="757"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sz w:val="24"/>
              </w:rPr>
            </w:pPr>
          </w:p>
        </w:tc>
        <w:tc>
          <w:tcPr>
            <w:tcW w:w="657"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sz w:val="24"/>
              </w:rPr>
            </w:pPr>
          </w:p>
        </w:tc>
        <w:tc>
          <w:tcPr>
            <w:tcW w:w="952" w:type="dxa"/>
            <w:tcBorders>
              <w:top w:val="single" w:color="auto" w:sz="4" w:space="0"/>
              <w:left w:val="single" w:color="auto" w:sz="4" w:space="0"/>
              <w:bottom w:val="single" w:color="auto" w:sz="4" w:space="0"/>
            </w:tcBorders>
            <w:vAlign w:val="center"/>
          </w:tcPr>
          <w:p>
            <w:pPr>
              <w:spacing w:line="520" w:lineRule="exact"/>
              <w:ind w:firstLine="120" w:firstLineChars="50"/>
              <w:rPr>
                <w:rFonts w:eastAsia="新宋体"/>
                <w:sz w:val="24"/>
              </w:rPr>
            </w:pPr>
          </w:p>
        </w:tc>
        <w:tc>
          <w:tcPr>
            <w:tcW w:w="420" w:type="dxa"/>
            <w:tcBorders>
              <w:top w:val="single" w:color="auto" w:sz="4" w:space="0"/>
              <w:bottom w:val="single" w:color="auto" w:sz="4" w:space="0"/>
            </w:tcBorders>
            <w:vAlign w:val="center"/>
          </w:tcPr>
          <w:p>
            <w:pPr>
              <w:spacing w:line="520" w:lineRule="exact"/>
              <w:ind w:firstLine="480" w:firstLineChars="200"/>
              <w:rPr>
                <w:rFonts w:eastAsia="新宋体"/>
                <w:sz w:val="24"/>
              </w:rPr>
            </w:pPr>
          </w:p>
        </w:tc>
        <w:tc>
          <w:tcPr>
            <w:tcW w:w="420"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sz w:val="24"/>
              </w:rPr>
            </w:pPr>
          </w:p>
        </w:tc>
        <w:tc>
          <w:tcPr>
            <w:tcW w:w="686"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sz w:val="24"/>
              </w:rPr>
            </w:pPr>
          </w:p>
        </w:tc>
        <w:tc>
          <w:tcPr>
            <w:tcW w:w="64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sz w:val="24"/>
              </w:rPr>
            </w:pPr>
          </w:p>
        </w:tc>
        <w:tc>
          <w:tcPr>
            <w:tcW w:w="43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sz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288" w:hRule="atLeast"/>
        </w:trPr>
        <w:tc>
          <w:tcPr>
            <w:tcW w:w="532" w:type="dxa"/>
            <w:tcBorders>
              <w:top w:val="single" w:color="auto" w:sz="4" w:space="0"/>
              <w:bottom w:val="single" w:color="auto" w:sz="4" w:space="0"/>
            </w:tcBorders>
            <w:shd w:val="clear" w:color="auto" w:fill="FFFFFF"/>
            <w:vAlign w:val="center"/>
          </w:tcPr>
          <w:p>
            <w:pPr>
              <w:spacing w:line="520" w:lineRule="exact"/>
              <w:ind w:firstLine="480" w:firstLineChars="200"/>
              <w:rPr>
                <w:rFonts w:eastAsia="新宋体"/>
                <w:sz w:val="24"/>
              </w:rPr>
            </w:pPr>
          </w:p>
        </w:tc>
        <w:tc>
          <w:tcPr>
            <w:tcW w:w="1030" w:type="dxa"/>
            <w:tcBorders>
              <w:top w:val="single" w:color="auto" w:sz="4" w:space="0"/>
              <w:bottom w:val="single" w:color="auto" w:sz="4" w:space="0"/>
            </w:tcBorders>
            <w:vAlign w:val="center"/>
          </w:tcPr>
          <w:p>
            <w:pPr>
              <w:spacing w:line="520" w:lineRule="exact"/>
              <w:ind w:firstLine="480" w:firstLineChars="200"/>
              <w:rPr>
                <w:rFonts w:eastAsia="新宋体"/>
                <w:sz w:val="24"/>
              </w:rPr>
            </w:pPr>
          </w:p>
        </w:tc>
        <w:tc>
          <w:tcPr>
            <w:tcW w:w="603"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sz w:val="24"/>
              </w:rPr>
            </w:pPr>
          </w:p>
        </w:tc>
        <w:tc>
          <w:tcPr>
            <w:tcW w:w="663"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sz w:val="24"/>
              </w:rPr>
            </w:pPr>
          </w:p>
        </w:tc>
        <w:tc>
          <w:tcPr>
            <w:tcW w:w="756" w:type="dxa"/>
            <w:tcBorders>
              <w:top w:val="single" w:color="auto" w:sz="4" w:space="0"/>
              <w:left w:val="single" w:color="auto" w:sz="4" w:space="0"/>
              <w:bottom w:val="single" w:color="auto" w:sz="4" w:space="0"/>
            </w:tcBorders>
            <w:vAlign w:val="center"/>
          </w:tcPr>
          <w:p>
            <w:pPr>
              <w:spacing w:line="520" w:lineRule="exact"/>
              <w:rPr>
                <w:rFonts w:eastAsia="新宋体"/>
                <w:sz w:val="24"/>
              </w:rPr>
            </w:pPr>
          </w:p>
        </w:tc>
        <w:tc>
          <w:tcPr>
            <w:tcW w:w="476" w:type="dxa"/>
            <w:tcBorders>
              <w:top w:val="single" w:color="auto" w:sz="4" w:space="0"/>
              <w:left w:val="single" w:color="auto" w:sz="4" w:space="0"/>
              <w:bottom w:val="single" w:color="auto" w:sz="4" w:space="0"/>
            </w:tcBorders>
            <w:vAlign w:val="center"/>
          </w:tcPr>
          <w:p>
            <w:pPr>
              <w:spacing w:line="520" w:lineRule="exact"/>
              <w:rPr>
                <w:rFonts w:eastAsia="新宋体"/>
                <w:sz w:val="24"/>
              </w:rPr>
            </w:pPr>
          </w:p>
        </w:tc>
        <w:tc>
          <w:tcPr>
            <w:tcW w:w="461" w:type="dxa"/>
            <w:gridSpan w:val="2"/>
            <w:tcBorders>
              <w:top w:val="single" w:color="auto" w:sz="4" w:space="0"/>
              <w:left w:val="single" w:color="auto" w:sz="4" w:space="0"/>
              <w:bottom w:val="single" w:color="auto" w:sz="4" w:space="0"/>
            </w:tcBorders>
            <w:vAlign w:val="center"/>
          </w:tcPr>
          <w:p>
            <w:pPr>
              <w:spacing w:line="520" w:lineRule="exact"/>
              <w:rPr>
                <w:rFonts w:eastAsia="新宋体"/>
                <w:sz w:val="24"/>
              </w:rPr>
            </w:pPr>
          </w:p>
        </w:tc>
        <w:tc>
          <w:tcPr>
            <w:tcW w:w="757" w:type="dxa"/>
            <w:tcBorders>
              <w:top w:val="single" w:color="auto" w:sz="4" w:space="0"/>
              <w:left w:val="single" w:color="auto" w:sz="4" w:space="0"/>
              <w:bottom w:val="single" w:color="auto" w:sz="4" w:space="0"/>
            </w:tcBorders>
            <w:vAlign w:val="center"/>
          </w:tcPr>
          <w:p>
            <w:pPr>
              <w:spacing w:line="520" w:lineRule="exact"/>
              <w:rPr>
                <w:rFonts w:eastAsia="新宋体"/>
                <w:sz w:val="24"/>
              </w:rPr>
            </w:pPr>
          </w:p>
        </w:tc>
        <w:tc>
          <w:tcPr>
            <w:tcW w:w="657" w:type="dxa"/>
            <w:tcBorders>
              <w:top w:val="single" w:color="auto" w:sz="4" w:space="0"/>
              <w:left w:val="single" w:color="auto" w:sz="4" w:space="0"/>
              <w:bottom w:val="single" w:color="auto" w:sz="4" w:space="0"/>
            </w:tcBorders>
            <w:vAlign w:val="center"/>
          </w:tcPr>
          <w:p>
            <w:pPr>
              <w:spacing w:line="520" w:lineRule="exact"/>
              <w:rPr>
                <w:rFonts w:eastAsia="新宋体"/>
                <w:sz w:val="24"/>
              </w:rPr>
            </w:pPr>
          </w:p>
        </w:tc>
        <w:tc>
          <w:tcPr>
            <w:tcW w:w="952" w:type="dxa"/>
            <w:tcBorders>
              <w:top w:val="single" w:color="auto" w:sz="4" w:space="0"/>
              <w:left w:val="single" w:color="auto" w:sz="4" w:space="0"/>
              <w:bottom w:val="single" w:color="auto" w:sz="4" w:space="0"/>
            </w:tcBorders>
            <w:vAlign w:val="center"/>
          </w:tcPr>
          <w:p>
            <w:pPr>
              <w:spacing w:line="520" w:lineRule="exact"/>
              <w:rPr>
                <w:rFonts w:eastAsia="新宋体"/>
                <w:sz w:val="24"/>
              </w:rPr>
            </w:pPr>
          </w:p>
        </w:tc>
        <w:tc>
          <w:tcPr>
            <w:tcW w:w="420" w:type="dxa"/>
            <w:tcBorders>
              <w:top w:val="single" w:color="auto" w:sz="4" w:space="0"/>
              <w:bottom w:val="single" w:color="auto" w:sz="4" w:space="0"/>
            </w:tcBorders>
            <w:vAlign w:val="center"/>
          </w:tcPr>
          <w:p>
            <w:pPr>
              <w:spacing w:line="520" w:lineRule="exact"/>
              <w:ind w:firstLine="480" w:firstLineChars="200"/>
              <w:rPr>
                <w:rFonts w:eastAsia="新宋体"/>
                <w:sz w:val="24"/>
              </w:rPr>
            </w:pPr>
          </w:p>
        </w:tc>
        <w:tc>
          <w:tcPr>
            <w:tcW w:w="420" w:type="dxa"/>
            <w:tcBorders>
              <w:top w:val="single" w:color="auto" w:sz="4" w:space="0"/>
              <w:bottom w:val="single" w:color="auto" w:sz="4" w:space="0"/>
              <w:right w:val="single" w:color="auto" w:sz="4" w:space="0"/>
            </w:tcBorders>
            <w:vAlign w:val="center"/>
          </w:tcPr>
          <w:p>
            <w:pPr>
              <w:spacing w:line="520" w:lineRule="exact"/>
              <w:ind w:firstLine="480" w:firstLineChars="200"/>
              <w:rPr>
                <w:rFonts w:eastAsia="新宋体"/>
                <w:sz w:val="24"/>
              </w:rPr>
            </w:pPr>
          </w:p>
        </w:tc>
        <w:tc>
          <w:tcPr>
            <w:tcW w:w="686"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sz w:val="24"/>
              </w:rPr>
            </w:pPr>
          </w:p>
        </w:tc>
        <w:tc>
          <w:tcPr>
            <w:tcW w:w="64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sz w:val="24"/>
              </w:rPr>
            </w:pPr>
          </w:p>
        </w:tc>
        <w:tc>
          <w:tcPr>
            <w:tcW w:w="434" w:type="dxa"/>
            <w:tcBorders>
              <w:top w:val="single" w:color="auto" w:sz="4" w:space="0"/>
              <w:left w:val="single" w:color="auto" w:sz="4" w:space="0"/>
              <w:bottom w:val="single" w:color="auto" w:sz="4" w:space="0"/>
            </w:tcBorders>
            <w:vAlign w:val="center"/>
          </w:tcPr>
          <w:p>
            <w:pPr>
              <w:spacing w:line="520" w:lineRule="exact"/>
              <w:ind w:firstLine="480" w:firstLineChars="200"/>
              <w:rPr>
                <w:rFonts w:eastAsia="新宋体"/>
                <w:sz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287" w:hRule="atLeast"/>
        </w:trPr>
        <w:tc>
          <w:tcPr>
            <w:tcW w:w="532" w:type="dxa"/>
            <w:tcBorders>
              <w:top w:val="single" w:color="auto" w:sz="4" w:space="0"/>
              <w:bottom w:val="single" w:color="000000" w:sz="4" w:space="0"/>
            </w:tcBorders>
            <w:shd w:val="clear" w:color="auto" w:fill="FFFFFF"/>
            <w:vAlign w:val="center"/>
          </w:tcPr>
          <w:p>
            <w:pPr>
              <w:spacing w:line="520" w:lineRule="exact"/>
              <w:ind w:firstLine="480" w:firstLineChars="200"/>
              <w:rPr>
                <w:rFonts w:eastAsia="新宋体"/>
                <w:sz w:val="24"/>
              </w:rPr>
            </w:pPr>
          </w:p>
        </w:tc>
        <w:tc>
          <w:tcPr>
            <w:tcW w:w="1030" w:type="dxa"/>
            <w:tcBorders>
              <w:top w:val="single" w:color="auto" w:sz="4" w:space="0"/>
            </w:tcBorders>
            <w:vAlign w:val="center"/>
          </w:tcPr>
          <w:p>
            <w:pPr>
              <w:spacing w:line="520" w:lineRule="exact"/>
              <w:ind w:firstLine="480" w:firstLineChars="200"/>
              <w:rPr>
                <w:rFonts w:eastAsia="新宋体"/>
                <w:sz w:val="24"/>
              </w:rPr>
            </w:pPr>
          </w:p>
        </w:tc>
        <w:tc>
          <w:tcPr>
            <w:tcW w:w="603" w:type="dxa"/>
            <w:tcBorders>
              <w:top w:val="single" w:color="auto" w:sz="4" w:space="0"/>
              <w:right w:val="single" w:color="auto" w:sz="4" w:space="0"/>
            </w:tcBorders>
            <w:vAlign w:val="center"/>
          </w:tcPr>
          <w:p>
            <w:pPr>
              <w:spacing w:line="520" w:lineRule="exact"/>
              <w:ind w:firstLine="480" w:firstLineChars="200"/>
              <w:rPr>
                <w:rFonts w:eastAsia="新宋体"/>
                <w:sz w:val="24"/>
              </w:rPr>
            </w:pPr>
          </w:p>
        </w:tc>
        <w:tc>
          <w:tcPr>
            <w:tcW w:w="663" w:type="dxa"/>
            <w:tcBorders>
              <w:top w:val="single" w:color="auto" w:sz="4" w:space="0"/>
              <w:right w:val="single" w:color="auto" w:sz="4" w:space="0"/>
            </w:tcBorders>
            <w:vAlign w:val="center"/>
          </w:tcPr>
          <w:p>
            <w:pPr>
              <w:spacing w:line="520" w:lineRule="exact"/>
              <w:ind w:firstLine="480" w:firstLineChars="200"/>
              <w:rPr>
                <w:rFonts w:eastAsia="新宋体"/>
                <w:sz w:val="24"/>
              </w:rPr>
            </w:pPr>
          </w:p>
        </w:tc>
        <w:tc>
          <w:tcPr>
            <w:tcW w:w="756" w:type="dxa"/>
            <w:tcBorders>
              <w:top w:val="single" w:color="auto" w:sz="4" w:space="0"/>
              <w:left w:val="single" w:color="auto" w:sz="4" w:space="0"/>
            </w:tcBorders>
            <w:vAlign w:val="center"/>
          </w:tcPr>
          <w:p>
            <w:pPr>
              <w:spacing w:line="520" w:lineRule="exact"/>
              <w:rPr>
                <w:rFonts w:eastAsia="新宋体"/>
                <w:sz w:val="24"/>
              </w:rPr>
            </w:pPr>
          </w:p>
        </w:tc>
        <w:tc>
          <w:tcPr>
            <w:tcW w:w="476" w:type="dxa"/>
            <w:tcBorders>
              <w:top w:val="single" w:color="auto" w:sz="4" w:space="0"/>
              <w:left w:val="single" w:color="auto" w:sz="4" w:space="0"/>
            </w:tcBorders>
            <w:vAlign w:val="center"/>
          </w:tcPr>
          <w:p>
            <w:pPr>
              <w:spacing w:line="520" w:lineRule="exact"/>
              <w:rPr>
                <w:rFonts w:eastAsia="新宋体"/>
                <w:sz w:val="24"/>
              </w:rPr>
            </w:pPr>
          </w:p>
        </w:tc>
        <w:tc>
          <w:tcPr>
            <w:tcW w:w="461" w:type="dxa"/>
            <w:gridSpan w:val="2"/>
            <w:tcBorders>
              <w:top w:val="single" w:color="auto" w:sz="4" w:space="0"/>
              <w:left w:val="single" w:color="auto" w:sz="4" w:space="0"/>
            </w:tcBorders>
            <w:vAlign w:val="center"/>
          </w:tcPr>
          <w:p>
            <w:pPr>
              <w:spacing w:line="520" w:lineRule="exact"/>
              <w:rPr>
                <w:rFonts w:eastAsia="新宋体"/>
                <w:sz w:val="24"/>
              </w:rPr>
            </w:pPr>
          </w:p>
        </w:tc>
        <w:tc>
          <w:tcPr>
            <w:tcW w:w="757" w:type="dxa"/>
            <w:tcBorders>
              <w:top w:val="single" w:color="auto" w:sz="4" w:space="0"/>
              <w:left w:val="single" w:color="auto" w:sz="4" w:space="0"/>
            </w:tcBorders>
            <w:vAlign w:val="center"/>
          </w:tcPr>
          <w:p>
            <w:pPr>
              <w:spacing w:line="520" w:lineRule="exact"/>
              <w:rPr>
                <w:rFonts w:eastAsia="新宋体"/>
                <w:sz w:val="24"/>
              </w:rPr>
            </w:pPr>
          </w:p>
        </w:tc>
        <w:tc>
          <w:tcPr>
            <w:tcW w:w="657" w:type="dxa"/>
            <w:tcBorders>
              <w:top w:val="single" w:color="auto" w:sz="4" w:space="0"/>
              <w:left w:val="single" w:color="auto" w:sz="4" w:space="0"/>
            </w:tcBorders>
            <w:vAlign w:val="center"/>
          </w:tcPr>
          <w:p>
            <w:pPr>
              <w:spacing w:line="520" w:lineRule="exact"/>
              <w:rPr>
                <w:rFonts w:eastAsia="新宋体"/>
                <w:sz w:val="24"/>
              </w:rPr>
            </w:pPr>
          </w:p>
        </w:tc>
        <w:tc>
          <w:tcPr>
            <w:tcW w:w="952" w:type="dxa"/>
            <w:tcBorders>
              <w:top w:val="single" w:color="auto" w:sz="4" w:space="0"/>
              <w:left w:val="single" w:color="auto" w:sz="4" w:space="0"/>
            </w:tcBorders>
            <w:vAlign w:val="center"/>
          </w:tcPr>
          <w:p>
            <w:pPr>
              <w:spacing w:line="520" w:lineRule="exact"/>
              <w:rPr>
                <w:rFonts w:eastAsia="新宋体"/>
                <w:sz w:val="24"/>
              </w:rPr>
            </w:pPr>
          </w:p>
        </w:tc>
        <w:tc>
          <w:tcPr>
            <w:tcW w:w="420" w:type="dxa"/>
            <w:tcBorders>
              <w:top w:val="single" w:color="auto" w:sz="4" w:space="0"/>
            </w:tcBorders>
            <w:vAlign w:val="center"/>
          </w:tcPr>
          <w:p>
            <w:pPr>
              <w:spacing w:line="520" w:lineRule="exact"/>
              <w:ind w:firstLine="480" w:firstLineChars="200"/>
              <w:rPr>
                <w:rFonts w:eastAsia="新宋体"/>
                <w:sz w:val="24"/>
              </w:rPr>
            </w:pPr>
          </w:p>
        </w:tc>
        <w:tc>
          <w:tcPr>
            <w:tcW w:w="420" w:type="dxa"/>
            <w:tcBorders>
              <w:top w:val="single" w:color="auto" w:sz="4" w:space="0"/>
              <w:right w:val="single" w:color="auto" w:sz="4" w:space="0"/>
            </w:tcBorders>
            <w:vAlign w:val="center"/>
          </w:tcPr>
          <w:p>
            <w:pPr>
              <w:spacing w:line="520" w:lineRule="exact"/>
              <w:ind w:firstLine="480" w:firstLineChars="200"/>
              <w:rPr>
                <w:rFonts w:eastAsia="新宋体"/>
                <w:sz w:val="24"/>
              </w:rPr>
            </w:pPr>
          </w:p>
        </w:tc>
        <w:tc>
          <w:tcPr>
            <w:tcW w:w="686" w:type="dxa"/>
            <w:tcBorders>
              <w:top w:val="single" w:color="auto" w:sz="4" w:space="0"/>
              <w:left w:val="single" w:color="auto" w:sz="4" w:space="0"/>
            </w:tcBorders>
            <w:vAlign w:val="center"/>
          </w:tcPr>
          <w:p>
            <w:pPr>
              <w:spacing w:line="520" w:lineRule="exact"/>
              <w:ind w:firstLine="480" w:firstLineChars="200"/>
              <w:rPr>
                <w:rFonts w:eastAsia="新宋体"/>
                <w:sz w:val="24"/>
              </w:rPr>
            </w:pPr>
          </w:p>
        </w:tc>
        <w:tc>
          <w:tcPr>
            <w:tcW w:w="644" w:type="dxa"/>
            <w:tcBorders>
              <w:top w:val="single" w:color="auto" w:sz="4" w:space="0"/>
              <w:left w:val="single" w:color="auto" w:sz="4" w:space="0"/>
            </w:tcBorders>
            <w:vAlign w:val="center"/>
          </w:tcPr>
          <w:p>
            <w:pPr>
              <w:spacing w:line="520" w:lineRule="exact"/>
              <w:ind w:firstLine="480" w:firstLineChars="200"/>
              <w:rPr>
                <w:rFonts w:eastAsia="新宋体"/>
                <w:sz w:val="24"/>
              </w:rPr>
            </w:pPr>
          </w:p>
        </w:tc>
        <w:tc>
          <w:tcPr>
            <w:tcW w:w="434" w:type="dxa"/>
            <w:tcBorders>
              <w:top w:val="single" w:color="auto" w:sz="4" w:space="0"/>
              <w:left w:val="single" w:color="auto" w:sz="4" w:space="0"/>
            </w:tcBorders>
            <w:vAlign w:val="center"/>
          </w:tcPr>
          <w:p>
            <w:pPr>
              <w:spacing w:line="520" w:lineRule="exact"/>
              <w:ind w:firstLine="480" w:firstLineChars="200"/>
              <w:rPr>
                <w:rFonts w:eastAsia="新宋体"/>
                <w:sz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416" w:hRule="atLeast"/>
        </w:trPr>
        <w:tc>
          <w:tcPr>
            <w:tcW w:w="1562" w:type="dxa"/>
            <w:gridSpan w:val="2"/>
            <w:tcBorders>
              <w:bottom w:val="single" w:color="000000" w:sz="4" w:space="0"/>
            </w:tcBorders>
            <w:shd w:val="clear" w:color="auto" w:fill="FFFFFF"/>
            <w:vAlign w:val="center"/>
          </w:tcPr>
          <w:p>
            <w:pPr>
              <w:spacing w:line="520" w:lineRule="exact"/>
              <w:rPr>
                <w:rFonts w:eastAsia="新宋体"/>
                <w:sz w:val="24"/>
              </w:rPr>
            </w:pPr>
            <w:r>
              <w:rPr>
                <w:rFonts w:eastAsia="新宋体"/>
                <w:sz w:val="24"/>
              </w:rPr>
              <w:t>总金额</w:t>
            </w:r>
          </w:p>
        </w:tc>
        <w:tc>
          <w:tcPr>
            <w:tcW w:w="7929" w:type="dxa"/>
            <w:gridSpan w:val="14"/>
            <w:vAlign w:val="center"/>
          </w:tcPr>
          <w:p>
            <w:pPr>
              <w:spacing w:line="520" w:lineRule="exact"/>
              <w:rPr>
                <w:rFonts w:eastAsia="新宋体"/>
                <w:sz w:val="24"/>
              </w:rPr>
            </w:pPr>
            <w:r>
              <w:rPr>
                <w:rFonts w:eastAsia="新宋体"/>
                <w:sz w:val="24"/>
              </w:rPr>
              <w:t>大写：                                       小写：</w:t>
            </w:r>
          </w:p>
        </w:tc>
      </w:tr>
    </w:tbl>
    <w:p>
      <w:pPr>
        <w:spacing w:line="520" w:lineRule="exact"/>
        <w:ind w:firstLine="482" w:firstLineChars="200"/>
        <w:rPr>
          <w:rFonts w:eastAsia="新宋体"/>
          <w:sz w:val="24"/>
        </w:rPr>
      </w:pPr>
      <w:r>
        <w:rPr>
          <w:rFonts w:eastAsia="新宋体"/>
          <w:b/>
          <w:sz w:val="24"/>
        </w:rPr>
        <w:t>说明</w:t>
      </w:r>
      <w:r>
        <w:rPr>
          <w:rFonts w:eastAsia="新宋体"/>
          <w:sz w:val="24"/>
        </w:rPr>
        <w:t>：1.采购货物、服务信息一览表内容按照财政部政府采购信息与计划系统要求填写。</w:t>
      </w:r>
    </w:p>
    <w:p>
      <w:pPr>
        <w:spacing w:line="520" w:lineRule="exact"/>
        <w:ind w:firstLine="480" w:firstLineChars="200"/>
        <w:rPr>
          <w:rFonts w:eastAsia="新宋体"/>
          <w:sz w:val="24"/>
        </w:rPr>
      </w:pPr>
      <w:r>
        <w:rPr>
          <w:rFonts w:eastAsia="新宋体"/>
          <w:sz w:val="24"/>
        </w:rPr>
        <w:t>2.此表应按照分包情况，每包编制一份； 对每包货物应按照招标（采购）文件的规定，在表2中分别列出技术参数、性能指标和配置情况。</w:t>
      </w:r>
    </w:p>
    <w:p>
      <w:pPr>
        <w:spacing w:line="520" w:lineRule="exact"/>
        <w:ind w:firstLine="482" w:firstLineChars="200"/>
        <w:rPr>
          <w:rFonts w:eastAsia="新宋体"/>
          <w:b/>
          <w:sz w:val="24"/>
        </w:rPr>
      </w:pPr>
      <w:r>
        <w:rPr>
          <w:rFonts w:eastAsia="新宋体"/>
          <w:b/>
          <w:sz w:val="24"/>
        </w:rPr>
        <w:t>表2、采购货物、服务的技术参数、性能指标和配置情况</w:t>
      </w:r>
    </w:p>
    <w:tbl>
      <w:tblPr>
        <w:tblStyle w:val="18"/>
        <w:tblW w:w="0" w:type="auto"/>
        <w:tblInd w:w="-5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977"/>
        <w:gridCol w:w="2633"/>
        <w:gridCol w:w="2976"/>
        <w:gridCol w:w="21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25" w:type="dxa"/>
            <w:vMerge w:val="restart"/>
            <w:vAlign w:val="center"/>
          </w:tcPr>
          <w:p>
            <w:pPr>
              <w:widowControl/>
              <w:spacing w:line="520" w:lineRule="exact"/>
              <w:jc w:val="center"/>
              <w:rPr>
                <w:rFonts w:eastAsia="新宋体"/>
                <w:b/>
                <w:bCs/>
                <w:kern w:val="0"/>
                <w:sz w:val="24"/>
              </w:rPr>
            </w:pPr>
            <w:r>
              <w:rPr>
                <w:rFonts w:eastAsia="新宋体"/>
                <w:b/>
                <w:bCs/>
                <w:kern w:val="0"/>
                <w:sz w:val="24"/>
              </w:rPr>
              <w:t>货</w:t>
            </w:r>
          </w:p>
          <w:p>
            <w:pPr>
              <w:widowControl/>
              <w:spacing w:line="520" w:lineRule="exact"/>
              <w:jc w:val="center"/>
              <w:rPr>
                <w:rFonts w:eastAsia="新宋体"/>
                <w:b/>
                <w:bCs/>
                <w:kern w:val="0"/>
                <w:sz w:val="24"/>
              </w:rPr>
            </w:pPr>
            <w:r>
              <w:rPr>
                <w:rFonts w:eastAsia="新宋体"/>
                <w:b/>
                <w:bCs/>
                <w:kern w:val="0"/>
                <w:sz w:val="24"/>
              </w:rPr>
              <w:t>物</w:t>
            </w:r>
          </w:p>
          <w:p>
            <w:pPr>
              <w:widowControl/>
              <w:spacing w:line="520" w:lineRule="exact"/>
              <w:jc w:val="center"/>
              <w:rPr>
                <w:rFonts w:eastAsia="新宋体"/>
                <w:b/>
                <w:bCs/>
                <w:kern w:val="0"/>
                <w:sz w:val="24"/>
              </w:rPr>
            </w:pPr>
            <w:r>
              <w:rPr>
                <w:rFonts w:eastAsia="新宋体"/>
                <w:b/>
                <w:bCs/>
                <w:kern w:val="0"/>
                <w:sz w:val="24"/>
              </w:rPr>
              <w:t>名</w:t>
            </w:r>
          </w:p>
          <w:p>
            <w:pPr>
              <w:widowControl/>
              <w:spacing w:line="520" w:lineRule="exact"/>
              <w:jc w:val="center"/>
              <w:rPr>
                <w:rFonts w:eastAsia="新宋体"/>
                <w:b/>
                <w:bCs/>
                <w:kern w:val="0"/>
                <w:sz w:val="24"/>
              </w:rPr>
            </w:pPr>
            <w:r>
              <w:rPr>
                <w:rFonts w:eastAsia="新宋体"/>
                <w:b/>
                <w:bCs/>
                <w:kern w:val="0"/>
                <w:sz w:val="24"/>
              </w:rPr>
              <w:t>称</w:t>
            </w:r>
          </w:p>
        </w:tc>
        <w:tc>
          <w:tcPr>
            <w:tcW w:w="977" w:type="dxa"/>
            <w:vAlign w:val="center"/>
          </w:tcPr>
          <w:p>
            <w:pPr>
              <w:widowControl/>
              <w:spacing w:line="520" w:lineRule="exact"/>
              <w:jc w:val="center"/>
              <w:rPr>
                <w:rFonts w:eastAsia="新宋体"/>
                <w:b/>
                <w:bCs/>
                <w:kern w:val="0"/>
                <w:sz w:val="24"/>
              </w:rPr>
            </w:pPr>
            <w:r>
              <w:rPr>
                <w:rFonts w:eastAsia="新宋体"/>
                <w:b/>
                <w:bCs/>
                <w:kern w:val="0"/>
                <w:sz w:val="24"/>
              </w:rPr>
              <w:t>编号</w:t>
            </w:r>
          </w:p>
        </w:tc>
        <w:tc>
          <w:tcPr>
            <w:tcW w:w="2633" w:type="dxa"/>
            <w:vAlign w:val="center"/>
          </w:tcPr>
          <w:p>
            <w:pPr>
              <w:widowControl/>
              <w:spacing w:line="520" w:lineRule="exact"/>
              <w:jc w:val="center"/>
              <w:rPr>
                <w:rFonts w:eastAsia="新宋体"/>
                <w:b/>
                <w:bCs/>
                <w:kern w:val="0"/>
                <w:sz w:val="24"/>
              </w:rPr>
            </w:pPr>
            <w:r>
              <w:rPr>
                <w:rFonts w:eastAsia="新宋体"/>
                <w:b/>
                <w:bCs/>
                <w:kern w:val="0"/>
                <w:sz w:val="24"/>
              </w:rPr>
              <w:t>技术指标名称</w:t>
            </w:r>
          </w:p>
        </w:tc>
        <w:tc>
          <w:tcPr>
            <w:tcW w:w="2976" w:type="dxa"/>
            <w:vAlign w:val="center"/>
          </w:tcPr>
          <w:p>
            <w:pPr>
              <w:widowControl/>
              <w:spacing w:line="520" w:lineRule="exact"/>
              <w:jc w:val="center"/>
              <w:rPr>
                <w:rFonts w:eastAsia="新宋体"/>
                <w:b/>
                <w:bCs/>
                <w:kern w:val="0"/>
                <w:sz w:val="24"/>
              </w:rPr>
            </w:pPr>
            <w:r>
              <w:rPr>
                <w:rFonts w:eastAsia="新宋体"/>
                <w:b/>
                <w:bCs/>
                <w:kern w:val="0"/>
                <w:sz w:val="24"/>
              </w:rPr>
              <w:t>技术</w:t>
            </w:r>
            <w:r>
              <w:rPr>
                <w:rFonts w:eastAsia="新宋体"/>
                <w:b/>
                <w:bCs/>
                <w:sz w:val="24"/>
              </w:rPr>
              <w:t>参数和性能</w:t>
            </w:r>
            <w:r>
              <w:rPr>
                <w:rFonts w:eastAsia="新宋体"/>
                <w:b/>
                <w:bCs/>
                <w:kern w:val="0"/>
                <w:sz w:val="24"/>
              </w:rPr>
              <w:t>指标</w:t>
            </w:r>
          </w:p>
        </w:tc>
        <w:tc>
          <w:tcPr>
            <w:tcW w:w="2132" w:type="dxa"/>
            <w:vAlign w:val="center"/>
          </w:tcPr>
          <w:p>
            <w:pPr>
              <w:spacing w:line="520" w:lineRule="exact"/>
              <w:jc w:val="center"/>
              <w:rPr>
                <w:rFonts w:eastAsia="新宋体"/>
                <w:b/>
                <w:bCs/>
                <w:kern w:val="0"/>
                <w:sz w:val="24"/>
              </w:rPr>
            </w:pPr>
            <w:r>
              <w:rPr>
                <w:rFonts w:eastAsia="新宋体"/>
                <w:b/>
                <w:sz w:val="24"/>
              </w:rPr>
              <w:t>配置情况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5" w:type="dxa"/>
            <w:vMerge w:val="continue"/>
          </w:tcPr>
          <w:p>
            <w:pPr>
              <w:widowControl/>
              <w:spacing w:line="520" w:lineRule="exact"/>
              <w:rPr>
                <w:rFonts w:eastAsia="新宋体"/>
                <w:kern w:val="0"/>
                <w:sz w:val="24"/>
              </w:rPr>
            </w:pPr>
          </w:p>
        </w:tc>
        <w:tc>
          <w:tcPr>
            <w:tcW w:w="977" w:type="dxa"/>
            <w:vAlign w:val="center"/>
          </w:tcPr>
          <w:p>
            <w:pPr>
              <w:widowControl/>
              <w:spacing w:line="520" w:lineRule="exact"/>
              <w:jc w:val="center"/>
              <w:rPr>
                <w:rFonts w:eastAsia="新宋体"/>
                <w:kern w:val="0"/>
                <w:sz w:val="24"/>
              </w:rPr>
            </w:pPr>
            <w:r>
              <w:rPr>
                <w:rFonts w:eastAsia="新宋体"/>
                <w:kern w:val="0"/>
                <w:sz w:val="24"/>
              </w:rPr>
              <w:t>1</w:t>
            </w:r>
          </w:p>
        </w:tc>
        <w:tc>
          <w:tcPr>
            <w:tcW w:w="2633" w:type="dxa"/>
            <w:vAlign w:val="center"/>
          </w:tcPr>
          <w:p>
            <w:pPr>
              <w:widowControl/>
              <w:spacing w:line="520" w:lineRule="exact"/>
              <w:jc w:val="center"/>
              <w:rPr>
                <w:rFonts w:eastAsia="新宋体"/>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 w:hRule="atLeast"/>
        </w:trPr>
        <w:tc>
          <w:tcPr>
            <w:tcW w:w="725" w:type="dxa"/>
            <w:vMerge w:val="continue"/>
          </w:tcPr>
          <w:p>
            <w:pPr>
              <w:widowControl/>
              <w:spacing w:line="520" w:lineRule="exact"/>
              <w:rPr>
                <w:rFonts w:eastAsia="新宋体"/>
                <w:kern w:val="0"/>
                <w:sz w:val="24"/>
              </w:rPr>
            </w:pPr>
          </w:p>
        </w:tc>
        <w:tc>
          <w:tcPr>
            <w:tcW w:w="977" w:type="dxa"/>
            <w:vAlign w:val="center"/>
          </w:tcPr>
          <w:p>
            <w:pPr>
              <w:widowControl/>
              <w:spacing w:line="520" w:lineRule="exact"/>
              <w:jc w:val="center"/>
              <w:rPr>
                <w:rFonts w:eastAsia="新宋体"/>
                <w:kern w:val="0"/>
                <w:sz w:val="24"/>
              </w:rPr>
            </w:pPr>
            <w:r>
              <w:rPr>
                <w:rFonts w:eastAsia="新宋体"/>
                <w:kern w:val="0"/>
                <w:sz w:val="24"/>
              </w:rPr>
              <w:t>2</w:t>
            </w:r>
          </w:p>
        </w:tc>
        <w:tc>
          <w:tcPr>
            <w:tcW w:w="2633" w:type="dxa"/>
            <w:vAlign w:val="center"/>
          </w:tcPr>
          <w:p>
            <w:pPr>
              <w:widowControl/>
              <w:spacing w:line="520" w:lineRule="exact"/>
              <w:jc w:val="center"/>
              <w:rPr>
                <w:rFonts w:eastAsia="新宋体"/>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 w:hRule="atLeast"/>
        </w:trPr>
        <w:tc>
          <w:tcPr>
            <w:tcW w:w="725" w:type="dxa"/>
            <w:vMerge w:val="continue"/>
          </w:tcPr>
          <w:p>
            <w:pPr>
              <w:widowControl/>
              <w:spacing w:line="520" w:lineRule="exact"/>
              <w:rPr>
                <w:rFonts w:eastAsia="新宋体"/>
                <w:kern w:val="0"/>
                <w:sz w:val="24"/>
              </w:rPr>
            </w:pPr>
          </w:p>
        </w:tc>
        <w:tc>
          <w:tcPr>
            <w:tcW w:w="977" w:type="dxa"/>
            <w:vAlign w:val="center"/>
          </w:tcPr>
          <w:p>
            <w:pPr>
              <w:widowControl/>
              <w:spacing w:line="520" w:lineRule="exact"/>
              <w:jc w:val="center"/>
              <w:rPr>
                <w:rFonts w:eastAsia="新宋体"/>
                <w:kern w:val="0"/>
                <w:sz w:val="24"/>
              </w:rPr>
            </w:pPr>
            <w:r>
              <w:rPr>
                <w:rFonts w:eastAsia="新宋体"/>
                <w:kern w:val="0"/>
                <w:sz w:val="24"/>
              </w:rPr>
              <w:t>3</w:t>
            </w:r>
          </w:p>
        </w:tc>
        <w:tc>
          <w:tcPr>
            <w:tcW w:w="2633" w:type="dxa"/>
            <w:vAlign w:val="center"/>
          </w:tcPr>
          <w:p>
            <w:pPr>
              <w:widowControl/>
              <w:spacing w:line="520" w:lineRule="exact"/>
              <w:jc w:val="center"/>
              <w:rPr>
                <w:rFonts w:eastAsia="新宋体"/>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725" w:type="dxa"/>
            <w:vMerge w:val="continue"/>
          </w:tcPr>
          <w:p>
            <w:pPr>
              <w:widowControl/>
              <w:spacing w:line="520" w:lineRule="exact"/>
              <w:rPr>
                <w:rFonts w:eastAsia="新宋体"/>
                <w:bCs/>
                <w:kern w:val="0"/>
                <w:sz w:val="24"/>
              </w:rPr>
            </w:pPr>
          </w:p>
        </w:tc>
        <w:tc>
          <w:tcPr>
            <w:tcW w:w="977" w:type="dxa"/>
            <w:vAlign w:val="center"/>
          </w:tcPr>
          <w:p>
            <w:pPr>
              <w:widowControl/>
              <w:spacing w:line="520" w:lineRule="exact"/>
              <w:jc w:val="center"/>
              <w:rPr>
                <w:rFonts w:eastAsia="新宋体"/>
                <w:bCs/>
                <w:kern w:val="0"/>
                <w:sz w:val="24"/>
              </w:rPr>
            </w:pPr>
            <w:r>
              <w:rPr>
                <w:rFonts w:eastAsia="新宋体"/>
                <w:bCs/>
                <w:kern w:val="0"/>
                <w:sz w:val="24"/>
              </w:rPr>
              <w:t>4</w:t>
            </w:r>
          </w:p>
        </w:tc>
        <w:tc>
          <w:tcPr>
            <w:tcW w:w="2633" w:type="dxa"/>
            <w:vAlign w:val="center"/>
          </w:tcPr>
          <w:p>
            <w:pPr>
              <w:widowControl/>
              <w:spacing w:line="520" w:lineRule="exact"/>
              <w:jc w:val="center"/>
              <w:rPr>
                <w:rFonts w:eastAsia="新宋体"/>
                <w:b/>
                <w:bCs/>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725" w:type="dxa"/>
            <w:vMerge w:val="continue"/>
          </w:tcPr>
          <w:p>
            <w:pPr>
              <w:widowControl/>
              <w:spacing w:line="520" w:lineRule="exact"/>
              <w:rPr>
                <w:rFonts w:eastAsia="新宋体"/>
                <w:kern w:val="0"/>
                <w:sz w:val="24"/>
              </w:rPr>
            </w:pPr>
          </w:p>
        </w:tc>
        <w:tc>
          <w:tcPr>
            <w:tcW w:w="977" w:type="dxa"/>
            <w:vAlign w:val="center"/>
          </w:tcPr>
          <w:p>
            <w:pPr>
              <w:widowControl/>
              <w:spacing w:line="520" w:lineRule="exact"/>
              <w:jc w:val="center"/>
              <w:rPr>
                <w:rFonts w:eastAsia="新宋体"/>
                <w:kern w:val="0"/>
                <w:sz w:val="24"/>
              </w:rPr>
            </w:pPr>
            <w:r>
              <w:rPr>
                <w:rFonts w:eastAsia="新宋体"/>
                <w:kern w:val="0"/>
                <w:sz w:val="24"/>
              </w:rPr>
              <w:t>5</w:t>
            </w:r>
          </w:p>
        </w:tc>
        <w:tc>
          <w:tcPr>
            <w:tcW w:w="2633" w:type="dxa"/>
            <w:vAlign w:val="center"/>
          </w:tcPr>
          <w:p>
            <w:pPr>
              <w:widowControl/>
              <w:spacing w:line="520" w:lineRule="exact"/>
              <w:jc w:val="center"/>
              <w:rPr>
                <w:rFonts w:eastAsia="新宋体"/>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725" w:type="dxa"/>
            <w:vMerge w:val="continue"/>
          </w:tcPr>
          <w:p>
            <w:pPr>
              <w:widowControl/>
              <w:spacing w:line="520" w:lineRule="exact"/>
              <w:rPr>
                <w:rFonts w:eastAsia="新宋体"/>
                <w:kern w:val="0"/>
                <w:sz w:val="24"/>
              </w:rPr>
            </w:pPr>
          </w:p>
        </w:tc>
        <w:tc>
          <w:tcPr>
            <w:tcW w:w="977" w:type="dxa"/>
            <w:vAlign w:val="center"/>
          </w:tcPr>
          <w:p>
            <w:pPr>
              <w:widowControl/>
              <w:spacing w:line="520" w:lineRule="exact"/>
              <w:jc w:val="center"/>
              <w:rPr>
                <w:rFonts w:eastAsia="新宋体"/>
                <w:kern w:val="0"/>
                <w:sz w:val="24"/>
              </w:rPr>
            </w:pPr>
            <w:r>
              <w:rPr>
                <w:rFonts w:eastAsia="新宋体"/>
                <w:kern w:val="0"/>
                <w:sz w:val="24"/>
              </w:rPr>
              <w:t>6</w:t>
            </w:r>
          </w:p>
        </w:tc>
        <w:tc>
          <w:tcPr>
            <w:tcW w:w="2633" w:type="dxa"/>
            <w:vAlign w:val="center"/>
          </w:tcPr>
          <w:p>
            <w:pPr>
              <w:widowControl/>
              <w:spacing w:line="520" w:lineRule="exact"/>
              <w:jc w:val="center"/>
              <w:rPr>
                <w:rFonts w:eastAsia="新宋体"/>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725" w:type="dxa"/>
            <w:vMerge w:val="continue"/>
          </w:tcPr>
          <w:p>
            <w:pPr>
              <w:widowControl/>
              <w:spacing w:line="520" w:lineRule="exact"/>
              <w:rPr>
                <w:rFonts w:eastAsia="新宋体"/>
                <w:kern w:val="0"/>
                <w:sz w:val="24"/>
              </w:rPr>
            </w:pPr>
          </w:p>
        </w:tc>
        <w:tc>
          <w:tcPr>
            <w:tcW w:w="977" w:type="dxa"/>
            <w:vAlign w:val="center"/>
          </w:tcPr>
          <w:p>
            <w:pPr>
              <w:widowControl/>
              <w:spacing w:line="520" w:lineRule="exact"/>
              <w:jc w:val="center"/>
              <w:rPr>
                <w:rFonts w:eastAsia="新宋体"/>
                <w:kern w:val="0"/>
                <w:sz w:val="24"/>
              </w:rPr>
            </w:pPr>
            <w:r>
              <w:rPr>
                <w:rFonts w:eastAsia="新宋体"/>
                <w:kern w:val="0"/>
                <w:sz w:val="24"/>
              </w:rPr>
              <w:t>7</w:t>
            </w:r>
          </w:p>
        </w:tc>
        <w:tc>
          <w:tcPr>
            <w:tcW w:w="2633" w:type="dxa"/>
            <w:vAlign w:val="center"/>
          </w:tcPr>
          <w:p>
            <w:pPr>
              <w:widowControl/>
              <w:spacing w:line="520" w:lineRule="exact"/>
              <w:jc w:val="center"/>
              <w:rPr>
                <w:rFonts w:eastAsia="新宋体"/>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725" w:type="dxa"/>
            <w:vMerge w:val="continue"/>
          </w:tcPr>
          <w:p>
            <w:pPr>
              <w:widowControl/>
              <w:spacing w:line="520" w:lineRule="exact"/>
              <w:rPr>
                <w:rFonts w:eastAsia="新宋体"/>
                <w:bCs/>
                <w:kern w:val="0"/>
                <w:sz w:val="24"/>
              </w:rPr>
            </w:pPr>
          </w:p>
        </w:tc>
        <w:tc>
          <w:tcPr>
            <w:tcW w:w="977" w:type="dxa"/>
            <w:vAlign w:val="center"/>
          </w:tcPr>
          <w:p>
            <w:pPr>
              <w:widowControl/>
              <w:spacing w:line="520" w:lineRule="exact"/>
              <w:jc w:val="center"/>
              <w:rPr>
                <w:rFonts w:eastAsia="新宋体"/>
                <w:bCs/>
                <w:kern w:val="0"/>
                <w:sz w:val="24"/>
              </w:rPr>
            </w:pPr>
            <w:r>
              <w:rPr>
                <w:rFonts w:eastAsia="新宋体"/>
                <w:bCs/>
                <w:kern w:val="0"/>
                <w:sz w:val="24"/>
              </w:rPr>
              <w:t>8</w:t>
            </w:r>
          </w:p>
        </w:tc>
        <w:tc>
          <w:tcPr>
            <w:tcW w:w="2633" w:type="dxa"/>
            <w:vAlign w:val="center"/>
          </w:tcPr>
          <w:p>
            <w:pPr>
              <w:widowControl/>
              <w:spacing w:line="520" w:lineRule="exact"/>
              <w:jc w:val="center"/>
              <w:rPr>
                <w:rFonts w:eastAsia="新宋体"/>
                <w:b/>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25" w:type="dxa"/>
            <w:vMerge w:val="continue"/>
          </w:tcPr>
          <w:p>
            <w:pPr>
              <w:widowControl/>
              <w:spacing w:line="520" w:lineRule="exact"/>
              <w:rPr>
                <w:rFonts w:eastAsia="新宋体"/>
                <w:bCs/>
                <w:kern w:val="0"/>
                <w:sz w:val="24"/>
              </w:rPr>
            </w:pPr>
          </w:p>
        </w:tc>
        <w:tc>
          <w:tcPr>
            <w:tcW w:w="977" w:type="dxa"/>
            <w:vAlign w:val="center"/>
          </w:tcPr>
          <w:p>
            <w:pPr>
              <w:widowControl/>
              <w:spacing w:line="520" w:lineRule="exact"/>
              <w:jc w:val="center"/>
              <w:rPr>
                <w:rFonts w:eastAsia="新宋体"/>
                <w:bCs/>
                <w:kern w:val="0"/>
                <w:sz w:val="24"/>
              </w:rPr>
            </w:pPr>
            <w:r>
              <w:rPr>
                <w:rFonts w:eastAsia="新宋体"/>
                <w:bCs/>
                <w:kern w:val="0"/>
                <w:sz w:val="24"/>
              </w:rPr>
              <w:t>9</w:t>
            </w:r>
          </w:p>
        </w:tc>
        <w:tc>
          <w:tcPr>
            <w:tcW w:w="2633" w:type="dxa"/>
            <w:vAlign w:val="center"/>
          </w:tcPr>
          <w:p>
            <w:pPr>
              <w:widowControl/>
              <w:spacing w:line="520" w:lineRule="exact"/>
              <w:jc w:val="center"/>
              <w:rPr>
                <w:rFonts w:eastAsia="新宋体"/>
                <w:kern w:val="0"/>
                <w:sz w:val="24"/>
              </w:rPr>
            </w:pPr>
          </w:p>
        </w:tc>
        <w:tc>
          <w:tcPr>
            <w:tcW w:w="2976" w:type="dxa"/>
            <w:vAlign w:val="center"/>
          </w:tcPr>
          <w:p>
            <w:pPr>
              <w:widowControl/>
              <w:spacing w:line="520" w:lineRule="exact"/>
              <w:jc w:val="center"/>
              <w:rPr>
                <w:rFonts w:eastAsia="新宋体"/>
                <w:kern w:val="0"/>
                <w:sz w:val="24"/>
              </w:rPr>
            </w:pPr>
          </w:p>
        </w:tc>
        <w:tc>
          <w:tcPr>
            <w:tcW w:w="2132" w:type="dxa"/>
            <w:vAlign w:val="center"/>
          </w:tcPr>
          <w:p>
            <w:pPr>
              <w:widowControl/>
              <w:spacing w:line="520" w:lineRule="exact"/>
              <w:jc w:val="center"/>
              <w:rPr>
                <w:rFonts w:eastAsia="新宋体"/>
                <w:kern w:val="0"/>
                <w:sz w:val="24"/>
              </w:rPr>
            </w:pPr>
          </w:p>
        </w:tc>
      </w:tr>
    </w:tbl>
    <w:p>
      <w:pPr>
        <w:spacing w:line="520" w:lineRule="exact"/>
        <w:ind w:firstLine="482" w:firstLineChars="200"/>
        <w:rPr>
          <w:rFonts w:eastAsia="新宋体"/>
          <w:b/>
          <w:sz w:val="24"/>
        </w:rPr>
      </w:pPr>
      <w:r>
        <w:rPr>
          <w:rFonts w:eastAsia="新宋体"/>
          <w:b/>
          <w:sz w:val="24"/>
        </w:rPr>
        <w:t>说明：</w:t>
      </w:r>
      <w:r>
        <w:rPr>
          <w:rFonts w:eastAsia="新宋体"/>
          <w:sz w:val="24"/>
        </w:rPr>
        <w:t>此表应按采购文件的规定，对每一种货物要单独制作一份。</w:t>
      </w:r>
    </w:p>
    <w:p>
      <w:pPr>
        <w:spacing w:line="520" w:lineRule="exact"/>
        <w:ind w:firstLine="482" w:firstLineChars="200"/>
        <w:rPr>
          <w:rFonts w:eastAsia="新宋体"/>
          <w:b/>
          <w:sz w:val="24"/>
        </w:rPr>
      </w:pPr>
      <w:r>
        <w:rPr>
          <w:rFonts w:eastAsia="新宋体"/>
          <w:b/>
          <w:sz w:val="24"/>
        </w:rPr>
        <w:t>四、合同总价</w:t>
      </w:r>
    </w:p>
    <w:p>
      <w:pPr>
        <w:spacing w:line="520" w:lineRule="exact"/>
        <w:ind w:firstLine="480" w:firstLineChars="200"/>
        <w:rPr>
          <w:rFonts w:eastAsia="新宋体"/>
          <w:b/>
          <w:sz w:val="24"/>
        </w:rPr>
      </w:pPr>
      <w:r>
        <w:rPr>
          <w:rFonts w:eastAsia="新宋体"/>
          <w:bCs/>
          <w:sz w:val="24"/>
        </w:rPr>
        <w:t>根据中标通知书的内容，</w:t>
      </w:r>
      <w:r>
        <w:rPr>
          <w:rFonts w:eastAsia="新宋体"/>
          <w:sz w:val="24"/>
        </w:rPr>
        <w:t>合同总价金额为：大写</w:t>
      </w:r>
      <w:r>
        <w:rPr>
          <w:rFonts w:eastAsia="新宋体"/>
          <w:sz w:val="24"/>
          <w:u w:val="single"/>
        </w:rPr>
        <w:t xml:space="preserve">        </w:t>
      </w:r>
      <w:r>
        <w:rPr>
          <w:rFonts w:eastAsia="新宋体"/>
          <w:sz w:val="24"/>
        </w:rPr>
        <w:t xml:space="preserve">元整;小写 </w:t>
      </w:r>
      <w:r>
        <w:rPr>
          <w:rFonts w:eastAsia="新宋体"/>
          <w:sz w:val="24"/>
          <w:u w:val="single"/>
        </w:rPr>
        <w:t xml:space="preserve">￥              </w:t>
      </w:r>
      <w:r>
        <w:rPr>
          <w:rFonts w:eastAsia="新宋体"/>
          <w:sz w:val="24"/>
        </w:rPr>
        <w:t>元(人民币)。</w:t>
      </w:r>
    </w:p>
    <w:p>
      <w:pPr>
        <w:spacing w:line="520" w:lineRule="exact"/>
        <w:ind w:firstLine="482" w:firstLineChars="200"/>
        <w:rPr>
          <w:rFonts w:eastAsia="新宋体"/>
          <w:b/>
          <w:sz w:val="24"/>
        </w:rPr>
      </w:pPr>
      <w:r>
        <w:rPr>
          <w:rFonts w:eastAsia="新宋体"/>
          <w:b/>
          <w:sz w:val="24"/>
        </w:rPr>
        <w:t>五、付款方式</w:t>
      </w:r>
    </w:p>
    <w:p>
      <w:pPr>
        <w:spacing w:line="520" w:lineRule="exact"/>
        <w:ind w:firstLine="480" w:firstLineChars="200"/>
        <w:rPr>
          <w:rFonts w:eastAsia="新宋体"/>
          <w:sz w:val="24"/>
        </w:rPr>
      </w:pPr>
      <w:r>
        <w:rPr>
          <w:rFonts w:eastAsia="新宋体"/>
          <w:sz w:val="24"/>
        </w:rPr>
        <w:t>1.国库集中支付（   ），采购人支付（    ）。</w:t>
      </w:r>
    </w:p>
    <w:p>
      <w:pPr>
        <w:spacing w:line="520" w:lineRule="exact"/>
        <w:ind w:firstLine="480" w:firstLineChars="200"/>
        <w:rPr>
          <w:rFonts w:eastAsia="新宋体"/>
          <w:sz w:val="24"/>
        </w:rPr>
      </w:pPr>
      <w:r>
        <w:rPr>
          <w:rFonts w:eastAsia="新宋体"/>
          <w:sz w:val="24"/>
        </w:rPr>
        <w:t>2.待项目完成并通过采购人验收合格后，支付合同金额的</w:t>
      </w:r>
      <w:r>
        <w:rPr>
          <w:rFonts w:eastAsia="新宋体"/>
          <w:sz w:val="24"/>
          <w:u w:val="single"/>
        </w:rPr>
        <w:t xml:space="preserve"> </w:t>
      </w:r>
      <w:r>
        <w:rPr>
          <w:rFonts w:eastAsia="新宋体"/>
          <w:sz w:val="24"/>
        </w:rPr>
        <w:t>％，其余部分</w:t>
      </w:r>
      <w:r>
        <w:rPr>
          <w:rFonts w:eastAsia="新宋体"/>
          <w:sz w:val="24"/>
          <w:u w:val="single"/>
        </w:rPr>
        <w:t xml:space="preserve">       </w:t>
      </w:r>
      <w:r>
        <w:rPr>
          <w:rFonts w:eastAsia="新宋体"/>
          <w:sz w:val="24"/>
        </w:rPr>
        <w:t>时间内一次性支付。</w:t>
      </w:r>
    </w:p>
    <w:p>
      <w:pPr>
        <w:spacing w:line="520" w:lineRule="exact"/>
        <w:ind w:firstLine="480" w:firstLineChars="200"/>
        <w:rPr>
          <w:rFonts w:eastAsia="新宋体"/>
          <w:sz w:val="24"/>
        </w:rPr>
      </w:pPr>
      <w:r>
        <w:rPr>
          <w:rFonts w:eastAsia="新宋体"/>
          <w:sz w:val="24"/>
        </w:rPr>
        <w:t>3.采购人使用人民币支付货款。</w:t>
      </w:r>
    </w:p>
    <w:p>
      <w:pPr>
        <w:spacing w:line="520" w:lineRule="exact"/>
        <w:ind w:firstLine="480" w:firstLineChars="200"/>
        <w:rPr>
          <w:rFonts w:eastAsia="新宋体"/>
          <w:sz w:val="24"/>
        </w:rPr>
      </w:pPr>
      <w:r>
        <w:rPr>
          <w:rFonts w:eastAsia="新宋体"/>
          <w:sz w:val="24"/>
        </w:rPr>
        <w:t>4.投标人收取货款开户行名称、帐号等信息。</w:t>
      </w:r>
    </w:p>
    <w:p>
      <w:pPr>
        <w:spacing w:line="520" w:lineRule="exact"/>
        <w:ind w:firstLine="482" w:firstLineChars="200"/>
        <w:rPr>
          <w:rFonts w:eastAsia="新宋体"/>
          <w:b/>
          <w:sz w:val="24"/>
        </w:rPr>
      </w:pPr>
      <w:r>
        <w:rPr>
          <w:rFonts w:eastAsia="新宋体"/>
          <w:b/>
          <w:sz w:val="24"/>
        </w:rPr>
        <w:t>六、交货时间、地点及相关要求</w:t>
      </w:r>
    </w:p>
    <w:p>
      <w:pPr>
        <w:spacing w:line="520" w:lineRule="exact"/>
        <w:ind w:firstLine="480" w:firstLineChars="200"/>
        <w:rPr>
          <w:rFonts w:eastAsia="新宋体"/>
          <w:sz w:val="24"/>
        </w:rPr>
      </w:pPr>
      <w:r>
        <w:rPr>
          <w:rFonts w:eastAsia="新宋体"/>
          <w:sz w:val="24"/>
        </w:rPr>
        <w:t>1.交货时间：投标人接到中标通知书后</w:t>
      </w:r>
      <w:r>
        <w:rPr>
          <w:rFonts w:eastAsia="新宋体"/>
          <w:sz w:val="24"/>
          <w:u w:val="single"/>
        </w:rPr>
        <w:t xml:space="preserve">   </w:t>
      </w:r>
      <w:r>
        <w:rPr>
          <w:rFonts w:eastAsia="新宋体"/>
          <w:sz w:val="24"/>
        </w:rPr>
        <w:t>日内一次全部交清。</w:t>
      </w:r>
    </w:p>
    <w:p>
      <w:pPr>
        <w:spacing w:line="520" w:lineRule="exact"/>
        <w:ind w:firstLine="480" w:firstLineChars="200"/>
        <w:rPr>
          <w:rFonts w:eastAsia="新宋体"/>
          <w:sz w:val="24"/>
        </w:rPr>
      </w:pPr>
      <w:r>
        <w:rPr>
          <w:rFonts w:eastAsia="新宋体"/>
          <w:sz w:val="24"/>
        </w:rPr>
        <w:t>2.交货地点：</w:t>
      </w:r>
    </w:p>
    <w:p>
      <w:pPr>
        <w:spacing w:line="520" w:lineRule="exact"/>
        <w:ind w:firstLine="480" w:firstLineChars="200"/>
        <w:rPr>
          <w:rFonts w:eastAsia="新宋体"/>
          <w:sz w:val="24"/>
        </w:rPr>
      </w:pPr>
      <w:r>
        <w:rPr>
          <w:rFonts w:eastAsia="新宋体"/>
          <w:sz w:val="24"/>
        </w:rPr>
        <w:t>3.相关要求：</w:t>
      </w:r>
    </w:p>
    <w:p>
      <w:pPr>
        <w:spacing w:line="520" w:lineRule="exact"/>
        <w:ind w:firstLine="480" w:firstLineChars="200"/>
        <w:rPr>
          <w:rFonts w:eastAsia="新宋体"/>
          <w:sz w:val="24"/>
        </w:rPr>
      </w:pPr>
      <w:r>
        <w:rPr>
          <w:rFonts w:eastAsia="新宋体"/>
          <w:sz w:val="24"/>
        </w:rPr>
        <w:t>（1）投标人应在交货前向用户提供交货计划；</w:t>
      </w:r>
    </w:p>
    <w:p>
      <w:pPr>
        <w:spacing w:line="520" w:lineRule="exact"/>
        <w:ind w:firstLine="480" w:firstLineChars="200"/>
        <w:rPr>
          <w:rFonts w:eastAsia="新宋体"/>
          <w:sz w:val="24"/>
        </w:rPr>
      </w:pPr>
      <w:r>
        <w:rPr>
          <w:rFonts w:eastAsia="新宋体"/>
          <w:sz w:val="24"/>
        </w:rPr>
        <w:t>（2）运输、保险和装卸费用，以及安装、调试和培训的费用由投标人承担。</w:t>
      </w:r>
    </w:p>
    <w:p>
      <w:pPr>
        <w:spacing w:line="520" w:lineRule="exact"/>
        <w:ind w:firstLine="480" w:firstLineChars="200"/>
        <w:rPr>
          <w:rFonts w:eastAsia="新宋体"/>
          <w:sz w:val="24"/>
        </w:rPr>
      </w:pPr>
      <w:r>
        <w:rPr>
          <w:rFonts w:eastAsia="新宋体"/>
          <w:sz w:val="24"/>
        </w:rPr>
        <w:t>（3）投标人提供货物与合同规定的货物名称、规格型号、技术指标、数量等不相符时，采购人应不予接收。</w:t>
      </w:r>
    </w:p>
    <w:p>
      <w:pPr>
        <w:spacing w:line="520" w:lineRule="exact"/>
        <w:ind w:firstLine="480" w:firstLineChars="200"/>
        <w:rPr>
          <w:rFonts w:eastAsia="新宋体"/>
          <w:sz w:val="24"/>
        </w:rPr>
      </w:pPr>
      <w:r>
        <w:rPr>
          <w:rFonts w:eastAsia="新宋体"/>
          <w:sz w:val="24"/>
        </w:rPr>
        <w:t>（4）采购人应督促投标人及时供货，投标人未能按时供货，按照采购文件相关条款作相应处理。</w:t>
      </w:r>
    </w:p>
    <w:p>
      <w:pPr>
        <w:spacing w:line="520" w:lineRule="exact"/>
        <w:ind w:firstLine="482" w:firstLineChars="200"/>
        <w:rPr>
          <w:rFonts w:eastAsia="新宋体"/>
          <w:b/>
          <w:bCs/>
          <w:sz w:val="24"/>
        </w:rPr>
      </w:pPr>
      <w:r>
        <w:rPr>
          <w:rFonts w:eastAsia="新宋体"/>
          <w:b/>
          <w:sz w:val="24"/>
        </w:rPr>
        <w:t>七、售后服务承诺</w:t>
      </w:r>
      <w:r>
        <w:rPr>
          <w:rFonts w:eastAsia="新宋体"/>
          <w:b/>
          <w:bCs/>
          <w:sz w:val="24"/>
        </w:rPr>
        <w:t xml:space="preserve"> </w:t>
      </w:r>
    </w:p>
    <w:p>
      <w:pPr>
        <w:spacing w:line="520" w:lineRule="exact"/>
        <w:ind w:firstLine="480" w:firstLineChars="200"/>
        <w:rPr>
          <w:rFonts w:eastAsia="新宋体"/>
          <w:sz w:val="24"/>
        </w:rPr>
      </w:pPr>
      <w:r>
        <w:rPr>
          <w:rFonts w:eastAsia="新宋体"/>
          <w:sz w:val="24"/>
        </w:rPr>
        <w:t>投标人对所提供货物的售后服务作如下承诺：</w:t>
      </w:r>
    </w:p>
    <w:p>
      <w:pPr>
        <w:spacing w:line="520" w:lineRule="exact"/>
        <w:ind w:firstLine="480" w:firstLineChars="200"/>
        <w:rPr>
          <w:rFonts w:eastAsia="新宋体"/>
          <w:sz w:val="24"/>
        </w:rPr>
      </w:pPr>
      <w:r>
        <w:rPr>
          <w:rFonts w:eastAsia="新宋体"/>
          <w:sz w:val="24"/>
        </w:rPr>
        <w:t>1.保证所提供的货物为原装正品，是全新的、未使用过的，并完全符合强制性的国家技术、质量规范和合同规定的质量、规格、性能和技术规范要求。</w:t>
      </w:r>
    </w:p>
    <w:p>
      <w:pPr>
        <w:spacing w:line="520" w:lineRule="exact"/>
        <w:ind w:firstLine="480" w:firstLineChars="200"/>
        <w:rPr>
          <w:rFonts w:eastAsia="新宋体"/>
          <w:sz w:val="24"/>
        </w:rPr>
      </w:pPr>
      <w:r>
        <w:rPr>
          <w:rFonts w:eastAsia="新宋体"/>
          <w:sz w:val="24"/>
        </w:rPr>
        <w:t>2.保证货物经正确安装、正常运转和保养情况下，在其使用寿命内具有等于或优于合同技术参数指标条款规定的性能，对由于设计、工艺或材料的缺陷而发生的任何不足或故障负责,并承担弥补这些货物本身不足和缺陷的相关费用。</w:t>
      </w:r>
    </w:p>
    <w:p>
      <w:pPr>
        <w:spacing w:line="520" w:lineRule="exact"/>
        <w:ind w:firstLine="480" w:firstLineChars="200"/>
        <w:rPr>
          <w:rFonts w:eastAsia="新宋体"/>
          <w:sz w:val="24"/>
        </w:rPr>
      </w:pPr>
      <w:r>
        <w:rPr>
          <w:rFonts w:eastAsia="新宋体"/>
          <w:sz w:val="24"/>
        </w:rPr>
        <w:t>3.保修期及保修服务的内容严格遵守国家法律及合同文件规定，保证在货物验收后保修期内免费保修。</w:t>
      </w:r>
    </w:p>
    <w:p>
      <w:pPr>
        <w:spacing w:line="520" w:lineRule="exact"/>
        <w:ind w:firstLine="480" w:firstLineChars="200"/>
        <w:rPr>
          <w:rFonts w:eastAsia="新宋体"/>
          <w:sz w:val="24"/>
        </w:rPr>
      </w:pPr>
      <w:r>
        <w:rPr>
          <w:rFonts w:eastAsia="新宋体"/>
          <w:sz w:val="24"/>
        </w:rPr>
        <w:t>4.保证用户对售后服务要求的及时响应，对需上门服务的情况，用户所在地之内的应在</w:t>
      </w:r>
      <w:r>
        <w:rPr>
          <w:rFonts w:eastAsia="新宋体"/>
          <w:sz w:val="24"/>
          <w:u w:val="single"/>
        </w:rPr>
        <w:t xml:space="preserve">    </w:t>
      </w:r>
      <w:r>
        <w:rPr>
          <w:rFonts w:eastAsia="新宋体"/>
          <w:sz w:val="24"/>
        </w:rPr>
        <w:t>小时内派技术人员赶到现场；用户所在地之外或需外地厂家协助的，应在</w:t>
      </w:r>
      <w:r>
        <w:rPr>
          <w:rFonts w:eastAsia="新宋体"/>
          <w:sz w:val="24"/>
          <w:u w:val="single"/>
        </w:rPr>
        <w:t xml:space="preserve">    </w:t>
      </w:r>
      <w:r>
        <w:rPr>
          <w:rFonts w:eastAsia="新宋体"/>
          <w:sz w:val="24"/>
        </w:rPr>
        <w:t>小时内派技术人员赶到现场；若需返回厂家修理，应提供备用设备或提供保证不耽误工作的服务。</w:t>
      </w:r>
    </w:p>
    <w:p>
      <w:pPr>
        <w:spacing w:line="520" w:lineRule="exact"/>
        <w:ind w:firstLine="480" w:firstLineChars="200"/>
        <w:rPr>
          <w:rFonts w:eastAsia="新宋体"/>
          <w:sz w:val="24"/>
        </w:rPr>
      </w:pPr>
      <w:r>
        <w:rPr>
          <w:rFonts w:eastAsia="新宋体"/>
          <w:sz w:val="24"/>
        </w:rPr>
        <w:t>5.对厂家提供的货物的硬件或软件的升级改进服务，有及时告知用户的义务,在用户同意接受这些服务的情况下提供便利条件。</w:t>
      </w:r>
    </w:p>
    <w:p>
      <w:pPr>
        <w:spacing w:line="520" w:lineRule="exact"/>
        <w:ind w:firstLine="480" w:firstLineChars="200"/>
        <w:rPr>
          <w:rFonts w:eastAsia="新宋体"/>
          <w:sz w:val="24"/>
        </w:rPr>
      </w:pPr>
      <w:r>
        <w:rPr>
          <w:rFonts w:eastAsia="新宋体"/>
          <w:sz w:val="24"/>
        </w:rPr>
        <w:t>6.生产厂家到最终用户现场安装、调试合格后验收，现场为用户提供货物使用、维护等方面的技术培训。</w:t>
      </w:r>
    </w:p>
    <w:p>
      <w:pPr>
        <w:spacing w:line="520" w:lineRule="exact"/>
        <w:ind w:firstLine="480" w:firstLineChars="200"/>
        <w:rPr>
          <w:rFonts w:eastAsia="新宋体"/>
          <w:sz w:val="24"/>
        </w:rPr>
      </w:pPr>
      <w:r>
        <w:rPr>
          <w:rFonts w:eastAsia="新宋体"/>
          <w:sz w:val="24"/>
        </w:rPr>
        <w:t>7.严格遵守投标文件中售后服务承诺以及双方议定的售后服务承诺。</w:t>
      </w:r>
    </w:p>
    <w:p>
      <w:pPr>
        <w:spacing w:line="520" w:lineRule="exact"/>
        <w:ind w:firstLine="480" w:firstLineChars="200"/>
        <w:rPr>
          <w:rFonts w:eastAsia="新宋体"/>
          <w:sz w:val="24"/>
        </w:rPr>
      </w:pPr>
      <w:r>
        <w:rPr>
          <w:rFonts w:eastAsia="新宋体"/>
          <w:sz w:val="24"/>
        </w:rPr>
        <w:t>（上述为共性条款，以下针对货物情况可填写具体售后服务承诺条款）</w:t>
      </w:r>
    </w:p>
    <w:p>
      <w:pPr>
        <w:spacing w:line="520" w:lineRule="exact"/>
        <w:ind w:firstLine="482" w:firstLineChars="200"/>
        <w:rPr>
          <w:rFonts w:eastAsia="新宋体"/>
          <w:b/>
          <w:sz w:val="24"/>
        </w:rPr>
      </w:pPr>
      <w:r>
        <w:rPr>
          <w:rFonts w:eastAsia="新宋体"/>
          <w:b/>
          <w:sz w:val="24"/>
        </w:rPr>
        <w:t xml:space="preserve">八、验收办法及要求： </w:t>
      </w:r>
    </w:p>
    <w:p>
      <w:pPr>
        <w:spacing w:line="520" w:lineRule="exact"/>
        <w:ind w:firstLine="480" w:firstLineChars="200"/>
        <w:rPr>
          <w:rFonts w:eastAsia="新宋体"/>
          <w:sz w:val="24"/>
        </w:rPr>
      </w:pPr>
      <w:r>
        <w:rPr>
          <w:rFonts w:eastAsia="新宋体"/>
          <w:sz w:val="24"/>
        </w:rPr>
        <w:t>1.外观检查</w:t>
      </w:r>
    </w:p>
    <w:p>
      <w:pPr>
        <w:spacing w:line="520" w:lineRule="exact"/>
        <w:ind w:firstLine="480" w:firstLineChars="200"/>
        <w:rPr>
          <w:rFonts w:eastAsia="新宋体"/>
          <w:sz w:val="24"/>
        </w:rPr>
      </w:pPr>
      <w:r>
        <w:rPr>
          <w:rFonts w:eastAsia="新宋体"/>
          <w:sz w:val="24"/>
        </w:rPr>
        <w:t>（1）检查仪器设备内外包装是否完好，有无破损、碰伤、浸湿、受潮、变形等情况。</w:t>
      </w:r>
    </w:p>
    <w:p>
      <w:pPr>
        <w:spacing w:line="520" w:lineRule="exact"/>
        <w:ind w:firstLine="600"/>
        <w:rPr>
          <w:rFonts w:eastAsia="新宋体"/>
          <w:sz w:val="24"/>
        </w:rPr>
      </w:pPr>
      <w:r>
        <w:rPr>
          <w:rFonts w:eastAsia="新宋体"/>
          <w:sz w:val="24"/>
        </w:rPr>
        <w:t>（2）检查仪器设备及附件外表有无残损、锈蚀、碰伤等。</w:t>
      </w:r>
    </w:p>
    <w:p>
      <w:pPr>
        <w:spacing w:line="520" w:lineRule="exact"/>
        <w:ind w:firstLine="600"/>
        <w:rPr>
          <w:rFonts w:eastAsia="新宋体"/>
          <w:sz w:val="24"/>
        </w:rPr>
      </w:pPr>
      <w:r>
        <w:rPr>
          <w:rFonts w:eastAsia="新宋体"/>
          <w:sz w:val="24"/>
        </w:rPr>
        <w:t>（3）如发现上述问题，应做详细记录，并拍照留据。</w:t>
      </w:r>
    </w:p>
    <w:p>
      <w:pPr>
        <w:spacing w:line="520" w:lineRule="exact"/>
        <w:ind w:firstLine="600"/>
        <w:rPr>
          <w:rFonts w:eastAsia="新宋体"/>
          <w:sz w:val="24"/>
        </w:rPr>
      </w:pPr>
      <w:r>
        <w:rPr>
          <w:rFonts w:eastAsia="新宋体"/>
          <w:sz w:val="24"/>
        </w:rPr>
        <w:t>（4）特殊仪器设备要依据设备的特性和合同要求及相关国家、行业（当行业标准高于国家标准时）、企业标准（当企业标准高于国家和行业标准时）进行外观检查。</w:t>
      </w:r>
    </w:p>
    <w:p>
      <w:pPr>
        <w:spacing w:line="520" w:lineRule="exact"/>
        <w:ind w:firstLine="480" w:firstLineChars="200"/>
        <w:rPr>
          <w:rFonts w:eastAsia="新宋体"/>
          <w:sz w:val="24"/>
        </w:rPr>
      </w:pPr>
      <w:r>
        <w:rPr>
          <w:rFonts w:eastAsia="新宋体"/>
          <w:sz w:val="24"/>
        </w:rPr>
        <w:t>2.数量验收</w:t>
      </w:r>
    </w:p>
    <w:p>
      <w:pPr>
        <w:spacing w:line="520" w:lineRule="exact"/>
        <w:ind w:firstLine="480" w:firstLineChars="200"/>
        <w:rPr>
          <w:rFonts w:eastAsia="新宋体"/>
          <w:sz w:val="24"/>
        </w:rPr>
      </w:pPr>
      <w:r>
        <w:rPr>
          <w:rFonts w:eastAsia="新宋体"/>
          <w:sz w:val="24"/>
        </w:rPr>
        <w:t>（1）以供货合同和装箱单为依据，检查主机、辅机、附件、配件、备件及工具的规格、型号、配置及数量，并逐件清查核对。</w:t>
      </w:r>
    </w:p>
    <w:p>
      <w:pPr>
        <w:spacing w:line="520" w:lineRule="exact"/>
        <w:rPr>
          <w:rFonts w:eastAsia="新宋体"/>
          <w:sz w:val="24"/>
        </w:rPr>
      </w:pPr>
      <w:r>
        <w:rPr>
          <w:rFonts w:eastAsia="新宋体"/>
          <w:sz w:val="24"/>
        </w:rPr>
        <w:t xml:space="preserve">    （2）与仪器设备配套使用的软件系统的名称、软件系统介质形式、数量等。</w:t>
      </w:r>
    </w:p>
    <w:p>
      <w:pPr>
        <w:spacing w:line="520" w:lineRule="exact"/>
        <w:ind w:firstLine="480" w:firstLineChars="200"/>
        <w:rPr>
          <w:rFonts w:eastAsia="新宋体"/>
          <w:sz w:val="24"/>
        </w:rPr>
      </w:pPr>
      <w:r>
        <w:rPr>
          <w:rFonts w:eastAsia="新宋体"/>
          <w:sz w:val="24"/>
        </w:rPr>
        <w:t>（3）认真检查随机资料是否齐全，如仪器说明书、操作规程、检修手册、产品检验合格证书等。</w:t>
      </w:r>
    </w:p>
    <w:p>
      <w:pPr>
        <w:spacing w:line="520" w:lineRule="exact"/>
        <w:ind w:firstLine="480" w:firstLineChars="200"/>
        <w:rPr>
          <w:rFonts w:eastAsia="新宋体"/>
          <w:sz w:val="24"/>
        </w:rPr>
      </w:pPr>
      <w:r>
        <w:rPr>
          <w:rFonts w:eastAsia="新宋体"/>
          <w:sz w:val="24"/>
        </w:rPr>
        <w:t>（4）做好数量验收记录，写明验收地点、时间、参加人员、箱号、品名、应到和实到数量。</w:t>
      </w:r>
    </w:p>
    <w:p>
      <w:pPr>
        <w:spacing w:line="520" w:lineRule="exact"/>
        <w:rPr>
          <w:rFonts w:eastAsia="新宋体"/>
          <w:sz w:val="24"/>
        </w:rPr>
      </w:pPr>
      <w:r>
        <w:rPr>
          <w:rFonts w:eastAsia="新宋体"/>
          <w:sz w:val="24"/>
        </w:rPr>
        <w:t xml:space="preserve">    3.质量验收</w:t>
      </w:r>
    </w:p>
    <w:p>
      <w:pPr>
        <w:spacing w:line="520" w:lineRule="exact"/>
        <w:ind w:firstLine="480" w:firstLineChars="200"/>
        <w:rPr>
          <w:rFonts w:eastAsia="新宋体"/>
          <w:sz w:val="24"/>
        </w:rPr>
      </w:pPr>
      <w:r>
        <w:rPr>
          <w:rFonts w:eastAsia="新宋体"/>
          <w:sz w:val="24"/>
        </w:rPr>
        <w:t>（1）要严格按照合同条款、仪器使用说明书、操作手册的规定和程序，进行安装、试机。</w:t>
      </w:r>
    </w:p>
    <w:p>
      <w:pPr>
        <w:spacing w:line="520" w:lineRule="exact"/>
        <w:rPr>
          <w:rFonts w:eastAsia="新宋体"/>
          <w:sz w:val="24"/>
        </w:rPr>
      </w:pPr>
      <w:r>
        <w:rPr>
          <w:rFonts w:eastAsia="新宋体"/>
          <w:sz w:val="24"/>
        </w:rPr>
        <w:t xml:space="preserve">    （2）对照合同技术参数指标条款、仪器说明书，认真进行各种技术参数测试，检查仪器的技术指标和性能是否达到要求(出具验收数据单)。</w:t>
      </w:r>
    </w:p>
    <w:p>
      <w:pPr>
        <w:spacing w:line="520" w:lineRule="exact"/>
        <w:rPr>
          <w:rFonts w:eastAsia="新宋体"/>
          <w:sz w:val="24"/>
        </w:rPr>
      </w:pPr>
      <w:r>
        <w:rPr>
          <w:rFonts w:eastAsia="新宋体"/>
          <w:sz w:val="24"/>
        </w:rPr>
        <w:t xml:space="preserve">    （3）质量验收时要认真做好记录。若仪器出现质量问题，应将详细情况书面通知供货单位，视情况决定是否退货、更换或要求厂商派员检修。</w:t>
      </w:r>
    </w:p>
    <w:p>
      <w:pPr>
        <w:spacing w:line="520" w:lineRule="exact"/>
        <w:ind w:firstLine="600"/>
        <w:rPr>
          <w:rFonts w:eastAsia="新宋体"/>
          <w:sz w:val="24"/>
        </w:rPr>
      </w:pPr>
      <w:r>
        <w:rPr>
          <w:rFonts w:eastAsia="新宋体"/>
          <w:sz w:val="24"/>
        </w:rPr>
        <w:t>（4）进口仪器设备的验收按工商质检部门的有关规定进行。合同规定由外商安装调试的，必须由外商派员来现场共同开箱验收、安装、测试，安装调试合格后方可签署验收文件。</w:t>
      </w:r>
    </w:p>
    <w:p>
      <w:pPr>
        <w:spacing w:line="520" w:lineRule="exact"/>
        <w:ind w:firstLine="600"/>
        <w:rPr>
          <w:rFonts w:eastAsia="新宋体"/>
          <w:sz w:val="24"/>
        </w:rPr>
      </w:pPr>
      <w:r>
        <w:rPr>
          <w:rFonts w:eastAsia="新宋体"/>
          <w:sz w:val="24"/>
        </w:rPr>
        <w:t>（5）关于仪器设备使用人员培训，必须保证使用人员能正确操作、能进行基本养护、处理一般问题。</w:t>
      </w:r>
    </w:p>
    <w:p>
      <w:pPr>
        <w:spacing w:line="520" w:lineRule="exact"/>
        <w:rPr>
          <w:rFonts w:eastAsia="新宋体"/>
          <w:sz w:val="24"/>
        </w:rPr>
      </w:pPr>
      <w:r>
        <w:rPr>
          <w:rFonts w:eastAsia="新宋体"/>
          <w:sz w:val="24"/>
        </w:rPr>
        <w:t xml:space="preserve">    （6）软件系统功能项目、容量、节点数、使用时间、知识产权的使用等。</w:t>
      </w:r>
    </w:p>
    <w:p>
      <w:pPr>
        <w:spacing w:line="520" w:lineRule="exact"/>
        <w:ind w:firstLine="480" w:firstLineChars="200"/>
        <w:rPr>
          <w:rFonts w:eastAsia="新宋体"/>
          <w:bCs/>
          <w:sz w:val="24"/>
        </w:rPr>
      </w:pPr>
      <w:r>
        <w:rPr>
          <w:rFonts w:eastAsia="新宋体"/>
          <w:bCs/>
          <w:sz w:val="24"/>
        </w:rPr>
        <w:t>（7）特殊、特种仪器设备根据国家相关规定进行验收。</w:t>
      </w:r>
    </w:p>
    <w:p>
      <w:pPr>
        <w:spacing w:line="520" w:lineRule="exact"/>
        <w:ind w:firstLine="480" w:firstLineChars="200"/>
        <w:rPr>
          <w:rFonts w:eastAsia="新宋体"/>
          <w:sz w:val="24"/>
        </w:rPr>
      </w:pPr>
      <w:r>
        <w:rPr>
          <w:rFonts w:eastAsia="新宋体"/>
          <w:sz w:val="24"/>
        </w:rPr>
        <w:t>4.验收确认</w:t>
      </w:r>
    </w:p>
    <w:p>
      <w:pPr>
        <w:spacing w:line="520" w:lineRule="exact"/>
        <w:ind w:firstLine="480" w:firstLineChars="200"/>
        <w:rPr>
          <w:rFonts w:eastAsia="新宋体"/>
          <w:sz w:val="24"/>
        </w:rPr>
      </w:pPr>
      <w:r>
        <w:rPr>
          <w:rFonts w:eastAsia="新宋体"/>
          <w:sz w:val="24"/>
        </w:rPr>
        <w:t>货到安装调试、培训完成及预验收后，采购人安排货物最终验收时间，由</w:t>
      </w:r>
      <w:r>
        <w:rPr>
          <w:rFonts w:eastAsia="新宋体"/>
          <w:bCs/>
          <w:sz w:val="24"/>
        </w:rPr>
        <w:t>采购人</w:t>
      </w:r>
      <w:r>
        <w:rPr>
          <w:rFonts w:eastAsia="新宋体"/>
          <w:sz w:val="24"/>
        </w:rPr>
        <w:t>负责组织货物验收工作小组进行货物最终验收及上报审批工作。验收不合格，终止合同，后果投标人自负。验收合格并最终签字即为完成交货，本合同货物验收责任人是采购人。</w:t>
      </w:r>
    </w:p>
    <w:p>
      <w:pPr>
        <w:spacing w:line="520" w:lineRule="exact"/>
        <w:ind w:firstLine="482" w:firstLineChars="200"/>
        <w:rPr>
          <w:rFonts w:eastAsia="新宋体"/>
          <w:b/>
          <w:sz w:val="24"/>
        </w:rPr>
      </w:pPr>
      <w:r>
        <w:rPr>
          <w:rFonts w:eastAsia="新宋体"/>
          <w:b/>
          <w:sz w:val="24"/>
        </w:rPr>
        <w:t>九、履约保证金</w:t>
      </w:r>
    </w:p>
    <w:p>
      <w:pPr>
        <w:spacing w:line="520" w:lineRule="exact"/>
        <w:ind w:firstLine="480" w:firstLineChars="200"/>
        <w:rPr>
          <w:rFonts w:eastAsia="新宋体"/>
          <w:sz w:val="24"/>
        </w:rPr>
      </w:pPr>
      <w:r>
        <w:rPr>
          <w:rFonts w:eastAsia="新宋体"/>
          <w:sz w:val="24"/>
        </w:rPr>
        <w:t>投标人在收到中标通知书后需向采购人交纳履约保证金，履约保证金交纳数额为中标总金额的</w:t>
      </w:r>
      <w:r>
        <w:rPr>
          <w:rFonts w:hint="eastAsia" w:eastAsia="新宋体"/>
          <w:sz w:val="24"/>
          <w:lang w:val="en-US" w:eastAsia="zh-CN"/>
        </w:rPr>
        <w:t>0</w:t>
      </w:r>
      <w:r>
        <w:rPr>
          <w:rFonts w:eastAsia="新宋体"/>
          <w:sz w:val="24"/>
        </w:rPr>
        <w:t>%，分期付款的项目，经双方商定，可以不预收履约保证金。待完成验收后</w:t>
      </w:r>
      <w:r>
        <w:rPr>
          <w:rFonts w:eastAsia="新宋体"/>
          <w:sz w:val="24"/>
          <w:u w:val="single"/>
        </w:rPr>
        <w:t xml:space="preserve">    </w:t>
      </w:r>
      <w:r>
        <w:rPr>
          <w:rFonts w:eastAsia="新宋体"/>
          <w:sz w:val="24"/>
        </w:rPr>
        <w:t>内，采购人无息一次性退还履约保证金。</w:t>
      </w:r>
    </w:p>
    <w:p>
      <w:pPr>
        <w:spacing w:line="520" w:lineRule="exact"/>
        <w:ind w:firstLine="472" w:firstLineChars="196"/>
        <w:rPr>
          <w:rFonts w:eastAsia="新宋体"/>
          <w:b/>
          <w:sz w:val="24"/>
        </w:rPr>
      </w:pPr>
      <w:r>
        <w:rPr>
          <w:rFonts w:eastAsia="新宋体"/>
          <w:b/>
          <w:sz w:val="24"/>
        </w:rPr>
        <w:t>十、合同生效及其它</w:t>
      </w:r>
    </w:p>
    <w:p>
      <w:pPr>
        <w:spacing w:line="520" w:lineRule="exact"/>
        <w:ind w:firstLine="480" w:firstLineChars="200"/>
        <w:rPr>
          <w:rFonts w:eastAsia="新宋体"/>
          <w:sz w:val="24"/>
        </w:rPr>
      </w:pPr>
      <w:r>
        <w:rPr>
          <w:rFonts w:eastAsia="新宋体"/>
          <w:sz w:val="24"/>
        </w:rPr>
        <w:t>1.本合同一式三份，经采购人、采购代理机构、投标人法人代表（或授权人）签字并加盖公章后生效。</w:t>
      </w:r>
    </w:p>
    <w:p>
      <w:pPr>
        <w:spacing w:line="520" w:lineRule="exact"/>
        <w:ind w:firstLine="480" w:firstLineChars="200"/>
        <w:rPr>
          <w:rFonts w:eastAsia="新宋体"/>
          <w:sz w:val="24"/>
        </w:rPr>
      </w:pPr>
      <w:r>
        <w:rPr>
          <w:rFonts w:eastAsia="新宋体"/>
          <w:sz w:val="24"/>
        </w:rPr>
        <w:t>2.本合同由采购人、采购代理机构、投标人各执一份。</w:t>
      </w:r>
    </w:p>
    <w:p>
      <w:pPr>
        <w:spacing w:line="520" w:lineRule="exact"/>
        <w:ind w:firstLine="480" w:firstLineChars="200"/>
        <w:rPr>
          <w:rFonts w:eastAsia="新宋体"/>
          <w:sz w:val="24"/>
        </w:rPr>
      </w:pPr>
      <w:r>
        <w:rPr>
          <w:rFonts w:eastAsia="新宋体"/>
          <w:sz w:val="24"/>
        </w:rPr>
        <w:t>3.合同内容如遇国家法律、法规及政策另有规定的，从其规定。</w:t>
      </w:r>
    </w:p>
    <w:p>
      <w:pPr>
        <w:spacing w:line="520" w:lineRule="exact"/>
        <w:ind w:firstLine="480" w:firstLineChars="200"/>
        <w:rPr>
          <w:rFonts w:eastAsia="新宋体"/>
          <w:sz w:val="24"/>
        </w:rPr>
      </w:pPr>
      <w:r>
        <w:rPr>
          <w:rFonts w:eastAsia="新宋体"/>
          <w:sz w:val="24"/>
        </w:rPr>
        <w:t>4.本合同未尽事宜，双方协商解决。</w:t>
      </w:r>
    </w:p>
    <w:p>
      <w:pPr>
        <w:spacing w:line="520" w:lineRule="exact"/>
        <w:ind w:firstLine="480" w:firstLineChars="200"/>
        <w:rPr>
          <w:rFonts w:eastAsia="新宋体"/>
          <w:sz w:val="24"/>
        </w:rPr>
      </w:pPr>
      <w:r>
        <w:rPr>
          <w:rFonts w:eastAsia="新宋体"/>
          <w:sz w:val="24"/>
        </w:rPr>
        <w:t>5.附件：（1）中标通知书。</w:t>
      </w:r>
    </w:p>
    <w:p>
      <w:pPr>
        <w:spacing w:line="520" w:lineRule="exact"/>
        <w:ind w:firstLine="1320" w:firstLineChars="550"/>
        <w:rPr>
          <w:rFonts w:eastAsia="新宋体"/>
          <w:sz w:val="24"/>
        </w:rPr>
      </w:pPr>
      <w:r>
        <w:rPr>
          <w:rFonts w:eastAsia="新宋体"/>
          <w:sz w:val="24"/>
        </w:rPr>
        <w:t>（2）投标人法人代表授权书原件（如果委托授权的话）。</w:t>
      </w:r>
    </w:p>
    <w:p>
      <w:pPr>
        <w:spacing w:line="520" w:lineRule="exact"/>
        <w:rPr>
          <w:rFonts w:eastAsia="新宋体"/>
          <w:sz w:val="24"/>
        </w:rPr>
      </w:pPr>
    </w:p>
    <w:p>
      <w:pPr>
        <w:spacing w:line="520" w:lineRule="exact"/>
        <w:ind w:right="-462" w:rightChars="-220"/>
        <w:rPr>
          <w:rFonts w:eastAsia="新宋体"/>
          <w:sz w:val="24"/>
        </w:rPr>
      </w:pPr>
      <w:r>
        <w:rPr>
          <w:rFonts w:eastAsia="新宋体"/>
          <w:sz w:val="24"/>
        </w:rPr>
        <w:t>买方：采购人名称（加盖公章）：</w:t>
      </w:r>
    </w:p>
    <w:p>
      <w:pPr>
        <w:spacing w:line="520" w:lineRule="exact"/>
        <w:ind w:right="-462" w:rightChars="-220"/>
        <w:rPr>
          <w:rFonts w:eastAsia="新宋体"/>
          <w:sz w:val="24"/>
        </w:rPr>
      </w:pPr>
      <w:r>
        <w:rPr>
          <w:rFonts w:eastAsia="新宋体"/>
          <w:sz w:val="24"/>
        </w:rPr>
        <w:t>地址：</w:t>
      </w:r>
    </w:p>
    <w:p>
      <w:pPr>
        <w:spacing w:line="520" w:lineRule="exact"/>
        <w:ind w:right="-462" w:rightChars="-220"/>
        <w:rPr>
          <w:rFonts w:eastAsia="新宋体"/>
          <w:sz w:val="24"/>
        </w:rPr>
      </w:pPr>
      <w:r>
        <w:rPr>
          <w:rFonts w:eastAsia="新宋体"/>
          <w:sz w:val="24"/>
        </w:rPr>
        <w:t>邮编：             电话：           传真：</w:t>
      </w:r>
    </w:p>
    <w:p>
      <w:pPr>
        <w:spacing w:line="520" w:lineRule="exact"/>
        <w:rPr>
          <w:rFonts w:eastAsia="新宋体"/>
          <w:sz w:val="24"/>
        </w:rPr>
      </w:pPr>
      <w:r>
        <w:rPr>
          <w:rFonts w:eastAsia="新宋体"/>
          <w:sz w:val="24"/>
        </w:rPr>
        <w:t xml:space="preserve">买方：采购人法人代表（或授权人）（签字）：                      </w:t>
      </w:r>
    </w:p>
    <w:p>
      <w:pPr>
        <w:spacing w:line="520" w:lineRule="exact"/>
        <w:ind w:firstLine="4920" w:firstLineChars="2050"/>
        <w:rPr>
          <w:rFonts w:eastAsia="新宋体"/>
          <w:sz w:val="24"/>
        </w:rPr>
      </w:pPr>
      <w:r>
        <w:rPr>
          <w:rFonts w:eastAsia="新宋体"/>
          <w:sz w:val="24"/>
        </w:rPr>
        <w:t>年    月   日</w:t>
      </w:r>
    </w:p>
    <w:p>
      <w:pPr>
        <w:spacing w:line="520" w:lineRule="exact"/>
        <w:rPr>
          <w:rFonts w:eastAsia="新宋体"/>
          <w:sz w:val="24"/>
        </w:rPr>
      </w:pPr>
    </w:p>
    <w:p>
      <w:pPr>
        <w:spacing w:line="520" w:lineRule="exact"/>
        <w:rPr>
          <w:rFonts w:eastAsia="新宋体"/>
          <w:sz w:val="24"/>
        </w:rPr>
      </w:pPr>
    </w:p>
    <w:p>
      <w:pPr>
        <w:spacing w:line="520" w:lineRule="exact"/>
        <w:rPr>
          <w:rFonts w:eastAsia="新宋体"/>
          <w:sz w:val="24"/>
        </w:rPr>
      </w:pPr>
    </w:p>
    <w:p>
      <w:pPr>
        <w:spacing w:line="520" w:lineRule="exact"/>
        <w:rPr>
          <w:rFonts w:eastAsia="新宋体"/>
          <w:sz w:val="24"/>
        </w:rPr>
      </w:pPr>
      <w:r>
        <w:rPr>
          <w:rFonts w:eastAsia="新宋体"/>
          <w:sz w:val="24"/>
        </w:rPr>
        <w:t>卖方：投标人名称（加盖公章）：</w:t>
      </w:r>
    </w:p>
    <w:p>
      <w:pPr>
        <w:spacing w:line="520" w:lineRule="exact"/>
        <w:rPr>
          <w:rFonts w:eastAsia="新宋体"/>
          <w:sz w:val="24"/>
        </w:rPr>
      </w:pPr>
      <w:r>
        <w:rPr>
          <w:rFonts w:eastAsia="新宋体"/>
          <w:sz w:val="24"/>
        </w:rPr>
        <w:t>地址：</w:t>
      </w:r>
    </w:p>
    <w:p>
      <w:pPr>
        <w:spacing w:line="520" w:lineRule="exact"/>
        <w:rPr>
          <w:rFonts w:eastAsia="新宋体"/>
          <w:sz w:val="24"/>
        </w:rPr>
      </w:pPr>
      <w:r>
        <w:rPr>
          <w:rFonts w:eastAsia="新宋体"/>
          <w:sz w:val="24"/>
        </w:rPr>
        <w:t>邮编：             电话：            传真：</w:t>
      </w:r>
    </w:p>
    <w:p>
      <w:pPr>
        <w:spacing w:line="520" w:lineRule="exact"/>
        <w:rPr>
          <w:rFonts w:eastAsia="新宋体"/>
          <w:sz w:val="24"/>
        </w:rPr>
      </w:pPr>
      <w:r>
        <w:rPr>
          <w:rFonts w:eastAsia="新宋体"/>
          <w:sz w:val="24"/>
        </w:rPr>
        <w:t xml:space="preserve">卖方：投标人法人代表（或授权人）（签字）：  </w:t>
      </w:r>
    </w:p>
    <w:p>
      <w:pPr>
        <w:spacing w:line="520" w:lineRule="exact"/>
        <w:ind w:firstLine="4920" w:firstLineChars="2050"/>
        <w:rPr>
          <w:rFonts w:eastAsia="新宋体"/>
          <w:sz w:val="24"/>
        </w:rPr>
      </w:pPr>
      <w:r>
        <w:rPr>
          <w:rFonts w:eastAsia="新宋体"/>
          <w:sz w:val="24"/>
        </w:rPr>
        <w:t>年    月   日</w:t>
      </w:r>
    </w:p>
    <w:p>
      <w:pPr>
        <w:spacing w:line="240" w:lineRule="exact"/>
        <w:rPr>
          <w:b/>
          <w:sz w:val="24"/>
        </w:rPr>
      </w:pPr>
    </w:p>
    <w:p>
      <w:pPr>
        <w:spacing w:line="240" w:lineRule="exact"/>
        <w:rPr>
          <w:b/>
          <w:sz w:val="24"/>
        </w:rPr>
      </w:pPr>
      <w:r>
        <w:rPr>
          <w:b/>
          <w:sz w:val="24"/>
        </w:rPr>
        <w:t>7、最终内容以中标方和买方单位签订的合同为主。</w:t>
      </w:r>
    </w:p>
    <w:p>
      <w:pPr>
        <w:ind w:left="-141" w:leftChars="-67" w:right="-176" w:rightChars="-84" w:firstLine="120" w:firstLineChars="50"/>
        <w:rPr>
          <w:sz w:val="24"/>
        </w:rPr>
      </w:pPr>
    </w:p>
    <w:p>
      <w:pPr>
        <w:ind w:left="-141" w:leftChars="-67" w:right="-176" w:rightChars="-84" w:firstLine="120" w:firstLineChars="50"/>
        <w:rPr>
          <w:sz w:val="24"/>
        </w:rPr>
      </w:pPr>
    </w:p>
    <w:p>
      <w:pPr>
        <w:rPr>
          <w:b/>
          <w:sz w:val="30"/>
          <w:szCs w:val="30"/>
        </w:rPr>
      </w:pPr>
      <w:bookmarkStart w:id="65" w:name="_Toc49019228"/>
      <w:bookmarkStart w:id="66" w:name="_Toc47416189"/>
    </w:p>
    <w:p>
      <w:pPr>
        <w:rPr>
          <w:b/>
          <w:sz w:val="30"/>
          <w:szCs w:val="30"/>
        </w:rPr>
      </w:pPr>
    </w:p>
    <w:p>
      <w:pPr>
        <w:rPr>
          <w:b/>
          <w:sz w:val="30"/>
          <w:szCs w:val="30"/>
        </w:rPr>
      </w:pPr>
    </w:p>
    <w:p>
      <w:pPr>
        <w:rPr>
          <w:b/>
          <w:sz w:val="30"/>
          <w:szCs w:val="30"/>
        </w:rPr>
      </w:pPr>
    </w:p>
    <w:p>
      <w:pPr>
        <w:rPr>
          <w:b/>
          <w:sz w:val="30"/>
          <w:szCs w:val="30"/>
        </w:rPr>
      </w:pPr>
    </w:p>
    <w:p>
      <w:pPr>
        <w:rPr>
          <w:b/>
          <w:sz w:val="30"/>
          <w:szCs w:val="30"/>
        </w:rPr>
      </w:pPr>
    </w:p>
    <w:p>
      <w:pPr>
        <w:rPr>
          <w:b/>
          <w:sz w:val="30"/>
          <w:szCs w:val="30"/>
        </w:rPr>
      </w:pPr>
    </w:p>
    <w:p>
      <w:pPr>
        <w:rPr>
          <w:b/>
          <w:sz w:val="30"/>
          <w:szCs w:val="30"/>
        </w:rPr>
      </w:pPr>
    </w:p>
    <w:p>
      <w:pPr>
        <w:rPr>
          <w:b/>
          <w:sz w:val="30"/>
          <w:szCs w:val="30"/>
        </w:rPr>
      </w:pPr>
    </w:p>
    <w:p>
      <w:pPr>
        <w:jc w:val="center"/>
        <w:rPr>
          <w:b/>
          <w:sz w:val="30"/>
          <w:szCs w:val="30"/>
        </w:rPr>
      </w:pPr>
    </w:p>
    <w:p>
      <w:pPr>
        <w:pStyle w:val="3"/>
        <w:rPr>
          <w:szCs w:val="22"/>
        </w:rPr>
      </w:pPr>
      <w:bookmarkStart w:id="67" w:name="_Toc23394"/>
      <w:r>
        <w:rPr>
          <w:szCs w:val="22"/>
        </w:rPr>
        <w:t>第</w:t>
      </w:r>
      <w:r>
        <w:rPr>
          <w:rFonts w:hint="eastAsia"/>
          <w:szCs w:val="22"/>
        </w:rPr>
        <w:t>五</w:t>
      </w:r>
      <w:r>
        <w:rPr>
          <w:szCs w:val="22"/>
        </w:rPr>
        <w:t>章 附件（投标文件格式）</w:t>
      </w:r>
      <w:bookmarkEnd w:id="67"/>
    </w:p>
    <w:p>
      <w:pPr>
        <w:spacing w:line="500" w:lineRule="exact"/>
        <w:ind w:left="140" w:hanging="140" w:hangingChars="50"/>
        <w:rPr>
          <w:sz w:val="28"/>
          <w:u w:val="single"/>
        </w:rPr>
      </w:pPr>
    </w:p>
    <w:p>
      <w:pPr>
        <w:spacing w:line="500" w:lineRule="exact"/>
        <w:ind w:left="140" w:hanging="140" w:hangingChars="50"/>
        <w:rPr>
          <w:sz w:val="28"/>
          <w:u w:val="single"/>
        </w:rPr>
      </w:pPr>
      <w:r>
        <w:rPr>
          <w:sz w:val="28"/>
          <w:u w:val="single"/>
        </w:rPr>
        <w:t>投标文件封面示例</w:t>
      </w:r>
    </w:p>
    <w:p>
      <w:pPr>
        <w:spacing w:line="360" w:lineRule="auto"/>
        <w:jc w:val="center"/>
        <w:rPr>
          <w:b/>
          <w:sz w:val="28"/>
          <w:szCs w:val="28"/>
        </w:rPr>
      </w:pPr>
    </w:p>
    <w:p>
      <w:pPr>
        <w:spacing w:line="360" w:lineRule="auto"/>
        <w:jc w:val="right"/>
        <w:rPr>
          <w:b/>
          <w:bCs/>
          <w:sz w:val="44"/>
          <w:szCs w:val="44"/>
          <w:bdr w:val="single" w:color="auto" w:sz="4" w:space="0"/>
        </w:rPr>
      </w:pPr>
      <w:r>
        <w:rPr>
          <w:b/>
          <w:bCs/>
          <w:sz w:val="44"/>
          <w:szCs w:val="44"/>
          <w:bdr w:val="single" w:color="auto" w:sz="4" w:space="0"/>
        </w:rPr>
        <w:t>正（副）本</w:t>
      </w:r>
    </w:p>
    <w:p>
      <w:pPr>
        <w:spacing w:line="360" w:lineRule="auto"/>
        <w:jc w:val="center"/>
        <w:rPr>
          <w:sz w:val="52"/>
          <w:szCs w:val="52"/>
          <w:lang w:val="zh-CN"/>
        </w:rPr>
      </w:pPr>
    </w:p>
    <w:p>
      <w:pPr>
        <w:spacing w:line="360" w:lineRule="auto"/>
        <w:jc w:val="center"/>
        <w:rPr>
          <w:rFonts w:eastAsia="黑体"/>
          <w:b/>
          <w:bCs/>
          <w:sz w:val="72"/>
          <w:szCs w:val="72"/>
          <w:lang w:val="zh-CN"/>
        </w:rPr>
      </w:pPr>
      <w:r>
        <w:rPr>
          <w:rFonts w:eastAsia="黑体"/>
          <w:b/>
          <w:bCs/>
          <w:sz w:val="72"/>
          <w:szCs w:val="72"/>
          <w:lang w:val="zh-CN"/>
        </w:rPr>
        <w:t>投</w:t>
      </w:r>
      <w:r>
        <w:rPr>
          <w:rFonts w:eastAsia="黑体"/>
          <w:b/>
          <w:bCs/>
          <w:sz w:val="72"/>
          <w:szCs w:val="72"/>
        </w:rPr>
        <w:t xml:space="preserve">  </w:t>
      </w:r>
      <w:r>
        <w:rPr>
          <w:rFonts w:eastAsia="黑体"/>
          <w:b/>
          <w:bCs/>
          <w:sz w:val="72"/>
          <w:szCs w:val="72"/>
          <w:lang w:val="zh-CN"/>
        </w:rPr>
        <w:t>标</w:t>
      </w:r>
      <w:r>
        <w:rPr>
          <w:rFonts w:eastAsia="黑体"/>
          <w:b/>
          <w:bCs/>
          <w:sz w:val="72"/>
          <w:szCs w:val="72"/>
        </w:rPr>
        <w:t xml:space="preserve">  </w:t>
      </w:r>
      <w:r>
        <w:rPr>
          <w:rFonts w:eastAsia="黑体"/>
          <w:b/>
          <w:bCs/>
          <w:sz w:val="72"/>
          <w:szCs w:val="72"/>
          <w:lang w:val="zh-CN"/>
        </w:rPr>
        <w:t>文</w:t>
      </w:r>
      <w:r>
        <w:rPr>
          <w:rFonts w:eastAsia="黑体"/>
          <w:b/>
          <w:bCs/>
          <w:sz w:val="72"/>
          <w:szCs w:val="72"/>
        </w:rPr>
        <w:t xml:space="preserve">  </w:t>
      </w:r>
      <w:r>
        <w:rPr>
          <w:rFonts w:eastAsia="黑体"/>
          <w:b/>
          <w:bCs/>
          <w:sz w:val="72"/>
          <w:szCs w:val="72"/>
          <w:lang w:val="zh-CN"/>
        </w:rPr>
        <w:t>件</w:t>
      </w:r>
    </w:p>
    <w:p>
      <w:pPr>
        <w:spacing w:line="360" w:lineRule="auto"/>
        <w:jc w:val="center"/>
        <w:rPr>
          <w:sz w:val="52"/>
          <w:szCs w:val="52"/>
          <w:lang w:val="zh-CN"/>
        </w:rPr>
      </w:pPr>
    </w:p>
    <w:p>
      <w:pPr>
        <w:spacing w:line="360" w:lineRule="auto"/>
        <w:jc w:val="center"/>
        <w:rPr>
          <w:sz w:val="52"/>
          <w:szCs w:val="52"/>
          <w:lang w:val="zh-CN"/>
        </w:rPr>
      </w:pPr>
    </w:p>
    <w:p>
      <w:pPr>
        <w:spacing w:line="360" w:lineRule="auto"/>
        <w:rPr>
          <w:sz w:val="52"/>
          <w:szCs w:val="52"/>
          <w:lang w:val="zh-CN"/>
        </w:rPr>
      </w:pPr>
    </w:p>
    <w:p>
      <w:pPr>
        <w:spacing w:line="360" w:lineRule="auto"/>
        <w:rPr>
          <w:bCs/>
          <w:kern w:val="0"/>
          <w:sz w:val="24"/>
          <w:szCs w:val="24"/>
        </w:rPr>
      </w:pPr>
      <w:r>
        <w:rPr>
          <w:sz w:val="24"/>
          <w:szCs w:val="24"/>
          <w:lang w:val="zh-CN"/>
        </w:rPr>
        <w:t>项目名称:</w:t>
      </w:r>
      <w:r>
        <w:rPr>
          <w:bCs/>
          <w:kern w:val="0"/>
          <w:sz w:val="24"/>
          <w:szCs w:val="24"/>
        </w:rPr>
        <w:t xml:space="preserve"> </w:t>
      </w:r>
      <w:r>
        <w:rPr>
          <w:rFonts w:hint="eastAsia"/>
          <w:bCs/>
          <w:kern w:val="0"/>
          <w:sz w:val="24"/>
          <w:szCs w:val="24"/>
        </w:rPr>
        <w:t>新疆农业大学水利与土木工程学院采购科研仪器设备-岩石及岩土实验平台项目</w:t>
      </w:r>
      <w:r>
        <w:rPr>
          <w:bCs/>
          <w:kern w:val="0"/>
          <w:sz w:val="24"/>
          <w:szCs w:val="24"/>
        </w:rPr>
        <w:t xml:space="preserve"> </w:t>
      </w:r>
    </w:p>
    <w:p>
      <w:pPr>
        <w:spacing w:line="360" w:lineRule="auto"/>
        <w:rPr>
          <w:sz w:val="24"/>
          <w:szCs w:val="24"/>
        </w:rPr>
      </w:pPr>
      <w:r>
        <w:rPr>
          <w:sz w:val="24"/>
          <w:szCs w:val="24"/>
          <w:lang w:val="zh-CN"/>
        </w:rPr>
        <w:t>项目编号:</w:t>
      </w:r>
      <w:r>
        <w:rPr>
          <w:b/>
          <w:sz w:val="24"/>
          <w:szCs w:val="24"/>
          <w:lang w:val="zh-CN"/>
        </w:rPr>
        <w:t xml:space="preserve"> </w:t>
      </w:r>
      <w:r>
        <w:rPr>
          <w:rFonts w:hint="eastAsia"/>
          <w:b/>
          <w:sz w:val="24"/>
          <w:szCs w:val="24"/>
        </w:rPr>
        <w:t>SSQYZB02-2023024</w:t>
      </w:r>
    </w:p>
    <w:p>
      <w:pPr>
        <w:spacing w:line="360" w:lineRule="auto"/>
        <w:rPr>
          <w:sz w:val="24"/>
          <w:szCs w:val="24"/>
          <w:lang w:val="zh-CN"/>
        </w:rPr>
      </w:pPr>
      <w:r>
        <w:rPr>
          <w:sz w:val="24"/>
          <w:szCs w:val="24"/>
          <w:lang w:val="zh-CN"/>
        </w:rPr>
        <w:t>投标人全称:(盖章)</w:t>
      </w:r>
    </w:p>
    <w:p>
      <w:pPr>
        <w:spacing w:line="360" w:lineRule="auto"/>
        <w:rPr>
          <w:sz w:val="24"/>
          <w:szCs w:val="24"/>
          <w:lang w:val="zh-CN"/>
        </w:rPr>
      </w:pPr>
      <w:r>
        <w:rPr>
          <w:sz w:val="24"/>
          <w:szCs w:val="24"/>
          <w:lang w:val="zh-CN"/>
        </w:rPr>
        <w:t>法定代表人或授权代表: (签字或盖章)</w:t>
      </w:r>
    </w:p>
    <w:p>
      <w:pPr>
        <w:spacing w:line="360" w:lineRule="auto"/>
        <w:rPr>
          <w:sz w:val="24"/>
          <w:szCs w:val="24"/>
          <w:lang w:val="zh-CN"/>
        </w:rPr>
      </w:pPr>
      <w:r>
        <w:rPr>
          <w:sz w:val="24"/>
          <w:szCs w:val="24"/>
          <w:lang w:val="zh-CN"/>
        </w:rPr>
        <w:t>联系地址：</w:t>
      </w:r>
    </w:p>
    <w:p>
      <w:pPr>
        <w:spacing w:line="360" w:lineRule="auto"/>
        <w:rPr>
          <w:sz w:val="24"/>
          <w:szCs w:val="24"/>
          <w:lang w:val="zh-CN"/>
        </w:rPr>
      </w:pPr>
      <w:r>
        <w:rPr>
          <w:sz w:val="24"/>
          <w:szCs w:val="24"/>
          <w:lang w:val="zh-CN"/>
        </w:rPr>
        <w:t>联系电话：</w:t>
      </w:r>
    </w:p>
    <w:p>
      <w:pPr>
        <w:spacing w:line="360" w:lineRule="auto"/>
        <w:rPr>
          <w:sz w:val="24"/>
          <w:szCs w:val="24"/>
          <w:lang w:val="zh-CN"/>
        </w:rPr>
      </w:pPr>
      <w:r>
        <w:rPr>
          <w:sz w:val="24"/>
          <w:szCs w:val="24"/>
          <w:lang w:val="zh-CN"/>
        </w:rPr>
        <w:t>编制时间:    年   月   日</w:t>
      </w:r>
    </w:p>
    <w:p>
      <w:pPr>
        <w:spacing w:line="360" w:lineRule="auto"/>
        <w:rPr>
          <w:sz w:val="32"/>
          <w:szCs w:val="32"/>
          <w:lang w:val="zh-CN"/>
        </w:rPr>
      </w:pPr>
    </w:p>
    <w:p>
      <w:pPr>
        <w:spacing w:line="360" w:lineRule="auto"/>
        <w:rPr>
          <w:sz w:val="32"/>
          <w:szCs w:val="32"/>
          <w:lang w:val="zh-CN"/>
        </w:rPr>
      </w:pPr>
    </w:p>
    <w:p>
      <w:pPr>
        <w:spacing w:line="360" w:lineRule="auto"/>
        <w:rPr>
          <w:sz w:val="32"/>
          <w:szCs w:val="32"/>
          <w:lang w:val="zh-CN"/>
        </w:rPr>
      </w:pPr>
    </w:p>
    <w:p>
      <w:pPr>
        <w:jc w:val="center"/>
        <w:rPr>
          <w:b/>
          <w:bCs/>
          <w:sz w:val="32"/>
          <w:szCs w:val="32"/>
        </w:rPr>
      </w:pPr>
    </w:p>
    <w:p>
      <w:pPr>
        <w:pStyle w:val="7"/>
      </w:pPr>
    </w:p>
    <w:p>
      <w:pPr>
        <w:jc w:val="center"/>
        <w:rPr>
          <w:b/>
          <w:bCs/>
          <w:sz w:val="32"/>
          <w:szCs w:val="32"/>
        </w:rPr>
      </w:pPr>
    </w:p>
    <w:p>
      <w:pPr>
        <w:jc w:val="center"/>
        <w:rPr>
          <w:b/>
          <w:bCs/>
          <w:sz w:val="32"/>
          <w:szCs w:val="32"/>
        </w:rPr>
      </w:pPr>
      <w:r>
        <w:rPr>
          <w:b/>
          <w:bCs/>
          <w:sz w:val="32"/>
          <w:szCs w:val="32"/>
        </w:rPr>
        <w:t>投标文件目录</w:t>
      </w:r>
    </w:p>
    <w:p>
      <w:pPr>
        <w:jc w:val="center"/>
        <w:rPr>
          <w:b/>
          <w:bCs/>
          <w:sz w:val="32"/>
          <w:szCs w:val="32"/>
        </w:rPr>
      </w:pPr>
    </w:p>
    <w:p>
      <w:pPr>
        <w:jc w:val="center"/>
        <w:rPr>
          <w:b/>
          <w:bCs/>
          <w:sz w:val="32"/>
          <w:szCs w:val="32"/>
        </w:rPr>
      </w:pPr>
    </w:p>
    <w:p>
      <w:pPr>
        <w:pStyle w:val="23"/>
        <w:numPr>
          <w:ilvl w:val="0"/>
          <w:numId w:val="12"/>
        </w:numPr>
        <w:adjustRightInd w:val="0"/>
        <w:spacing w:line="360" w:lineRule="auto"/>
        <w:ind w:firstLineChars="0"/>
        <w:textAlignment w:val="baseline"/>
        <w:rPr>
          <w:sz w:val="28"/>
          <w:szCs w:val="28"/>
        </w:rPr>
      </w:pPr>
      <w:r>
        <w:rPr>
          <w:sz w:val="28"/>
          <w:szCs w:val="28"/>
        </w:rPr>
        <w:t>投 标 函</w:t>
      </w:r>
    </w:p>
    <w:p>
      <w:pPr>
        <w:pStyle w:val="23"/>
        <w:numPr>
          <w:ilvl w:val="0"/>
          <w:numId w:val="12"/>
        </w:numPr>
        <w:adjustRightInd w:val="0"/>
        <w:spacing w:line="360" w:lineRule="auto"/>
        <w:ind w:firstLineChars="0"/>
        <w:textAlignment w:val="baseline"/>
        <w:rPr>
          <w:sz w:val="28"/>
          <w:szCs w:val="28"/>
        </w:rPr>
      </w:pPr>
      <w:r>
        <w:rPr>
          <w:sz w:val="28"/>
          <w:szCs w:val="28"/>
        </w:rPr>
        <w:t>法定代表人身份证明书</w:t>
      </w:r>
    </w:p>
    <w:p>
      <w:pPr>
        <w:pStyle w:val="23"/>
        <w:numPr>
          <w:ilvl w:val="0"/>
          <w:numId w:val="12"/>
        </w:numPr>
        <w:adjustRightInd w:val="0"/>
        <w:spacing w:line="360" w:lineRule="auto"/>
        <w:ind w:firstLineChars="0"/>
        <w:textAlignment w:val="baseline"/>
        <w:rPr>
          <w:sz w:val="28"/>
          <w:szCs w:val="28"/>
        </w:rPr>
      </w:pPr>
      <w:r>
        <w:rPr>
          <w:sz w:val="28"/>
          <w:szCs w:val="28"/>
        </w:rPr>
        <w:t>法定代表人授权书格式（单独提交1份）</w:t>
      </w:r>
    </w:p>
    <w:p>
      <w:pPr>
        <w:pStyle w:val="23"/>
        <w:numPr>
          <w:ilvl w:val="0"/>
          <w:numId w:val="12"/>
        </w:numPr>
        <w:adjustRightInd w:val="0"/>
        <w:spacing w:line="360" w:lineRule="auto"/>
        <w:ind w:firstLineChars="0"/>
        <w:textAlignment w:val="baseline"/>
        <w:rPr>
          <w:sz w:val="28"/>
          <w:szCs w:val="28"/>
        </w:rPr>
      </w:pPr>
      <w:r>
        <w:rPr>
          <w:sz w:val="28"/>
          <w:szCs w:val="28"/>
        </w:rPr>
        <w:t>投标人资格声明格式</w:t>
      </w:r>
    </w:p>
    <w:p>
      <w:pPr>
        <w:pStyle w:val="23"/>
        <w:numPr>
          <w:ilvl w:val="0"/>
          <w:numId w:val="12"/>
        </w:numPr>
        <w:adjustRightInd w:val="0"/>
        <w:spacing w:line="360" w:lineRule="auto"/>
        <w:ind w:firstLineChars="0"/>
        <w:textAlignment w:val="baseline"/>
        <w:rPr>
          <w:sz w:val="28"/>
          <w:szCs w:val="28"/>
        </w:rPr>
      </w:pPr>
      <w:r>
        <w:rPr>
          <w:sz w:val="28"/>
          <w:szCs w:val="28"/>
        </w:rPr>
        <w:t>开标一览表</w:t>
      </w:r>
    </w:p>
    <w:p>
      <w:pPr>
        <w:pStyle w:val="23"/>
        <w:numPr>
          <w:ilvl w:val="0"/>
          <w:numId w:val="12"/>
        </w:numPr>
        <w:adjustRightInd w:val="0"/>
        <w:spacing w:line="360" w:lineRule="auto"/>
        <w:ind w:firstLineChars="0"/>
        <w:textAlignment w:val="baseline"/>
        <w:rPr>
          <w:sz w:val="28"/>
          <w:szCs w:val="28"/>
        </w:rPr>
      </w:pPr>
      <w:r>
        <w:rPr>
          <w:sz w:val="28"/>
          <w:szCs w:val="28"/>
        </w:rPr>
        <w:t>分项报价明细表</w:t>
      </w:r>
    </w:p>
    <w:p>
      <w:pPr>
        <w:pStyle w:val="23"/>
        <w:numPr>
          <w:ilvl w:val="0"/>
          <w:numId w:val="12"/>
        </w:numPr>
        <w:adjustRightInd w:val="0"/>
        <w:spacing w:line="360" w:lineRule="auto"/>
        <w:ind w:firstLineChars="0"/>
        <w:textAlignment w:val="baseline"/>
        <w:rPr>
          <w:sz w:val="28"/>
          <w:szCs w:val="28"/>
        </w:rPr>
      </w:pPr>
      <w:r>
        <w:rPr>
          <w:sz w:val="28"/>
          <w:szCs w:val="28"/>
        </w:rPr>
        <w:t>资格证明材料</w:t>
      </w:r>
    </w:p>
    <w:p>
      <w:pPr>
        <w:pStyle w:val="23"/>
        <w:numPr>
          <w:ilvl w:val="0"/>
          <w:numId w:val="12"/>
        </w:numPr>
        <w:adjustRightInd w:val="0"/>
        <w:spacing w:line="360" w:lineRule="auto"/>
        <w:ind w:firstLineChars="0"/>
        <w:textAlignment w:val="baseline"/>
        <w:rPr>
          <w:sz w:val="28"/>
          <w:szCs w:val="28"/>
        </w:rPr>
      </w:pPr>
      <w:r>
        <w:rPr>
          <w:sz w:val="28"/>
          <w:szCs w:val="28"/>
        </w:rPr>
        <w:t>投标投标人基本情况表</w:t>
      </w:r>
    </w:p>
    <w:p>
      <w:pPr>
        <w:pStyle w:val="23"/>
        <w:numPr>
          <w:ilvl w:val="0"/>
          <w:numId w:val="12"/>
        </w:numPr>
        <w:adjustRightInd w:val="0"/>
        <w:spacing w:line="360" w:lineRule="auto"/>
        <w:ind w:firstLineChars="0"/>
        <w:textAlignment w:val="baseline"/>
        <w:rPr>
          <w:sz w:val="28"/>
          <w:szCs w:val="28"/>
        </w:rPr>
      </w:pPr>
      <w:r>
        <w:rPr>
          <w:sz w:val="28"/>
          <w:szCs w:val="28"/>
        </w:rPr>
        <w:t>投标人类似项目业绩一览表</w:t>
      </w:r>
    </w:p>
    <w:p>
      <w:pPr>
        <w:pStyle w:val="23"/>
        <w:numPr>
          <w:ilvl w:val="0"/>
          <w:numId w:val="12"/>
        </w:numPr>
        <w:adjustRightInd w:val="0"/>
        <w:spacing w:line="360" w:lineRule="auto"/>
        <w:ind w:firstLineChars="0"/>
        <w:textAlignment w:val="baseline"/>
        <w:rPr>
          <w:sz w:val="28"/>
          <w:szCs w:val="28"/>
        </w:rPr>
      </w:pPr>
      <w:r>
        <w:rPr>
          <w:sz w:val="28"/>
          <w:szCs w:val="28"/>
        </w:rPr>
        <w:t>投标人本项目管理、技术、服务人员情况表</w:t>
      </w:r>
    </w:p>
    <w:p>
      <w:pPr>
        <w:pStyle w:val="23"/>
        <w:numPr>
          <w:ilvl w:val="0"/>
          <w:numId w:val="12"/>
        </w:numPr>
        <w:tabs>
          <w:tab w:val="left" w:pos="1050"/>
        </w:tabs>
        <w:adjustRightInd w:val="0"/>
        <w:spacing w:line="360" w:lineRule="auto"/>
        <w:ind w:firstLineChars="0"/>
        <w:textAlignment w:val="baseline"/>
        <w:rPr>
          <w:sz w:val="28"/>
          <w:szCs w:val="28"/>
        </w:rPr>
      </w:pPr>
      <w:r>
        <w:rPr>
          <w:sz w:val="28"/>
          <w:szCs w:val="28"/>
        </w:rPr>
        <w:t>技术／商务响应与偏离表技术资料</w:t>
      </w:r>
    </w:p>
    <w:p>
      <w:pPr>
        <w:pStyle w:val="23"/>
        <w:numPr>
          <w:ilvl w:val="0"/>
          <w:numId w:val="12"/>
        </w:numPr>
        <w:tabs>
          <w:tab w:val="left" w:pos="1050"/>
        </w:tabs>
        <w:adjustRightInd w:val="0"/>
        <w:spacing w:line="360" w:lineRule="auto"/>
        <w:ind w:firstLineChars="0"/>
        <w:textAlignment w:val="baseline"/>
        <w:rPr>
          <w:sz w:val="28"/>
          <w:szCs w:val="28"/>
        </w:rPr>
      </w:pPr>
      <w:r>
        <w:rPr>
          <w:sz w:val="28"/>
          <w:szCs w:val="28"/>
        </w:rPr>
        <w:t>技术资料</w:t>
      </w:r>
    </w:p>
    <w:p>
      <w:pPr>
        <w:pStyle w:val="23"/>
        <w:numPr>
          <w:ilvl w:val="0"/>
          <w:numId w:val="12"/>
        </w:numPr>
        <w:tabs>
          <w:tab w:val="left" w:pos="1050"/>
        </w:tabs>
        <w:adjustRightInd w:val="0"/>
        <w:spacing w:line="360" w:lineRule="auto"/>
        <w:ind w:firstLineChars="0"/>
        <w:textAlignment w:val="baseline"/>
        <w:rPr>
          <w:sz w:val="28"/>
          <w:szCs w:val="28"/>
        </w:rPr>
      </w:pPr>
      <w:r>
        <w:rPr>
          <w:sz w:val="28"/>
          <w:szCs w:val="28"/>
        </w:rPr>
        <w:t>供货单位承诺书</w:t>
      </w:r>
    </w:p>
    <w:p>
      <w:pPr>
        <w:pStyle w:val="23"/>
        <w:numPr>
          <w:ilvl w:val="0"/>
          <w:numId w:val="12"/>
        </w:numPr>
        <w:tabs>
          <w:tab w:val="left" w:pos="1050"/>
        </w:tabs>
        <w:adjustRightInd w:val="0"/>
        <w:spacing w:line="360" w:lineRule="auto"/>
        <w:ind w:firstLineChars="0"/>
        <w:textAlignment w:val="baseline"/>
        <w:rPr>
          <w:sz w:val="28"/>
          <w:szCs w:val="28"/>
        </w:rPr>
      </w:pPr>
      <w:r>
        <w:rPr>
          <w:sz w:val="28"/>
          <w:szCs w:val="28"/>
        </w:rPr>
        <w:t>十四、投标人认为需提供的相关资料</w:t>
      </w:r>
    </w:p>
    <w:bookmarkEnd w:id="65"/>
    <w:bookmarkEnd w:id="66"/>
    <w:p>
      <w:pPr>
        <w:numPr>
          <w:ilvl w:val="0"/>
          <w:numId w:val="13"/>
        </w:numPr>
        <w:jc w:val="center"/>
        <w:rPr>
          <w:b/>
          <w:bCs/>
          <w:sz w:val="30"/>
          <w:szCs w:val="30"/>
        </w:rPr>
      </w:pPr>
      <w:bookmarkStart w:id="68" w:name="_Toc275971567"/>
      <w:bookmarkStart w:id="69" w:name="_Toc273554653"/>
      <w:bookmarkStart w:id="70" w:name="_Toc275974236"/>
      <w:bookmarkStart w:id="71" w:name="_Toc275974184"/>
      <w:bookmarkStart w:id="72" w:name="_Toc275974113"/>
      <w:bookmarkStart w:id="73" w:name="_Toc10940"/>
      <w:bookmarkStart w:id="74" w:name="_Toc11730"/>
      <w:bookmarkStart w:id="75" w:name="_Toc86202635"/>
      <w:bookmarkStart w:id="76" w:name="_Toc171913692"/>
      <w:bookmarkStart w:id="77" w:name="_Toc110403960"/>
      <w:r>
        <w:rPr>
          <w:b/>
          <w:bCs/>
          <w:sz w:val="30"/>
          <w:szCs w:val="30"/>
        </w:rPr>
        <w:br w:type="page"/>
      </w:r>
      <w:r>
        <w:rPr>
          <w:b/>
          <w:bCs/>
          <w:sz w:val="30"/>
          <w:szCs w:val="30"/>
        </w:rPr>
        <w:t xml:space="preserve">投 标 </w:t>
      </w:r>
      <w:bookmarkEnd w:id="68"/>
      <w:bookmarkEnd w:id="69"/>
      <w:bookmarkEnd w:id="70"/>
      <w:bookmarkEnd w:id="71"/>
      <w:bookmarkEnd w:id="72"/>
      <w:r>
        <w:rPr>
          <w:b/>
          <w:bCs/>
          <w:sz w:val="30"/>
          <w:szCs w:val="30"/>
        </w:rPr>
        <w:t>函</w:t>
      </w:r>
      <w:bookmarkEnd w:id="73"/>
      <w:bookmarkEnd w:id="74"/>
    </w:p>
    <w:bookmarkEnd w:id="75"/>
    <w:bookmarkEnd w:id="76"/>
    <w:p>
      <w:pPr>
        <w:spacing w:line="360" w:lineRule="auto"/>
        <w:rPr>
          <w:sz w:val="24"/>
          <w:szCs w:val="24"/>
          <w:u w:val="single"/>
        </w:rPr>
      </w:pPr>
      <w:r>
        <w:rPr>
          <w:sz w:val="24"/>
          <w:szCs w:val="24"/>
        </w:rPr>
        <w:t>致：</w:t>
      </w:r>
      <w:r>
        <w:rPr>
          <w:sz w:val="24"/>
          <w:szCs w:val="24"/>
          <w:u w:val="single"/>
        </w:rPr>
        <w:t xml:space="preserve">  （采购人）               </w:t>
      </w:r>
    </w:p>
    <w:p>
      <w:pPr>
        <w:spacing w:line="360" w:lineRule="auto"/>
        <w:rPr>
          <w:sz w:val="24"/>
          <w:szCs w:val="24"/>
        </w:rPr>
      </w:pPr>
      <w:r>
        <w:rPr>
          <w:sz w:val="24"/>
          <w:szCs w:val="24"/>
        </w:rPr>
        <w:t>根据贵方为</w:t>
      </w:r>
      <w:r>
        <w:rPr>
          <w:bCs/>
          <w:sz w:val="24"/>
          <w:szCs w:val="24"/>
          <w:u w:val="single"/>
        </w:rPr>
        <w:t xml:space="preserve"> </w:t>
      </w:r>
      <w:r>
        <w:rPr>
          <w:sz w:val="24"/>
          <w:szCs w:val="24"/>
          <w:u w:val="single"/>
        </w:rPr>
        <w:t xml:space="preserve">                        </w:t>
      </w:r>
      <w:r>
        <w:rPr>
          <w:sz w:val="24"/>
          <w:szCs w:val="24"/>
        </w:rPr>
        <w:t>项目招标的编制的招标文件</w:t>
      </w:r>
      <w:r>
        <w:rPr>
          <w:sz w:val="24"/>
          <w:szCs w:val="24"/>
          <w:u w:val="single"/>
        </w:rPr>
        <w:t xml:space="preserve">            </w:t>
      </w:r>
      <w:r>
        <w:rPr>
          <w:sz w:val="24"/>
          <w:szCs w:val="24"/>
        </w:rPr>
        <w:t>（招标编号），授权</w:t>
      </w:r>
      <w:r>
        <w:rPr>
          <w:sz w:val="24"/>
          <w:szCs w:val="24"/>
          <w:u w:val="single"/>
        </w:rPr>
        <w:t xml:space="preserve">        </w:t>
      </w:r>
      <w:r>
        <w:rPr>
          <w:sz w:val="24"/>
          <w:szCs w:val="24"/>
        </w:rPr>
        <w:t>（全名、职务）代表投标人</w:t>
      </w:r>
      <w:r>
        <w:rPr>
          <w:sz w:val="24"/>
          <w:szCs w:val="24"/>
          <w:u w:val="single"/>
        </w:rPr>
        <w:t xml:space="preserve">                    </w:t>
      </w:r>
      <w:r>
        <w:rPr>
          <w:sz w:val="24"/>
          <w:szCs w:val="24"/>
        </w:rPr>
        <w:t>（投标人名称、地址）提交投标文件正本壹份和副本</w:t>
      </w:r>
      <w:r>
        <w:rPr>
          <w:rFonts w:hint="eastAsia"/>
          <w:sz w:val="24"/>
          <w:szCs w:val="24"/>
        </w:rPr>
        <w:t>叁</w:t>
      </w:r>
      <w:r>
        <w:rPr>
          <w:sz w:val="24"/>
          <w:szCs w:val="24"/>
        </w:rPr>
        <w:t>份。</w:t>
      </w:r>
    </w:p>
    <w:p>
      <w:pPr>
        <w:spacing w:line="360" w:lineRule="auto"/>
        <w:rPr>
          <w:sz w:val="24"/>
          <w:szCs w:val="24"/>
        </w:rPr>
      </w:pPr>
    </w:p>
    <w:p>
      <w:pPr>
        <w:spacing w:line="360" w:lineRule="auto"/>
        <w:rPr>
          <w:sz w:val="24"/>
          <w:szCs w:val="24"/>
        </w:rPr>
      </w:pPr>
      <w:r>
        <w:rPr>
          <w:sz w:val="24"/>
          <w:szCs w:val="24"/>
        </w:rPr>
        <w:t>据此函，签字或盖章代表宣布同意如下：</w:t>
      </w:r>
    </w:p>
    <w:p>
      <w:pPr>
        <w:spacing w:line="360" w:lineRule="auto"/>
        <w:rPr>
          <w:sz w:val="24"/>
          <w:szCs w:val="24"/>
          <w:u w:val="single"/>
        </w:rPr>
      </w:pPr>
      <w:r>
        <w:rPr>
          <w:sz w:val="24"/>
          <w:szCs w:val="24"/>
        </w:rPr>
        <w:t>1、所附投标报价表中规定的应提交和交付货物投标总价为</w:t>
      </w:r>
    </w:p>
    <w:p>
      <w:pPr>
        <w:spacing w:line="360" w:lineRule="auto"/>
        <w:ind w:firstLine="120" w:firstLineChars="50"/>
        <w:rPr>
          <w:sz w:val="24"/>
          <w:szCs w:val="24"/>
        </w:rPr>
      </w:pPr>
      <w:r>
        <w:rPr>
          <w:sz w:val="24"/>
          <w:szCs w:val="24"/>
          <w:u w:val="single"/>
        </w:rPr>
        <w:t xml:space="preserve">                   （</w:t>
      </w:r>
      <w:r>
        <w:rPr>
          <w:sz w:val="24"/>
          <w:szCs w:val="24"/>
        </w:rPr>
        <w:t>注明币种），即</w:t>
      </w:r>
      <w:r>
        <w:rPr>
          <w:sz w:val="24"/>
          <w:szCs w:val="24"/>
          <w:u w:val="single"/>
        </w:rPr>
        <w:t xml:space="preserve">                   </w:t>
      </w:r>
      <w:r>
        <w:rPr>
          <w:sz w:val="24"/>
          <w:szCs w:val="24"/>
        </w:rPr>
        <w:t>（文字表述）；</w:t>
      </w:r>
    </w:p>
    <w:p>
      <w:pPr>
        <w:spacing w:line="360" w:lineRule="auto"/>
        <w:rPr>
          <w:sz w:val="24"/>
          <w:szCs w:val="24"/>
        </w:rPr>
      </w:pPr>
      <w:r>
        <w:rPr>
          <w:sz w:val="24"/>
          <w:szCs w:val="24"/>
        </w:rPr>
        <w:t>2、投标人将按招标文件的规定履行合同责任和义务</w:t>
      </w:r>
      <w:r>
        <w:rPr>
          <w:rFonts w:hint="eastAsia"/>
          <w:sz w:val="24"/>
          <w:szCs w:val="24"/>
        </w:rPr>
        <w:t>，并接受招标文件中包括付款方式等商务条款的约定</w:t>
      </w:r>
      <w:r>
        <w:rPr>
          <w:sz w:val="24"/>
          <w:szCs w:val="24"/>
        </w:rPr>
        <w:t>；</w:t>
      </w:r>
    </w:p>
    <w:p>
      <w:pPr>
        <w:spacing w:line="360" w:lineRule="auto"/>
        <w:rPr>
          <w:sz w:val="24"/>
          <w:szCs w:val="24"/>
        </w:rPr>
      </w:pPr>
      <w:r>
        <w:rPr>
          <w:sz w:val="24"/>
          <w:szCs w:val="24"/>
        </w:rPr>
        <w:t>3、投标人已详细阅读全部招标文件，包括修改文件（如有的话）以及全部参考资料和有关附件。我们完全理解并同意放弃对这方面不明及误解权利。</w:t>
      </w:r>
    </w:p>
    <w:p>
      <w:pPr>
        <w:spacing w:line="360" w:lineRule="auto"/>
        <w:rPr>
          <w:sz w:val="24"/>
          <w:szCs w:val="24"/>
        </w:rPr>
      </w:pPr>
      <w:r>
        <w:rPr>
          <w:sz w:val="24"/>
          <w:szCs w:val="24"/>
        </w:rPr>
        <w:t>4、其投标自开标日起有效期为90日历日。</w:t>
      </w:r>
    </w:p>
    <w:p>
      <w:pPr>
        <w:spacing w:line="360" w:lineRule="auto"/>
        <w:rPr>
          <w:sz w:val="24"/>
          <w:szCs w:val="24"/>
        </w:rPr>
      </w:pPr>
      <w:r>
        <w:rPr>
          <w:sz w:val="24"/>
          <w:szCs w:val="24"/>
        </w:rPr>
        <w:t>5、如果在规定的开标时间后，投标人在投标有效期内撤回投标，其投标保证金将被贵方没收。</w:t>
      </w:r>
    </w:p>
    <w:p>
      <w:pPr>
        <w:spacing w:line="360" w:lineRule="auto"/>
        <w:rPr>
          <w:sz w:val="24"/>
          <w:szCs w:val="24"/>
        </w:rPr>
      </w:pPr>
      <w:r>
        <w:rPr>
          <w:sz w:val="24"/>
          <w:szCs w:val="24"/>
        </w:rPr>
        <w:t>6、投标人同意提供按照贵方可能要求的与其投标有关的一切数据或资料，完全理解贵方不一定要接受最低价的投标或收到的任何投标。</w:t>
      </w:r>
    </w:p>
    <w:p>
      <w:pPr>
        <w:spacing w:line="360" w:lineRule="auto"/>
        <w:rPr>
          <w:sz w:val="24"/>
          <w:szCs w:val="24"/>
        </w:rPr>
      </w:pPr>
      <w:r>
        <w:rPr>
          <w:sz w:val="24"/>
          <w:szCs w:val="24"/>
        </w:rPr>
        <w:t>7、与本投标有关的一切正式往来通讯请寄：</w:t>
      </w:r>
    </w:p>
    <w:p>
      <w:pPr>
        <w:spacing w:line="360" w:lineRule="auto"/>
        <w:rPr>
          <w:sz w:val="24"/>
          <w:szCs w:val="24"/>
        </w:rPr>
      </w:pPr>
    </w:p>
    <w:p>
      <w:pPr>
        <w:spacing w:line="360" w:lineRule="auto"/>
        <w:rPr>
          <w:sz w:val="24"/>
          <w:szCs w:val="24"/>
        </w:rPr>
      </w:pPr>
    </w:p>
    <w:p>
      <w:pPr>
        <w:spacing w:line="360" w:lineRule="auto"/>
        <w:rPr>
          <w:sz w:val="24"/>
          <w:szCs w:val="24"/>
          <w:u w:val="single"/>
        </w:rPr>
      </w:pPr>
      <w:r>
        <w:rPr>
          <w:sz w:val="24"/>
          <w:szCs w:val="24"/>
        </w:rPr>
        <w:t>地址：</w:t>
      </w:r>
      <w:r>
        <w:rPr>
          <w:sz w:val="24"/>
          <w:szCs w:val="24"/>
          <w:u w:val="single"/>
        </w:rPr>
        <w:t xml:space="preserve">                        </w:t>
      </w:r>
      <w:r>
        <w:rPr>
          <w:sz w:val="24"/>
          <w:szCs w:val="24"/>
        </w:rPr>
        <w:t>邮编：</w:t>
      </w:r>
      <w:r>
        <w:rPr>
          <w:sz w:val="24"/>
          <w:szCs w:val="24"/>
          <w:u w:val="single"/>
        </w:rPr>
        <w:t xml:space="preserve">                    </w:t>
      </w:r>
    </w:p>
    <w:p>
      <w:pPr>
        <w:spacing w:line="360" w:lineRule="auto"/>
        <w:rPr>
          <w:sz w:val="24"/>
          <w:szCs w:val="24"/>
          <w:u w:val="single"/>
        </w:rPr>
      </w:pPr>
      <w:r>
        <w:rPr>
          <w:sz w:val="24"/>
          <w:szCs w:val="24"/>
        </w:rPr>
        <w:t>电话：</w:t>
      </w:r>
      <w:r>
        <w:rPr>
          <w:sz w:val="24"/>
          <w:szCs w:val="24"/>
          <w:u w:val="single"/>
        </w:rPr>
        <w:t xml:space="preserve">                        </w:t>
      </w:r>
      <w:r>
        <w:rPr>
          <w:sz w:val="24"/>
          <w:szCs w:val="24"/>
        </w:rPr>
        <w:t>传真：</w:t>
      </w:r>
      <w:r>
        <w:rPr>
          <w:sz w:val="24"/>
          <w:szCs w:val="24"/>
          <w:u w:val="single"/>
        </w:rPr>
        <w:t xml:space="preserve">                    </w:t>
      </w:r>
    </w:p>
    <w:p>
      <w:pPr>
        <w:spacing w:line="360" w:lineRule="auto"/>
        <w:rPr>
          <w:sz w:val="24"/>
          <w:szCs w:val="24"/>
          <w:u w:val="single"/>
        </w:rPr>
      </w:pPr>
      <w:r>
        <w:rPr>
          <w:sz w:val="24"/>
          <w:szCs w:val="24"/>
        </w:rPr>
        <w:t>投标人代表姓名、职务（签字或盖章）：</w:t>
      </w:r>
      <w:r>
        <w:rPr>
          <w:sz w:val="24"/>
          <w:szCs w:val="24"/>
          <w:u w:val="single"/>
        </w:rPr>
        <w:t xml:space="preserve">                          </w:t>
      </w:r>
    </w:p>
    <w:p>
      <w:pPr>
        <w:spacing w:line="360" w:lineRule="auto"/>
        <w:rPr>
          <w:sz w:val="24"/>
          <w:szCs w:val="24"/>
          <w:u w:val="single"/>
        </w:rPr>
      </w:pPr>
      <w:r>
        <w:rPr>
          <w:sz w:val="24"/>
          <w:szCs w:val="24"/>
        </w:rPr>
        <w:t>投标人名称：</w:t>
      </w:r>
      <w:r>
        <w:rPr>
          <w:sz w:val="24"/>
          <w:szCs w:val="24"/>
          <w:u w:val="single"/>
        </w:rPr>
        <w:t xml:space="preserve">                      </w:t>
      </w:r>
      <w:r>
        <w:rPr>
          <w:sz w:val="24"/>
          <w:szCs w:val="24"/>
        </w:rPr>
        <w:t>（盖公章）</w:t>
      </w:r>
    </w:p>
    <w:p>
      <w:pPr>
        <w:spacing w:line="360" w:lineRule="auto"/>
        <w:rPr>
          <w:sz w:val="24"/>
          <w:szCs w:val="24"/>
        </w:rPr>
      </w:pPr>
      <w:r>
        <w:rPr>
          <w:sz w:val="24"/>
          <w:szCs w:val="24"/>
        </w:rPr>
        <w:t>日      期：</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pPr>
        <w:spacing w:line="360" w:lineRule="auto"/>
        <w:rPr>
          <w:sz w:val="24"/>
          <w:szCs w:val="24"/>
        </w:rPr>
      </w:pPr>
    </w:p>
    <w:p>
      <w:pPr>
        <w:pStyle w:val="6"/>
        <w:spacing w:line="400" w:lineRule="exact"/>
        <w:ind w:firstLine="525"/>
        <w:rPr>
          <w:sz w:val="24"/>
          <w:szCs w:val="24"/>
        </w:rPr>
      </w:pPr>
      <w:bookmarkStart w:id="78" w:name="_Toc217446083"/>
    </w:p>
    <w:p>
      <w:pPr>
        <w:pStyle w:val="6"/>
        <w:spacing w:line="400" w:lineRule="exact"/>
        <w:ind w:firstLine="525"/>
        <w:rPr>
          <w:sz w:val="24"/>
          <w:szCs w:val="24"/>
        </w:rPr>
      </w:pPr>
    </w:p>
    <w:p>
      <w:pPr>
        <w:pStyle w:val="6"/>
        <w:spacing w:line="400" w:lineRule="exact"/>
        <w:ind w:firstLine="525"/>
        <w:rPr>
          <w:sz w:val="24"/>
          <w:szCs w:val="24"/>
        </w:rPr>
      </w:pPr>
    </w:p>
    <w:p>
      <w:pPr>
        <w:pStyle w:val="6"/>
        <w:spacing w:line="400" w:lineRule="exact"/>
        <w:ind w:firstLine="525"/>
        <w:rPr>
          <w:sz w:val="24"/>
          <w:szCs w:val="24"/>
        </w:rPr>
      </w:pPr>
    </w:p>
    <w:p>
      <w:pPr>
        <w:pStyle w:val="6"/>
        <w:spacing w:line="400" w:lineRule="exact"/>
        <w:ind w:firstLine="525"/>
        <w:rPr>
          <w:szCs w:val="24"/>
        </w:rPr>
      </w:pPr>
    </w:p>
    <w:p>
      <w:pPr>
        <w:numPr>
          <w:ilvl w:val="0"/>
          <w:numId w:val="13"/>
        </w:numPr>
        <w:jc w:val="center"/>
        <w:rPr>
          <w:b/>
          <w:bCs/>
          <w:sz w:val="30"/>
          <w:szCs w:val="30"/>
        </w:rPr>
      </w:pPr>
      <w:bookmarkStart w:id="79" w:name="_Toc5638"/>
      <w:bookmarkStart w:id="80" w:name="_Toc18535"/>
      <w:r>
        <w:rPr>
          <w:b/>
          <w:bCs/>
          <w:sz w:val="30"/>
          <w:szCs w:val="30"/>
        </w:rPr>
        <w:t>法定代表人身份证明书</w:t>
      </w:r>
      <w:bookmarkEnd w:id="79"/>
      <w:bookmarkEnd w:id="80"/>
    </w:p>
    <w:p>
      <w:pPr>
        <w:ind w:firstLine="562" w:firstLineChars="200"/>
        <w:jc w:val="center"/>
        <w:rPr>
          <w:b/>
          <w:bCs/>
          <w:sz w:val="28"/>
          <w:szCs w:val="28"/>
        </w:rPr>
      </w:pPr>
    </w:p>
    <w:p>
      <w:pPr>
        <w:rPr>
          <w:bCs/>
          <w:sz w:val="24"/>
          <w:szCs w:val="24"/>
          <w:u w:val="single"/>
        </w:rPr>
      </w:pPr>
      <w:r>
        <w:rPr>
          <w:sz w:val="24"/>
          <w:szCs w:val="24"/>
        </w:rPr>
        <w:t>单位名称</w:t>
      </w:r>
      <w:r>
        <w:rPr>
          <w:bCs/>
          <w:sz w:val="24"/>
          <w:szCs w:val="24"/>
        </w:rPr>
        <w:t>：</w:t>
      </w:r>
      <w:r>
        <w:rPr>
          <w:bCs/>
          <w:sz w:val="24"/>
          <w:szCs w:val="24"/>
          <w:u w:val="single"/>
        </w:rPr>
        <w:t xml:space="preserve">                                                   </w:t>
      </w:r>
    </w:p>
    <w:p>
      <w:pPr>
        <w:rPr>
          <w:bCs/>
          <w:sz w:val="24"/>
          <w:szCs w:val="24"/>
        </w:rPr>
      </w:pPr>
    </w:p>
    <w:p>
      <w:pPr>
        <w:rPr>
          <w:bCs/>
          <w:sz w:val="24"/>
          <w:szCs w:val="24"/>
          <w:u w:val="single"/>
        </w:rPr>
      </w:pPr>
      <w:r>
        <w:rPr>
          <w:sz w:val="24"/>
          <w:szCs w:val="24"/>
        </w:rPr>
        <w:t>地    址：</w:t>
      </w:r>
      <w:r>
        <w:rPr>
          <w:bCs/>
          <w:sz w:val="24"/>
          <w:szCs w:val="24"/>
          <w:u w:val="single"/>
        </w:rPr>
        <w:t xml:space="preserve">                                                   </w:t>
      </w:r>
    </w:p>
    <w:p>
      <w:pPr>
        <w:rPr>
          <w:bCs/>
          <w:sz w:val="24"/>
          <w:szCs w:val="24"/>
        </w:rPr>
      </w:pPr>
    </w:p>
    <w:p>
      <w:pPr>
        <w:rPr>
          <w:bCs/>
          <w:sz w:val="24"/>
          <w:szCs w:val="24"/>
          <w:u w:val="single"/>
        </w:rPr>
      </w:pPr>
      <w:r>
        <w:rPr>
          <w:sz w:val="24"/>
          <w:szCs w:val="24"/>
        </w:rPr>
        <w:t>营业期限：</w:t>
      </w:r>
      <w:r>
        <w:rPr>
          <w:bCs/>
          <w:sz w:val="24"/>
          <w:szCs w:val="24"/>
          <w:u w:val="single"/>
        </w:rPr>
        <w:t xml:space="preserve">                                                   </w:t>
      </w:r>
    </w:p>
    <w:p>
      <w:pPr>
        <w:rPr>
          <w:bCs/>
          <w:sz w:val="24"/>
          <w:szCs w:val="24"/>
        </w:rPr>
      </w:pPr>
    </w:p>
    <w:p>
      <w:pPr>
        <w:rPr>
          <w:bCs/>
          <w:sz w:val="24"/>
          <w:szCs w:val="24"/>
          <w:u w:val="single"/>
        </w:rPr>
      </w:pPr>
      <w:r>
        <w:rPr>
          <w:sz w:val="24"/>
          <w:szCs w:val="24"/>
        </w:rPr>
        <w:t>成立时间</w:t>
      </w:r>
      <w:r>
        <w:rPr>
          <w:bCs/>
          <w:sz w:val="24"/>
          <w:szCs w:val="24"/>
        </w:rPr>
        <w:t>：</w:t>
      </w:r>
      <w:r>
        <w:rPr>
          <w:bCs/>
          <w:sz w:val="24"/>
          <w:szCs w:val="24"/>
          <w:u w:val="single"/>
        </w:rPr>
        <w:t xml:space="preserve">                                                   </w:t>
      </w:r>
    </w:p>
    <w:p>
      <w:pPr>
        <w:rPr>
          <w:bCs/>
          <w:sz w:val="24"/>
          <w:szCs w:val="24"/>
          <w:u w:val="single"/>
        </w:rPr>
      </w:pPr>
    </w:p>
    <w:p>
      <w:pPr>
        <w:rPr>
          <w:bCs/>
          <w:sz w:val="24"/>
          <w:szCs w:val="24"/>
          <w:u w:val="single"/>
        </w:rPr>
      </w:pPr>
    </w:p>
    <w:p>
      <w:pPr>
        <w:rPr>
          <w:sz w:val="24"/>
          <w:szCs w:val="24"/>
        </w:rPr>
      </w:pPr>
    </w:p>
    <w:p>
      <w:pPr>
        <w:rPr>
          <w:bCs/>
          <w:sz w:val="24"/>
          <w:szCs w:val="24"/>
        </w:rPr>
      </w:pPr>
      <w:r>
        <w:rPr>
          <w:sz w:val="24"/>
          <w:szCs w:val="24"/>
        </w:rPr>
        <w:t>姓名</w:t>
      </w:r>
      <w:r>
        <w:rPr>
          <w:bCs/>
          <w:sz w:val="24"/>
          <w:szCs w:val="24"/>
        </w:rPr>
        <w:t>：</w:t>
      </w:r>
      <w:r>
        <w:rPr>
          <w:bCs/>
          <w:sz w:val="24"/>
          <w:szCs w:val="24"/>
          <w:u w:val="single"/>
        </w:rPr>
        <w:t xml:space="preserve">              </w:t>
      </w:r>
      <w:r>
        <w:rPr>
          <w:bCs/>
          <w:sz w:val="24"/>
          <w:szCs w:val="24"/>
        </w:rPr>
        <w:t xml:space="preserve">   性别：</w:t>
      </w:r>
      <w:r>
        <w:rPr>
          <w:bCs/>
          <w:sz w:val="24"/>
          <w:szCs w:val="24"/>
          <w:u w:val="single"/>
        </w:rPr>
        <w:t xml:space="preserve">              </w:t>
      </w:r>
      <w:r>
        <w:rPr>
          <w:bCs/>
          <w:sz w:val="24"/>
          <w:szCs w:val="24"/>
        </w:rPr>
        <w:t xml:space="preserve">   </w:t>
      </w:r>
    </w:p>
    <w:p>
      <w:pPr>
        <w:rPr>
          <w:bCs/>
          <w:sz w:val="24"/>
          <w:szCs w:val="24"/>
        </w:rPr>
      </w:pPr>
    </w:p>
    <w:p>
      <w:pPr>
        <w:rPr>
          <w:bCs/>
          <w:sz w:val="24"/>
          <w:szCs w:val="24"/>
          <w:u w:val="single"/>
        </w:rPr>
      </w:pPr>
      <w:r>
        <w:rPr>
          <w:bCs/>
          <w:sz w:val="24"/>
          <w:szCs w:val="24"/>
        </w:rPr>
        <w:t>年龄：</w:t>
      </w:r>
      <w:r>
        <w:rPr>
          <w:bCs/>
          <w:sz w:val="24"/>
          <w:szCs w:val="24"/>
          <w:u w:val="single"/>
        </w:rPr>
        <w:t xml:space="preserve">              </w:t>
      </w:r>
      <w:r>
        <w:rPr>
          <w:bCs/>
          <w:sz w:val="24"/>
          <w:szCs w:val="24"/>
        </w:rPr>
        <w:t xml:space="preserve">  职务：</w:t>
      </w:r>
      <w:r>
        <w:rPr>
          <w:bCs/>
          <w:sz w:val="24"/>
          <w:szCs w:val="24"/>
          <w:u w:val="single"/>
        </w:rPr>
        <w:t xml:space="preserve">              </w:t>
      </w:r>
    </w:p>
    <w:p>
      <w:pPr>
        <w:rPr>
          <w:bCs/>
          <w:sz w:val="24"/>
          <w:szCs w:val="24"/>
        </w:rPr>
      </w:pPr>
    </w:p>
    <w:p>
      <w:pPr>
        <w:rPr>
          <w:bCs/>
          <w:sz w:val="24"/>
          <w:szCs w:val="24"/>
        </w:rPr>
      </w:pPr>
      <w:r>
        <w:rPr>
          <w:bCs/>
          <w:sz w:val="24"/>
          <w:szCs w:val="24"/>
        </w:rPr>
        <w:t xml:space="preserve">系 </w:t>
      </w:r>
      <w:r>
        <w:rPr>
          <w:bCs/>
          <w:sz w:val="24"/>
          <w:szCs w:val="24"/>
          <w:u w:val="single"/>
        </w:rPr>
        <w:t xml:space="preserve">         （投标人名称名称）               </w:t>
      </w:r>
      <w:r>
        <w:rPr>
          <w:bCs/>
          <w:sz w:val="24"/>
          <w:szCs w:val="24"/>
        </w:rPr>
        <w:t>的法定代表人。</w:t>
      </w:r>
    </w:p>
    <w:p>
      <w:pPr>
        <w:rPr>
          <w:bCs/>
          <w:sz w:val="24"/>
          <w:szCs w:val="24"/>
        </w:rPr>
      </w:pPr>
    </w:p>
    <w:p>
      <w:pPr>
        <w:rPr>
          <w:bCs/>
          <w:sz w:val="24"/>
          <w:szCs w:val="24"/>
        </w:rPr>
      </w:pPr>
    </w:p>
    <w:p>
      <w:pPr>
        <w:rPr>
          <w:bCs/>
          <w:sz w:val="24"/>
          <w:szCs w:val="24"/>
        </w:rPr>
      </w:pPr>
      <w:r>
        <w:rPr>
          <w:bCs/>
          <w:sz w:val="24"/>
          <w:szCs w:val="24"/>
        </w:rPr>
        <w:t>特此证明。</w:t>
      </w:r>
    </w:p>
    <w:p>
      <w:pPr>
        <w:rPr>
          <w:bCs/>
          <w:sz w:val="24"/>
          <w:szCs w:val="24"/>
        </w:rPr>
      </w:pPr>
    </w:p>
    <w:tbl>
      <w:tblPr>
        <w:tblStyle w:val="18"/>
        <w:tblpPr w:leftFromText="180" w:rightFromText="180" w:vertAnchor="text" w:horzAnchor="margin" w:tblpY="20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21"/>
        <w:gridCol w:w="4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4221" w:type="dxa"/>
          </w:tcPr>
          <w:p>
            <w:pPr>
              <w:rPr>
                <w:bCs/>
                <w:sz w:val="24"/>
                <w:szCs w:val="24"/>
              </w:rPr>
            </w:pPr>
            <w:r>
              <w:rPr>
                <w:bCs/>
                <w:sz w:val="24"/>
                <w:szCs w:val="24"/>
              </w:rPr>
              <w:t>法定代表人身份证复印件（正面）</w:t>
            </w:r>
          </w:p>
          <w:p>
            <w:pPr>
              <w:rPr>
                <w:sz w:val="24"/>
                <w:szCs w:val="24"/>
              </w:rPr>
            </w:pPr>
          </w:p>
        </w:tc>
        <w:tc>
          <w:tcPr>
            <w:tcW w:w="4222" w:type="dxa"/>
          </w:tcPr>
          <w:p>
            <w:pPr>
              <w:rPr>
                <w:bCs/>
                <w:sz w:val="24"/>
                <w:szCs w:val="24"/>
              </w:rPr>
            </w:pPr>
            <w:r>
              <w:rPr>
                <w:bCs/>
                <w:sz w:val="24"/>
                <w:szCs w:val="24"/>
              </w:rPr>
              <w:t>法定代表人身份证复印件（反面）</w:t>
            </w:r>
          </w:p>
          <w:p>
            <w:pPr>
              <w:rPr>
                <w:sz w:val="24"/>
                <w:szCs w:val="24"/>
              </w:rPr>
            </w:pPr>
          </w:p>
        </w:tc>
      </w:tr>
    </w:tbl>
    <w:p>
      <w:pPr>
        <w:rPr>
          <w:bCs/>
          <w:sz w:val="24"/>
          <w:szCs w:val="24"/>
        </w:rPr>
      </w:pPr>
    </w:p>
    <w:p>
      <w:pPr>
        <w:rPr>
          <w:bCs/>
          <w:sz w:val="24"/>
          <w:szCs w:val="24"/>
        </w:rPr>
      </w:pPr>
    </w:p>
    <w:p>
      <w:pPr>
        <w:wordWrap w:val="0"/>
        <w:jc w:val="right"/>
        <w:rPr>
          <w:bCs/>
          <w:sz w:val="24"/>
          <w:szCs w:val="24"/>
        </w:rPr>
      </w:pPr>
      <w:r>
        <w:rPr>
          <w:bCs/>
          <w:sz w:val="24"/>
          <w:szCs w:val="24"/>
        </w:rPr>
        <w:t>投标人名称：</w:t>
      </w:r>
      <w:r>
        <w:rPr>
          <w:bCs/>
          <w:sz w:val="24"/>
          <w:szCs w:val="24"/>
          <w:u w:val="single"/>
        </w:rPr>
        <w:t xml:space="preserve">                      </w:t>
      </w:r>
      <w:r>
        <w:rPr>
          <w:bCs/>
          <w:sz w:val="24"/>
          <w:szCs w:val="24"/>
        </w:rPr>
        <w:t>（盖章）</w:t>
      </w:r>
    </w:p>
    <w:p>
      <w:pPr>
        <w:jc w:val="right"/>
        <w:rPr>
          <w:bCs/>
          <w:sz w:val="24"/>
          <w:szCs w:val="24"/>
        </w:rPr>
      </w:pPr>
    </w:p>
    <w:p>
      <w:pPr>
        <w:jc w:val="right"/>
        <w:rPr>
          <w:bCs/>
          <w:sz w:val="24"/>
          <w:szCs w:val="24"/>
        </w:rPr>
      </w:pPr>
      <w:r>
        <w:rPr>
          <w:bCs/>
          <w:sz w:val="24"/>
          <w:szCs w:val="24"/>
        </w:rPr>
        <w:t>日  期：</w:t>
      </w:r>
      <w:r>
        <w:rPr>
          <w:bCs/>
          <w:sz w:val="24"/>
          <w:szCs w:val="24"/>
          <w:u w:val="single"/>
        </w:rPr>
        <w:t xml:space="preserve">        </w:t>
      </w:r>
      <w:r>
        <w:rPr>
          <w:bCs/>
          <w:sz w:val="24"/>
          <w:szCs w:val="24"/>
        </w:rPr>
        <w:t>年</w:t>
      </w:r>
      <w:r>
        <w:rPr>
          <w:bCs/>
          <w:sz w:val="24"/>
          <w:szCs w:val="24"/>
          <w:u w:val="single"/>
        </w:rPr>
        <w:t xml:space="preserve">        </w:t>
      </w:r>
      <w:r>
        <w:rPr>
          <w:bCs/>
          <w:sz w:val="24"/>
          <w:szCs w:val="24"/>
        </w:rPr>
        <w:t>月</w:t>
      </w:r>
      <w:r>
        <w:rPr>
          <w:bCs/>
          <w:sz w:val="24"/>
          <w:szCs w:val="24"/>
          <w:u w:val="single"/>
        </w:rPr>
        <w:t xml:space="preserve">        </w:t>
      </w:r>
      <w:r>
        <w:rPr>
          <w:bCs/>
          <w:sz w:val="24"/>
          <w:szCs w:val="24"/>
        </w:rPr>
        <w:t>日</w:t>
      </w: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jc w:val="right"/>
        <w:rPr>
          <w:bCs/>
        </w:rPr>
      </w:pPr>
    </w:p>
    <w:p>
      <w:pPr>
        <w:pStyle w:val="6"/>
        <w:ind w:firstLine="0"/>
        <w:rPr>
          <w:szCs w:val="28"/>
        </w:rPr>
      </w:pPr>
    </w:p>
    <w:p>
      <w:pPr>
        <w:numPr>
          <w:ilvl w:val="0"/>
          <w:numId w:val="13"/>
        </w:numPr>
        <w:jc w:val="center"/>
        <w:rPr>
          <w:b/>
          <w:bCs/>
          <w:sz w:val="30"/>
          <w:szCs w:val="30"/>
        </w:rPr>
      </w:pPr>
      <w:bookmarkStart w:id="81" w:name="_Toc10129"/>
      <w:bookmarkStart w:id="82" w:name="_Toc12725"/>
      <w:r>
        <w:rPr>
          <w:b/>
          <w:bCs/>
          <w:sz w:val="30"/>
          <w:szCs w:val="30"/>
        </w:rPr>
        <w:t>法定代表人授权书</w:t>
      </w:r>
      <w:bookmarkEnd w:id="78"/>
      <w:bookmarkEnd w:id="81"/>
      <w:bookmarkEnd w:id="82"/>
    </w:p>
    <w:p>
      <w:pPr>
        <w:spacing w:line="360" w:lineRule="auto"/>
        <w:rPr>
          <w:szCs w:val="24"/>
        </w:rPr>
      </w:pPr>
    </w:p>
    <w:p>
      <w:pPr>
        <w:spacing w:line="360" w:lineRule="auto"/>
        <w:ind w:firstLine="630"/>
        <w:rPr>
          <w:sz w:val="24"/>
          <w:szCs w:val="24"/>
        </w:rPr>
      </w:pPr>
      <w:bookmarkStart w:id="83" w:name="_Toc217446084"/>
      <w:r>
        <w:rPr>
          <w:sz w:val="24"/>
          <w:szCs w:val="24"/>
        </w:rPr>
        <w:t>本授权委托书声明：我</w:t>
      </w:r>
      <w:r>
        <w:rPr>
          <w:sz w:val="24"/>
          <w:szCs w:val="24"/>
          <w:u w:val="single"/>
        </w:rPr>
        <w:t xml:space="preserve">         </w:t>
      </w:r>
      <w:r>
        <w:rPr>
          <w:sz w:val="24"/>
          <w:szCs w:val="24"/>
        </w:rPr>
        <w:t>（姓名）系</w:t>
      </w:r>
      <w:r>
        <w:rPr>
          <w:sz w:val="24"/>
          <w:szCs w:val="24"/>
          <w:u w:val="single"/>
        </w:rPr>
        <w:t xml:space="preserve">               </w:t>
      </w:r>
      <w:r>
        <w:rPr>
          <w:sz w:val="24"/>
          <w:szCs w:val="24"/>
        </w:rPr>
        <w:t>（投标人名称）的法定代表人，现授权委托</w:t>
      </w:r>
      <w:r>
        <w:rPr>
          <w:sz w:val="24"/>
          <w:szCs w:val="24"/>
          <w:u w:val="single"/>
        </w:rPr>
        <w:t xml:space="preserve">                                   </w:t>
      </w:r>
      <w:r>
        <w:rPr>
          <w:sz w:val="24"/>
          <w:szCs w:val="24"/>
        </w:rPr>
        <w:t>（投标人名称）的</w:t>
      </w:r>
      <w:r>
        <w:rPr>
          <w:sz w:val="24"/>
          <w:szCs w:val="24"/>
          <w:u w:val="single"/>
        </w:rPr>
        <w:t xml:space="preserve">            </w:t>
      </w:r>
      <w:r>
        <w:rPr>
          <w:sz w:val="24"/>
          <w:szCs w:val="24"/>
        </w:rPr>
        <w:t>（姓名）为我的代理人，以本公司的名义参加</w:t>
      </w:r>
      <w:r>
        <w:rPr>
          <w:sz w:val="24"/>
          <w:szCs w:val="24"/>
          <w:u w:val="single"/>
        </w:rPr>
        <w:t xml:space="preserve">          </w:t>
      </w:r>
      <w:r>
        <w:rPr>
          <w:sz w:val="24"/>
          <w:szCs w:val="24"/>
        </w:rPr>
        <w:t>（采购人）的</w:t>
      </w:r>
      <w:r>
        <w:rPr>
          <w:sz w:val="24"/>
          <w:szCs w:val="24"/>
          <w:u w:val="single"/>
        </w:rPr>
        <w:t xml:space="preserve">                 </w:t>
      </w:r>
      <w:r>
        <w:rPr>
          <w:sz w:val="24"/>
          <w:szCs w:val="24"/>
        </w:rPr>
        <w:t>采购项目的投标活动。代理人在参加整个招标投标活动、合同谈判过程中所签署的一切文件和处理与之有关的一切事物，我均予以承认。</w:t>
      </w:r>
    </w:p>
    <w:p>
      <w:pPr>
        <w:spacing w:line="360" w:lineRule="auto"/>
        <w:ind w:firstLine="630"/>
        <w:rPr>
          <w:sz w:val="24"/>
          <w:szCs w:val="24"/>
        </w:rPr>
      </w:pPr>
    </w:p>
    <w:p>
      <w:pPr>
        <w:spacing w:line="360" w:lineRule="auto"/>
        <w:rPr>
          <w:sz w:val="24"/>
          <w:szCs w:val="24"/>
          <w:u w:val="single"/>
        </w:rPr>
      </w:pPr>
      <w:r>
        <w:rPr>
          <w:sz w:val="24"/>
          <w:szCs w:val="24"/>
        </w:rPr>
        <w:t>代理人：</w:t>
      </w:r>
      <w:r>
        <w:rPr>
          <w:sz w:val="24"/>
          <w:szCs w:val="24"/>
          <w:u w:val="single"/>
        </w:rPr>
        <w:t xml:space="preserve">              </w:t>
      </w:r>
      <w:r>
        <w:rPr>
          <w:sz w:val="24"/>
          <w:szCs w:val="24"/>
        </w:rPr>
        <w:t>性别：</w:t>
      </w:r>
      <w:r>
        <w:rPr>
          <w:sz w:val="24"/>
          <w:szCs w:val="24"/>
          <w:u w:val="single"/>
        </w:rPr>
        <w:t xml:space="preserve">             </w:t>
      </w:r>
      <w:r>
        <w:rPr>
          <w:sz w:val="24"/>
          <w:szCs w:val="24"/>
        </w:rPr>
        <w:t>年龄：</w:t>
      </w:r>
      <w:r>
        <w:rPr>
          <w:sz w:val="24"/>
          <w:szCs w:val="24"/>
          <w:u w:val="single"/>
        </w:rPr>
        <w:t xml:space="preserve">             </w:t>
      </w:r>
    </w:p>
    <w:p>
      <w:pPr>
        <w:spacing w:line="360" w:lineRule="auto"/>
        <w:rPr>
          <w:sz w:val="24"/>
          <w:szCs w:val="24"/>
          <w:u w:val="single"/>
        </w:rPr>
      </w:pPr>
    </w:p>
    <w:p>
      <w:pPr>
        <w:spacing w:line="360" w:lineRule="auto"/>
        <w:rPr>
          <w:sz w:val="24"/>
          <w:szCs w:val="24"/>
        </w:rPr>
      </w:pPr>
      <w:r>
        <w:rPr>
          <w:sz w:val="24"/>
          <w:szCs w:val="24"/>
        </w:rPr>
        <w:t>单  位：</w:t>
      </w:r>
      <w:r>
        <w:rPr>
          <w:sz w:val="24"/>
          <w:szCs w:val="24"/>
          <w:u w:val="single"/>
        </w:rPr>
        <w:t xml:space="preserve">              </w:t>
      </w:r>
      <w:r>
        <w:rPr>
          <w:sz w:val="24"/>
          <w:szCs w:val="24"/>
        </w:rPr>
        <w:t>部门：</w:t>
      </w:r>
      <w:r>
        <w:rPr>
          <w:sz w:val="24"/>
          <w:szCs w:val="24"/>
          <w:u w:val="single"/>
        </w:rPr>
        <w:t xml:space="preserve">             </w:t>
      </w:r>
      <w:r>
        <w:rPr>
          <w:sz w:val="24"/>
          <w:szCs w:val="24"/>
        </w:rPr>
        <w:t>职务：</w:t>
      </w:r>
      <w:r>
        <w:rPr>
          <w:sz w:val="24"/>
          <w:szCs w:val="24"/>
          <w:u w:val="single"/>
        </w:rPr>
        <w:t xml:space="preserve">             </w:t>
      </w:r>
    </w:p>
    <w:p>
      <w:pPr>
        <w:rPr>
          <w:sz w:val="24"/>
          <w:szCs w:val="24"/>
        </w:rPr>
      </w:pPr>
    </w:p>
    <w:p>
      <w:pPr>
        <w:rPr>
          <w:sz w:val="24"/>
          <w:szCs w:val="24"/>
        </w:rPr>
      </w:pPr>
      <w:r>
        <w:rPr>
          <w:sz w:val="24"/>
          <w:szCs w:val="24"/>
        </w:rPr>
        <w:t>代理人无转委权。特此委托。</w:t>
      </w:r>
    </w:p>
    <w:tbl>
      <w:tblPr>
        <w:tblStyle w:val="18"/>
        <w:tblpPr w:leftFromText="180" w:rightFromText="180" w:vertAnchor="text" w:horzAnchor="margin" w:tblpXSpec="center" w:tblpY="20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9"/>
        <w:gridCol w:w="4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trPr>
        <w:tc>
          <w:tcPr>
            <w:tcW w:w="4779" w:type="dxa"/>
          </w:tcPr>
          <w:p>
            <w:pPr>
              <w:rPr>
                <w:bCs/>
                <w:sz w:val="24"/>
                <w:szCs w:val="24"/>
              </w:rPr>
            </w:pPr>
            <w:r>
              <w:rPr>
                <w:bCs/>
                <w:sz w:val="24"/>
                <w:szCs w:val="24"/>
              </w:rPr>
              <w:t>法定代表人身份证复印件（正面）</w:t>
            </w:r>
          </w:p>
          <w:p>
            <w:pPr>
              <w:rPr>
                <w:sz w:val="24"/>
                <w:szCs w:val="24"/>
              </w:rPr>
            </w:pPr>
          </w:p>
        </w:tc>
        <w:tc>
          <w:tcPr>
            <w:tcW w:w="4780" w:type="dxa"/>
          </w:tcPr>
          <w:p>
            <w:pPr>
              <w:rPr>
                <w:bCs/>
                <w:sz w:val="24"/>
                <w:szCs w:val="24"/>
              </w:rPr>
            </w:pPr>
            <w:r>
              <w:rPr>
                <w:bCs/>
                <w:sz w:val="24"/>
                <w:szCs w:val="24"/>
              </w:rPr>
              <w:t>授权委托人身份证复印件（正面）</w:t>
            </w:r>
          </w:p>
          <w:p>
            <w:pP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4779" w:type="dxa"/>
          </w:tcPr>
          <w:p>
            <w:pPr>
              <w:rPr>
                <w:bCs/>
                <w:sz w:val="24"/>
                <w:szCs w:val="24"/>
              </w:rPr>
            </w:pPr>
            <w:r>
              <w:rPr>
                <w:bCs/>
                <w:sz w:val="24"/>
                <w:szCs w:val="24"/>
              </w:rPr>
              <w:t>法定代表人身份证复印件（反面）</w:t>
            </w:r>
          </w:p>
          <w:p>
            <w:pPr>
              <w:rPr>
                <w:sz w:val="24"/>
                <w:szCs w:val="24"/>
              </w:rPr>
            </w:pPr>
          </w:p>
        </w:tc>
        <w:tc>
          <w:tcPr>
            <w:tcW w:w="4780" w:type="dxa"/>
          </w:tcPr>
          <w:p>
            <w:pPr>
              <w:rPr>
                <w:bCs/>
                <w:sz w:val="24"/>
                <w:szCs w:val="24"/>
              </w:rPr>
            </w:pPr>
            <w:r>
              <w:rPr>
                <w:bCs/>
                <w:sz w:val="24"/>
                <w:szCs w:val="24"/>
              </w:rPr>
              <w:t>授权委托人身份证复印件（反面）</w:t>
            </w:r>
          </w:p>
          <w:p>
            <w:pPr>
              <w:rPr>
                <w:sz w:val="24"/>
                <w:szCs w:val="24"/>
              </w:rPr>
            </w:pPr>
          </w:p>
        </w:tc>
      </w:tr>
    </w:tbl>
    <w:p>
      <w:pPr>
        <w:rPr>
          <w:sz w:val="24"/>
          <w:szCs w:val="24"/>
        </w:rPr>
      </w:pPr>
    </w:p>
    <w:p>
      <w:pPr>
        <w:rPr>
          <w:sz w:val="24"/>
          <w:szCs w:val="24"/>
        </w:rPr>
      </w:pPr>
      <w:r>
        <w:rPr>
          <w:sz w:val="24"/>
          <w:szCs w:val="24"/>
        </w:rPr>
        <w:t>投标人：（盖章）</w:t>
      </w:r>
    </w:p>
    <w:p>
      <w:pPr>
        <w:rPr>
          <w:sz w:val="24"/>
          <w:szCs w:val="24"/>
        </w:rPr>
      </w:pPr>
    </w:p>
    <w:p>
      <w:pPr>
        <w:spacing w:line="360" w:lineRule="auto"/>
        <w:rPr>
          <w:sz w:val="24"/>
          <w:szCs w:val="24"/>
        </w:rPr>
      </w:pPr>
      <w:r>
        <w:rPr>
          <w:sz w:val="24"/>
          <w:szCs w:val="24"/>
        </w:rPr>
        <w:t>法定代表人或授权代理人（盖章）</w:t>
      </w:r>
    </w:p>
    <w:p>
      <w:pPr>
        <w:rPr>
          <w:sz w:val="24"/>
          <w:szCs w:val="24"/>
        </w:rPr>
      </w:pPr>
    </w:p>
    <w:p>
      <w:pPr>
        <w:rPr>
          <w:sz w:val="24"/>
          <w:szCs w:val="24"/>
        </w:rPr>
      </w:pPr>
    </w:p>
    <w:p>
      <w:pPr>
        <w:rPr>
          <w:sz w:val="24"/>
          <w:szCs w:val="24"/>
        </w:rPr>
      </w:pPr>
    </w:p>
    <w:p>
      <w:pPr>
        <w:rPr>
          <w:sz w:val="24"/>
          <w:szCs w:val="24"/>
        </w:rPr>
      </w:pPr>
    </w:p>
    <w:p>
      <w:pPr>
        <w:jc w:val="center"/>
        <w:rPr>
          <w:b/>
          <w:sz w:val="24"/>
          <w:szCs w:val="24"/>
        </w:rPr>
      </w:pPr>
    </w:p>
    <w:p>
      <w:pPr>
        <w:jc w:val="right"/>
        <w:rPr>
          <w:b/>
          <w:sz w:val="24"/>
          <w:szCs w:val="24"/>
        </w:rPr>
      </w:pPr>
      <w:r>
        <w:rPr>
          <w:sz w:val="24"/>
          <w:szCs w:val="24"/>
        </w:rPr>
        <w:t>日期：</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pPr>
        <w:pStyle w:val="6"/>
        <w:rPr>
          <w:sz w:val="24"/>
          <w:szCs w:val="24"/>
        </w:rPr>
      </w:pPr>
    </w:p>
    <w:p>
      <w:pPr>
        <w:pStyle w:val="6"/>
        <w:rPr>
          <w:sz w:val="24"/>
          <w:szCs w:val="24"/>
        </w:rPr>
      </w:pPr>
    </w:p>
    <w:p>
      <w:pPr>
        <w:pStyle w:val="6"/>
        <w:rPr>
          <w:sz w:val="24"/>
          <w:szCs w:val="24"/>
        </w:rPr>
      </w:pPr>
    </w:p>
    <w:p>
      <w:pPr>
        <w:pStyle w:val="6"/>
        <w:rPr>
          <w:sz w:val="24"/>
          <w:szCs w:val="24"/>
        </w:rPr>
      </w:pPr>
    </w:p>
    <w:p>
      <w:pPr>
        <w:pStyle w:val="6"/>
        <w:rPr>
          <w:sz w:val="24"/>
          <w:szCs w:val="24"/>
        </w:rPr>
      </w:pPr>
    </w:p>
    <w:p>
      <w:pPr>
        <w:pStyle w:val="6"/>
        <w:rPr>
          <w:sz w:val="24"/>
          <w:szCs w:val="24"/>
        </w:rPr>
      </w:pPr>
    </w:p>
    <w:p>
      <w:pPr>
        <w:pStyle w:val="6"/>
        <w:rPr>
          <w:sz w:val="24"/>
          <w:szCs w:val="24"/>
        </w:rPr>
      </w:pPr>
    </w:p>
    <w:p>
      <w:pPr>
        <w:pStyle w:val="6"/>
        <w:rPr>
          <w:sz w:val="24"/>
          <w:szCs w:val="24"/>
        </w:rPr>
      </w:pPr>
    </w:p>
    <w:bookmarkEnd w:id="83"/>
    <w:p>
      <w:pPr>
        <w:numPr>
          <w:ilvl w:val="0"/>
          <w:numId w:val="13"/>
        </w:numPr>
        <w:jc w:val="center"/>
        <w:rPr>
          <w:b/>
          <w:bCs/>
          <w:sz w:val="30"/>
          <w:szCs w:val="30"/>
        </w:rPr>
      </w:pPr>
      <w:bookmarkStart w:id="84" w:name="_Toc6758"/>
      <w:bookmarkStart w:id="85" w:name="_Toc16976"/>
      <w:r>
        <w:rPr>
          <w:b/>
          <w:bCs/>
          <w:sz w:val="30"/>
          <w:szCs w:val="30"/>
        </w:rPr>
        <w:t>投标人资格声明格式</w:t>
      </w:r>
      <w:bookmarkEnd w:id="84"/>
      <w:bookmarkEnd w:id="85"/>
    </w:p>
    <w:p>
      <w:pPr>
        <w:spacing w:line="400" w:lineRule="exact"/>
        <w:jc w:val="center"/>
        <w:rPr>
          <w:b/>
          <w:sz w:val="44"/>
        </w:rPr>
      </w:pPr>
    </w:p>
    <w:p>
      <w:pPr>
        <w:spacing w:line="400" w:lineRule="exact"/>
        <w:rPr>
          <w:sz w:val="24"/>
          <w:szCs w:val="24"/>
        </w:rPr>
      </w:pPr>
      <w:r>
        <w:rPr>
          <w:sz w:val="24"/>
          <w:szCs w:val="24"/>
        </w:rPr>
        <w:t>致：</w:t>
      </w:r>
    </w:p>
    <w:p>
      <w:pPr>
        <w:spacing w:line="360" w:lineRule="auto"/>
        <w:ind w:firstLine="645"/>
        <w:jc w:val="left"/>
        <w:rPr>
          <w:sz w:val="24"/>
          <w:szCs w:val="24"/>
        </w:rPr>
      </w:pPr>
      <w:r>
        <w:rPr>
          <w:sz w:val="24"/>
          <w:szCs w:val="24"/>
        </w:rPr>
        <w:t>我公司自愿参加</w:t>
      </w:r>
      <w:r>
        <w:rPr>
          <w:sz w:val="24"/>
          <w:szCs w:val="24"/>
          <w:u w:val="single"/>
        </w:rPr>
        <w:t xml:space="preserve">   （项目名称）   </w:t>
      </w:r>
      <w:r>
        <w:rPr>
          <w:sz w:val="24"/>
          <w:szCs w:val="24"/>
        </w:rPr>
        <w:t>采购采购项目，为保证投标活动中所提供所有材料的真实性，我公司现郑重承诺如下：</w:t>
      </w:r>
    </w:p>
    <w:p>
      <w:pPr>
        <w:spacing w:line="360" w:lineRule="auto"/>
        <w:ind w:firstLine="480" w:firstLineChars="200"/>
        <w:jc w:val="left"/>
        <w:rPr>
          <w:sz w:val="24"/>
          <w:szCs w:val="24"/>
        </w:rPr>
      </w:pPr>
      <w:r>
        <w:rPr>
          <w:sz w:val="24"/>
          <w:szCs w:val="24"/>
        </w:rPr>
        <w:t xml:space="preserve">在本次招标投标活动中所递交的全部资料（资质证书、生产能力、业绩合同、项目团队成员等）均真实、有效、准确完整，我公司随时接受并配合采购人进行原件核查及现场查验，若递交的资料及承诺存在虚构、虚假、与实际情况不符等情况，采购人有权取消我公司中标资格、终止合同，因此造成的一切后果和损失均由我公司自行承担。 </w:t>
      </w:r>
    </w:p>
    <w:p>
      <w:pPr>
        <w:spacing w:line="400" w:lineRule="exact"/>
        <w:ind w:firstLine="630"/>
        <w:rPr>
          <w:sz w:val="24"/>
          <w:szCs w:val="24"/>
        </w:rPr>
      </w:pPr>
    </w:p>
    <w:p>
      <w:pPr>
        <w:spacing w:line="400" w:lineRule="exact"/>
        <w:rPr>
          <w:sz w:val="24"/>
          <w:szCs w:val="24"/>
        </w:rPr>
      </w:pPr>
      <w:r>
        <w:rPr>
          <w:sz w:val="24"/>
          <w:szCs w:val="24"/>
        </w:rPr>
        <w:t>投标人：（盖章）</w:t>
      </w:r>
    </w:p>
    <w:p>
      <w:pPr>
        <w:spacing w:line="400" w:lineRule="exact"/>
        <w:rPr>
          <w:sz w:val="24"/>
          <w:szCs w:val="24"/>
        </w:rPr>
      </w:pPr>
    </w:p>
    <w:p>
      <w:pPr>
        <w:spacing w:line="360" w:lineRule="auto"/>
        <w:rPr>
          <w:sz w:val="24"/>
          <w:szCs w:val="24"/>
        </w:rPr>
      </w:pPr>
      <w:r>
        <w:rPr>
          <w:sz w:val="24"/>
          <w:szCs w:val="24"/>
        </w:rPr>
        <w:t>法定代表人或授权代理人（盖章）</w:t>
      </w:r>
    </w:p>
    <w:p>
      <w:pPr>
        <w:spacing w:line="400" w:lineRule="exact"/>
        <w:rPr>
          <w:sz w:val="32"/>
        </w:rPr>
      </w:pPr>
    </w:p>
    <w:p>
      <w:pPr>
        <w:jc w:val="center"/>
        <w:rPr>
          <w:b/>
          <w:sz w:val="24"/>
          <w:szCs w:val="24"/>
        </w:rPr>
      </w:pPr>
    </w:p>
    <w:p>
      <w:pPr>
        <w:jc w:val="right"/>
        <w:rPr>
          <w:b/>
          <w:sz w:val="24"/>
          <w:szCs w:val="24"/>
        </w:rPr>
      </w:pPr>
      <w:r>
        <w:rPr>
          <w:sz w:val="24"/>
          <w:szCs w:val="24"/>
        </w:rPr>
        <w:t>日期：</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pPr>
        <w:widowControl/>
        <w:spacing w:line="400" w:lineRule="exact"/>
        <w:outlineLvl w:val="1"/>
        <w:rPr>
          <w:kern w:val="0"/>
          <w:sz w:val="24"/>
          <w:szCs w:val="24"/>
        </w:rPr>
      </w:pPr>
      <w:r>
        <w:rPr>
          <w:sz w:val="22"/>
          <w:szCs w:val="22"/>
        </w:rPr>
        <w:br w:type="page"/>
      </w:r>
      <w:r>
        <w:rPr>
          <w:rFonts w:hint="eastAsia" w:cs="宋体"/>
          <w:kern w:val="0"/>
          <w:sz w:val="24"/>
          <w:szCs w:val="24"/>
          <w:lang w:bidi="ar"/>
        </w:rPr>
        <w:t>参加政府采购活动前</w:t>
      </w:r>
      <w:r>
        <w:rPr>
          <w:kern w:val="0"/>
          <w:sz w:val="24"/>
          <w:szCs w:val="24"/>
          <w:lang w:bidi="ar"/>
        </w:rPr>
        <w:t>3</w:t>
      </w:r>
      <w:r>
        <w:rPr>
          <w:rFonts w:hint="eastAsia" w:cs="宋体"/>
          <w:kern w:val="0"/>
          <w:sz w:val="24"/>
          <w:szCs w:val="24"/>
          <w:lang w:bidi="ar"/>
        </w:rPr>
        <w:t>年内在经营活动中无重大违法记录的书面声明函格式</w:t>
      </w:r>
    </w:p>
    <w:p>
      <w:pPr>
        <w:spacing w:line="360" w:lineRule="auto"/>
        <w:jc w:val="center"/>
        <w:rPr>
          <w:rFonts w:ascii="宋体" w:hAnsi="宋体" w:cs="Arial"/>
          <w:b/>
          <w:sz w:val="28"/>
          <w:szCs w:val="28"/>
        </w:rPr>
      </w:pPr>
    </w:p>
    <w:p>
      <w:pPr>
        <w:numPr>
          <w:ilvl w:val="0"/>
          <w:numId w:val="13"/>
        </w:numPr>
        <w:jc w:val="center"/>
        <w:rPr>
          <w:b/>
          <w:bCs/>
          <w:sz w:val="30"/>
          <w:szCs w:val="30"/>
        </w:rPr>
      </w:pPr>
      <w:r>
        <w:rPr>
          <w:rFonts w:hint="eastAsia"/>
          <w:b/>
          <w:bCs/>
          <w:sz w:val="30"/>
          <w:szCs w:val="30"/>
        </w:rPr>
        <w:t>在经营活动中无重大违法记录的书面声明函</w:t>
      </w:r>
    </w:p>
    <w:p>
      <w:pPr>
        <w:spacing w:line="360" w:lineRule="auto"/>
        <w:rPr>
          <w:rFonts w:ascii="宋体" w:hAnsi="宋体" w:cs="Arial"/>
          <w:b/>
          <w:sz w:val="28"/>
          <w:szCs w:val="28"/>
        </w:rPr>
      </w:pPr>
    </w:p>
    <w:p>
      <w:pPr>
        <w:spacing w:line="360" w:lineRule="auto"/>
        <w:rPr>
          <w:rFonts w:ascii="宋体" w:hAnsi="宋体" w:cs="Arial"/>
          <w:b/>
          <w:sz w:val="24"/>
          <w:szCs w:val="24"/>
          <w:u w:val="single"/>
        </w:rPr>
      </w:pPr>
      <w:r>
        <w:rPr>
          <w:rFonts w:hint="eastAsia" w:ascii="宋体" w:hAnsi="宋体" w:cs="Arial"/>
          <w:b/>
          <w:sz w:val="24"/>
          <w:szCs w:val="24"/>
          <w:lang w:bidi="ar"/>
        </w:rPr>
        <w:t>致：新疆农业大学</w:t>
      </w:r>
      <w:r>
        <w:rPr>
          <w:rFonts w:hint="eastAsia" w:ascii="宋体" w:hAnsi="宋体" w:cs="Arial"/>
          <w:b/>
          <w:sz w:val="24"/>
          <w:szCs w:val="24"/>
          <w:u w:val="single"/>
          <w:lang w:bidi="ar"/>
        </w:rPr>
        <w:t xml:space="preserve">  </w:t>
      </w:r>
    </w:p>
    <w:p>
      <w:pPr>
        <w:spacing w:line="360" w:lineRule="auto"/>
        <w:ind w:firstLine="480" w:firstLineChars="200"/>
        <w:rPr>
          <w:rFonts w:ascii="宋体" w:hAnsi="宋体" w:cs="宋体"/>
          <w:sz w:val="24"/>
          <w:szCs w:val="24"/>
        </w:rPr>
      </w:pPr>
      <w:r>
        <w:rPr>
          <w:rFonts w:hint="eastAsia" w:ascii="宋体" w:hAnsi="宋体" w:cs="宋体"/>
          <w:sz w:val="24"/>
          <w:szCs w:val="24"/>
          <w:lang w:bidi="ar"/>
        </w:rPr>
        <w:t>我单位近三年内，在经营活动中无重大违法记录，特此承诺。</w:t>
      </w:r>
    </w:p>
    <w:p>
      <w:pPr>
        <w:spacing w:line="360" w:lineRule="auto"/>
        <w:ind w:firstLine="480" w:firstLineChars="200"/>
        <w:rPr>
          <w:rFonts w:ascii="宋体" w:hAnsi="宋体" w:cs="宋体"/>
          <w:sz w:val="24"/>
          <w:szCs w:val="24"/>
        </w:rPr>
      </w:pPr>
      <w:r>
        <w:rPr>
          <w:rFonts w:hint="eastAsia" w:ascii="宋体" w:hAnsi="宋体" w:cs="宋体"/>
          <w:sz w:val="24"/>
          <w:szCs w:val="24"/>
          <w:lang w:bidi="ar"/>
        </w:rPr>
        <w:t>若招标采购单位在本项目采购过程中发现我单位近三年内在经营活动中有重大违法记录，我单位将无条件地退出本项目的招标，并承担因此引起的一切后果。</w:t>
      </w:r>
    </w:p>
    <w:p>
      <w:pPr>
        <w:spacing w:line="360" w:lineRule="auto"/>
        <w:ind w:firstLine="480" w:firstLineChars="200"/>
        <w:rPr>
          <w:rFonts w:ascii="宋体" w:hAnsi="宋体" w:cs="宋体"/>
          <w:sz w:val="24"/>
          <w:szCs w:val="24"/>
        </w:rPr>
      </w:pPr>
    </w:p>
    <w:p>
      <w:pPr>
        <w:spacing w:line="400" w:lineRule="exact"/>
        <w:ind w:firstLine="630"/>
        <w:rPr>
          <w:sz w:val="24"/>
          <w:szCs w:val="24"/>
        </w:rPr>
      </w:pPr>
    </w:p>
    <w:p>
      <w:pPr>
        <w:spacing w:line="400" w:lineRule="exact"/>
        <w:ind w:firstLine="630"/>
        <w:rPr>
          <w:sz w:val="24"/>
          <w:szCs w:val="24"/>
        </w:rPr>
      </w:pPr>
    </w:p>
    <w:p>
      <w:pPr>
        <w:spacing w:line="400" w:lineRule="exact"/>
        <w:ind w:firstLine="630"/>
        <w:rPr>
          <w:sz w:val="24"/>
          <w:szCs w:val="24"/>
        </w:rPr>
      </w:pPr>
    </w:p>
    <w:p>
      <w:pPr>
        <w:spacing w:line="400" w:lineRule="exact"/>
        <w:rPr>
          <w:sz w:val="24"/>
          <w:szCs w:val="24"/>
        </w:rPr>
      </w:pPr>
      <w:r>
        <w:rPr>
          <w:sz w:val="24"/>
          <w:szCs w:val="24"/>
        </w:rPr>
        <w:t>投标人：（盖章）</w:t>
      </w:r>
    </w:p>
    <w:p>
      <w:pPr>
        <w:spacing w:line="400" w:lineRule="exact"/>
        <w:rPr>
          <w:sz w:val="24"/>
          <w:szCs w:val="24"/>
        </w:rPr>
      </w:pPr>
    </w:p>
    <w:p>
      <w:pPr>
        <w:spacing w:line="360" w:lineRule="auto"/>
        <w:rPr>
          <w:sz w:val="24"/>
          <w:szCs w:val="24"/>
        </w:rPr>
      </w:pPr>
      <w:r>
        <w:rPr>
          <w:sz w:val="24"/>
          <w:szCs w:val="24"/>
        </w:rPr>
        <w:t>法定代表人或授权代理人（盖章）</w:t>
      </w:r>
    </w:p>
    <w:p>
      <w:pPr>
        <w:spacing w:line="400" w:lineRule="exact"/>
        <w:rPr>
          <w:sz w:val="32"/>
        </w:rPr>
      </w:pPr>
    </w:p>
    <w:p>
      <w:pPr>
        <w:jc w:val="center"/>
        <w:rPr>
          <w:b/>
          <w:sz w:val="24"/>
          <w:szCs w:val="24"/>
        </w:rPr>
      </w:pPr>
    </w:p>
    <w:p>
      <w:pPr>
        <w:jc w:val="right"/>
        <w:rPr>
          <w:b/>
          <w:sz w:val="24"/>
          <w:szCs w:val="24"/>
        </w:rPr>
      </w:pPr>
      <w:r>
        <w:rPr>
          <w:sz w:val="24"/>
          <w:szCs w:val="24"/>
        </w:rPr>
        <w:t>日期：</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pPr>
        <w:spacing w:line="400" w:lineRule="exact"/>
        <w:jc w:val="center"/>
        <w:outlineLvl w:val="1"/>
        <w:rPr>
          <w:b/>
          <w:bCs/>
          <w:sz w:val="30"/>
          <w:szCs w:val="30"/>
        </w:rPr>
      </w:pPr>
      <w:r>
        <w:rPr>
          <w:b/>
          <w:sz w:val="32"/>
          <w:szCs w:val="32"/>
        </w:rPr>
        <w:br w:type="page"/>
      </w:r>
      <w:bookmarkStart w:id="86" w:name="_Toc31158"/>
      <w:bookmarkStart w:id="87" w:name="_Toc217446085"/>
      <w:bookmarkStart w:id="88" w:name="_Toc12445"/>
      <w:r>
        <w:rPr>
          <w:b/>
          <w:bCs/>
          <w:sz w:val="30"/>
          <w:szCs w:val="30"/>
        </w:rPr>
        <w:t>开标一览表</w:t>
      </w:r>
      <w:bookmarkEnd w:id="86"/>
      <w:bookmarkEnd w:id="87"/>
      <w:bookmarkEnd w:id="88"/>
    </w:p>
    <w:p>
      <w:pPr>
        <w:spacing w:line="360" w:lineRule="auto"/>
        <w:rPr>
          <w:sz w:val="24"/>
          <w:szCs w:val="24"/>
        </w:rPr>
      </w:pPr>
      <w:bookmarkStart w:id="89" w:name="_Toc217446086"/>
    </w:p>
    <w:p>
      <w:pPr>
        <w:spacing w:line="360" w:lineRule="auto"/>
        <w:rPr>
          <w:sz w:val="24"/>
          <w:szCs w:val="24"/>
        </w:rPr>
      </w:pPr>
      <w:r>
        <w:rPr>
          <w:sz w:val="24"/>
          <w:szCs w:val="24"/>
        </w:rPr>
        <w:t>项目名称：</w:t>
      </w:r>
    </w:p>
    <w:p>
      <w:pPr>
        <w:spacing w:line="360" w:lineRule="auto"/>
        <w:rPr>
          <w:sz w:val="24"/>
          <w:szCs w:val="24"/>
        </w:rPr>
      </w:pPr>
      <w:r>
        <w:rPr>
          <w:sz w:val="24"/>
          <w:szCs w:val="24"/>
        </w:rPr>
        <w:t>单位：元，人民币</w:t>
      </w:r>
    </w:p>
    <w:tbl>
      <w:tblPr>
        <w:tblStyle w:val="18"/>
        <w:tblW w:w="4999" w:type="pct"/>
        <w:tblInd w:w="-241"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254"/>
        <w:gridCol w:w="560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53" w:hRule="atLeast"/>
        </w:trPr>
        <w:tc>
          <w:tcPr>
            <w:tcW w:w="1836" w:type="pct"/>
            <w:vAlign w:val="center"/>
          </w:tcPr>
          <w:p>
            <w:pPr>
              <w:spacing w:line="360" w:lineRule="auto"/>
              <w:jc w:val="center"/>
              <w:rPr>
                <w:sz w:val="24"/>
                <w:szCs w:val="24"/>
              </w:rPr>
            </w:pPr>
            <w:r>
              <w:rPr>
                <w:sz w:val="24"/>
                <w:szCs w:val="24"/>
              </w:rPr>
              <w:t>项  目  名  称</w:t>
            </w:r>
          </w:p>
        </w:tc>
        <w:tc>
          <w:tcPr>
            <w:tcW w:w="3163" w:type="pct"/>
            <w:vAlign w:val="center"/>
          </w:tcPr>
          <w:p>
            <w:pPr>
              <w:spacing w:line="360" w:lineRule="auto"/>
              <w:jc w:val="center"/>
              <w:rPr>
                <w:sz w:val="24"/>
                <w:szCs w:val="24"/>
              </w:rPr>
            </w:pPr>
            <w:r>
              <w:rPr>
                <w:sz w:val="24"/>
                <w:szCs w:val="24"/>
              </w:rPr>
              <w:t xml:space="preserve">                          （第   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29" w:hRule="atLeast"/>
        </w:trPr>
        <w:tc>
          <w:tcPr>
            <w:tcW w:w="1836" w:type="pct"/>
            <w:vAlign w:val="center"/>
          </w:tcPr>
          <w:p>
            <w:pPr>
              <w:spacing w:line="360" w:lineRule="auto"/>
              <w:jc w:val="center"/>
              <w:rPr>
                <w:sz w:val="24"/>
                <w:szCs w:val="24"/>
              </w:rPr>
            </w:pPr>
            <w:r>
              <w:rPr>
                <w:sz w:val="24"/>
                <w:szCs w:val="24"/>
              </w:rPr>
              <w:t>投标报价</w:t>
            </w:r>
          </w:p>
          <w:p>
            <w:pPr>
              <w:spacing w:line="360" w:lineRule="auto"/>
              <w:jc w:val="center"/>
              <w:rPr>
                <w:sz w:val="24"/>
                <w:szCs w:val="24"/>
              </w:rPr>
            </w:pPr>
            <w:r>
              <w:rPr>
                <w:sz w:val="24"/>
                <w:szCs w:val="24"/>
              </w:rPr>
              <w:t>（元，人民币）</w:t>
            </w:r>
          </w:p>
        </w:tc>
        <w:tc>
          <w:tcPr>
            <w:tcW w:w="3163" w:type="pct"/>
            <w:vAlign w:val="center"/>
          </w:tcPr>
          <w:p>
            <w:pPr>
              <w:spacing w:line="360" w:lineRule="auto"/>
              <w:rPr>
                <w:sz w:val="24"/>
                <w:szCs w:val="24"/>
              </w:rPr>
            </w:pPr>
            <w:r>
              <w:rPr>
                <w:sz w:val="24"/>
                <w:szCs w:val="24"/>
              </w:rPr>
              <w:t>大写：</w:t>
            </w:r>
            <w:r>
              <w:rPr>
                <w:sz w:val="24"/>
                <w:szCs w:val="24"/>
                <w:u w:val="single"/>
              </w:rPr>
              <w:t xml:space="preserve">                            </w:t>
            </w:r>
            <w:r>
              <w:rPr>
                <w:sz w:val="24"/>
                <w:szCs w:val="24"/>
              </w:rPr>
              <w:t>（元）</w:t>
            </w:r>
          </w:p>
          <w:p>
            <w:pPr>
              <w:spacing w:line="360" w:lineRule="auto"/>
              <w:rPr>
                <w:sz w:val="24"/>
                <w:szCs w:val="24"/>
              </w:rPr>
            </w:pPr>
          </w:p>
          <w:p>
            <w:pPr>
              <w:spacing w:line="360" w:lineRule="auto"/>
              <w:rPr>
                <w:sz w:val="24"/>
                <w:szCs w:val="24"/>
              </w:rPr>
            </w:pPr>
            <w:r>
              <w:rPr>
                <w:sz w:val="24"/>
                <w:szCs w:val="24"/>
              </w:rPr>
              <w:t>小写：</w:t>
            </w:r>
            <w:r>
              <w:rPr>
                <w:sz w:val="24"/>
                <w:szCs w:val="24"/>
                <w:u w:val="single"/>
              </w:rPr>
              <w:t xml:space="preserve">                            </w:t>
            </w:r>
            <w:r>
              <w:rPr>
                <w:sz w:val="24"/>
                <w:szCs w:val="24"/>
              </w:rPr>
              <w:t>（元）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1" w:hRule="atLeast"/>
        </w:trPr>
        <w:tc>
          <w:tcPr>
            <w:tcW w:w="1836" w:type="pct"/>
            <w:vAlign w:val="center"/>
          </w:tcPr>
          <w:p>
            <w:pPr>
              <w:spacing w:line="360" w:lineRule="auto"/>
              <w:jc w:val="center"/>
              <w:rPr>
                <w:bCs/>
                <w:sz w:val="24"/>
                <w:szCs w:val="24"/>
              </w:rPr>
            </w:pPr>
            <w:r>
              <w:rPr>
                <w:bCs/>
                <w:sz w:val="24"/>
                <w:szCs w:val="24"/>
              </w:rPr>
              <w:t>交货期</w:t>
            </w:r>
          </w:p>
        </w:tc>
        <w:tc>
          <w:tcPr>
            <w:tcW w:w="3163" w:type="pct"/>
            <w:vAlign w:val="center"/>
          </w:tcPr>
          <w:p>
            <w:pPr>
              <w:spacing w:line="360" w:lineRule="auto"/>
              <w:ind w:firstLine="120" w:firstLineChars="50"/>
              <w:rPr>
                <w:sz w:val="24"/>
                <w:szCs w:val="24"/>
              </w:rPr>
            </w:pPr>
            <w:r>
              <w:rPr>
                <w:sz w:val="24"/>
                <w:szCs w:val="24"/>
                <w:u w:val="single"/>
              </w:rPr>
              <w:t xml:space="preserve">                </w:t>
            </w:r>
            <w:r>
              <w:rPr>
                <w:sz w:val="24"/>
                <w:szCs w:val="24"/>
              </w:rPr>
              <w:t>天（日历日）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1" w:hRule="atLeast"/>
        </w:trPr>
        <w:tc>
          <w:tcPr>
            <w:tcW w:w="1836" w:type="pct"/>
            <w:vAlign w:val="center"/>
          </w:tcPr>
          <w:p>
            <w:pPr>
              <w:spacing w:line="360" w:lineRule="auto"/>
              <w:jc w:val="center"/>
              <w:rPr>
                <w:bCs/>
                <w:sz w:val="24"/>
                <w:szCs w:val="24"/>
              </w:rPr>
            </w:pPr>
            <w:r>
              <w:rPr>
                <w:bCs/>
                <w:sz w:val="24"/>
                <w:szCs w:val="24"/>
              </w:rPr>
              <w:t>交货地点</w:t>
            </w:r>
          </w:p>
        </w:tc>
        <w:tc>
          <w:tcPr>
            <w:tcW w:w="3163" w:type="pct"/>
            <w:vAlign w:val="center"/>
          </w:tcPr>
          <w:p>
            <w:pPr>
              <w:spacing w:line="360" w:lineRule="auto"/>
              <w:ind w:firstLine="120" w:firstLineChars="50"/>
              <w:rPr>
                <w:sz w:val="24"/>
                <w:szCs w:val="24"/>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1" w:hRule="atLeast"/>
        </w:trPr>
        <w:tc>
          <w:tcPr>
            <w:tcW w:w="1836" w:type="pct"/>
            <w:vAlign w:val="center"/>
          </w:tcPr>
          <w:p>
            <w:pPr>
              <w:spacing w:line="360" w:lineRule="auto"/>
              <w:jc w:val="center"/>
              <w:rPr>
                <w:bCs/>
                <w:sz w:val="24"/>
                <w:szCs w:val="24"/>
              </w:rPr>
            </w:pPr>
            <w:r>
              <w:rPr>
                <w:bCs/>
                <w:sz w:val="24"/>
                <w:szCs w:val="24"/>
              </w:rPr>
              <w:t>质保期</w:t>
            </w:r>
          </w:p>
        </w:tc>
        <w:tc>
          <w:tcPr>
            <w:tcW w:w="3163" w:type="pct"/>
            <w:vAlign w:val="center"/>
          </w:tcPr>
          <w:p>
            <w:pPr>
              <w:spacing w:line="360" w:lineRule="auto"/>
              <w:ind w:firstLine="120" w:firstLineChars="50"/>
              <w:rPr>
                <w:sz w:val="24"/>
                <w:szCs w:val="24"/>
                <w:u w:val="single"/>
              </w:rPr>
            </w:pPr>
          </w:p>
        </w:tc>
      </w:tr>
    </w:tbl>
    <w:p>
      <w:pPr>
        <w:spacing w:line="700" w:lineRule="exact"/>
        <w:ind w:left="465"/>
        <w:rPr>
          <w:b/>
          <w:sz w:val="24"/>
          <w:szCs w:val="24"/>
        </w:rPr>
      </w:pPr>
      <w:r>
        <w:rPr>
          <w:b/>
          <w:sz w:val="24"/>
          <w:szCs w:val="24"/>
        </w:rPr>
        <w:t>注：1、货物采购结算数量以最终实际发生量为准。</w:t>
      </w:r>
    </w:p>
    <w:p>
      <w:pPr>
        <w:spacing w:line="700" w:lineRule="exact"/>
        <w:ind w:left="407" w:leftChars="194" w:firstLine="482" w:firstLineChars="200"/>
        <w:rPr>
          <w:b/>
          <w:sz w:val="24"/>
          <w:szCs w:val="24"/>
        </w:rPr>
      </w:pPr>
      <w:r>
        <w:rPr>
          <w:b/>
          <w:sz w:val="24"/>
          <w:szCs w:val="24"/>
        </w:rPr>
        <w:t>2、本报价为货物运达采购人指定地点，包括项目实施所需的货物费、包装运输费、装卸费、安装调试费、管理费、利润、税费及其他一切费用，并安装调试合格以及质保期内的维修维护、备品备件等费用的总报价。</w:t>
      </w:r>
    </w:p>
    <w:p>
      <w:pPr>
        <w:spacing w:line="700" w:lineRule="exact"/>
        <w:ind w:left="407" w:leftChars="194" w:firstLine="482" w:firstLineChars="200"/>
        <w:rPr>
          <w:b/>
          <w:sz w:val="24"/>
          <w:szCs w:val="24"/>
        </w:rPr>
      </w:pPr>
    </w:p>
    <w:p>
      <w:pPr>
        <w:spacing w:line="700" w:lineRule="exact"/>
        <w:ind w:left="407" w:leftChars="194" w:firstLine="482" w:firstLineChars="200"/>
        <w:rPr>
          <w:b/>
          <w:sz w:val="24"/>
          <w:szCs w:val="24"/>
        </w:rPr>
      </w:pPr>
    </w:p>
    <w:p>
      <w:pPr>
        <w:spacing w:line="360" w:lineRule="auto"/>
        <w:rPr>
          <w:sz w:val="24"/>
          <w:szCs w:val="24"/>
        </w:rPr>
      </w:pPr>
      <w:r>
        <w:rPr>
          <w:sz w:val="24"/>
          <w:szCs w:val="24"/>
        </w:rPr>
        <w:t>投标人（盖章）</w:t>
      </w:r>
    </w:p>
    <w:p>
      <w:pPr>
        <w:spacing w:line="360" w:lineRule="auto"/>
        <w:rPr>
          <w:sz w:val="24"/>
          <w:szCs w:val="24"/>
        </w:rPr>
      </w:pPr>
      <w:r>
        <w:rPr>
          <w:sz w:val="24"/>
          <w:szCs w:val="24"/>
        </w:rPr>
        <w:t>法定代表人或授权代理人（盖章）</w:t>
      </w:r>
    </w:p>
    <w:p>
      <w:pPr>
        <w:spacing w:line="360" w:lineRule="auto"/>
        <w:rPr>
          <w:sz w:val="24"/>
          <w:szCs w:val="24"/>
        </w:rPr>
      </w:pPr>
    </w:p>
    <w:p>
      <w:pPr>
        <w:spacing w:line="360" w:lineRule="auto"/>
        <w:rPr>
          <w:sz w:val="24"/>
          <w:szCs w:val="24"/>
        </w:rPr>
      </w:pPr>
    </w:p>
    <w:p>
      <w:pPr>
        <w:spacing w:line="360" w:lineRule="auto"/>
        <w:jc w:val="right"/>
        <w:rPr>
          <w:sz w:val="24"/>
          <w:szCs w:val="24"/>
        </w:rPr>
      </w:pPr>
      <w:r>
        <w:rPr>
          <w:sz w:val="24"/>
          <w:szCs w:val="24"/>
        </w:rPr>
        <w:t>日期：</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pPr>
        <w:spacing w:line="360" w:lineRule="auto"/>
        <w:jc w:val="right"/>
        <w:rPr>
          <w:sz w:val="24"/>
          <w:szCs w:val="24"/>
        </w:rPr>
      </w:pPr>
    </w:p>
    <w:p>
      <w:pPr>
        <w:spacing w:line="360" w:lineRule="auto"/>
        <w:jc w:val="right"/>
        <w:rPr>
          <w:sz w:val="24"/>
          <w:szCs w:val="24"/>
        </w:rPr>
      </w:pPr>
    </w:p>
    <w:p>
      <w:pPr>
        <w:spacing w:line="360" w:lineRule="auto"/>
        <w:jc w:val="right"/>
        <w:rPr>
          <w:sz w:val="24"/>
          <w:szCs w:val="24"/>
        </w:rPr>
      </w:pPr>
    </w:p>
    <w:p>
      <w:pPr>
        <w:spacing w:line="360" w:lineRule="auto"/>
        <w:jc w:val="right"/>
        <w:rPr>
          <w:sz w:val="24"/>
          <w:szCs w:val="24"/>
        </w:rPr>
      </w:pPr>
    </w:p>
    <w:p>
      <w:pPr>
        <w:spacing w:line="360" w:lineRule="auto"/>
        <w:jc w:val="right"/>
        <w:rPr>
          <w:sz w:val="24"/>
          <w:szCs w:val="24"/>
        </w:rPr>
      </w:pPr>
    </w:p>
    <w:p>
      <w:pPr>
        <w:spacing w:line="360" w:lineRule="auto"/>
        <w:jc w:val="right"/>
        <w:rPr>
          <w:b/>
          <w:sz w:val="24"/>
          <w:szCs w:val="24"/>
        </w:rPr>
      </w:pPr>
    </w:p>
    <w:bookmarkEnd w:id="89"/>
    <w:p>
      <w:pPr>
        <w:numPr>
          <w:ilvl w:val="0"/>
          <w:numId w:val="13"/>
        </w:numPr>
        <w:jc w:val="center"/>
        <w:rPr>
          <w:b/>
          <w:bCs/>
          <w:sz w:val="30"/>
          <w:szCs w:val="30"/>
        </w:rPr>
      </w:pPr>
      <w:bookmarkStart w:id="90" w:name="_Toc13384"/>
      <w:bookmarkStart w:id="91" w:name="_Toc27084"/>
      <w:r>
        <w:rPr>
          <w:b/>
          <w:bCs/>
          <w:sz w:val="30"/>
          <w:szCs w:val="30"/>
        </w:rPr>
        <w:t>分项报价明细表</w:t>
      </w:r>
      <w:bookmarkEnd w:id="90"/>
      <w:bookmarkEnd w:id="91"/>
    </w:p>
    <w:p>
      <w:pPr>
        <w:spacing w:line="400" w:lineRule="exact"/>
        <w:rPr>
          <w:b/>
          <w:bCs/>
          <w:sz w:val="24"/>
          <w:szCs w:val="24"/>
        </w:rPr>
      </w:pPr>
      <w:r>
        <w:rPr>
          <w:sz w:val="24"/>
          <w:szCs w:val="24"/>
        </w:rPr>
        <w:t xml:space="preserve">                                   </w:t>
      </w:r>
    </w:p>
    <w:tbl>
      <w:tblPr>
        <w:tblStyle w:val="18"/>
        <w:tblW w:w="0" w:type="auto"/>
        <w:tblInd w:w="-233" w:type="dxa"/>
        <w:tblLayout w:type="fixed"/>
        <w:tblCellMar>
          <w:top w:w="0" w:type="dxa"/>
          <w:left w:w="108" w:type="dxa"/>
          <w:bottom w:w="0" w:type="dxa"/>
          <w:right w:w="108" w:type="dxa"/>
        </w:tblCellMar>
      </w:tblPr>
      <w:tblGrid>
        <w:gridCol w:w="487"/>
        <w:gridCol w:w="1605"/>
        <w:gridCol w:w="2113"/>
        <w:gridCol w:w="804"/>
        <w:gridCol w:w="240"/>
        <w:gridCol w:w="800"/>
        <w:gridCol w:w="804"/>
        <w:gridCol w:w="804"/>
        <w:gridCol w:w="699"/>
        <w:gridCol w:w="511"/>
      </w:tblGrid>
      <w:tr>
        <w:tblPrEx>
          <w:tblCellMar>
            <w:top w:w="0" w:type="dxa"/>
            <w:left w:w="108" w:type="dxa"/>
            <w:bottom w:w="0" w:type="dxa"/>
            <w:right w:w="108" w:type="dxa"/>
          </w:tblCellMar>
        </w:tblPrEx>
        <w:trPr>
          <w:trHeight w:val="711" w:hRule="atLeast"/>
        </w:trPr>
        <w:tc>
          <w:tcPr>
            <w:tcW w:w="487"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rPr>
            </w:pPr>
            <w:r>
              <w:rPr>
                <w:rFonts w:eastAsia="仿宋_GB2312"/>
              </w:rPr>
              <w:t>序号</w:t>
            </w:r>
          </w:p>
        </w:tc>
        <w:tc>
          <w:tcPr>
            <w:tcW w:w="1605" w:type="dxa"/>
            <w:tcBorders>
              <w:top w:val="single" w:color="auto" w:sz="4" w:space="0"/>
              <w:left w:val="nil"/>
              <w:bottom w:val="single" w:color="auto" w:sz="4" w:space="0"/>
              <w:right w:val="single" w:color="auto" w:sz="4" w:space="0"/>
            </w:tcBorders>
            <w:vAlign w:val="center"/>
          </w:tcPr>
          <w:p>
            <w:pPr>
              <w:widowControl/>
              <w:jc w:val="center"/>
              <w:rPr>
                <w:rFonts w:eastAsia="仿宋_GB2312"/>
              </w:rPr>
            </w:pPr>
            <w:r>
              <w:rPr>
                <w:rFonts w:eastAsia="仿宋_GB2312"/>
              </w:rPr>
              <w:t>名称</w:t>
            </w:r>
          </w:p>
        </w:tc>
        <w:tc>
          <w:tcPr>
            <w:tcW w:w="2113" w:type="dxa"/>
            <w:tcBorders>
              <w:top w:val="single" w:color="auto" w:sz="4" w:space="0"/>
              <w:left w:val="nil"/>
              <w:bottom w:val="single" w:color="auto" w:sz="4" w:space="0"/>
              <w:right w:val="single" w:color="auto" w:sz="4" w:space="0"/>
            </w:tcBorders>
            <w:vAlign w:val="center"/>
          </w:tcPr>
          <w:p>
            <w:pPr>
              <w:widowControl/>
              <w:jc w:val="center"/>
              <w:rPr>
                <w:rFonts w:eastAsia="仿宋_GB2312"/>
              </w:rPr>
            </w:pPr>
            <w:r>
              <w:rPr>
                <w:rFonts w:eastAsia="仿宋_GB2312"/>
              </w:rPr>
              <w:t>生产厂家、规格型号</w:t>
            </w:r>
          </w:p>
        </w:tc>
        <w:tc>
          <w:tcPr>
            <w:tcW w:w="1044"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rPr>
            </w:pPr>
            <w:r>
              <w:rPr>
                <w:rFonts w:eastAsia="仿宋_GB2312"/>
              </w:rPr>
              <w:t>数量</w:t>
            </w:r>
          </w:p>
        </w:tc>
        <w:tc>
          <w:tcPr>
            <w:tcW w:w="800" w:type="dxa"/>
            <w:tcBorders>
              <w:top w:val="single" w:color="auto" w:sz="4" w:space="0"/>
              <w:left w:val="nil"/>
              <w:bottom w:val="single" w:color="auto" w:sz="4" w:space="0"/>
              <w:right w:val="single" w:color="auto" w:sz="4" w:space="0"/>
            </w:tcBorders>
            <w:vAlign w:val="center"/>
          </w:tcPr>
          <w:p>
            <w:pPr>
              <w:widowControl/>
              <w:jc w:val="center"/>
              <w:rPr>
                <w:rFonts w:eastAsia="仿宋_GB2312"/>
              </w:rPr>
            </w:pPr>
            <w:r>
              <w:rPr>
                <w:rFonts w:eastAsia="仿宋_GB2312"/>
              </w:rPr>
              <w:t>品牌</w:t>
            </w:r>
          </w:p>
        </w:tc>
        <w:tc>
          <w:tcPr>
            <w:tcW w:w="804" w:type="dxa"/>
            <w:tcBorders>
              <w:top w:val="single" w:color="auto" w:sz="4" w:space="0"/>
              <w:left w:val="nil"/>
              <w:bottom w:val="single" w:color="auto" w:sz="4" w:space="0"/>
              <w:right w:val="single" w:color="auto" w:sz="4" w:space="0"/>
            </w:tcBorders>
            <w:vAlign w:val="center"/>
          </w:tcPr>
          <w:p>
            <w:pPr>
              <w:widowControl/>
              <w:jc w:val="center"/>
              <w:rPr>
                <w:rFonts w:eastAsia="仿宋_GB2312"/>
              </w:rPr>
            </w:pPr>
            <w:r>
              <w:rPr>
                <w:rFonts w:hint="eastAsia" w:eastAsia="仿宋_GB2312"/>
              </w:rPr>
              <w:t>产地</w:t>
            </w:r>
          </w:p>
        </w:tc>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rPr>
            </w:pPr>
            <w:r>
              <w:rPr>
                <w:rFonts w:eastAsia="仿宋_GB2312"/>
              </w:rPr>
              <w:t>单价</w:t>
            </w:r>
          </w:p>
        </w:tc>
        <w:tc>
          <w:tcPr>
            <w:tcW w:w="699" w:type="dxa"/>
            <w:tcBorders>
              <w:top w:val="single" w:color="auto" w:sz="4" w:space="0"/>
              <w:left w:val="nil"/>
              <w:bottom w:val="single" w:color="auto" w:sz="4" w:space="0"/>
              <w:right w:val="single" w:color="auto" w:sz="4" w:space="0"/>
            </w:tcBorders>
            <w:vAlign w:val="center"/>
          </w:tcPr>
          <w:p>
            <w:pPr>
              <w:widowControl/>
              <w:jc w:val="center"/>
              <w:rPr>
                <w:rFonts w:eastAsia="仿宋_GB2312"/>
              </w:rPr>
            </w:pPr>
            <w:r>
              <w:rPr>
                <w:rFonts w:eastAsia="仿宋_GB2312"/>
              </w:rPr>
              <w:t>合计</w:t>
            </w:r>
          </w:p>
        </w:tc>
        <w:tc>
          <w:tcPr>
            <w:tcW w:w="511" w:type="dxa"/>
            <w:tcBorders>
              <w:top w:val="single" w:color="auto" w:sz="4" w:space="0"/>
              <w:left w:val="nil"/>
              <w:bottom w:val="single" w:color="auto" w:sz="4" w:space="0"/>
              <w:right w:val="single" w:color="auto" w:sz="4" w:space="0"/>
            </w:tcBorders>
            <w:vAlign w:val="center"/>
          </w:tcPr>
          <w:p>
            <w:pPr>
              <w:widowControl/>
              <w:jc w:val="center"/>
              <w:rPr>
                <w:rFonts w:eastAsia="仿宋_GB2312"/>
                <w:sz w:val="18"/>
                <w:szCs w:val="18"/>
              </w:rPr>
            </w:pPr>
            <w:r>
              <w:rPr>
                <w:rFonts w:eastAsia="仿宋_GB2312"/>
              </w:rPr>
              <w:t>备注</w:t>
            </w:r>
          </w:p>
        </w:tc>
      </w:tr>
      <w:tr>
        <w:tblPrEx>
          <w:tblCellMar>
            <w:top w:w="0" w:type="dxa"/>
            <w:left w:w="108" w:type="dxa"/>
            <w:bottom w:w="0" w:type="dxa"/>
            <w:right w:w="108" w:type="dxa"/>
          </w:tblCellMar>
        </w:tblPrEx>
        <w:trPr>
          <w:trHeight w:val="373" w:hRule="atLeast"/>
        </w:trPr>
        <w:tc>
          <w:tcPr>
            <w:tcW w:w="487"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eastAsia="仿宋_GB2312"/>
                <w:b/>
                <w:bCs/>
              </w:rPr>
            </w:pPr>
          </w:p>
        </w:tc>
        <w:tc>
          <w:tcPr>
            <w:tcW w:w="1605" w:type="dxa"/>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rPr>
            </w:pPr>
          </w:p>
        </w:tc>
        <w:tc>
          <w:tcPr>
            <w:tcW w:w="2113" w:type="dxa"/>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rPr>
            </w:pPr>
          </w:p>
        </w:tc>
        <w:tc>
          <w:tcPr>
            <w:tcW w:w="1044" w:type="dxa"/>
            <w:gridSpan w:val="2"/>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rPr>
            </w:pPr>
          </w:p>
        </w:tc>
        <w:tc>
          <w:tcPr>
            <w:tcW w:w="800" w:type="dxa"/>
            <w:tcBorders>
              <w:top w:val="nil"/>
              <w:left w:val="nil"/>
              <w:bottom w:val="single" w:color="auto" w:sz="4" w:space="0"/>
              <w:right w:val="single" w:color="auto" w:sz="4" w:space="0"/>
            </w:tcBorders>
            <w:vAlign w:val="center"/>
          </w:tcPr>
          <w:p>
            <w:pPr>
              <w:widowControl/>
            </w:pPr>
          </w:p>
        </w:tc>
        <w:tc>
          <w:tcPr>
            <w:tcW w:w="804" w:type="dxa"/>
            <w:tcBorders>
              <w:top w:val="nil"/>
              <w:left w:val="nil"/>
              <w:bottom w:val="single" w:color="auto" w:sz="4" w:space="0"/>
              <w:right w:val="single" w:color="auto" w:sz="4" w:space="0"/>
            </w:tcBorders>
          </w:tcPr>
          <w:p>
            <w:pPr>
              <w:widowControl/>
            </w:pPr>
          </w:p>
        </w:tc>
        <w:tc>
          <w:tcPr>
            <w:tcW w:w="804" w:type="dxa"/>
            <w:tcBorders>
              <w:top w:val="nil"/>
              <w:left w:val="single" w:color="auto" w:sz="4" w:space="0"/>
              <w:bottom w:val="single" w:color="auto" w:sz="4" w:space="0"/>
              <w:right w:val="single" w:color="auto" w:sz="4" w:space="0"/>
            </w:tcBorders>
            <w:vAlign w:val="center"/>
          </w:tcPr>
          <w:p>
            <w:pPr>
              <w:widowControl/>
            </w:pPr>
          </w:p>
        </w:tc>
        <w:tc>
          <w:tcPr>
            <w:tcW w:w="699" w:type="dxa"/>
            <w:tcBorders>
              <w:top w:val="nil"/>
              <w:left w:val="nil"/>
              <w:bottom w:val="single" w:color="auto" w:sz="4" w:space="0"/>
              <w:right w:val="single" w:color="auto" w:sz="4" w:space="0"/>
            </w:tcBorders>
            <w:vAlign w:val="center"/>
          </w:tcPr>
          <w:p>
            <w:pPr>
              <w:widowControl/>
              <w:jc w:val="center"/>
            </w:pPr>
          </w:p>
        </w:tc>
        <w:tc>
          <w:tcPr>
            <w:tcW w:w="511" w:type="dxa"/>
            <w:tcBorders>
              <w:top w:val="nil"/>
              <w:left w:val="nil"/>
              <w:bottom w:val="single" w:color="auto" w:sz="4" w:space="0"/>
              <w:right w:val="single" w:color="auto" w:sz="4" w:space="0"/>
            </w:tcBorders>
            <w:vAlign w:val="center"/>
          </w:tcPr>
          <w:p>
            <w:pPr>
              <w:widowControl/>
              <w:jc w:val="cente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shd w:val="clear" w:color="auto" w:fill="auto"/>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shd w:val="clear" w:color="auto" w:fill="auto"/>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shd w:val="clear" w:color="auto" w:fill="auto"/>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shd w:val="clear" w:color="auto" w:fill="FFFFFF"/>
            <w:vAlign w:val="center"/>
          </w:tcPr>
          <w:p>
            <w:pPr>
              <w:widowControl/>
              <w:jc w:val="center"/>
              <w:rPr>
                <w:rFonts w:eastAsia="仿宋_GB2312"/>
                <w:b/>
                <w:bCs/>
              </w:rPr>
            </w:pPr>
          </w:p>
        </w:tc>
        <w:tc>
          <w:tcPr>
            <w:tcW w:w="804" w:type="dxa"/>
            <w:tcBorders>
              <w:top w:val="nil"/>
              <w:left w:val="nil"/>
              <w:bottom w:val="single" w:color="auto" w:sz="4" w:space="0"/>
              <w:right w:val="single" w:color="auto" w:sz="4" w:space="0"/>
            </w:tcBorders>
            <w:shd w:val="clear" w:color="auto" w:fill="FFFFFF"/>
          </w:tcPr>
          <w:p>
            <w:pPr>
              <w:widowControl/>
              <w:jc w:val="center"/>
              <w:rPr>
                <w:rFonts w:eastAsia="仿宋_GB2312"/>
              </w:rPr>
            </w:pPr>
          </w:p>
        </w:tc>
        <w:tc>
          <w:tcPr>
            <w:tcW w:w="804" w:type="dxa"/>
            <w:tcBorders>
              <w:top w:val="nil"/>
              <w:left w:val="single" w:color="auto" w:sz="4" w:space="0"/>
              <w:bottom w:val="single" w:color="auto" w:sz="4" w:space="0"/>
              <w:right w:val="single" w:color="auto" w:sz="4" w:space="0"/>
            </w:tcBorders>
            <w:shd w:val="clear" w:color="auto" w:fill="FFFFFF"/>
            <w:vAlign w:val="center"/>
          </w:tcPr>
          <w:p>
            <w:pPr>
              <w:widowControl/>
              <w:jc w:val="center"/>
              <w:rPr>
                <w:rFonts w:eastAsia="仿宋_GB2312"/>
              </w:rPr>
            </w:pPr>
          </w:p>
        </w:tc>
        <w:tc>
          <w:tcPr>
            <w:tcW w:w="699" w:type="dxa"/>
            <w:tcBorders>
              <w:top w:val="nil"/>
              <w:left w:val="nil"/>
              <w:bottom w:val="single" w:color="auto" w:sz="4" w:space="0"/>
              <w:right w:val="single" w:color="auto" w:sz="4" w:space="0"/>
            </w:tcBorders>
            <w:shd w:val="clear" w:color="auto" w:fill="FFFFFF"/>
            <w:vAlign w:val="center"/>
          </w:tcPr>
          <w:p>
            <w:pPr>
              <w:widowControl/>
              <w:jc w:val="center"/>
              <w:rPr>
                <w:szCs w:val="21"/>
              </w:rPr>
            </w:pPr>
          </w:p>
        </w:tc>
        <w:tc>
          <w:tcPr>
            <w:tcW w:w="511" w:type="dxa"/>
            <w:tcBorders>
              <w:top w:val="nil"/>
              <w:left w:val="nil"/>
              <w:bottom w:val="single" w:color="auto" w:sz="4" w:space="0"/>
              <w:right w:val="single" w:color="auto" w:sz="4" w:space="0"/>
            </w:tcBorders>
            <w:shd w:val="clear" w:color="auto" w:fill="FFFFFF"/>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355"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1605"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2113"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1044"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0" w:type="dxa"/>
            <w:tcBorders>
              <w:top w:val="nil"/>
              <w:left w:val="nil"/>
              <w:bottom w:val="single" w:color="auto" w:sz="4" w:space="0"/>
              <w:right w:val="single" w:color="auto" w:sz="4" w:space="0"/>
            </w:tcBorders>
            <w:vAlign w:val="center"/>
          </w:tcPr>
          <w:p>
            <w:pPr>
              <w:widowControl/>
              <w:jc w:val="center"/>
              <w:rPr>
                <w:rFonts w:eastAsia="仿宋_GB2312"/>
                <w:sz w:val="20"/>
              </w:rPr>
            </w:pPr>
          </w:p>
        </w:tc>
        <w:tc>
          <w:tcPr>
            <w:tcW w:w="804" w:type="dxa"/>
            <w:tcBorders>
              <w:top w:val="nil"/>
              <w:left w:val="nil"/>
              <w:bottom w:val="single" w:color="auto" w:sz="4" w:space="0"/>
              <w:right w:val="single" w:color="auto" w:sz="4" w:space="0"/>
            </w:tcBorders>
          </w:tcPr>
          <w:p>
            <w:pPr>
              <w:widowControl/>
              <w:jc w:val="center"/>
              <w:rPr>
                <w:rFonts w:eastAsia="仿宋_GB2312"/>
                <w:sz w:val="20"/>
              </w:rPr>
            </w:pPr>
          </w:p>
        </w:tc>
        <w:tc>
          <w:tcPr>
            <w:tcW w:w="804" w:type="dxa"/>
            <w:tcBorders>
              <w:top w:val="nil"/>
              <w:left w:val="single" w:color="auto" w:sz="4" w:space="0"/>
              <w:bottom w:val="single" w:color="auto" w:sz="4" w:space="0"/>
              <w:right w:val="single" w:color="auto" w:sz="4" w:space="0"/>
            </w:tcBorders>
            <w:vAlign w:val="center"/>
          </w:tcPr>
          <w:p>
            <w:pPr>
              <w:widowControl/>
              <w:jc w:val="center"/>
              <w:rPr>
                <w:rFonts w:eastAsia="仿宋_GB2312"/>
                <w:sz w:val="20"/>
              </w:rPr>
            </w:pPr>
          </w:p>
        </w:tc>
        <w:tc>
          <w:tcPr>
            <w:tcW w:w="699" w:type="dxa"/>
            <w:tcBorders>
              <w:top w:val="nil"/>
              <w:left w:val="nil"/>
              <w:bottom w:val="single" w:color="auto" w:sz="4" w:space="0"/>
              <w:right w:val="single" w:color="auto" w:sz="4" w:space="0"/>
            </w:tcBorders>
            <w:vAlign w:val="center"/>
          </w:tcPr>
          <w:p>
            <w:pPr>
              <w:widowControl/>
              <w:jc w:val="center"/>
              <w:rPr>
                <w:szCs w:val="21"/>
              </w:rPr>
            </w:pPr>
          </w:p>
        </w:tc>
        <w:tc>
          <w:tcPr>
            <w:tcW w:w="511" w:type="dxa"/>
            <w:tcBorders>
              <w:top w:val="nil"/>
              <w:left w:val="nil"/>
              <w:bottom w:val="single" w:color="auto" w:sz="4" w:space="0"/>
              <w:right w:val="single" w:color="auto" w:sz="4" w:space="0"/>
            </w:tcBorders>
            <w:vAlign w:val="center"/>
          </w:tcPr>
          <w:p>
            <w:pPr>
              <w:widowControl/>
              <w:jc w:val="center"/>
              <w:rPr>
                <w:szCs w:val="21"/>
              </w:rPr>
            </w:pPr>
          </w:p>
        </w:tc>
      </w:tr>
      <w:tr>
        <w:tblPrEx>
          <w:tblCellMar>
            <w:top w:w="0" w:type="dxa"/>
            <w:left w:w="108" w:type="dxa"/>
            <w:bottom w:w="0" w:type="dxa"/>
            <w:right w:w="108" w:type="dxa"/>
          </w:tblCellMar>
        </w:tblPrEx>
        <w:trPr>
          <w:trHeight w:val="561" w:hRule="atLeast"/>
        </w:trPr>
        <w:tc>
          <w:tcPr>
            <w:tcW w:w="487" w:type="dxa"/>
            <w:tcBorders>
              <w:top w:val="nil"/>
              <w:left w:val="single" w:color="auto" w:sz="4" w:space="0"/>
              <w:bottom w:val="single" w:color="auto" w:sz="4" w:space="0"/>
              <w:right w:val="single" w:color="auto" w:sz="4" w:space="0"/>
            </w:tcBorders>
            <w:vAlign w:val="center"/>
          </w:tcPr>
          <w:p>
            <w:pPr>
              <w:widowControl/>
              <w:jc w:val="center"/>
              <w:rPr>
                <w:rFonts w:eastAsia="仿宋_GB2312"/>
              </w:rPr>
            </w:pPr>
          </w:p>
        </w:tc>
        <w:tc>
          <w:tcPr>
            <w:tcW w:w="3718" w:type="dxa"/>
            <w:gridSpan w:val="2"/>
            <w:tcBorders>
              <w:top w:val="nil"/>
              <w:left w:val="nil"/>
              <w:bottom w:val="single" w:color="auto" w:sz="4" w:space="0"/>
              <w:right w:val="single" w:color="auto" w:sz="4" w:space="0"/>
            </w:tcBorders>
            <w:vAlign w:val="center"/>
          </w:tcPr>
          <w:p>
            <w:pPr>
              <w:widowControl/>
              <w:jc w:val="center"/>
              <w:rPr>
                <w:rFonts w:eastAsia="仿宋_GB2312"/>
                <w:sz w:val="20"/>
              </w:rPr>
            </w:pPr>
            <w:r>
              <w:rPr>
                <w:sz w:val="24"/>
              </w:rPr>
              <w:t>分项报价合计（元）</w:t>
            </w:r>
          </w:p>
        </w:tc>
        <w:tc>
          <w:tcPr>
            <w:tcW w:w="804" w:type="dxa"/>
            <w:tcBorders>
              <w:top w:val="nil"/>
              <w:left w:val="nil"/>
              <w:bottom w:val="single" w:color="auto" w:sz="4" w:space="0"/>
              <w:right w:val="nil"/>
            </w:tcBorders>
          </w:tcPr>
          <w:p>
            <w:pPr>
              <w:widowControl/>
              <w:jc w:val="center"/>
              <w:rPr>
                <w:szCs w:val="21"/>
              </w:rPr>
            </w:pPr>
          </w:p>
        </w:tc>
        <w:tc>
          <w:tcPr>
            <w:tcW w:w="3858" w:type="dxa"/>
            <w:gridSpan w:val="6"/>
            <w:tcBorders>
              <w:top w:val="nil"/>
              <w:left w:val="nil"/>
              <w:bottom w:val="single" w:color="auto" w:sz="4" w:space="0"/>
              <w:right w:val="single" w:color="auto" w:sz="4" w:space="0"/>
            </w:tcBorders>
            <w:vAlign w:val="center"/>
          </w:tcPr>
          <w:p>
            <w:pPr>
              <w:widowControl/>
              <w:jc w:val="center"/>
              <w:rPr>
                <w:szCs w:val="21"/>
              </w:rPr>
            </w:pPr>
          </w:p>
        </w:tc>
      </w:tr>
    </w:tbl>
    <w:p>
      <w:pPr>
        <w:spacing w:line="400" w:lineRule="exact"/>
        <w:ind w:left="840" w:hanging="840" w:hangingChars="350"/>
        <w:rPr>
          <w:bCs/>
          <w:sz w:val="24"/>
          <w:szCs w:val="24"/>
        </w:rPr>
      </w:pPr>
      <w:r>
        <w:rPr>
          <w:sz w:val="24"/>
          <w:szCs w:val="24"/>
        </w:rPr>
        <w:t>注：1、投标人必须按“</w:t>
      </w:r>
      <w:r>
        <w:rPr>
          <w:bCs/>
          <w:sz w:val="24"/>
          <w:szCs w:val="24"/>
        </w:rPr>
        <w:t>分项报价明细表”的格式</w:t>
      </w:r>
      <w:r>
        <w:rPr>
          <w:sz w:val="24"/>
          <w:szCs w:val="24"/>
        </w:rPr>
        <w:t>详细报出投标总价的各个组成部分的报价，否则作无效投标处理。</w:t>
      </w:r>
    </w:p>
    <w:p>
      <w:pPr>
        <w:spacing w:line="400" w:lineRule="exact"/>
        <w:jc w:val="left"/>
        <w:rPr>
          <w:bCs/>
          <w:sz w:val="24"/>
          <w:szCs w:val="24"/>
        </w:rPr>
      </w:pPr>
      <w:r>
        <w:rPr>
          <w:b/>
          <w:bCs/>
          <w:sz w:val="24"/>
          <w:szCs w:val="24"/>
        </w:rPr>
        <w:t xml:space="preserve">   </w:t>
      </w:r>
      <w:r>
        <w:rPr>
          <w:bCs/>
          <w:sz w:val="24"/>
          <w:szCs w:val="24"/>
        </w:rPr>
        <w:t xml:space="preserve"> 2、</w:t>
      </w:r>
      <w:r>
        <w:rPr>
          <w:sz w:val="24"/>
          <w:szCs w:val="24"/>
        </w:rPr>
        <w:t>“</w:t>
      </w:r>
      <w:r>
        <w:rPr>
          <w:bCs/>
          <w:sz w:val="24"/>
          <w:szCs w:val="24"/>
        </w:rPr>
        <w:t>分项报价明细表”各分项报价合计应当与“开标一览表”报价合计相等。</w:t>
      </w:r>
    </w:p>
    <w:p>
      <w:pPr>
        <w:spacing w:line="400" w:lineRule="exact"/>
        <w:ind w:firstLine="480" w:firstLineChars="200"/>
        <w:rPr>
          <w:sz w:val="24"/>
          <w:szCs w:val="24"/>
        </w:rPr>
      </w:pPr>
      <w:r>
        <w:rPr>
          <w:rFonts w:hint="eastAsia"/>
          <w:bCs/>
          <w:sz w:val="24"/>
          <w:szCs w:val="24"/>
        </w:rPr>
        <w:t>3</w:t>
      </w:r>
      <w:r>
        <w:rPr>
          <w:bCs/>
          <w:sz w:val="24"/>
          <w:szCs w:val="24"/>
        </w:rPr>
        <w:t>、</w:t>
      </w:r>
      <w:r>
        <w:rPr>
          <w:sz w:val="24"/>
          <w:szCs w:val="24"/>
        </w:rPr>
        <w:t>各项货物详细技术规格、参数及要求，应另页描述。</w:t>
      </w:r>
    </w:p>
    <w:p>
      <w:pPr>
        <w:spacing w:line="400" w:lineRule="exact"/>
        <w:ind w:left="420" w:leftChars="200" w:firstLine="480" w:firstLineChars="200"/>
        <w:rPr>
          <w:sz w:val="24"/>
          <w:szCs w:val="24"/>
        </w:rPr>
      </w:pPr>
    </w:p>
    <w:p>
      <w:pPr>
        <w:adjustRightInd w:val="0"/>
        <w:spacing w:line="400" w:lineRule="exact"/>
        <w:ind w:firstLine="560" w:firstLineChars="200"/>
        <w:jc w:val="left"/>
        <w:rPr>
          <w:sz w:val="28"/>
        </w:rPr>
      </w:pPr>
    </w:p>
    <w:p>
      <w:pPr>
        <w:spacing w:line="360" w:lineRule="auto"/>
        <w:rPr>
          <w:sz w:val="24"/>
          <w:szCs w:val="24"/>
        </w:rPr>
      </w:pPr>
      <w:r>
        <w:rPr>
          <w:sz w:val="24"/>
          <w:szCs w:val="24"/>
        </w:rPr>
        <w:t>投标人（盖章）</w:t>
      </w:r>
    </w:p>
    <w:p>
      <w:pPr>
        <w:spacing w:line="360" w:lineRule="auto"/>
        <w:rPr>
          <w:sz w:val="24"/>
          <w:szCs w:val="24"/>
        </w:rPr>
      </w:pPr>
      <w:r>
        <w:rPr>
          <w:sz w:val="24"/>
          <w:szCs w:val="24"/>
        </w:rPr>
        <w:t>法定代表人或授权代理人（盖章）</w:t>
      </w:r>
    </w:p>
    <w:p>
      <w:pPr>
        <w:spacing w:line="360" w:lineRule="auto"/>
        <w:rPr>
          <w:sz w:val="24"/>
          <w:szCs w:val="24"/>
        </w:rPr>
      </w:pPr>
    </w:p>
    <w:p>
      <w:pPr>
        <w:spacing w:line="360" w:lineRule="auto"/>
        <w:rPr>
          <w:sz w:val="24"/>
          <w:szCs w:val="24"/>
        </w:rPr>
      </w:pPr>
    </w:p>
    <w:p>
      <w:pPr>
        <w:spacing w:line="360" w:lineRule="auto"/>
        <w:jc w:val="right"/>
        <w:rPr>
          <w:sz w:val="24"/>
          <w:szCs w:val="24"/>
        </w:rPr>
      </w:pPr>
      <w:r>
        <w:rPr>
          <w:sz w:val="24"/>
          <w:szCs w:val="24"/>
        </w:rPr>
        <w:t>日期：</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pPr>
        <w:pStyle w:val="6"/>
      </w:pPr>
      <w:bookmarkStart w:id="92" w:name="_Toc217446088"/>
      <w:r>
        <w:br w:type="page"/>
      </w:r>
    </w:p>
    <w:bookmarkEnd w:id="92"/>
    <w:p>
      <w:pPr>
        <w:numPr>
          <w:ilvl w:val="0"/>
          <w:numId w:val="13"/>
        </w:numPr>
        <w:jc w:val="center"/>
        <w:rPr>
          <w:b/>
          <w:bCs/>
          <w:sz w:val="30"/>
          <w:szCs w:val="30"/>
        </w:rPr>
      </w:pPr>
      <w:bookmarkStart w:id="93" w:name="_Toc3886"/>
      <w:bookmarkStart w:id="94" w:name="_Toc28864"/>
      <w:r>
        <w:rPr>
          <w:b/>
          <w:bCs/>
          <w:sz w:val="30"/>
          <w:szCs w:val="30"/>
        </w:rPr>
        <w:t>资格证明材料</w:t>
      </w:r>
      <w:bookmarkEnd w:id="93"/>
      <w:bookmarkEnd w:id="94"/>
    </w:p>
    <w:p>
      <w:pPr>
        <w:pStyle w:val="23"/>
        <w:tabs>
          <w:tab w:val="left" w:pos="710"/>
        </w:tabs>
        <w:autoSpaceDE w:val="0"/>
        <w:autoSpaceDN w:val="0"/>
        <w:spacing w:before="213"/>
        <w:ind w:left="709" w:firstLine="0" w:firstLineChars="0"/>
        <w:rPr>
          <w:b/>
          <w:sz w:val="24"/>
        </w:rPr>
      </w:pPr>
      <w:r>
        <w:rPr>
          <w:b/>
          <w:sz w:val="24"/>
        </w:rPr>
        <w:t>注：以上复印件均需要加盖投标投标人公章。</w:t>
      </w:r>
    </w:p>
    <w:p>
      <w:pPr>
        <w:pStyle w:val="23"/>
        <w:numPr>
          <w:ilvl w:val="0"/>
          <w:numId w:val="14"/>
        </w:numPr>
        <w:tabs>
          <w:tab w:val="left" w:pos="590"/>
        </w:tabs>
        <w:autoSpaceDE w:val="0"/>
        <w:autoSpaceDN w:val="0"/>
        <w:spacing w:line="400" w:lineRule="exact"/>
        <w:ind w:hanging="361" w:firstLineChars="0"/>
        <w:rPr>
          <w:sz w:val="24"/>
        </w:rPr>
      </w:pPr>
      <w:r>
        <w:rPr>
          <w:sz w:val="24"/>
        </w:rPr>
        <w:t>投标人基本情况表</w:t>
      </w:r>
    </w:p>
    <w:p>
      <w:pPr>
        <w:pStyle w:val="23"/>
        <w:numPr>
          <w:ilvl w:val="0"/>
          <w:numId w:val="14"/>
        </w:numPr>
        <w:tabs>
          <w:tab w:val="left" w:pos="590"/>
        </w:tabs>
        <w:autoSpaceDE w:val="0"/>
        <w:autoSpaceDN w:val="0"/>
        <w:spacing w:line="400" w:lineRule="exact"/>
        <w:ind w:hanging="361" w:firstLineChars="0"/>
        <w:rPr>
          <w:sz w:val="24"/>
        </w:rPr>
      </w:pPr>
      <w:r>
        <w:rPr>
          <w:sz w:val="24"/>
        </w:rPr>
        <w:t>联合体协议（如有）</w:t>
      </w:r>
    </w:p>
    <w:p>
      <w:pPr>
        <w:pStyle w:val="23"/>
        <w:numPr>
          <w:ilvl w:val="0"/>
          <w:numId w:val="14"/>
        </w:numPr>
        <w:tabs>
          <w:tab w:val="left" w:pos="590"/>
        </w:tabs>
        <w:autoSpaceDE w:val="0"/>
        <w:autoSpaceDN w:val="0"/>
        <w:spacing w:line="400" w:lineRule="exact"/>
        <w:ind w:hanging="361" w:firstLineChars="0"/>
        <w:rPr>
          <w:sz w:val="24"/>
        </w:rPr>
      </w:pPr>
      <w:r>
        <w:rPr>
          <w:sz w:val="24"/>
        </w:rPr>
        <w:t>营业执照复印件</w:t>
      </w:r>
    </w:p>
    <w:p>
      <w:pPr>
        <w:pStyle w:val="23"/>
        <w:numPr>
          <w:ilvl w:val="0"/>
          <w:numId w:val="14"/>
        </w:numPr>
        <w:tabs>
          <w:tab w:val="left" w:pos="590"/>
        </w:tabs>
        <w:autoSpaceDE w:val="0"/>
        <w:autoSpaceDN w:val="0"/>
        <w:spacing w:line="400" w:lineRule="exact"/>
        <w:ind w:hanging="361" w:firstLineChars="0"/>
        <w:rPr>
          <w:sz w:val="24"/>
        </w:rPr>
      </w:pPr>
      <w:r>
        <w:rPr>
          <w:rFonts w:hint="eastAsia"/>
          <w:sz w:val="24"/>
        </w:rPr>
        <w:t>投标保证金缴纳凭证（投标保证金收据或汇款凭证）</w:t>
      </w:r>
    </w:p>
    <w:p>
      <w:pPr>
        <w:pStyle w:val="23"/>
        <w:numPr>
          <w:ilvl w:val="0"/>
          <w:numId w:val="14"/>
        </w:numPr>
        <w:tabs>
          <w:tab w:val="left" w:pos="590"/>
        </w:tabs>
        <w:autoSpaceDE w:val="0"/>
        <w:autoSpaceDN w:val="0"/>
        <w:spacing w:line="400" w:lineRule="exact"/>
        <w:ind w:hanging="361" w:firstLineChars="0"/>
        <w:rPr>
          <w:sz w:val="24"/>
        </w:rPr>
      </w:pPr>
      <w:r>
        <w:rPr>
          <w:sz w:val="24"/>
        </w:rPr>
        <w:t>提供税务登记证或依法缴纳税收证明材料的复印件</w:t>
      </w:r>
    </w:p>
    <w:p>
      <w:pPr>
        <w:pStyle w:val="23"/>
        <w:numPr>
          <w:ilvl w:val="0"/>
          <w:numId w:val="14"/>
        </w:numPr>
        <w:tabs>
          <w:tab w:val="left" w:pos="590"/>
        </w:tabs>
        <w:autoSpaceDE w:val="0"/>
        <w:autoSpaceDN w:val="0"/>
        <w:spacing w:line="400" w:lineRule="exact"/>
        <w:ind w:hanging="361" w:firstLineChars="0"/>
        <w:rPr>
          <w:sz w:val="24"/>
        </w:rPr>
      </w:pPr>
      <w:r>
        <w:rPr>
          <w:sz w:val="24"/>
        </w:rPr>
        <w:t>提供社保机构出具的近半年内任一月社保缴纳证明，还需提供授权代理人近三个月的社保缴纳证明材料</w:t>
      </w:r>
      <w:r>
        <w:rPr>
          <w:rFonts w:hint="eastAsia"/>
          <w:sz w:val="24"/>
        </w:rPr>
        <w:t>及近3个月任一月的完税证明材料。</w:t>
      </w:r>
    </w:p>
    <w:p>
      <w:pPr>
        <w:pStyle w:val="23"/>
        <w:numPr>
          <w:ilvl w:val="0"/>
          <w:numId w:val="14"/>
        </w:numPr>
        <w:tabs>
          <w:tab w:val="left" w:pos="590"/>
        </w:tabs>
        <w:autoSpaceDE w:val="0"/>
        <w:autoSpaceDN w:val="0"/>
        <w:spacing w:line="400" w:lineRule="exact"/>
        <w:ind w:hanging="361" w:firstLineChars="0"/>
        <w:rPr>
          <w:sz w:val="24"/>
        </w:rPr>
      </w:pPr>
      <w:r>
        <w:rPr>
          <w:sz w:val="24"/>
        </w:rPr>
        <w:t xml:space="preserve">投标人近三年内没有被监管部门予以行政处罚或有关部门予以禁入处理等记录， 具有良好的信誉，诚实信用；须在“信用中国”（ </w:t>
      </w:r>
      <w:r>
        <w:fldChar w:fldCharType="begin"/>
      </w:r>
      <w:r>
        <w:instrText xml:space="preserve"> HYPERLINK "http://www.creditchina.gov.cn/" \h </w:instrText>
      </w:r>
      <w:r>
        <w:fldChar w:fldCharType="separate"/>
      </w:r>
      <w:r>
        <w:rPr>
          <w:sz w:val="24"/>
        </w:rPr>
        <w:t>www.creditchina.gov.cn</w:t>
      </w:r>
      <w:r>
        <w:rPr>
          <w:sz w:val="24"/>
        </w:rPr>
        <w:fldChar w:fldCharType="end"/>
      </w:r>
      <w:r>
        <w:rPr>
          <w:sz w:val="24"/>
        </w:rPr>
        <w:t>）和中国政府采购网（</w:t>
      </w:r>
      <w:r>
        <w:rPr>
          <w:sz w:val="24"/>
        </w:rPr>
        <w:fldChar w:fldCharType="begin"/>
      </w:r>
      <w:r>
        <w:rPr>
          <w:sz w:val="24"/>
        </w:rPr>
        <w:instrText xml:space="preserve"> HYPERLINK "http://www.ccgp.gov.cn/" \h </w:instrText>
      </w:r>
      <w:r>
        <w:rPr>
          <w:sz w:val="24"/>
        </w:rPr>
        <w:fldChar w:fldCharType="separate"/>
      </w:r>
      <w:r>
        <w:rPr>
          <w:sz w:val="24"/>
        </w:rPr>
        <w:t>www.ccgp.gov.cn</w:t>
      </w:r>
      <w:r>
        <w:rPr>
          <w:sz w:val="24"/>
        </w:rPr>
        <w:fldChar w:fldCharType="end"/>
      </w:r>
      <w:r>
        <w:rPr>
          <w:sz w:val="24"/>
        </w:rPr>
        <w:t>）网站上未被列入失信被执行人、重大税收违法案件当事人名单以及政府采购严重违法失信行为记录名单里；近三年无违法、处罚信息（提供网页查询打印页加盖公章）</w:t>
      </w:r>
    </w:p>
    <w:p>
      <w:pPr>
        <w:pStyle w:val="23"/>
        <w:numPr>
          <w:ilvl w:val="0"/>
          <w:numId w:val="14"/>
        </w:numPr>
        <w:tabs>
          <w:tab w:val="left" w:pos="590"/>
        </w:tabs>
        <w:autoSpaceDE w:val="0"/>
        <w:autoSpaceDN w:val="0"/>
        <w:spacing w:line="400" w:lineRule="exact"/>
        <w:ind w:left="228" w:right="501" w:firstLine="0" w:firstLineChars="0"/>
        <w:rPr>
          <w:spacing w:val="-4"/>
          <w:sz w:val="24"/>
        </w:rPr>
      </w:pPr>
      <w:r>
        <w:rPr>
          <w:spacing w:val="-4"/>
          <w:sz w:val="24"/>
        </w:rPr>
        <w:t>提供</w:t>
      </w:r>
      <w:r>
        <w:rPr>
          <w:rFonts w:hint="eastAsia"/>
          <w:spacing w:val="-4"/>
          <w:sz w:val="24"/>
        </w:rPr>
        <w:t>202</w:t>
      </w:r>
      <w:r>
        <w:rPr>
          <w:spacing w:val="-4"/>
          <w:sz w:val="24"/>
        </w:rPr>
        <w:t>2年度经审计财务状况报告（含资产负债表、损益表）</w:t>
      </w:r>
    </w:p>
    <w:p>
      <w:pPr>
        <w:pStyle w:val="23"/>
        <w:numPr>
          <w:ilvl w:val="0"/>
          <w:numId w:val="14"/>
        </w:numPr>
        <w:tabs>
          <w:tab w:val="left" w:pos="590"/>
        </w:tabs>
        <w:autoSpaceDE w:val="0"/>
        <w:autoSpaceDN w:val="0"/>
        <w:spacing w:line="400" w:lineRule="exact"/>
        <w:ind w:left="228" w:right="501" w:firstLine="0" w:firstLineChars="0"/>
        <w:rPr>
          <w:spacing w:val="-4"/>
          <w:sz w:val="24"/>
        </w:rPr>
      </w:pPr>
      <w:r>
        <w:rPr>
          <w:spacing w:val="-4"/>
          <w:sz w:val="24"/>
        </w:rPr>
        <w:t>中小微企业政策性优惠证明材料：</w:t>
      </w:r>
    </w:p>
    <w:p>
      <w:pPr>
        <w:pStyle w:val="23"/>
        <w:numPr>
          <w:ilvl w:val="0"/>
          <w:numId w:val="15"/>
        </w:numPr>
        <w:tabs>
          <w:tab w:val="left" w:pos="590"/>
        </w:tabs>
        <w:autoSpaceDE w:val="0"/>
        <w:autoSpaceDN w:val="0"/>
        <w:spacing w:line="400" w:lineRule="exact"/>
        <w:ind w:hanging="241" w:firstLineChars="0"/>
        <w:rPr>
          <w:sz w:val="24"/>
        </w:rPr>
      </w:pPr>
      <w:r>
        <w:rPr>
          <w:sz w:val="24"/>
        </w:rPr>
        <w:t>《中小企业声明函》：</w:t>
      </w:r>
    </w:p>
    <w:p>
      <w:pPr>
        <w:pStyle w:val="23"/>
        <w:numPr>
          <w:ilvl w:val="0"/>
          <w:numId w:val="14"/>
        </w:numPr>
        <w:tabs>
          <w:tab w:val="left" w:pos="590"/>
        </w:tabs>
        <w:autoSpaceDE w:val="0"/>
        <w:autoSpaceDN w:val="0"/>
        <w:spacing w:line="400" w:lineRule="exact"/>
        <w:ind w:left="228" w:right="501" w:firstLine="0" w:firstLineChars="0"/>
        <w:rPr>
          <w:spacing w:val="-4"/>
          <w:sz w:val="24"/>
        </w:rPr>
      </w:pPr>
      <w:r>
        <w:rPr>
          <w:spacing w:val="-4"/>
          <w:sz w:val="24"/>
        </w:rPr>
        <w:t>残疾人福利性单位声明函</w:t>
      </w:r>
    </w:p>
    <w:p>
      <w:pPr>
        <w:pStyle w:val="23"/>
        <w:numPr>
          <w:ilvl w:val="0"/>
          <w:numId w:val="14"/>
        </w:numPr>
        <w:tabs>
          <w:tab w:val="left" w:pos="590"/>
        </w:tabs>
        <w:autoSpaceDE w:val="0"/>
        <w:autoSpaceDN w:val="0"/>
        <w:spacing w:line="400" w:lineRule="exact"/>
        <w:ind w:left="228" w:right="501" w:firstLine="0" w:firstLineChars="0"/>
        <w:rPr>
          <w:spacing w:val="-4"/>
          <w:sz w:val="24"/>
        </w:rPr>
      </w:pPr>
      <w:r>
        <w:rPr>
          <w:spacing w:val="-4"/>
          <w:sz w:val="24"/>
        </w:rPr>
        <w:t>产品相应的检测证明材料复印件</w:t>
      </w:r>
      <w:r>
        <w:rPr>
          <w:rFonts w:hint="eastAsia"/>
          <w:spacing w:val="-4"/>
          <w:sz w:val="24"/>
        </w:rPr>
        <w:t>（国家授权或认证的机构检测证明文件）</w:t>
      </w:r>
      <w:r>
        <w:rPr>
          <w:spacing w:val="-4"/>
          <w:sz w:val="24"/>
        </w:rPr>
        <w:t>：</w:t>
      </w:r>
    </w:p>
    <w:p>
      <w:pPr>
        <w:pStyle w:val="23"/>
        <w:numPr>
          <w:ilvl w:val="0"/>
          <w:numId w:val="14"/>
        </w:numPr>
        <w:tabs>
          <w:tab w:val="left" w:pos="590"/>
        </w:tabs>
        <w:autoSpaceDE w:val="0"/>
        <w:autoSpaceDN w:val="0"/>
        <w:spacing w:line="400" w:lineRule="exact"/>
        <w:ind w:left="228" w:right="501" w:firstLine="0" w:firstLineChars="0"/>
        <w:rPr>
          <w:spacing w:val="-4"/>
          <w:sz w:val="24"/>
        </w:rPr>
      </w:pPr>
      <w:r>
        <w:rPr>
          <w:spacing w:val="-4"/>
          <w:sz w:val="24"/>
        </w:rPr>
        <w:t>经销商提供</w:t>
      </w:r>
      <w:r>
        <w:rPr>
          <w:rFonts w:hint="eastAsia"/>
          <w:spacing w:val="-4"/>
          <w:sz w:val="24"/>
        </w:rPr>
        <w:t>可获得</w:t>
      </w:r>
      <w:r>
        <w:rPr>
          <w:spacing w:val="-4"/>
          <w:sz w:val="24"/>
        </w:rPr>
        <w:t>制造商授权委托书及售后服务</w:t>
      </w:r>
      <w:r>
        <w:rPr>
          <w:rFonts w:hint="eastAsia"/>
          <w:spacing w:val="-4"/>
          <w:sz w:val="24"/>
        </w:rPr>
        <w:t>的</w:t>
      </w:r>
      <w:r>
        <w:rPr>
          <w:spacing w:val="-4"/>
          <w:sz w:val="24"/>
        </w:rPr>
        <w:t>承诺函；</w:t>
      </w:r>
    </w:p>
    <w:p>
      <w:pPr>
        <w:pStyle w:val="23"/>
        <w:numPr>
          <w:ilvl w:val="0"/>
          <w:numId w:val="14"/>
        </w:numPr>
        <w:tabs>
          <w:tab w:val="left" w:pos="590"/>
        </w:tabs>
        <w:autoSpaceDE w:val="0"/>
        <w:autoSpaceDN w:val="0"/>
        <w:spacing w:line="400" w:lineRule="exact"/>
        <w:ind w:left="228" w:right="501" w:firstLine="0" w:firstLineChars="0"/>
        <w:rPr>
          <w:spacing w:val="-4"/>
          <w:sz w:val="24"/>
        </w:rPr>
      </w:pPr>
      <w:r>
        <w:rPr>
          <w:spacing w:val="-4"/>
          <w:sz w:val="24"/>
        </w:rPr>
        <w:t>所投产品通过的认证、获得的奖项、荣誉等证明材料复印件：</w:t>
      </w:r>
    </w:p>
    <w:p>
      <w:pPr>
        <w:pStyle w:val="23"/>
        <w:numPr>
          <w:ilvl w:val="0"/>
          <w:numId w:val="14"/>
        </w:numPr>
        <w:tabs>
          <w:tab w:val="left" w:pos="590"/>
        </w:tabs>
        <w:autoSpaceDE w:val="0"/>
        <w:autoSpaceDN w:val="0"/>
        <w:spacing w:line="400" w:lineRule="exact"/>
        <w:ind w:left="228" w:right="501" w:firstLine="0" w:firstLineChars="0"/>
        <w:rPr>
          <w:spacing w:val="-4"/>
          <w:sz w:val="24"/>
        </w:rPr>
      </w:pPr>
      <w:r>
        <w:rPr>
          <w:spacing w:val="-4"/>
          <w:sz w:val="24"/>
        </w:rPr>
        <w:t>其他</w:t>
      </w:r>
    </w:p>
    <w:p>
      <w:pPr>
        <w:sectPr>
          <w:pgSz w:w="11910" w:h="16840"/>
          <w:pgMar w:top="1380" w:right="1704" w:bottom="1300" w:left="1560" w:header="877" w:footer="1118" w:gutter="0"/>
          <w:pgNumType w:fmt="numberInDash"/>
          <w:cols w:space="720" w:num="1"/>
        </w:sectPr>
      </w:pPr>
    </w:p>
    <w:p>
      <w:pPr>
        <w:numPr>
          <w:ilvl w:val="0"/>
          <w:numId w:val="13"/>
        </w:numPr>
        <w:jc w:val="center"/>
        <w:rPr>
          <w:b/>
          <w:bCs/>
          <w:sz w:val="30"/>
          <w:szCs w:val="30"/>
        </w:rPr>
      </w:pPr>
      <w:bookmarkStart w:id="95" w:name="_Toc2916"/>
      <w:bookmarkStart w:id="96" w:name="_Toc7948"/>
      <w:r>
        <w:rPr>
          <w:b/>
          <w:bCs/>
          <w:sz w:val="30"/>
          <w:szCs w:val="30"/>
        </w:rPr>
        <w:t>投标投标人基本情况表</w:t>
      </w:r>
      <w:bookmarkEnd w:id="95"/>
      <w:bookmarkEnd w:id="96"/>
    </w:p>
    <w:p>
      <w:pPr>
        <w:pStyle w:val="15"/>
        <w:pBdr>
          <w:bottom w:val="none" w:color="auto" w:sz="0" w:space="0"/>
        </w:pBdr>
        <w:tabs>
          <w:tab w:val="clear" w:pos="4153"/>
          <w:tab w:val="clear" w:pos="8306"/>
        </w:tabs>
        <w:snapToGrid/>
        <w:spacing w:line="400" w:lineRule="exact"/>
        <w:ind w:firstLine="270" w:firstLineChars="150"/>
        <w:jc w:val="both"/>
      </w:pPr>
      <w:r>
        <w:t xml:space="preserve">  </w:t>
      </w:r>
      <w:r>
        <w:rPr>
          <w:sz w:val="24"/>
          <w:szCs w:val="24"/>
        </w:rPr>
        <w:t xml:space="preserve">  盖投标人单位公章</w:t>
      </w:r>
    </w:p>
    <w:tbl>
      <w:tblPr>
        <w:tblStyle w:val="18"/>
        <w:tblW w:w="0" w:type="auto"/>
        <w:tblInd w:w="1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8"/>
        <w:gridCol w:w="417"/>
        <w:gridCol w:w="796"/>
        <w:gridCol w:w="892"/>
        <w:gridCol w:w="1605"/>
        <w:gridCol w:w="695"/>
        <w:gridCol w:w="244"/>
        <w:gridCol w:w="986"/>
        <w:gridCol w:w="592"/>
        <w:gridCol w:w="837"/>
        <w:gridCol w:w="12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031" w:type="dxa"/>
            <w:gridSpan w:val="3"/>
          </w:tcPr>
          <w:p>
            <w:pPr>
              <w:pStyle w:val="24"/>
              <w:spacing w:before="96"/>
              <w:ind w:left="412"/>
              <w:jc w:val="left"/>
              <w:rPr>
                <w:rFonts w:ascii="Times New Roman" w:hAnsi="Times New Roman" w:eastAsia="宋体" w:cs="Times New Roman"/>
                <w:sz w:val="24"/>
                <w:szCs w:val="24"/>
              </w:rPr>
            </w:pPr>
            <w:r>
              <w:rPr>
                <w:rFonts w:ascii="Times New Roman" w:hAnsi="Times New Roman" w:eastAsia="宋体" w:cs="Times New Roman"/>
                <w:sz w:val="24"/>
                <w:szCs w:val="24"/>
              </w:rPr>
              <w:t>投标人名称</w:t>
            </w:r>
          </w:p>
        </w:tc>
        <w:tc>
          <w:tcPr>
            <w:tcW w:w="4422" w:type="dxa"/>
            <w:gridSpan w:val="5"/>
          </w:tcPr>
          <w:p>
            <w:pPr>
              <w:pStyle w:val="24"/>
              <w:jc w:val="left"/>
              <w:rPr>
                <w:rFonts w:ascii="Times New Roman" w:hAnsi="Times New Roman" w:cs="Times New Roman"/>
                <w:sz w:val="24"/>
                <w:szCs w:val="24"/>
              </w:rPr>
            </w:pPr>
          </w:p>
        </w:tc>
        <w:tc>
          <w:tcPr>
            <w:tcW w:w="1429" w:type="dxa"/>
            <w:gridSpan w:val="2"/>
          </w:tcPr>
          <w:p>
            <w:pPr>
              <w:pStyle w:val="24"/>
              <w:spacing w:before="96"/>
              <w:ind w:left="118"/>
              <w:jc w:val="left"/>
              <w:rPr>
                <w:rFonts w:ascii="Times New Roman" w:hAnsi="Times New Roman" w:eastAsia="宋体" w:cs="Times New Roman"/>
                <w:sz w:val="24"/>
                <w:szCs w:val="24"/>
              </w:rPr>
            </w:pPr>
            <w:r>
              <w:rPr>
                <w:rFonts w:ascii="Times New Roman" w:hAnsi="Times New Roman" w:eastAsia="宋体" w:cs="Times New Roman"/>
                <w:sz w:val="24"/>
                <w:szCs w:val="24"/>
              </w:rPr>
              <w:t>法定代表人</w:t>
            </w:r>
          </w:p>
        </w:tc>
        <w:tc>
          <w:tcPr>
            <w:tcW w:w="1231" w:type="dxa"/>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2031" w:type="dxa"/>
            <w:gridSpan w:val="3"/>
          </w:tcPr>
          <w:p>
            <w:pPr>
              <w:pStyle w:val="24"/>
              <w:spacing w:before="96"/>
              <w:ind w:left="292"/>
              <w:jc w:val="left"/>
              <w:rPr>
                <w:rFonts w:ascii="Times New Roman" w:hAnsi="Times New Roman" w:eastAsia="宋体" w:cs="Times New Roman"/>
                <w:sz w:val="24"/>
                <w:szCs w:val="24"/>
              </w:rPr>
            </w:pPr>
            <w:r>
              <w:rPr>
                <w:rFonts w:ascii="Times New Roman" w:hAnsi="Times New Roman" w:eastAsia="宋体" w:cs="Times New Roman"/>
                <w:sz w:val="24"/>
                <w:szCs w:val="24"/>
              </w:rPr>
              <w:t>组织机构代码</w:t>
            </w:r>
          </w:p>
        </w:tc>
        <w:tc>
          <w:tcPr>
            <w:tcW w:w="4422" w:type="dxa"/>
            <w:gridSpan w:val="5"/>
          </w:tcPr>
          <w:p>
            <w:pPr>
              <w:pStyle w:val="24"/>
              <w:jc w:val="left"/>
              <w:rPr>
                <w:rFonts w:ascii="Times New Roman" w:hAnsi="Times New Roman" w:cs="Times New Roman"/>
                <w:sz w:val="24"/>
                <w:szCs w:val="24"/>
              </w:rPr>
            </w:pPr>
          </w:p>
        </w:tc>
        <w:tc>
          <w:tcPr>
            <w:tcW w:w="1429" w:type="dxa"/>
            <w:gridSpan w:val="2"/>
          </w:tcPr>
          <w:p>
            <w:pPr>
              <w:pStyle w:val="24"/>
              <w:spacing w:before="96"/>
              <w:ind w:left="238"/>
              <w:jc w:val="left"/>
              <w:rPr>
                <w:rFonts w:ascii="Times New Roman" w:hAnsi="Times New Roman" w:eastAsia="宋体" w:cs="Times New Roman"/>
                <w:sz w:val="24"/>
                <w:szCs w:val="24"/>
              </w:rPr>
            </w:pPr>
            <w:r>
              <w:rPr>
                <w:rFonts w:ascii="Times New Roman" w:hAnsi="Times New Roman" w:eastAsia="宋体" w:cs="Times New Roman"/>
                <w:sz w:val="24"/>
                <w:szCs w:val="24"/>
              </w:rPr>
              <w:t>邮政编码</w:t>
            </w:r>
          </w:p>
        </w:tc>
        <w:tc>
          <w:tcPr>
            <w:tcW w:w="1231" w:type="dxa"/>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031" w:type="dxa"/>
            <w:gridSpan w:val="3"/>
          </w:tcPr>
          <w:p>
            <w:pPr>
              <w:pStyle w:val="24"/>
              <w:spacing w:before="96"/>
              <w:ind w:left="412"/>
              <w:jc w:val="left"/>
              <w:rPr>
                <w:rFonts w:ascii="Times New Roman" w:hAnsi="Times New Roman" w:eastAsia="宋体" w:cs="Times New Roman"/>
                <w:sz w:val="24"/>
                <w:szCs w:val="24"/>
              </w:rPr>
            </w:pPr>
            <w:r>
              <w:rPr>
                <w:rFonts w:ascii="Times New Roman" w:hAnsi="Times New Roman" w:eastAsia="宋体" w:cs="Times New Roman"/>
                <w:sz w:val="24"/>
                <w:szCs w:val="24"/>
              </w:rPr>
              <w:t>委托代理人</w:t>
            </w:r>
          </w:p>
        </w:tc>
        <w:tc>
          <w:tcPr>
            <w:tcW w:w="4422" w:type="dxa"/>
            <w:gridSpan w:val="5"/>
          </w:tcPr>
          <w:p>
            <w:pPr>
              <w:pStyle w:val="24"/>
              <w:jc w:val="left"/>
              <w:rPr>
                <w:rFonts w:ascii="Times New Roman" w:hAnsi="Times New Roman" w:cs="Times New Roman"/>
                <w:sz w:val="24"/>
                <w:szCs w:val="24"/>
              </w:rPr>
            </w:pPr>
          </w:p>
        </w:tc>
        <w:tc>
          <w:tcPr>
            <w:tcW w:w="1429" w:type="dxa"/>
            <w:gridSpan w:val="2"/>
          </w:tcPr>
          <w:p>
            <w:pPr>
              <w:pStyle w:val="24"/>
              <w:spacing w:before="96"/>
              <w:ind w:left="238"/>
              <w:jc w:val="left"/>
              <w:rPr>
                <w:rFonts w:ascii="Times New Roman" w:hAnsi="Times New Roman" w:eastAsia="宋体" w:cs="Times New Roman"/>
                <w:sz w:val="24"/>
                <w:szCs w:val="24"/>
              </w:rPr>
            </w:pPr>
            <w:r>
              <w:rPr>
                <w:rFonts w:ascii="Times New Roman" w:hAnsi="Times New Roman" w:eastAsia="宋体" w:cs="Times New Roman"/>
                <w:sz w:val="24"/>
                <w:szCs w:val="24"/>
              </w:rPr>
              <w:t>电子邮箱</w:t>
            </w:r>
          </w:p>
        </w:tc>
        <w:tc>
          <w:tcPr>
            <w:tcW w:w="1231" w:type="dxa"/>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031" w:type="dxa"/>
            <w:gridSpan w:val="3"/>
          </w:tcPr>
          <w:p>
            <w:pPr>
              <w:pStyle w:val="24"/>
              <w:spacing w:before="96"/>
              <w:ind w:left="292"/>
              <w:jc w:val="left"/>
              <w:rPr>
                <w:rFonts w:ascii="Times New Roman" w:hAnsi="Times New Roman" w:eastAsia="宋体" w:cs="Times New Roman"/>
                <w:sz w:val="24"/>
                <w:szCs w:val="24"/>
              </w:rPr>
            </w:pPr>
            <w:r>
              <w:rPr>
                <w:rFonts w:ascii="Times New Roman" w:hAnsi="Times New Roman" w:eastAsia="宋体" w:cs="Times New Roman"/>
                <w:sz w:val="24"/>
                <w:szCs w:val="24"/>
              </w:rPr>
              <w:t>上年营业收入</w:t>
            </w:r>
          </w:p>
        </w:tc>
        <w:tc>
          <w:tcPr>
            <w:tcW w:w="4422" w:type="dxa"/>
            <w:gridSpan w:val="5"/>
          </w:tcPr>
          <w:p>
            <w:pPr>
              <w:pStyle w:val="24"/>
              <w:jc w:val="left"/>
              <w:rPr>
                <w:rFonts w:ascii="Times New Roman" w:hAnsi="Times New Roman" w:cs="Times New Roman"/>
                <w:sz w:val="24"/>
                <w:szCs w:val="24"/>
              </w:rPr>
            </w:pPr>
          </w:p>
        </w:tc>
        <w:tc>
          <w:tcPr>
            <w:tcW w:w="1429" w:type="dxa"/>
            <w:gridSpan w:val="2"/>
          </w:tcPr>
          <w:p>
            <w:pPr>
              <w:pStyle w:val="24"/>
              <w:spacing w:before="96"/>
              <w:ind w:left="118"/>
              <w:jc w:val="left"/>
              <w:rPr>
                <w:rFonts w:ascii="Times New Roman" w:hAnsi="Times New Roman" w:eastAsia="宋体" w:cs="Times New Roman"/>
                <w:sz w:val="24"/>
                <w:szCs w:val="24"/>
              </w:rPr>
            </w:pPr>
            <w:r>
              <w:rPr>
                <w:rFonts w:ascii="Times New Roman" w:hAnsi="Times New Roman" w:eastAsia="宋体" w:cs="Times New Roman"/>
                <w:sz w:val="24"/>
                <w:szCs w:val="24"/>
              </w:rPr>
              <w:t>员工总人数</w:t>
            </w:r>
          </w:p>
        </w:tc>
        <w:tc>
          <w:tcPr>
            <w:tcW w:w="1231" w:type="dxa"/>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2031" w:type="dxa"/>
            <w:gridSpan w:val="3"/>
          </w:tcPr>
          <w:p>
            <w:pPr>
              <w:pStyle w:val="24"/>
              <w:spacing w:before="96"/>
              <w:ind w:left="532"/>
              <w:jc w:val="left"/>
              <w:rPr>
                <w:rFonts w:ascii="Times New Roman" w:hAnsi="Times New Roman" w:eastAsia="宋体" w:cs="Times New Roman"/>
                <w:sz w:val="24"/>
                <w:szCs w:val="24"/>
              </w:rPr>
            </w:pPr>
            <w:r>
              <w:rPr>
                <w:rFonts w:ascii="Times New Roman" w:hAnsi="Times New Roman" w:eastAsia="宋体" w:cs="Times New Roman"/>
                <w:sz w:val="24"/>
                <w:szCs w:val="24"/>
              </w:rPr>
              <w:t>固定电话</w:t>
            </w:r>
          </w:p>
        </w:tc>
        <w:tc>
          <w:tcPr>
            <w:tcW w:w="4422" w:type="dxa"/>
            <w:gridSpan w:val="5"/>
          </w:tcPr>
          <w:p>
            <w:pPr>
              <w:pStyle w:val="24"/>
              <w:jc w:val="left"/>
              <w:rPr>
                <w:rFonts w:ascii="Times New Roman" w:hAnsi="Times New Roman" w:cs="Times New Roman"/>
                <w:sz w:val="24"/>
                <w:szCs w:val="24"/>
              </w:rPr>
            </w:pPr>
          </w:p>
        </w:tc>
        <w:tc>
          <w:tcPr>
            <w:tcW w:w="1429" w:type="dxa"/>
            <w:gridSpan w:val="2"/>
          </w:tcPr>
          <w:p>
            <w:pPr>
              <w:pStyle w:val="24"/>
              <w:jc w:val="left"/>
              <w:rPr>
                <w:rFonts w:ascii="Times New Roman" w:hAnsi="Times New Roman" w:cs="Times New Roman"/>
                <w:sz w:val="24"/>
                <w:szCs w:val="24"/>
              </w:rPr>
            </w:pPr>
          </w:p>
        </w:tc>
        <w:tc>
          <w:tcPr>
            <w:tcW w:w="1231" w:type="dxa"/>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818" w:type="dxa"/>
            <w:vMerge w:val="restart"/>
          </w:tcPr>
          <w:p>
            <w:pPr>
              <w:pStyle w:val="24"/>
              <w:jc w:val="left"/>
              <w:rPr>
                <w:rFonts w:ascii="Times New Roman" w:hAnsi="Times New Roman" w:cs="Times New Roman"/>
                <w:b/>
                <w:sz w:val="24"/>
                <w:szCs w:val="24"/>
              </w:rPr>
            </w:pPr>
          </w:p>
          <w:p>
            <w:pPr>
              <w:pStyle w:val="24"/>
              <w:jc w:val="left"/>
              <w:rPr>
                <w:rFonts w:ascii="Times New Roman" w:hAnsi="Times New Roman" w:cs="Times New Roman"/>
                <w:b/>
                <w:sz w:val="24"/>
                <w:szCs w:val="24"/>
              </w:rPr>
            </w:pPr>
          </w:p>
          <w:p>
            <w:pPr>
              <w:pStyle w:val="24"/>
              <w:spacing w:before="5"/>
              <w:jc w:val="left"/>
              <w:rPr>
                <w:rFonts w:ascii="Times New Roman" w:hAnsi="Times New Roman" w:cs="Times New Roman"/>
                <w:b/>
                <w:sz w:val="24"/>
                <w:szCs w:val="24"/>
              </w:rPr>
            </w:pPr>
          </w:p>
          <w:p>
            <w:pPr>
              <w:pStyle w:val="24"/>
              <w:spacing w:line="362" w:lineRule="auto"/>
              <w:ind w:left="167" w:right="157"/>
              <w:jc w:val="left"/>
              <w:rPr>
                <w:rFonts w:ascii="Times New Roman" w:hAnsi="Times New Roman" w:eastAsia="宋体" w:cs="Times New Roman"/>
                <w:sz w:val="24"/>
                <w:szCs w:val="24"/>
              </w:rPr>
            </w:pPr>
            <w:r>
              <w:rPr>
                <w:rFonts w:ascii="Times New Roman" w:hAnsi="Times New Roman" w:eastAsia="宋体" w:cs="Times New Roman"/>
                <w:sz w:val="24"/>
                <w:szCs w:val="24"/>
              </w:rPr>
              <w:t>营业执照</w:t>
            </w:r>
          </w:p>
        </w:tc>
        <w:tc>
          <w:tcPr>
            <w:tcW w:w="2105" w:type="dxa"/>
            <w:gridSpan w:val="3"/>
          </w:tcPr>
          <w:p>
            <w:pPr>
              <w:pStyle w:val="24"/>
              <w:spacing w:before="96"/>
              <w:ind w:left="573"/>
              <w:jc w:val="left"/>
              <w:rPr>
                <w:rFonts w:ascii="Times New Roman" w:hAnsi="Times New Roman" w:eastAsia="宋体" w:cs="Times New Roman"/>
                <w:sz w:val="24"/>
                <w:szCs w:val="24"/>
              </w:rPr>
            </w:pPr>
            <w:r>
              <w:rPr>
                <w:rFonts w:ascii="Times New Roman" w:hAnsi="Times New Roman" w:eastAsia="宋体" w:cs="Times New Roman"/>
                <w:sz w:val="24"/>
                <w:szCs w:val="24"/>
              </w:rPr>
              <w:t>注册号码</w:t>
            </w:r>
          </w:p>
        </w:tc>
        <w:tc>
          <w:tcPr>
            <w:tcW w:w="2300" w:type="dxa"/>
            <w:gridSpan w:val="2"/>
          </w:tcPr>
          <w:p>
            <w:pPr>
              <w:pStyle w:val="24"/>
              <w:jc w:val="left"/>
              <w:rPr>
                <w:rFonts w:ascii="Times New Roman" w:hAnsi="Times New Roman" w:cs="Times New Roman"/>
                <w:sz w:val="24"/>
                <w:szCs w:val="24"/>
              </w:rPr>
            </w:pPr>
          </w:p>
        </w:tc>
        <w:tc>
          <w:tcPr>
            <w:tcW w:w="1230" w:type="dxa"/>
            <w:gridSpan w:val="2"/>
          </w:tcPr>
          <w:p>
            <w:pPr>
              <w:pStyle w:val="24"/>
              <w:spacing w:before="96"/>
              <w:ind w:left="138"/>
              <w:jc w:val="left"/>
              <w:rPr>
                <w:rFonts w:ascii="Times New Roman" w:hAnsi="Times New Roman" w:eastAsia="宋体" w:cs="Times New Roman"/>
                <w:sz w:val="24"/>
                <w:szCs w:val="24"/>
              </w:rPr>
            </w:pPr>
            <w:r>
              <w:rPr>
                <w:rFonts w:ascii="Times New Roman" w:hAnsi="Times New Roman" w:eastAsia="宋体" w:cs="Times New Roman"/>
                <w:sz w:val="24"/>
                <w:szCs w:val="24"/>
              </w:rPr>
              <w:t>注册地址</w:t>
            </w:r>
          </w:p>
        </w:tc>
        <w:tc>
          <w:tcPr>
            <w:tcW w:w="2660" w:type="dxa"/>
            <w:gridSpan w:val="3"/>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818" w:type="dxa"/>
            <w:vMerge w:val="continue"/>
            <w:tcBorders>
              <w:top w:val="nil"/>
            </w:tcBorders>
          </w:tcPr>
          <w:p>
            <w:pPr>
              <w:autoSpaceDE w:val="0"/>
              <w:autoSpaceDN w:val="0"/>
              <w:rPr>
                <w:sz w:val="24"/>
                <w:szCs w:val="24"/>
              </w:rPr>
            </w:pPr>
          </w:p>
        </w:tc>
        <w:tc>
          <w:tcPr>
            <w:tcW w:w="2105" w:type="dxa"/>
            <w:gridSpan w:val="3"/>
          </w:tcPr>
          <w:p>
            <w:pPr>
              <w:pStyle w:val="24"/>
              <w:spacing w:before="96"/>
              <w:ind w:left="573"/>
              <w:jc w:val="left"/>
              <w:rPr>
                <w:rFonts w:ascii="Times New Roman" w:hAnsi="Times New Roman" w:eastAsia="宋体" w:cs="Times New Roman"/>
                <w:sz w:val="24"/>
                <w:szCs w:val="24"/>
              </w:rPr>
            </w:pPr>
            <w:r>
              <w:rPr>
                <w:rFonts w:ascii="Times New Roman" w:hAnsi="Times New Roman" w:eastAsia="宋体" w:cs="Times New Roman"/>
                <w:sz w:val="24"/>
                <w:szCs w:val="24"/>
              </w:rPr>
              <w:t>发证机关</w:t>
            </w:r>
          </w:p>
        </w:tc>
        <w:tc>
          <w:tcPr>
            <w:tcW w:w="2300" w:type="dxa"/>
            <w:gridSpan w:val="2"/>
          </w:tcPr>
          <w:p>
            <w:pPr>
              <w:pStyle w:val="24"/>
              <w:jc w:val="left"/>
              <w:rPr>
                <w:rFonts w:ascii="Times New Roman" w:hAnsi="Times New Roman" w:cs="Times New Roman"/>
                <w:sz w:val="24"/>
                <w:szCs w:val="24"/>
              </w:rPr>
            </w:pPr>
          </w:p>
        </w:tc>
        <w:tc>
          <w:tcPr>
            <w:tcW w:w="1230" w:type="dxa"/>
            <w:gridSpan w:val="2"/>
          </w:tcPr>
          <w:p>
            <w:pPr>
              <w:pStyle w:val="24"/>
              <w:spacing w:before="96"/>
              <w:ind w:left="138"/>
              <w:jc w:val="left"/>
              <w:rPr>
                <w:rFonts w:ascii="Times New Roman" w:hAnsi="Times New Roman" w:eastAsia="宋体" w:cs="Times New Roman"/>
                <w:sz w:val="24"/>
                <w:szCs w:val="24"/>
              </w:rPr>
            </w:pPr>
            <w:r>
              <w:rPr>
                <w:rFonts w:ascii="Times New Roman" w:hAnsi="Times New Roman" w:eastAsia="宋体" w:cs="Times New Roman"/>
                <w:sz w:val="24"/>
                <w:szCs w:val="24"/>
              </w:rPr>
              <w:t>发证日期</w:t>
            </w:r>
          </w:p>
        </w:tc>
        <w:tc>
          <w:tcPr>
            <w:tcW w:w="2660" w:type="dxa"/>
            <w:gridSpan w:val="3"/>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818" w:type="dxa"/>
            <w:vMerge w:val="continue"/>
            <w:tcBorders>
              <w:top w:val="nil"/>
            </w:tcBorders>
          </w:tcPr>
          <w:p>
            <w:pPr>
              <w:autoSpaceDE w:val="0"/>
              <w:autoSpaceDN w:val="0"/>
              <w:rPr>
                <w:sz w:val="24"/>
                <w:szCs w:val="24"/>
              </w:rPr>
            </w:pPr>
          </w:p>
        </w:tc>
        <w:tc>
          <w:tcPr>
            <w:tcW w:w="2105" w:type="dxa"/>
            <w:gridSpan w:val="3"/>
          </w:tcPr>
          <w:p>
            <w:pPr>
              <w:pStyle w:val="24"/>
              <w:spacing w:before="96"/>
              <w:ind w:left="108"/>
              <w:jc w:val="left"/>
              <w:rPr>
                <w:rFonts w:ascii="Times New Roman" w:hAnsi="Times New Roman" w:eastAsia="宋体" w:cs="Times New Roman"/>
                <w:sz w:val="24"/>
                <w:szCs w:val="24"/>
              </w:rPr>
            </w:pPr>
            <w:r>
              <w:rPr>
                <w:rFonts w:ascii="Times New Roman" w:hAnsi="Times New Roman" w:eastAsia="宋体" w:cs="Times New Roman"/>
                <w:sz w:val="24"/>
                <w:szCs w:val="24"/>
              </w:rPr>
              <w:t>营业范围（主营）</w:t>
            </w:r>
          </w:p>
        </w:tc>
        <w:tc>
          <w:tcPr>
            <w:tcW w:w="6190" w:type="dxa"/>
            <w:gridSpan w:val="7"/>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818" w:type="dxa"/>
            <w:vMerge w:val="continue"/>
            <w:tcBorders>
              <w:top w:val="nil"/>
            </w:tcBorders>
          </w:tcPr>
          <w:p>
            <w:pPr>
              <w:autoSpaceDE w:val="0"/>
              <w:autoSpaceDN w:val="0"/>
              <w:rPr>
                <w:sz w:val="24"/>
                <w:szCs w:val="24"/>
              </w:rPr>
            </w:pPr>
          </w:p>
        </w:tc>
        <w:tc>
          <w:tcPr>
            <w:tcW w:w="2105" w:type="dxa"/>
            <w:gridSpan w:val="3"/>
          </w:tcPr>
          <w:p>
            <w:pPr>
              <w:pStyle w:val="24"/>
              <w:spacing w:before="96"/>
              <w:ind w:left="108"/>
              <w:jc w:val="left"/>
              <w:rPr>
                <w:rFonts w:ascii="Times New Roman" w:hAnsi="Times New Roman" w:eastAsia="宋体" w:cs="Times New Roman"/>
                <w:sz w:val="24"/>
                <w:szCs w:val="24"/>
              </w:rPr>
            </w:pPr>
            <w:r>
              <w:rPr>
                <w:rFonts w:ascii="Times New Roman" w:hAnsi="Times New Roman" w:eastAsia="宋体" w:cs="Times New Roman"/>
                <w:sz w:val="24"/>
                <w:szCs w:val="24"/>
              </w:rPr>
              <w:t>营业范围（兼营）</w:t>
            </w:r>
          </w:p>
        </w:tc>
        <w:tc>
          <w:tcPr>
            <w:tcW w:w="6190" w:type="dxa"/>
            <w:gridSpan w:val="7"/>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2923" w:type="dxa"/>
            <w:gridSpan w:val="4"/>
          </w:tcPr>
          <w:p>
            <w:pPr>
              <w:pStyle w:val="24"/>
              <w:spacing w:before="96"/>
              <w:ind w:left="258"/>
              <w:jc w:val="left"/>
              <w:rPr>
                <w:rFonts w:ascii="Times New Roman" w:hAnsi="Times New Roman" w:eastAsia="宋体" w:cs="Times New Roman"/>
                <w:sz w:val="24"/>
                <w:szCs w:val="24"/>
                <w:lang w:eastAsia="zh-CN"/>
              </w:rPr>
            </w:pPr>
            <w:r>
              <w:rPr>
                <w:rFonts w:ascii="Times New Roman" w:hAnsi="Times New Roman" w:eastAsia="宋体" w:cs="Times New Roman"/>
                <w:sz w:val="24"/>
                <w:szCs w:val="24"/>
                <w:lang w:eastAsia="zh-CN"/>
              </w:rPr>
              <w:t>基本账户开户行及帐号</w:t>
            </w:r>
          </w:p>
        </w:tc>
        <w:tc>
          <w:tcPr>
            <w:tcW w:w="6190" w:type="dxa"/>
            <w:gridSpan w:val="7"/>
          </w:tcPr>
          <w:p>
            <w:pPr>
              <w:pStyle w:val="24"/>
              <w:jc w:val="left"/>
              <w:rPr>
                <w:rFonts w:ascii="Times New Roman" w:hAnsi="Times New Roman" w:cs="Times New Roman"/>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2923" w:type="dxa"/>
            <w:gridSpan w:val="4"/>
          </w:tcPr>
          <w:p>
            <w:pPr>
              <w:pStyle w:val="24"/>
              <w:spacing w:before="96"/>
              <w:ind w:left="739"/>
              <w:jc w:val="left"/>
              <w:rPr>
                <w:rFonts w:ascii="Times New Roman" w:hAnsi="Times New Roman" w:eastAsia="宋体" w:cs="Times New Roman"/>
                <w:sz w:val="24"/>
                <w:szCs w:val="24"/>
              </w:rPr>
            </w:pPr>
            <w:r>
              <w:rPr>
                <w:rFonts w:ascii="Times New Roman" w:hAnsi="Times New Roman" w:eastAsia="宋体" w:cs="Times New Roman"/>
                <w:sz w:val="24"/>
                <w:szCs w:val="24"/>
              </w:rPr>
              <w:t>税务登记机关</w:t>
            </w:r>
          </w:p>
        </w:tc>
        <w:tc>
          <w:tcPr>
            <w:tcW w:w="6190" w:type="dxa"/>
            <w:gridSpan w:val="7"/>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4528" w:type="dxa"/>
            <w:gridSpan w:val="5"/>
          </w:tcPr>
          <w:p>
            <w:pPr>
              <w:pStyle w:val="24"/>
              <w:spacing w:before="96"/>
              <w:ind w:left="1763" w:right="1754"/>
              <w:rPr>
                <w:rFonts w:ascii="Times New Roman" w:hAnsi="Times New Roman" w:eastAsia="宋体" w:cs="Times New Roman"/>
                <w:sz w:val="24"/>
                <w:szCs w:val="24"/>
              </w:rPr>
            </w:pPr>
            <w:r>
              <w:rPr>
                <w:rFonts w:ascii="Times New Roman" w:hAnsi="Times New Roman" w:eastAsia="宋体" w:cs="Times New Roman"/>
                <w:sz w:val="24"/>
                <w:szCs w:val="24"/>
              </w:rPr>
              <w:t>资质名称</w:t>
            </w:r>
          </w:p>
        </w:tc>
        <w:tc>
          <w:tcPr>
            <w:tcW w:w="939" w:type="dxa"/>
            <w:gridSpan w:val="2"/>
          </w:tcPr>
          <w:p>
            <w:pPr>
              <w:pStyle w:val="24"/>
              <w:spacing w:before="96"/>
              <w:ind w:left="233"/>
              <w:jc w:val="left"/>
              <w:rPr>
                <w:rFonts w:ascii="Times New Roman" w:hAnsi="Times New Roman" w:eastAsia="宋体" w:cs="Times New Roman"/>
                <w:sz w:val="24"/>
                <w:szCs w:val="24"/>
              </w:rPr>
            </w:pPr>
            <w:r>
              <w:rPr>
                <w:rFonts w:ascii="Times New Roman" w:hAnsi="Times New Roman" w:eastAsia="宋体" w:cs="Times New Roman"/>
                <w:sz w:val="24"/>
                <w:szCs w:val="24"/>
              </w:rPr>
              <w:t>等级</w:t>
            </w:r>
          </w:p>
        </w:tc>
        <w:tc>
          <w:tcPr>
            <w:tcW w:w="1578" w:type="dxa"/>
            <w:gridSpan w:val="2"/>
          </w:tcPr>
          <w:p>
            <w:pPr>
              <w:pStyle w:val="24"/>
              <w:spacing w:before="96"/>
              <w:ind w:left="312"/>
              <w:jc w:val="left"/>
              <w:rPr>
                <w:rFonts w:ascii="Times New Roman" w:hAnsi="Times New Roman" w:eastAsia="宋体" w:cs="Times New Roman"/>
                <w:sz w:val="24"/>
                <w:szCs w:val="24"/>
              </w:rPr>
            </w:pPr>
            <w:r>
              <w:rPr>
                <w:rFonts w:ascii="Times New Roman" w:hAnsi="Times New Roman" w:eastAsia="宋体" w:cs="Times New Roman"/>
                <w:sz w:val="24"/>
                <w:szCs w:val="24"/>
              </w:rPr>
              <w:t>发证机关</w:t>
            </w:r>
          </w:p>
        </w:tc>
        <w:tc>
          <w:tcPr>
            <w:tcW w:w="2068" w:type="dxa"/>
            <w:gridSpan w:val="2"/>
          </w:tcPr>
          <w:p>
            <w:pPr>
              <w:pStyle w:val="24"/>
              <w:spacing w:before="96"/>
              <w:ind w:left="678"/>
              <w:jc w:val="left"/>
              <w:rPr>
                <w:rFonts w:ascii="Times New Roman" w:hAnsi="Times New Roman" w:eastAsia="宋体" w:cs="Times New Roman"/>
                <w:sz w:val="24"/>
                <w:szCs w:val="24"/>
              </w:rPr>
            </w:pPr>
            <w:r>
              <w:rPr>
                <w:rFonts w:ascii="Times New Roman" w:hAnsi="Times New Roman" w:eastAsia="宋体" w:cs="Times New Roman"/>
                <w:sz w:val="24"/>
                <w:szCs w:val="24"/>
              </w:rPr>
              <w:t>有效期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4528" w:type="dxa"/>
            <w:gridSpan w:val="5"/>
          </w:tcPr>
          <w:p>
            <w:pPr>
              <w:pStyle w:val="24"/>
              <w:jc w:val="left"/>
              <w:rPr>
                <w:rFonts w:ascii="Times New Roman" w:hAnsi="Times New Roman" w:cs="Times New Roman"/>
                <w:sz w:val="24"/>
                <w:szCs w:val="24"/>
              </w:rPr>
            </w:pPr>
          </w:p>
        </w:tc>
        <w:tc>
          <w:tcPr>
            <w:tcW w:w="939" w:type="dxa"/>
            <w:gridSpan w:val="2"/>
          </w:tcPr>
          <w:p>
            <w:pPr>
              <w:pStyle w:val="24"/>
              <w:jc w:val="left"/>
              <w:rPr>
                <w:rFonts w:ascii="Times New Roman" w:hAnsi="Times New Roman" w:cs="Times New Roman"/>
                <w:sz w:val="24"/>
                <w:szCs w:val="24"/>
              </w:rPr>
            </w:pPr>
          </w:p>
        </w:tc>
        <w:tc>
          <w:tcPr>
            <w:tcW w:w="1578" w:type="dxa"/>
            <w:gridSpan w:val="2"/>
          </w:tcPr>
          <w:p>
            <w:pPr>
              <w:pStyle w:val="24"/>
              <w:jc w:val="left"/>
              <w:rPr>
                <w:rFonts w:ascii="Times New Roman" w:hAnsi="Times New Roman" w:cs="Times New Roman"/>
                <w:sz w:val="24"/>
                <w:szCs w:val="24"/>
              </w:rPr>
            </w:pPr>
          </w:p>
        </w:tc>
        <w:tc>
          <w:tcPr>
            <w:tcW w:w="2068" w:type="dxa"/>
            <w:gridSpan w:val="2"/>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4528" w:type="dxa"/>
            <w:gridSpan w:val="5"/>
          </w:tcPr>
          <w:p>
            <w:pPr>
              <w:pStyle w:val="24"/>
              <w:jc w:val="left"/>
              <w:rPr>
                <w:rFonts w:ascii="Times New Roman" w:hAnsi="Times New Roman" w:cs="Times New Roman"/>
                <w:sz w:val="24"/>
                <w:szCs w:val="24"/>
              </w:rPr>
            </w:pPr>
          </w:p>
        </w:tc>
        <w:tc>
          <w:tcPr>
            <w:tcW w:w="939" w:type="dxa"/>
            <w:gridSpan w:val="2"/>
          </w:tcPr>
          <w:p>
            <w:pPr>
              <w:pStyle w:val="24"/>
              <w:jc w:val="left"/>
              <w:rPr>
                <w:rFonts w:ascii="Times New Roman" w:hAnsi="Times New Roman" w:cs="Times New Roman"/>
                <w:sz w:val="24"/>
                <w:szCs w:val="24"/>
              </w:rPr>
            </w:pPr>
          </w:p>
        </w:tc>
        <w:tc>
          <w:tcPr>
            <w:tcW w:w="1578" w:type="dxa"/>
            <w:gridSpan w:val="2"/>
          </w:tcPr>
          <w:p>
            <w:pPr>
              <w:pStyle w:val="24"/>
              <w:jc w:val="left"/>
              <w:rPr>
                <w:rFonts w:ascii="Times New Roman" w:hAnsi="Times New Roman" w:cs="Times New Roman"/>
                <w:sz w:val="24"/>
                <w:szCs w:val="24"/>
              </w:rPr>
            </w:pPr>
          </w:p>
        </w:tc>
        <w:tc>
          <w:tcPr>
            <w:tcW w:w="2068" w:type="dxa"/>
            <w:gridSpan w:val="2"/>
          </w:tcPr>
          <w:p>
            <w:pPr>
              <w:pStyle w:val="24"/>
              <w:jc w:val="left"/>
              <w:rPr>
                <w:rFonts w:ascii="Times New Roman" w:hAnsi="Times New Roman" w:cs="Times New Roman"/>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3" w:hRule="atLeast"/>
        </w:trPr>
        <w:tc>
          <w:tcPr>
            <w:tcW w:w="1235" w:type="dxa"/>
            <w:gridSpan w:val="2"/>
          </w:tcPr>
          <w:p>
            <w:pPr>
              <w:pStyle w:val="24"/>
              <w:jc w:val="left"/>
              <w:rPr>
                <w:rFonts w:ascii="Times New Roman" w:hAnsi="Times New Roman" w:cs="Times New Roman"/>
                <w:b/>
                <w:sz w:val="24"/>
                <w:szCs w:val="24"/>
              </w:rPr>
            </w:pPr>
          </w:p>
          <w:p>
            <w:pPr>
              <w:pStyle w:val="24"/>
              <w:spacing w:before="8"/>
              <w:jc w:val="left"/>
              <w:rPr>
                <w:rFonts w:ascii="Times New Roman" w:hAnsi="Times New Roman" w:cs="Times New Roman"/>
                <w:b/>
                <w:sz w:val="24"/>
                <w:szCs w:val="24"/>
              </w:rPr>
            </w:pPr>
          </w:p>
          <w:p>
            <w:pPr>
              <w:pStyle w:val="24"/>
              <w:spacing w:before="1"/>
              <w:ind w:left="374"/>
              <w:jc w:val="left"/>
              <w:rPr>
                <w:rFonts w:ascii="Times New Roman" w:hAnsi="Times New Roman" w:eastAsia="宋体" w:cs="Times New Roman"/>
                <w:sz w:val="24"/>
                <w:szCs w:val="24"/>
              </w:rPr>
            </w:pPr>
            <w:r>
              <w:rPr>
                <w:rFonts w:ascii="Times New Roman" w:hAnsi="Times New Roman" w:eastAsia="宋体" w:cs="Times New Roman"/>
                <w:sz w:val="24"/>
                <w:szCs w:val="24"/>
              </w:rPr>
              <w:t>备注</w:t>
            </w:r>
          </w:p>
        </w:tc>
        <w:tc>
          <w:tcPr>
            <w:tcW w:w="7878" w:type="dxa"/>
            <w:gridSpan w:val="9"/>
          </w:tcPr>
          <w:p>
            <w:pPr>
              <w:pStyle w:val="24"/>
              <w:jc w:val="left"/>
              <w:rPr>
                <w:rFonts w:ascii="Times New Roman" w:hAnsi="Times New Roman" w:cs="Times New Roman"/>
                <w:sz w:val="24"/>
                <w:szCs w:val="24"/>
              </w:rPr>
            </w:pPr>
          </w:p>
        </w:tc>
      </w:tr>
    </w:tbl>
    <w:p/>
    <w:p/>
    <w:p/>
    <w:p/>
    <w:p/>
    <w:p/>
    <w:p/>
    <w:p/>
    <w:p/>
    <w:p>
      <w:pPr>
        <w:widowControl/>
        <w:spacing w:line="340" w:lineRule="exact"/>
        <w:rPr>
          <w:kern w:val="0"/>
          <w:sz w:val="24"/>
          <w:szCs w:val="24"/>
        </w:rPr>
      </w:pPr>
      <w:r>
        <w:rPr>
          <w:rFonts w:hint="eastAsia" w:cs="宋体"/>
          <w:kern w:val="0"/>
          <w:sz w:val="24"/>
          <w:szCs w:val="24"/>
          <w:lang w:bidi="ar"/>
        </w:rPr>
        <w:t>附件</w:t>
      </w:r>
      <w:r>
        <w:rPr>
          <w:kern w:val="0"/>
          <w:sz w:val="24"/>
          <w:szCs w:val="24"/>
          <w:lang w:bidi="ar"/>
        </w:rPr>
        <w:t>1</w:t>
      </w:r>
      <w:r>
        <w:rPr>
          <w:rFonts w:hint="eastAsia" w:cs="宋体"/>
          <w:kern w:val="0"/>
          <w:sz w:val="24"/>
          <w:szCs w:val="24"/>
          <w:lang w:bidi="ar"/>
        </w:rPr>
        <w:t>：小微企业声明函格式</w:t>
      </w:r>
    </w:p>
    <w:p/>
    <w:p>
      <w:pPr>
        <w:pStyle w:val="25"/>
        <w:widowControl/>
        <w:spacing w:line="360" w:lineRule="auto"/>
        <w:ind w:firstLine="602" w:firstLineChars="200"/>
        <w:jc w:val="center"/>
        <w:rPr>
          <w:rFonts w:ascii="宋体" w:cs="宋体"/>
          <w:b/>
          <w:bCs/>
          <w:sz w:val="30"/>
          <w:szCs w:val="30"/>
          <w:lang w:val="zh-CN"/>
        </w:rPr>
      </w:pPr>
      <w:r>
        <w:rPr>
          <w:rFonts w:hint="eastAsia" w:ascii="宋体" w:cs="宋体"/>
          <w:b/>
          <w:bCs/>
          <w:sz w:val="30"/>
          <w:szCs w:val="30"/>
          <w:lang w:val="zh-CN"/>
        </w:rPr>
        <w:t>中小企业声明函（货物）</w:t>
      </w:r>
    </w:p>
    <w:p>
      <w:pPr>
        <w:pStyle w:val="17"/>
        <w:spacing w:line="420" w:lineRule="atLeast"/>
        <w:ind w:firstLine="420"/>
        <w:rPr>
          <w:rFonts w:hint="default" w:hAnsi="宋体" w:cs="宋体"/>
          <w:szCs w:val="24"/>
        </w:rPr>
      </w:pPr>
      <w:r>
        <w:rPr>
          <w:rFonts w:hAnsi="宋体" w:cs="宋体"/>
          <w:szCs w:val="24"/>
        </w:rPr>
        <w:t>本公司（联合体）郑重声明，根据《政府采购促进中小企业发展管理办法》（财库〔2020〕[2020]46号）的规定，本公司（联合体）参加</w:t>
      </w:r>
      <w:r>
        <w:rPr>
          <w:rFonts w:hAnsi="宋体" w:cs="宋体"/>
          <w:szCs w:val="24"/>
          <w:u w:val="single"/>
        </w:rPr>
        <w:t>（单位名称）</w:t>
      </w:r>
      <w:r>
        <w:rPr>
          <w:rFonts w:hAnsi="宋体" w:cs="宋体"/>
          <w:szCs w:val="24"/>
        </w:rPr>
        <w:t>的</w:t>
      </w:r>
      <w:r>
        <w:rPr>
          <w:rFonts w:hAnsi="宋体" w:cs="宋体"/>
          <w:szCs w:val="24"/>
          <w:u w:val="single"/>
        </w:rPr>
        <w:t>（项目名称）</w:t>
      </w:r>
      <w:r>
        <w:rPr>
          <w:rFonts w:hAnsi="宋体" w:cs="宋体"/>
          <w:szCs w:val="24"/>
        </w:rPr>
        <w:t>采购活动，提供的货物全部由符合政策要求的中小企业制造。相关企业（含联合体中的中小企业、签订分包意向协议的中小企业）的具体情况如下：</w:t>
      </w:r>
    </w:p>
    <w:p>
      <w:pPr>
        <w:pStyle w:val="17"/>
        <w:spacing w:line="420" w:lineRule="atLeast"/>
        <w:ind w:firstLine="420"/>
        <w:rPr>
          <w:rFonts w:hint="default" w:hAnsi="宋体" w:cs="宋体"/>
          <w:szCs w:val="24"/>
        </w:rPr>
      </w:pPr>
      <w:r>
        <w:rPr>
          <w:rFonts w:hAnsi="宋体" w:cs="宋体"/>
          <w:szCs w:val="24"/>
        </w:rPr>
        <w:t>1.</w:t>
      </w:r>
      <w:r>
        <w:rPr>
          <w:rFonts w:hAnsi="宋体" w:cs="宋体"/>
          <w:szCs w:val="24"/>
          <w:u w:val="single"/>
        </w:rPr>
        <w:t>（标的名称）</w:t>
      </w:r>
      <w:r>
        <w:rPr>
          <w:rFonts w:hAnsi="宋体" w:cs="宋体"/>
          <w:szCs w:val="24"/>
        </w:rPr>
        <w:t>，属于</w:t>
      </w:r>
      <w:r>
        <w:rPr>
          <w:rFonts w:hAnsi="宋体" w:cs="宋体"/>
          <w:szCs w:val="24"/>
          <w:u w:val="single"/>
        </w:rPr>
        <w:t>（采购文件中明确的所属行业）</w:t>
      </w:r>
      <w:r>
        <w:rPr>
          <w:rFonts w:hAnsi="宋体" w:cs="宋体"/>
          <w:szCs w:val="24"/>
        </w:rPr>
        <w:t>；制造商为</w:t>
      </w:r>
      <w:r>
        <w:rPr>
          <w:rFonts w:hAnsi="宋体" w:cs="宋体"/>
          <w:szCs w:val="24"/>
          <w:u w:val="single"/>
        </w:rPr>
        <w:t>（企业名称）</w:t>
      </w:r>
      <w:r>
        <w:rPr>
          <w:rFonts w:hAnsi="宋体" w:cs="宋体"/>
          <w:szCs w:val="24"/>
        </w:rPr>
        <w:t>，从业人员</w:t>
      </w:r>
      <w:r>
        <w:rPr>
          <w:rFonts w:hAnsi="宋体" w:cs="宋体"/>
          <w:szCs w:val="24"/>
          <w:u w:val="single"/>
        </w:rPr>
        <w:t>  </w:t>
      </w:r>
      <w:r>
        <w:rPr>
          <w:rFonts w:hAnsi="宋体" w:cs="宋体"/>
          <w:szCs w:val="24"/>
        </w:rPr>
        <w:t>人，营业收入为</w:t>
      </w:r>
      <w:r>
        <w:rPr>
          <w:rFonts w:hAnsi="宋体" w:cs="宋体"/>
          <w:szCs w:val="24"/>
          <w:u w:val="single"/>
        </w:rPr>
        <w:t>  </w:t>
      </w:r>
      <w:r>
        <w:rPr>
          <w:rFonts w:hAnsi="宋体" w:cs="宋体"/>
          <w:szCs w:val="24"/>
        </w:rPr>
        <w:t>万元，资产总额为</w:t>
      </w:r>
      <w:r>
        <w:rPr>
          <w:rFonts w:hAnsi="宋体" w:cs="宋体"/>
          <w:szCs w:val="24"/>
          <w:u w:val="single"/>
        </w:rPr>
        <w:t>  </w:t>
      </w:r>
      <w:r>
        <w:rPr>
          <w:rFonts w:hAnsi="宋体" w:cs="宋体"/>
          <w:szCs w:val="24"/>
        </w:rPr>
        <w:t>万元，属于</w:t>
      </w:r>
      <w:r>
        <w:rPr>
          <w:rFonts w:hAnsi="宋体" w:cs="宋体"/>
          <w:szCs w:val="24"/>
          <w:u w:val="single"/>
        </w:rPr>
        <w:t>（中型企业、小型企业、微型企业）</w:t>
      </w:r>
      <w:r>
        <w:rPr>
          <w:rFonts w:hAnsi="宋体" w:cs="宋体"/>
          <w:szCs w:val="24"/>
        </w:rPr>
        <w:t>；</w:t>
      </w:r>
    </w:p>
    <w:p>
      <w:pPr>
        <w:pStyle w:val="17"/>
        <w:spacing w:line="420" w:lineRule="atLeast"/>
        <w:ind w:firstLine="420"/>
        <w:rPr>
          <w:rFonts w:hint="default" w:hAnsi="宋体" w:cs="宋体"/>
          <w:szCs w:val="24"/>
        </w:rPr>
      </w:pPr>
      <w:r>
        <w:rPr>
          <w:rFonts w:hAnsi="宋体" w:cs="宋体"/>
          <w:szCs w:val="24"/>
        </w:rPr>
        <w:t>2.</w:t>
      </w:r>
      <w:r>
        <w:rPr>
          <w:rFonts w:hAnsi="宋体" w:cs="宋体"/>
          <w:szCs w:val="24"/>
          <w:u w:val="single"/>
        </w:rPr>
        <w:t>（标的名称）</w:t>
      </w:r>
      <w:r>
        <w:rPr>
          <w:rFonts w:hAnsi="宋体" w:cs="宋体"/>
          <w:szCs w:val="24"/>
        </w:rPr>
        <w:t>，属于</w:t>
      </w:r>
      <w:r>
        <w:rPr>
          <w:rFonts w:hAnsi="宋体" w:cs="宋体"/>
          <w:szCs w:val="24"/>
          <w:u w:val="single"/>
        </w:rPr>
        <w:t>（采购文件中明确的所属行业）</w:t>
      </w:r>
      <w:r>
        <w:rPr>
          <w:rFonts w:hAnsi="宋体" w:cs="宋体"/>
          <w:szCs w:val="24"/>
        </w:rPr>
        <w:t>；制造商为</w:t>
      </w:r>
      <w:r>
        <w:rPr>
          <w:rFonts w:hAnsi="宋体" w:cs="宋体"/>
          <w:szCs w:val="24"/>
          <w:u w:val="single"/>
        </w:rPr>
        <w:t>（企业名称）</w:t>
      </w:r>
      <w:r>
        <w:rPr>
          <w:rFonts w:hAnsi="宋体" w:cs="宋体"/>
          <w:szCs w:val="24"/>
        </w:rPr>
        <w:t>，从业人员</w:t>
      </w:r>
      <w:r>
        <w:rPr>
          <w:rFonts w:hAnsi="宋体" w:cs="宋体"/>
          <w:szCs w:val="24"/>
          <w:u w:val="single"/>
        </w:rPr>
        <w:t>  </w:t>
      </w:r>
      <w:r>
        <w:rPr>
          <w:rFonts w:hAnsi="宋体" w:cs="宋体"/>
          <w:szCs w:val="24"/>
        </w:rPr>
        <w:t>人，营业收入为</w:t>
      </w:r>
      <w:r>
        <w:rPr>
          <w:rFonts w:hAnsi="宋体" w:cs="宋体"/>
          <w:szCs w:val="24"/>
          <w:u w:val="single"/>
        </w:rPr>
        <w:t>  </w:t>
      </w:r>
      <w:r>
        <w:rPr>
          <w:rFonts w:hAnsi="宋体" w:cs="宋体"/>
          <w:szCs w:val="24"/>
        </w:rPr>
        <w:t>万元，资产总额为</w:t>
      </w:r>
      <w:r>
        <w:rPr>
          <w:rFonts w:hAnsi="宋体" w:cs="宋体"/>
          <w:szCs w:val="24"/>
          <w:u w:val="single"/>
        </w:rPr>
        <w:t>  </w:t>
      </w:r>
      <w:r>
        <w:rPr>
          <w:rFonts w:hAnsi="宋体" w:cs="宋体"/>
          <w:szCs w:val="24"/>
        </w:rPr>
        <w:t>万元，属于</w:t>
      </w:r>
      <w:r>
        <w:rPr>
          <w:rFonts w:hAnsi="宋体" w:cs="宋体"/>
          <w:szCs w:val="24"/>
          <w:u w:val="single"/>
        </w:rPr>
        <w:t>（中型企业、小型企业、微型企业）</w:t>
      </w:r>
      <w:r>
        <w:rPr>
          <w:rFonts w:hAnsi="宋体" w:cs="宋体"/>
          <w:szCs w:val="24"/>
        </w:rPr>
        <w:t>；</w:t>
      </w:r>
    </w:p>
    <w:p>
      <w:pPr>
        <w:pStyle w:val="17"/>
        <w:spacing w:line="420" w:lineRule="atLeast"/>
        <w:ind w:firstLine="420"/>
        <w:rPr>
          <w:rFonts w:hint="default" w:hAnsi="宋体" w:cs="宋体"/>
          <w:szCs w:val="24"/>
        </w:rPr>
      </w:pPr>
      <w:r>
        <w:rPr>
          <w:rFonts w:hAnsi="宋体" w:cs="宋体"/>
          <w:szCs w:val="24"/>
        </w:rPr>
        <w:t>……</w:t>
      </w:r>
    </w:p>
    <w:p>
      <w:pPr>
        <w:pStyle w:val="17"/>
        <w:spacing w:line="420" w:lineRule="atLeast"/>
        <w:ind w:firstLine="420"/>
        <w:rPr>
          <w:rFonts w:hint="default" w:hAnsi="宋体" w:cs="宋体"/>
          <w:szCs w:val="24"/>
        </w:rPr>
      </w:pPr>
      <w:r>
        <w:rPr>
          <w:rFonts w:hAnsi="宋体" w:cs="宋体"/>
          <w:szCs w:val="24"/>
        </w:rPr>
        <w:t>以上企业，不属于大企业的分支机构，不存在控股股东为大企业的情形，也不存在与大企业的负责人为同一人的情形。</w:t>
      </w:r>
    </w:p>
    <w:p>
      <w:pPr>
        <w:pStyle w:val="17"/>
        <w:spacing w:line="420" w:lineRule="atLeast"/>
        <w:ind w:firstLine="420"/>
        <w:rPr>
          <w:rFonts w:hint="default" w:hAnsi="宋体" w:cs="宋体"/>
          <w:szCs w:val="24"/>
        </w:rPr>
      </w:pPr>
      <w:r>
        <w:rPr>
          <w:rFonts w:hAnsi="宋体" w:cs="宋体"/>
          <w:szCs w:val="24"/>
        </w:rPr>
        <w:t>本企业对上述声明内容的真实性负责。如有虚假，将依法承担相应责任。</w:t>
      </w:r>
    </w:p>
    <w:p>
      <w:pPr>
        <w:pStyle w:val="25"/>
        <w:widowControl/>
        <w:spacing w:line="360" w:lineRule="auto"/>
        <w:ind w:firstLine="504" w:firstLineChars="200"/>
        <w:rPr>
          <w:rFonts w:ascii="宋体" w:hAnsi="宋体" w:cs="宋体"/>
          <w:spacing w:val="6"/>
          <w:sz w:val="24"/>
        </w:rPr>
      </w:pPr>
    </w:p>
    <w:p>
      <w:pPr>
        <w:spacing w:line="360" w:lineRule="auto"/>
        <w:ind w:firstLine="5760" w:firstLineChars="2400"/>
        <w:rPr>
          <w:rFonts w:ascii="宋体" w:cs="宋体"/>
          <w:sz w:val="24"/>
          <w:szCs w:val="24"/>
          <w:lang w:val="zh-CN"/>
        </w:rPr>
      </w:pPr>
      <w:r>
        <w:rPr>
          <w:rFonts w:hint="eastAsia" w:ascii="宋体" w:cs="宋体"/>
          <w:sz w:val="24"/>
          <w:szCs w:val="24"/>
          <w:lang w:val="zh-CN" w:bidi="ar"/>
        </w:rPr>
        <w:t>企业名称（盖章）：</w:t>
      </w:r>
    </w:p>
    <w:p>
      <w:pPr>
        <w:spacing w:line="360" w:lineRule="auto"/>
        <w:ind w:firstLine="6120" w:firstLineChars="2550"/>
        <w:rPr>
          <w:rFonts w:ascii="宋体" w:cs="宋体"/>
          <w:sz w:val="24"/>
          <w:szCs w:val="24"/>
          <w:lang w:val="zh-CN"/>
        </w:rPr>
      </w:pPr>
      <w:r>
        <w:rPr>
          <w:rFonts w:hint="eastAsia" w:ascii="宋体" w:cs="宋体"/>
          <w:sz w:val="24"/>
          <w:szCs w:val="24"/>
          <w:lang w:val="zh-CN" w:bidi="ar"/>
        </w:rPr>
        <w:t>日期：</w:t>
      </w:r>
    </w:p>
    <w:p>
      <w:pPr>
        <w:widowControl/>
        <w:spacing w:line="340" w:lineRule="exact"/>
        <w:rPr>
          <w:kern w:val="0"/>
          <w:sz w:val="24"/>
          <w:szCs w:val="24"/>
        </w:rPr>
      </w:pPr>
    </w:p>
    <w:p>
      <w:pPr>
        <w:pStyle w:val="25"/>
        <w:widowControl/>
        <w:spacing w:line="360" w:lineRule="auto"/>
        <w:rPr>
          <w:rFonts w:ascii="宋体" w:hAnsi="宋体" w:cs="宋体"/>
          <w:sz w:val="24"/>
        </w:rPr>
      </w:pPr>
    </w:p>
    <w:p>
      <w:pPr>
        <w:pStyle w:val="25"/>
        <w:widowControl/>
        <w:spacing w:line="360" w:lineRule="auto"/>
        <w:rPr>
          <w:rFonts w:ascii="宋体" w:hAnsi="宋体" w:cs="宋体"/>
          <w:sz w:val="24"/>
        </w:rPr>
      </w:pPr>
    </w:p>
    <w:p>
      <w:pPr>
        <w:widowControl/>
        <w:spacing w:line="340" w:lineRule="exact"/>
        <w:rPr>
          <w:kern w:val="0"/>
          <w:sz w:val="24"/>
          <w:szCs w:val="24"/>
        </w:rPr>
      </w:pPr>
    </w:p>
    <w:p>
      <w:pPr>
        <w:widowControl/>
        <w:spacing w:line="340" w:lineRule="exact"/>
        <w:rPr>
          <w:kern w:val="0"/>
          <w:sz w:val="24"/>
          <w:szCs w:val="24"/>
        </w:rPr>
      </w:pPr>
    </w:p>
    <w:p>
      <w:pPr>
        <w:widowControl/>
        <w:spacing w:line="340" w:lineRule="exact"/>
        <w:rPr>
          <w:kern w:val="0"/>
          <w:sz w:val="24"/>
          <w:szCs w:val="24"/>
        </w:rPr>
      </w:pPr>
    </w:p>
    <w:p>
      <w:pPr>
        <w:widowControl/>
        <w:jc w:val="left"/>
      </w:pPr>
      <w:r>
        <w:rPr>
          <w:rFonts w:hint="eastAsia" w:ascii="宋体" w:hAnsi="宋体" w:cs="宋体"/>
          <w:kern w:val="0"/>
          <w:sz w:val="18"/>
          <w:szCs w:val="18"/>
          <w:lang w:bidi="ar"/>
        </w:rPr>
        <w:t>从业人员、营业收入、资产总额填报上一年度数据，无上一年度数据的新成立企业可不填报。</w:t>
      </w:r>
    </w:p>
    <w:p>
      <w:pPr>
        <w:widowControl/>
        <w:spacing w:line="340" w:lineRule="exact"/>
        <w:rPr>
          <w:kern w:val="0"/>
          <w:sz w:val="24"/>
          <w:szCs w:val="24"/>
        </w:rPr>
      </w:pPr>
      <w:r>
        <w:rPr>
          <w:rFonts w:hint="eastAsia"/>
          <w:b/>
          <w:bCs/>
          <w:sz w:val="30"/>
          <w:szCs w:val="30"/>
        </w:rPr>
        <w:br w:type="page"/>
      </w:r>
    </w:p>
    <w:p>
      <w:pPr>
        <w:numPr>
          <w:ilvl w:val="0"/>
          <w:numId w:val="13"/>
        </w:numPr>
        <w:jc w:val="center"/>
        <w:rPr>
          <w:b/>
          <w:bCs/>
          <w:sz w:val="30"/>
          <w:szCs w:val="30"/>
        </w:rPr>
      </w:pPr>
      <w:bookmarkStart w:id="97" w:name="_Toc217446089"/>
      <w:bookmarkStart w:id="98" w:name="_Toc6149"/>
      <w:bookmarkStart w:id="99" w:name="_Toc3216"/>
      <w:r>
        <w:rPr>
          <w:rFonts w:hint="eastAsia"/>
          <w:b/>
          <w:bCs/>
          <w:sz w:val="30"/>
          <w:szCs w:val="30"/>
        </w:rPr>
        <w:t>投标人类似项目业绩一览表</w:t>
      </w:r>
    </w:p>
    <w:p/>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561"/>
        <w:gridCol w:w="1561"/>
        <w:gridCol w:w="1561"/>
        <w:gridCol w:w="1561"/>
        <w:gridCol w:w="1561"/>
        <w:gridCol w:w="156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tcBorders>
              <w:top w:val="single" w:color="auto" w:sz="4" w:space="0"/>
            </w:tcBorders>
            <w:vAlign w:val="center"/>
          </w:tcPr>
          <w:p>
            <w:pPr>
              <w:spacing w:line="400" w:lineRule="exact"/>
              <w:ind w:firstLine="105" w:firstLineChars="50"/>
              <w:rPr>
                <w:b/>
              </w:rPr>
            </w:pPr>
            <w:r>
              <w:rPr>
                <w:b/>
              </w:rPr>
              <w:t>年份</w:t>
            </w:r>
          </w:p>
        </w:tc>
        <w:tc>
          <w:tcPr>
            <w:tcW w:w="1561" w:type="dxa"/>
            <w:vAlign w:val="center"/>
          </w:tcPr>
          <w:p>
            <w:pPr>
              <w:spacing w:line="400" w:lineRule="exact"/>
              <w:jc w:val="center"/>
              <w:rPr>
                <w:b/>
              </w:rPr>
            </w:pPr>
            <w:r>
              <w:rPr>
                <w:b/>
              </w:rPr>
              <w:t>用户名称</w:t>
            </w:r>
          </w:p>
        </w:tc>
        <w:tc>
          <w:tcPr>
            <w:tcW w:w="1561" w:type="dxa"/>
            <w:vAlign w:val="center"/>
          </w:tcPr>
          <w:p>
            <w:pPr>
              <w:spacing w:line="400" w:lineRule="exact"/>
              <w:jc w:val="center"/>
              <w:rPr>
                <w:b/>
              </w:rPr>
            </w:pPr>
            <w:r>
              <w:rPr>
                <w:b/>
              </w:rPr>
              <w:t>项目名称</w:t>
            </w:r>
          </w:p>
        </w:tc>
        <w:tc>
          <w:tcPr>
            <w:tcW w:w="1561" w:type="dxa"/>
            <w:vAlign w:val="center"/>
          </w:tcPr>
          <w:p>
            <w:pPr>
              <w:spacing w:line="400" w:lineRule="exact"/>
              <w:jc w:val="center"/>
              <w:rPr>
                <w:b/>
              </w:rPr>
            </w:pPr>
            <w:r>
              <w:rPr>
                <w:b/>
              </w:rPr>
              <w:t>完成时间</w:t>
            </w:r>
          </w:p>
        </w:tc>
        <w:tc>
          <w:tcPr>
            <w:tcW w:w="1561" w:type="dxa"/>
            <w:vAlign w:val="center"/>
          </w:tcPr>
          <w:p>
            <w:pPr>
              <w:spacing w:line="400" w:lineRule="exact"/>
              <w:ind w:firstLine="105" w:firstLineChars="50"/>
              <w:rPr>
                <w:b/>
              </w:rPr>
            </w:pPr>
            <w:r>
              <w:rPr>
                <w:b/>
              </w:rPr>
              <w:t>合同金额</w:t>
            </w:r>
          </w:p>
        </w:tc>
        <w:tc>
          <w:tcPr>
            <w:tcW w:w="1561" w:type="dxa"/>
            <w:vAlign w:val="center"/>
          </w:tcPr>
          <w:p>
            <w:pPr>
              <w:spacing w:line="400" w:lineRule="exact"/>
              <w:rPr>
                <w:b/>
              </w:rPr>
            </w:pPr>
            <w:r>
              <w:rPr>
                <w:b/>
              </w:rPr>
              <w:t xml:space="preserve">   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90" w:hRule="atLeast"/>
          <w:jc w:val="center"/>
        </w:trPr>
        <w:tc>
          <w:tcPr>
            <w:tcW w:w="1561" w:type="dxa"/>
            <w:vAlign w:val="center"/>
          </w:tcPr>
          <w:p>
            <w:pPr>
              <w:spacing w:line="400" w:lineRule="exact"/>
              <w:jc w:val="center"/>
            </w:pPr>
          </w:p>
        </w:tc>
        <w:tc>
          <w:tcPr>
            <w:tcW w:w="1561" w:type="dxa"/>
            <w:tcBorders>
              <w:right w:val="single" w:color="auto" w:sz="4" w:space="0"/>
            </w:tcBorders>
            <w:vAlign w:val="center"/>
          </w:tcPr>
          <w:p>
            <w:pPr>
              <w:spacing w:line="400" w:lineRule="exact"/>
              <w:jc w:val="center"/>
            </w:pPr>
          </w:p>
        </w:tc>
        <w:tc>
          <w:tcPr>
            <w:tcW w:w="1561" w:type="dxa"/>
            <w:tcBorders>
              <w:left w:val="single" w:color="auto" w:sz="4" w:space="0"/>
            </w:tcBorders>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tcBorders>
              <w:right w:val="single" w:color="auto" w:sz="4" w:space="0"/>
            </w:tcBorders>
            <w:vAlign w:val="center"/>
          </w:tcPr>
          <w:p>
            <w:pPr>
              <w:spacing w:line="400" w:lineRule="exact"/>
            </w:pPr>
          </w:p>
        </w:tc>
        <w:tc>
          <w:tcPr>
            <w:tcW w:w="1561" w:type="dxa"/>
            <w:tcBorders>
              <w:left w:val="single" w:color="auto" w:sz="4" w:space="0"/>
              <w:right w:val="single" w:color="auto" w:sz="4" w:space="0"/>
            </w:tcBorders>
            <w:vAlign w:val="center"/>
          </w:tcPr>
          <w:p>
            <w:pPr>
              <w:spacing w:line="400" w:lineRule="exact"/>
            </w:pPr>
          </w:p>
        </w:tc>
        <w:tc>
          <w:tcPr>
            <w:tcW w:w="1561" w:type="dxa"/>
            <w:tcBorders>
              <w:left w:val="single" w:color="auto" w:sz="4" w:space="0"/>
              <w:right w:val="single" w:color="auto" w:sz="4" w:space="0"/>
            </w:tcBorders>
            <w:vAlign w:val="center"/>
          </w:tcPr>
          <w:p>
            <w:pPr>
              <w:spacing w:line="400" w:lineRule="exact"/>
            </w:pPr>
          </w:p>
        </w:tc>
        <w:tc>
          <w:tcPr>
            <w:tcW w:w="1561" w:type="dxa"/>
            <w:tcBorders>
              <w:left w:val="single" w:color="auto" w:sz="4" w:space="0"/>
              <w:right w:val="single" w:color="auto" w:sz="4" w:space="0"/>
            </w:tcBorders>
            <w:vAlign w:val="center"/>
          </w:tcPr>
          <w:p>
            <w:pPr>
              <w:spacing w:line="400" w:lineRule="exact"/>
            </w:pPr>
          </w:p>
        </w:tc>
        <w:tc>
          <w:tcPr>
            <w:tcW w:w="1561" w:type="dxa"/>
            <w:tcBorders>
              <w:left w:val="single" w:color="auto" w:sz="4" w:space="0"/>
              <w:right w:val="single" w:color="auto" w:sz="4" w:space="0"/>
            </w:tcBorders>
            <w:vAlign w:val="center"/>
          </w:tcPr>
          <w:p>
            <w:pPr>
              <w:spacing w:line="400" w:lineRule="exact"/>
            </w:pPr>
          </w:p>
        </w:tc>
        <w:tc>
          <w:tcPr>
            <w:tcW w:w="1561" w:type="dxa"/>
            <w:tcBorders>
              <w:left w:val="single" w:color="auto" w:sz="4" w:space="0"/>
            </w:tcBorders>
            <w:vAlign w:val="center"/>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pPr>
          </w:p>
        </w:tc>
        <w:tc>
          <w:tcPr>
            <w:tcW w:w="1561" w:type="dxa"/>
            <w:vAlign w:val="center"/>
          </w:tcPr>
          <w:p>
            <w:pPr>
              <w:spacing w:line="400" w:lineRule="exact"/>
            </w:pPr>
          </w:p>
        </w:tc>
        <w:tc>
          <w:tcPr>
            <w:tcW w:w="1561" w:type="dxa"/>
            <w:vAlign w:val="center"/>
          </w:tcPr>
          <w:p>
            <w:pPr>
              <w:spacing w:line="400" w:lineRule="exact"/>
            </w:pPr>
          </w:p>
        </w:tc>
        <w:tc>
          <w:tcPr>
            <w:tcW w:w="1561" w:type="dxa"/>
            <w:vAlign w:val="center"/>
          </w:tcPr>
          <w:p>
            <w:pPr>
              <w:spacing w:line="400" w:lineRule="exact"/>
            </w:pPr>
          </w:p>
        </w:tc>
        <w:tc>
          <w:tcPr>
            <w:tcW w:w="1561" w:type="dxa"/>
            <w:tcBorders>
              <w:right w:val="single" w:color="auto" w:sz="4" w:space="0"/>
            </w:tcBorders>
            <w:vAlign w:val="center"/>
          </w:tcPr>
          <w:p>
            <w:pPr>
              <w:spacing w:line="400" w:lineRule="exact"/>
            </w:pPr>
          </w:p>
        </w:tc>
        <w:tc>
          <w:tcPr>
            <w:tcW w:w="1561" w:type="dxa"/>
            <w:tcBorders>
              <w:left w:val="single" w:color="auto" w:sz="4" w:space="0"/>
            </w:tcBorders>
            <w:vAlign w:val="center"/>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tcBorders>
              <w:right w:val="single" w:color="auto" w:sz="4" w:space="0"/>
            </w:tcBorders>
            <w:vAlign w:val="center"/>
          </w:tcPr>
          <w:p>
            <w:pPr>
              <w:spacing w:line="400" w:lineRule="exact"/>
              <w:jc w:val="center"/>
            </w:pPr>
          </w:p>
        </w:tc>
        <w:tc>
          <w:tcPr>
            <w:tcW w:w="1561" w:type="dxa"/>
            <w:tcBorders>
              <w:left w:val="single" w:color="auto" w:sz="4" w:space="0"/>
            </w:tcBorders>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1" w:hRule="atLeast"/>
          <w:jc w:val="center"/>
        </w:trPr>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vAlign w:val="center"/>
          </w:tcPr>
          <w:p>
            <w:pPr>
              <w:spacing w:line="400" w:lineRule="exact"/>
              <w:jc w:val="center"/>
            </w:pPr>
          </w:p>
        </w:tc>
        <w:tc>
          <w:tcPr>
            <w:tcW w:w="1561" w:type="dxa"/>
            <w:tcBorders>
              <w:right w:val="single" w:color="auto" w:sz="4" w:space="0"/>
            </w:tcBorders>
            <w:vAlign w:val="center"/>
          </w:tcPr>
          <w:p>
            <w:pPr>
              <w:spacing w:line="400" w:lineRule="exact"/>
              <w:jc w:val="center"/>
            </w:pPr>
          </w:p>
        </w:tc>
        <w:tc>
          <w:tcPr>
            <w:tcW w:w="1561" w:type="dxa"/>
            <w:tcBorders>
              <w:left w:val="single" w:color="auto" w:sz="4" w:space="0"/>
            </w:tcBorders>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1" w:hRule="atLeast"/>
          <w:jc w:val="center"/>
        </w:trPr>
        <w:tc>
          <w:tcPr>
            <w:tcW w:w="1561" w:type="dxa"/>
            <w:tcBorders>
              <w:bottom w:val="single" w:color="auto" w:sz="4" w:space="0"/>
            </w:tcBorders>
            <w:vAlign w:val="center"/>
          </w:tcPr>
          <w:p>
            <w:pPr>
              <w:spacing w:line="400" w:lineRule="exact"/>
              <w:jc w:val="center"/>
            </w:pPr>
          </w:p>
        </w:tc>
        <w:tc>
          <w:tcPr>
            <w:tcW w:w="1561" w:type="dxa"/>
            <w:tcBorders>
              <w:bottom w:val="single" w:color="auto" w:sz="4" w:space="0"/>
            </w:tcBorders>
            <w:vAlign w:val="center"/>
          </w:tcPr>
          <w:p>
            <w:pPr>
              <w:spacing w:line="400" w:lineRule="exact"/>
              <w:jc w:val="center"/>
            </w:pPr>
          </w:p>
        </w:tc>
        <w:tc>
          <w:tcPr>
            <w:tcW w:w="1561" w:type="dxa"/>
            <w:tcBorders>
              <w:bottom w:val="single" w:color="auto" w:sz="4" w:space="0"/>
            </w:tcBorders>
            <w:vAlign w:val="center"/>
          </w:tcPr>
          <w:p>
            <w:pPr>
              <w:spacing w:line="400" w:lineRule="exact"/>
              <w:jc w:val="center"/>
            </w:pPr>
          </w:p>
        </w:tc>
        <w:tc>
          <w:tcPr>
            <w:tcW w:w="1561" w:type="dxa"/>
            <w:tcBorders>
              <w:bottom w:val="single" w:color="auto" w:sz="4" w:space="0"/>
            </w:tcBorders>
            <w:vAlign w:val="center"/>
          </w:tcPr>
          <w:p>
            <w:pPr>
              <w:spacing w:line="400" w:lineRule="exact"/>
              <w:jc w:val="center"/>
            </w:pPr>
          </w:p>
        </w:tc>
        <w:tc>
          <w:tcPr>
            <w:tcW w:w="1561" w:type="dxa"/>
            <w:tcBorders>
              <w:bottom w:val="single" w:color="auto" w:sz="4" w:space="0"/>
              <w:right w:val="single" w:color="auto" w:sz="4" w:space="0"/>
            </w:tcBorders>
            <w:vAlign w:val="center"/>
          </w:tcPr>
          <w:p>
            <w:pPr>
              <w:spacing w:line="400" w:lineRule="exact"/>
              <w:jc w:val="center"/>
            </w:pPr>
          </w:p>
        </w:tc>
        <w:tc>
          <w:tcPr>
            <w:tcW w:w="1561" w:type="dxa"/>
            <w:tcBorders>
              <w:left w:val="single" w:color="auto" w:sz="4" w:space="0"/>
              <w:bottom w:val="single" w:color="auto" w:sz="4" w:space="0"/>
            </w:tcBorders>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6" w:hRule="atLeast"/>
          <w:jc w:val="center"/>
        </w:trPr>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right w:val="single" w:color="auto" w:sz="4" w:space="0"/>
            </w:tcBorders>
            <w:vAlign w:val="center"/>
          </w:tcPr>
          <w:p>
            <w:pPr>
              <w:spacing w:line="400" w:lineRule="exact"/>
              <w:jc w:val="center"/>
            </w:pPr>
          </w:p>
        </w:tc>
        <w:tc>
          <w:tcPr>
            <w:tcW w:w="1561" w:type="dxa"/>
            <w:tcBorders>
              <w:top w:val="single" w:color="auto" w:sz="4" w:space="0"/>
              <w:left w:val="single" w:color="auto" w:sz="4" w:space="0"/>
              <w:bottom w:val="single" w:color="auto" w:sz="4" w:space="0"/>
            </w:tcBorders>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6" w:hRule="atLeast"/>
          <w:jc w:val="center"/>
        </w:trPr>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right w:val="single" w:color="auto" w:sz="4" w:space="0"/>
            </w:tcBorders>
            <w:vAlign w:val="center"/>
          </w:tcPr>
          <w:p>
            <w:pPr>
              <w:spacing w:line="400" w:lineRule="exact"/>
              <w:jc w:val="center"/>
            </w:pPr>
          </w:p>
        </w:tc>
        <w:tc>
          <w:tcPr>
            <w:tcW w:w="1561" w:type="dxa"/>
            <w:tcBorders>
              <w:top w:val="single" w:color="auto" w:sz="4" w:space="0"/>
              <w:left w:val="single" w:color="auto" w:sz="4" w:space="0"/>
              <w:bottom w:val="single" w:color="auto" w:sz="4" w:space="0"/>
            </w:tcBorders>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1" w:hRule="atLeast"/>
          <w:jc w:val="center"/>
        </w:trPr>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tcBorders>
            <w:vAlign w:val="center"/>
          </w:tcPr>
          <w:p>
            <w:pPr>
              <w:spacing w:line="400" w:lineRule="exact"/>
              <w:jc w:val="center"/>
            </w:pPr>
          </w:p>
        </w:tc>
        <w:tc>
          <w:tcPr>
            <w:tcW w:w="1561" w:type="dxa"/>
            <w:tcBorders>
              <w:top w:val="single" w:color="auto" w:sz="4" w:space="0"/>
              <w:bottom w:val="single" w:color="auto" w:sz="4" w:space="0"/>
              <w:right w:val="single" w:color="auto" w:sz="4" w:space="0"/>
            </w:tcBorders>
            <w:vAlign w:val="center"/>
          </w:tcPr>
          <w:p>
            <w:pPr>
              <w:spacing w:line="400" w:lineRule="exact"/>
              <w:jc w:val="center"/>
            </w:pPr>
          </w:p>
        </w:tc>
        <w:tc>
          <w:tcPr>
            <w:tcW w:w="1561" w:type="dxa"/>
            <w:tcBorders>
              <w:top w:val="single" w:color="auto" w:sz="4" w:space="0"/>
              <w:left w:val="single" w:color="auto" w:sz="4" w:space="0"/>
              <w:bottom w:val="single" w:color="auto" w:sz="4" w:space="0"/>
            </w:tcBorders>
            <w:vAlign w:val="center"/>
          </w:tcPr>
          <w:p>
            <w:pPr>
              <w:spacing w:line="400" w:lineRule="exact"/>
              <w:jc w:val="cente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6" w:hRule="atLeast"/>
          <w:jc w:val="center"/>
        </w:trPr>
        <w:tc>
          <w:tcPr>
            <w:tcW w:w="1561" w:type="dxa"/>
            <w:tcBorders>
              <w:top w:val="single" w:color="auto" w:sz="4" w:space="0"/>
            </w:tcBorders>
            <w:vAlign w:val="center"/>
          </w:tcPr>
          <w:p>
            <w:pPr>
              <w:spacing w:line="400" w:lineRule="exact"/>
              <w:jc w:val="center"/>
            </w:pPr>
          </w:p>
        </w:tc>
        <w:tc>
          <w:tcPr>
            <w:tcW w:w="1561" w:type="dxa"/>
            <w:tcBorders>
              <w:top w:val="single" w:color="auto" w:sz="4" w:space="0"/>
            </w:tcBorders>
            <w:vAlign w:val="center"/>
          </w:tcPr>
          <w:p>
            <w:pPr>
              <w:spacing w:line="400" w:lineRule="exact"/>
              <w:jc w:val="center"/>
            </w:pPr>
          </w:p>
        </w:tc>
        <w:tc>
          <w:tcPr>
            <w:tcW w:w="1561" w:type="dxa"/>
            <w:tcBorders>
              <w:top w:val="single" w:color="auto" w:sz="4" w:space="0"/>
            </w:tcBorders>
            <w:vAlign w:val="center"/>
          </w:tcPr>
          <w:p>
            <w:pPr>
              <w:spacing w:line="400" w:lineRule="exact"/>
              <w:jc w:val="center"/>
            </w:pPr>
          </w:p>
        </w:tc>
        <w:tc>
          <w:tcPr>
            <w:tcW w:w="1561" w:type="dxa"/>
            <w:tcBorders>
              <w:top w:val="single" w:color="auto" w:sz="4" w:space="0"/>
            </w:tcBorders>
            <w:vAlign w:val="center"/>
          </w:tcPr>
          <w:p>
            <w:pPr>
              <w:spacing w:line="400" w:lineRule="exact"/>
              <w:jc w:val="center"/>
            </w:pPr>
          </w:p>
        </w:tc>
        <w:tc>
          <w:tcPr>
            <w:tcW w:w="1561" w:type="dxa"/>
            <w:tcBorders>
              <w:top w:val="single" w:color="auto" w:sz="4" w:space="0"/>
              <w:right w:val="single" w:color="auto" w:sz="4" w:space="0"/>
            </w:tcBorders>
            <w:vAlign w:val="center"/>
          </w:tcPr>
          <w:p>
            <w:pPr>
              <w:spacing w:line="400" w:lineRule="exact"/>
              <w:jc w:val="center"/>
            </w:pPr>
          </w:p>
        </w:tc>
        <w:tc>
          <w:tcPr>
            <w:tcW w:w="1561" w:type="dxa"/>
            <w:tcBorders>
              <w:top w:val="single" w:color="auto" w:sz="4" w:space="0"/>
              <w:left w:val="single" w:color="auto" w:sz="4" w:space="0"/>
            </w:tcBorders>
            <w:vAlign w:val="center"/>
          </w:tcPr>
          <w:p>
            <w:pPr>
              <w:spacing w:line="400" w:lineRule="exact"/>
              <w:jc w:val="center"/>
            </w:pPr>
          </w:p>
        </w:tc>
      </w:tr>
    </w:tbl>
    <w:p>
      <w:pPr>
        <w:tabs>
          <w:tab w:val="left" w:pos="555"/>
          <w:tab w:val="left" w:pos="2214"/>
          <w:tab w:val="left" w:pos="3774"/>
          <w:tab w:val="left" w:pos="4854"/>
          <w:tab w:val="left" w:pos="5934"/>
          <w:tab w:val="left" w:pos="7014"/>
          <w:tab w:val="left" w:pos="8214"/>
          <w:tab w:val="left" w:pos="10134"/>
          <w:tab w:val="left" w:pos="11124"/>
        </w:tabs>
        <w:spacing w:line="400" w:lineRule="exact"/>
        <w:ind w:left="359" w:leftChars="171" w:firstLine="360" w:firstLineChars="150"/>
        <w:rPr>
          <w:sz w:val="24"/>
          <w:szCs w:val="24"/>
        </w:rPr>
      </w:pPr>
      <w:r>
        <w:rPr>
          <w:sz w:val="24"/>
          <w:szCs w:val="24"/>
        </w:rPr>
        <w:t>注：投标人以上业绩需提供有关书面证明材料。“合同金额”需提供合同复印件；“完成项目质量”需提供合同验收合格或用户单位书面证明材料。</w:t>
      </w:r>
    </w:p>
    <w:p>
      <w:pPr>
        <w:spacing w:line="400" w:lineRule="exact"/>
        <w:ind w:left="360"/>
        <w:jc w:val="center"/>
        <w:rPr>
          <w:sz w:val="24"/>
          <w:szCs w:val="24"/>
        </w:rPr>
      </w:pPr>
    </w:p>
    <w:p>
      <w:pPr>
        <w:spacing w:line="400" w:lineRule="exact"/>
        <w:ind w:left="360"/>
        <w:jc w:val="center"/>
      </w:pPr>
    </w:p>
    <w:p>
      <w:pPr>
        <w:adjustRightInd w:val="0"/>
        <w:spacing w:line="400" w:lineRule="exact"/>
        <w:ind w:firstLine="480" w:firstLineChars="200"/>
        <w:jc w:val="left"/>
        <w:rPr>
          <w:sz w:val="24"/>
          <w:szCs w:val="24"/>
        </w:rPr>
      </w:pPr>
      <w:r>
        <w:rPr>
          <w:sz w:val="24"/>
          <w:szCs w:val="24"/>
        </w:rPr>
        <w:t>投标人名称：         （盖章）</w:t>
      </w:r>
    </w:p>
    <w:p>
      <w:pPr>
        <w:adjustRightInd w:val="0"/>
        <w:spacing w:line="400" w:lineRule="exact"/>
        <w:ind w:firstLine="540" w:firstLineChars="225"/>
        <w:jc w:val="left"/>
        <w:rPr>
          <w:bCs/>
          <w:sz w:val="24"/>
          <w:szCs w:val="24"/>
        </w:rPr>
      </w:pPr>
      <w:r>
        <w:rPr>
          <w:sz w:val="24"/>
          <w:szCs w:val="24"/>
        </w:rPr>
        <w:t>法定代表人或授权代表（签字或盖章）</w:t>
      </w:r>
      <w:r>
        <w:rPr>
          <w:bCs/>
          <w:sz w:val="24"/>
          <w:szCs w:val="24"/>
        </w:rPr>
        <w:t>：</w:t>
      </w:r>
    </w:p>
    <w:p>
      <w:pPr>
        <w:spacing w:line="400" w:lineRule="exact"/>
        <w:ind w:firstLine="480" w:firstLineChars="200"/>
        <w:rPr>
          <w:b/>
          <w:sz w:val="24"/>
          <w:szCs w:val="24"/>
        </w:rPr>
      </w:pPr>
      <w:r>
        <w:rPr>
          <w:bCs/>
          <w:sz w:val="24"/>
          <w:szCs w:val="24"/>
        </w:rPr>
        <w:t>投标日期:</w:t>
      </w:r>
    </w:p>
    <w:p>
      <w:pPr>
        <w:sectPr>
          <w:pgSz w:w="11910" w:h="16840"/>
          <w:pgMar w:top="1420" w:right="1080" w:bottom="280" w:left="1360" w:header="720" w:footer="720" w:gutter="0"/>
          <w:pgNumType w:fmt="numberInDash"/>
          <w:cols w:space="720" w:num="1"/>
        </w:sectPr>
      </w:pPr>
    </w:p>
    <w:bookmarkEnd w:id="97"/>
    <w:bookmarkEnd w:id="98"/>
    <w:bookmarkEnd w:id="99"/>
    <w:p>
      <w:pPr>
        <w:numPr>
          <w:ilvl w:val="0"/>
          <w:numId w:val="13"/>
        </w:numPr>
        <w:jc w:val="center"/>
        <w:rPr>
          <w:b/>
          <w:bCs/>
          <w:sz w:val="30"/>
          <w:szCs w:val="30"/>
        </w:rPr>
      </w:pPr>
      <w:bookmarkStart w:id="100" w:name="_Toc21784"/>
      <w:bookmarkStart w:id="101" w:name="_Toc13927"/>
      <w:bookmarkStart w:id="102" w:name="_Toc217446090"/>
      <w:r>
        <w:rPr>
          <w:b/>
          <w:bCs/>
          <w:sz w:val="30"/>
          <w:szCs w:val="30"/>
        </w:rPr>
        <w:t>投标人本项目管理、技术、服务人员情况表</w:t>
      </w:r>
      <w:bookmarkEnd w:id="100"/>
      <w:bookmarkEnd w:id="101"/>
    </w:p>
    <w:p>
      <w:pPr>
        <w:spacing w:line="400" w:lineRule="exact"/>
        <w:rPr>
          <w:b/>
          <w:bCs/>
          <w:sz w:val="28"/>
        </w:rPr>
      </w:pPr>
    </w:p>
    <w:p>
      <w:pPr>
        <w:spacing w:line="400" w:lineRule="exact"/>
        <w:rPr>
          <w:bCs/>
          <w:sz w:val="24"/>
          <w:szCs w:val="24"/>
        </w:rPr>
      </w:pPr>
      <w:r>
        <w:rPr>
          <w:b/>
          <w:bCs/>
          <w:sz w:val="28"/>
        </w:rPr>
        <w:t xml:space="preserve">   </w:t>
      </w:r>
      <w:r>
        <w:rPr>
          <w:bCs/>
          <w:sz w:val="24"/>
          <w:szCs w:val="24"/>
        </w:rPr>
        <w:t xml:space="preserve"> 招标编号：</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985"/>
        <w:gridCol w:w="986"/>
        <w:gridCol w:w="986"/>
        <w:gridCol w:w="986"/>
        <w:gridCol w:w="1285"/>
        <w:gridCol w:w="904"/>
        <w:gridCol w:w="1029"/>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restart"/>
            <w:vAlign w:val="center"/>
          </w:tcPr>
          <w:p>
            <w:pPr>
              <w:spacing w:line="400" w:lineRule="exact"/>
              <w:jc w:val="center"/>
            </w:pPr>
            <w:r>
              <w:t>类别</w:t>
            </w:r>
          </w:p>
        </w:tc>
        <w:tc>
          <w:tcPr>
            <w:tcW w:w="985" w:type="dxa"/>
            <w:vMerge w:val="restart"/>
            <w:vAlign w:val="center"/>
          </w:tcPr>
          <w:p>
            <w:pPr>
              <w:spacing w:line="400" w:lineRule="exact"/>
              <w:jc w:val="center"/>
            </w:pPr>
            <w:r>
              <w:t>职务</w:t>
            </w:r>
          </w:p>
        </w:tc>
        <w:tc>
          <w:tcPr>
            <w:tcW w:w="986" w:type="dxa"/>
            <w:vMerge w:val="restart"/>
            <w:vAlign w:val="center"/>
          </w:tcPr>
          <w:p>
            <w:pPr>
              <w:spacing w:line="400" w:lineRule="exact"/>
              <w:jc w:val="center"/>
            </w:pPr>
            <w:r>
              <w:t>姓名</w:t>
            </w:r>
          </w:p>
        </w:tc>
        <w:tc>
          <w:tcPr>
            <w:tcW w:w="986" w:type="dxa"/>
            <w:vMerge w:val="restart"/>
            <w:vAlign w:val="center"/>
          </w:tcPr>
          <w:p>
            <w:pPr>
              <w:spacing w:line="400" w:lineRule="exact"/>
              <w:jc w:val="center"/>
            </w:pPr>
            <w:r>
              <w:t>职称</w:t>
            </w:r>
          </w:p>
        </w:tc>
        <w:tc>
          <w:tcPr>
            <w:tcW w:w="986" w:type="dxa"/>
            <w:vMerge w:val="restart"/>
            <w:vAlign w:val="center"/>
          </w:tcPr>
          <w:p>
            <w:pPr>
              <w:spacing w:line="400" w:lineRule="exact"/>
              <w:jc w:val="center"/>
            </w:pPr>
            <w:r>
              <w:t>常住地</w:t>
            </w:r>
          </w:p>
        </w:tc>
        <w:tc>
          <w:tcPr>
            <w:tcW w:w="4122" w:type="dxa"/>
            <w:gridSpan w:val="4"/>
            <w:vAlign w:val="center"/>
          </w:tcPr>
          <w:p>
            <w:pPr>
              <w:spacing w:line="400" w:lineRule="exact"/>
              <w:jc w:val="center"/>
            </w:pPr>
            <w: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vAlign w:val="center"/>
          </w:tcPr>
          <w:p>
            <w:pPr>
              <w:spacing w:line="400" w:lineRule="exact"/>
              <w:jc w:val="center"/>
            </w:pPr>
          </w:p>
        </w:tc>
        <w:tc>
          <w:tcPr>
            <w:tcW w:w="985" w:type="dxa"/>
            <w:vMerge w:val="continue"/>
            <w:vAlign w:val="center"/>
          </w:tcPr>
          <w:p>
            <w:pPr>
              <w:spacing w:line="400" w:lineRule="exact"/>
              <w:jc w:val="center"/>
            </w:pPr>
          </w:p>
        </w:tc>
        <w:tc>
          <w:tcPr>
            <w:tcW w:w="986" w:type="dxa"/>
            <w:vMerge w:val="continue"/>
            <w:vAlign w:val="center"/>
          </w:tcPr>
          <w:p>
            <w:pPr>
              <w:spacing w:line="400" w:lineRule="exact"/>
              <w:jc w:val="center"/>
            </w:pPr>
          </w:p>
        </w:tc>
        <w:tc>
          <w:tcPr>
            <w:tcW w:w="986" w:type="dxa"/>
            <w:vMerge w:val="continue"/>
            <w:vAlign w:val="center"/>
          </w:tcPr>
          <w:p>
            <w:pPr>
              <w:spacing w:line="400" w:lineRule="exact"/>
              <w:jc w:val="center"/>
            </w:pPr>
          </w:p>
        </w:tc>
        <w:tc>
          <w:tcPr>
            <w:tcW w:w="986" w:type="dxa"/>
            <w:vMerge w:val="continue"/>
            <w:vAlign w:val="center"/>
          </w:tcPr>
          <w:p>
            <w:pPr>
              <w:spacing w:line="400" w:lineRule="exact"/>
              <w:jc w:val="center"/>
            </w:pPr>
          </w:p>
        </w:tc>
        <w:tc>
          <w:tcPr>
            <w:tcW w:w="1285" w:type="dxa"/>
            <w:vAlign w:val="center"/>
          </w:tcPr>
          <w:p>
            <w:pPr>
              <w:spacing w:line="400" w:lineRule="exact"/>
              <w:jc w:val="center"/>
            </w:pPr>
            <w:r>
              <w:t>证书名称</w:t>
            </w:r>
          </w:p>
        </w:tc>
        <w:tc>
          <w:tcPr>
            <w:tcW w:w="904" w:type="dxa"/>
            <w:vAlign w:val="center"/>
          </w:tcPr>
          <w:p>
            <w:pPr>
              <w:spacing w:line="400" w:lineRule="exact"/>
              <w:jc w:val="center"/>
            </w:pPr>
            <w:r>
              <w:t>级别</w:t>
            </w:r>
          </w:p>
        </w:tc>
        <w:tc>
          <w:tcPr>
            <w:tcW w:w="1029" w:type="dxa"/>
            <w:vAlign w:val="center"/>
          </w:tcPr>
          <w:p>
            <w:pPr>
              <w:spacing w:line="400" w:lineRule="exact"/>
              <w:jc w:val="center"/>
            </w:pPr>
            <w:r>
              <w:t>证号</w:t>
            </w:r>
          </w:p>
        </w:tc>
        <w:tc>
          <w:tcPr>
            <w:tcW w:w="904" w:type="dxa"/>
            <w:vAlign w:val="center"/>
          </w:tcPr>
          <w:p>
            <w:pPr>
              <w:spacing w:line="400" w:lineRule="exact"/>
              <w:jc w:val="center"/>
            </w:pPr>
            <w: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restart"/>
          </w:tcPr>
          <w:p>
            <w:pPr>
              <w:spacing w:line="400" w:lineRule="exact"/>
              <w:jc w:val="center"/>
            </w:pPr>
            <w:r>
              <w:t>管</w:t>
            </w:r>
          </w:p>
          <w:p>
            <w:pPr>
              <w:spacing w:line="400" w:lineRule="exact"/>
              <w:jc w:val="center"/>
            </w:pPr>
            <w:r>
              <w:t>理</w:t>
            </w:r>
          </w:p>
          <w:p>
            <w:pPr>
              <w:spacing w:line="400" w:lineRule="exact"/>
              <w:jc w:val="center"/>
            </w:pPr>
            <w:r>
              <w:t>人</w:t>
            </w:r>
          </w:p>
          <w:p>
            <w:pPr>
              <w:spacing w:line="400" w:lineRule="exact"/>
              <w:jc w:val="center"/>
              <w:rPr>
                <w:sz w:val="28"/>
              </w:rPr>
            </w:pPr>
            <w:r>
              <w:t>员</w:t>
            </w:r>
          </w:p>
        </w:tc>
        <w:tc>
          <w:tcPr>
            <w:tcW w:w="985"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1285" w:type="dxa"/>
          </w:tcPr>
          <w:p>
            <w:pPr>
              <w:spacing w:line="400" w:lineRule="exact"/>
              <w:jc w:val="center"/>
              <w:rPr>
                <w:sz w:val="28"/>
              </w:rPr>
            </w:pPr>
          </w:p>
        </w:tc>
        <w:tc>
          <w:tcPr>
            <w:tcW w:w="904" w:type="dxa"/>
          </w:tcPr>
          <w:p>
            <w:pPr>
              <w:spacing w:line="400" w:lineRule="exact"/>
              <w:jc w:val="center"/>
              <w:rPr>
                <w:sz w:val="28"/>
              </w:rPr>
            </w:pPr>
          </w:p>
        </w:tc>
        <w:tc>
          <w:tcPr>
            <w:tcW w:w="1029" w:type="dxa"/>
          </w:tcPr>
          <w:p>
            <w:pPr>
              <w:spacing w:line="400" w:lineRule="exact"/>
              <w:jc w:val="center"/>
              <w:rPr>
                <w:sz w:val="28"/>
              </w:rPr>
            </w:pPr>
          </w:p>
        </w:tc>
        <w:tc>
          <w:tcPr>
            <w:tcW w:w="904" w:type="dxa"/>
          </w:tcPr>
          <w:p>
            <w:pPr>
              <w:spacing w:line="400" w:lineRule="exact"/>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tcPr>
          <w:p>
            <w:pPr>
              <w:spacing w:line="400" w:lineRule="exact"/>
              <w:jc w:val="center"/>
              <w:rPr>
                <w:sz w:val="28"/>
              </w:rPr>
            </w:pPr>
          </w:p>
        </w:tc>
        <w:tc>
          <w:tcPr>
            <w:tcW w:w="985"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1285" w:type="dxa"/>
          </w:tcPr>
          <w:p>
            <w:pPr>
              <w:spacing w:line="400" w:lineRule="exact"/>
              <w:jc w:val="center"/>
              <w:rPr>
                <w:sz w:val="28"/>
              </w:rPr>
            </w:pPr>
          </w:p>
        </w:tc>
        <w:tc>
          <w:tcPr>
            <w:tcW w:w="904" w:type="dxa"/>
          </w:tcPr>
          <w:p>
            <w:pPr>
              <w:spacing w:line="400" w:lineRule="exact"/>
              <w:jc w:val="center"/>
              <w:rPr>
                <w:sz w:val="28"/>
              </w:rPr>
            </w:pPr>
          </w:p>
        </w:tc>
        <w:tc>
          <w:tcPr>
            <w:tcW w:w="1029" w:type="dxa"/>
          </w:tcPr>
          <w:p>
            <w:pPr>
              <w:spacing w:line="400" w:lineRule="exact"/>
              <w:jc w:val="center"/>
              <w:rPr>
                <w:sz w:val="28"/>
              </w:rPr>
            </w:pPr>
          </w:p>
        </w:tc>
        <w:tc>
          <w:tcPr>
            <w:tcW w:w="904" w:type="dxa"/>
          </w:tcPr>
          <w:p>
            <w:pPr>
              <w:spacing w:line="400" w:lineRule="exact"/>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continue"/>
          </w:tcPr>
          <w:p>
            <w:pPr>
              <w:spacing w:line="400" w:lineRule="exact"/>
              <w:jc w:val="center"/>
              <w:rPr>
                <w:sz w:val="28"/>
              </w:rPr>
            </w:pPr>
          </w:p>
        </w:tc>
        <w:tc>
          <w:tcPr>
            <w:tcW w:w="985"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1285" w:type="dxa"/>
          </w:tcPr>
          <w:p>
            <w:pPr>
              <w:spacing w:line="400" w:lineRule="exact"/>
              <w:jc w:val="center"/>
              <w:rPr>
                <w:sz w:val="28"/>
              </w:rPr>
            </w:pPr>
          </w:p>
        </w:tc>
        <w:tc>
          <w:tcPr>
            <w:tcW w:w="904" w:type="dxa"/>
          </w:tcPr>
          <w:p>
            <w:pPr>
              <w:spacing w:line="400" w:lineRule="exact"/>
              <w:jc w:val="center"/>
              <w:rPr>
                <w:sz w:val="28"/>
              </w:rPr>
            </w:pPr>
          </w:p>
        </w:tc>
        <w:tc>
          <w:tcPr>
            <w:tcW w:w="1029" w:type="dxa"/>
          </w:tcPr>
          <w:p>
            <w:pPr>
              <w:spacing w:line="400" w:lineRule="exact"/>
              <w:jc w:val="center"/>
              <w:rPr>
                <w:sz w:val="28"/>
              </w:rPr>
            </w:pPr>
          </w:p>
        </w:tc>
        <w:tc>
          <w:tcPr>
            <w:tcW w:w="904" w:type="dxa"/>
          </w:tcPr>
          <w:p>
            <w:pPr>
              <w:spacing w:line="400" w:lineRule="exact"/>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restart"/>
          </w:tcPr>
          <w:p>
            <w:pPr>
              <w:spacing w:line="400" w:lineRule="exact"/>
              <w:jc w:val="center"/>
            </w:pPr>
            <w:r>
              <w:t>技</w:t>
            </w:r>
          </w:p>
          <w:p>
            <w:pPr>
              <w:spacing w:line="400" w:lineRule="exact"/>
              <w:jc w:val="center"/>
            </w:pPr>
            <w:r>
              <w:t>术</w:t>
            </w:r>
          </w:p>
          <w:p>
            <w:pPr>
              <w:spacing w:line="400" w:lineRule="exact"/>
              <w:jc w:val="center"/>
            </w:pPr>
            <w:r>
              <w:t>人</w:t>
            </w:r>
          </w:p>
          <w:p>
            <w:pPr>
              <w:spacing w:line="400" w:lineRule="exact"/>
              <w:jc w:val="center"/>
            </w:pPr>
            <w:r>
              <w:t>员</w:t>
            </w:r>
          </w:p>
        </w:tc>
        <w:tc>
          <w:tcPr>
            <w:tcW w:w="985"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1285" w:type="dxa"/>
          </w:tcPr>
          <w:p>
            <w:pPr>
              <w:spacing w:line="400" w:lineRule="exact"/>
              <w:jc w:val="center"/>
              <w:rPr>
                <w:sz w:val="28"/>
              </w:rPr>
            </w:pPr>
          </w:p>
        </w:tc>
        <w:tc>
          <w:tcPr>
            <w:tcW w:w="904" w:type="dxa"/>
          </w:tcPr>
          <w:p>
            <w:pPr>
              <w:spacing w:line="400" w:lineRule="exact"/>
              <w:jc w:val="center"/>
              <w:rPr>
                <w:sz w:val="28"/>
              </w:rPr>
            </w:pPr>
          </w:p>
        </w:tc>
        <w:tc>
          <w:tcPr>
            <w:tcW w:w="1029" w:type="dxa"/>
          </w:tcPr>
          <w:p>
            <w:pPr>
              <w:spacing w:line="400" w:lineRule="exact"/>
              <w:jc w:val="center"/>
              <w:rPr>
                <w:sz w:val="28"/>
              </w:rPr>
            </w:pPr>
          </w:p>
        </w:tc>
        <w:tc>
          <w:tcPr>
            <w:tcW w:w="904" w:type="dxa"/>
          </w:tcPr>
          <w:p>
            <w:pPr>
              <w:spacing w:line="400" w:lineRule="exact"/>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continue"/>
          </w:tcPr>
          <w:p>
            <w:pPr>
              <w:spacing w:line="400" w:lineRule="exact"/>
              <w:jc w:val="center"/>
            </w:pPr>
          </w:p>
        </w:tc>
        <w:tc>
          <w:tcPr>
            <w:tcW w:w="985"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1285" w:type="dxa"/>
          </w:tcPr>
          <w:p>
            <w:pPr>
              <w:spacing w:line="400" w:lineRule="exact"/>
              <w:jc w:val="center"/>
              <w:rPr>
                <w:sz w:val="28"/>
              </w:rPr>
            </w:pPr>
          </w:p>
        </w:tc>
        <w:tc>
          <w:tcPr>
            <w:tcW w:w="904" w:type="dxa"/>
          </w:tcPr>
          <w:p>
            <w:pPr>
              <w:spacing w:line="400" w:lineRule="exact"/>
              <w:jc w:val="center"/>
              <w:rPr>
                <w:sz w:val="28"/>
              </w:rPr>
            </w:pPr>
          </w:p>
        </w:tc>
        <w:tc>
          <w:tcPr>
            <w:tcW w:w="1029" w:type="dxa"/>
          </w:tcPr>
          <w:p>
            <w:pPr>
              <w:spacing w:line="400" w:lineRule="exact"/>
              <w:jc w:val="center"/>
              <w:rPr>
                <w:sz w:val="28"/>
              </w:rPr>
            </w:pPr>
          </w:p>
        </w:tc>
        <w:tc>
          <w:tcPr>
            <w:tcW w:w="904" w:type="dxa"/>
          </w:tcPr>
          <w:p>
            <w:pPr>
              <w:spacing w:line="400" w:lineRule="exact"/>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tcPr>
          <w:p>
            <w:pPr>
              <w:spacing w:line="400" w:lineRule="exact"/>
              <w:jc w:val="center"/>
            </w:pPr>
          </w:p>
        </w:tc>
        <w:tc>
          <w:tcPr>
            <w:tcW w:w="985"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1285" w:type="dxa"/>
          </w:tcPr>
          <w:p>
            <w:pPr>
              <w:spacing w:line="400" w:lineRule="exact"/>
              <w:jc w:val="center"/>
              <w:rPr>
                <w:sz w:val="28"/>
              </w:rPr>
            </w:pPr>
          </w:p>
        </w:tc>
        <w:tc>
          <w:tcPr>
            <w:tcW w:w="904" w:type="dxa"/>
          </w:tcPr>
          <w:p>
            <w:pPr>
              <w:spacing w:line="400" w:lineRule="exact"/>
              <w:jc w:val="center"/>
              <w:rPr>
                <w:sz w:val="28"/>
              </w:rPr>
            </w:pPr>
          </w:p>
        </w:tc>
        <w:tc>
          <w:tcPr>
            <w:tcW w:w="1029" w:type="dxa"/>
          </w:tcPr>
          <w:p>
            <w:pPr>
              <w:spacing w:line="400" w:lineRule="exact"/>
              <w:jc w:val="center"/>
              <w:rPr>
                <w:sz w:val="28"/>
              </w:rPr>
            </w:pPr>
          </w:p>
        </w:tc>
        <w:tc>
          <w:tcPr>
            <w:tcW w:w="904" w:type="dxa"/>
          </w:tcPr>
          <w:p>
            <w:pPr>
              <w:spacing w:line="400" w:lineRule="exact"/>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restart"/>
          </w:tcPr>
          <w:p>
            <w:pPr>
              <w:spacing w:line="400" w:lineRule="exact"/>
              <w:jc w:val="center"/>
            </w:pPr>
            <w:r>
              <w:t>售后</w:t>
            </w:r>
          </w:p>
          <w:p>
            <w:pPr>
              <w:spacing w:line="400" w:lineRule="exact"/>
              <w:jc w:val="center"/>
            </w:pPr>
            <w:r>
              <w:t>服务</w:t>
            </w:r>
          </w:p>
          <w:p>
            <w:pPr>
              <w:spacing w:line="400" w:lineRule="exact"/>
              <w:jc w:val="center"/>
            </w:pPr>
            <w:r>
              <w:t>人员</w:t>
            </w:r>
          </w:p>
        </w:tc>
        <w:tc>
          <w:tcPr>
            <w:tcW w:w="985"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986" w:type="dxa"/>
          </w:tcPr>
          <w:p>
            <w:pPr>
              <w:spacing w:line="400" w:lineRule="exact"/>
              <w:jc w:val="center"/>
              <w:rPr>
                <w:sz w:val="28"/>
              </w:rPr>
            </w:pPr>
          </w:p>
        </w:tc>
        <w:tc>
          <w:tcPr>
            <w:tcW w:w="1285" w:type="dxa"/>
          </w:tcPr>
          <w:p>
            <w:pPr>
              <w:spacing w:line="400" w:lineRule="exact"/>
              <w:jc w:val="center"/>
              <w:rPr>
                <w:sz w:val="28"/>
              </w:rPr>
            </w:pPr>
          </w:p>
        </w:tc>
        <w:tc>
          <w:tcPr>
            <w:tcW w:w="904" w:type="dxa"/>
          </w:tcPr>
          <w:p>
            <w:pPr>
              <w:spacing w:line="400" w:lineRule="exact"/>
              <w:jc w:val="center"/>
              <w:rPr>
                <w:sz w:val="28"/>
              </w:rPr>
            </w:pPr>
          </w:p>
        </w:tc>
        <w:tc>
          <w:tcPr>
            <w:tcW w:w="1029" w:type="dxa"/>
          </w:tcPr>
          <w:p>
            <w:pPr>
              <w:spacing w:line="400" w:lineRule="exact"/>
              <w:jc w:val="center"/>
              <w:rPr>
                <w:sz w:val="28"/>
              </w:rPr>
            </w:pPr>
          </w:p>
        </w:tc>
        <w:tc>
          <w:tcPr>
            <w:tcW w:w="904" w:type="dxa"/>
          </w:tcPr>
          <w:p>
            <w:pPr>
              <w:spacing w:line="400" w:lineRule="exact"/>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1145" w:type="dxa"/>
            <w:vMerge w:val="continue"/>
          </w:tcPr>
          <w:p>
            <w:pPr>
              <w:spacing w:line="400" w:lineRule="exact"/>
              <w:jc w:val="center"/>
              <w:rPr>
                <w:sz w:val="28"/>
              </w:rPr>
            </w:pPr>
          </w:p>
        </w:tc>
        <w:tc>
          <w:tcPr>
            <w:tcW w:w="985" w:type="dxa"/>
          </w:tcPr>
          <w:p>
            <w:pPr>
              <w:spacing w:line="400" w:lineRule="exact"/>
              <w:jc w:val="center"/>
              <w:rPr>
                <w:sz w:val="28"/>
              </w:rPr>
            </w:pPr>
          </w:p>
        </w:tc>
        <w:tc>
          <w:tcPr>
            <w:tcW w:w="986" w:type="dxa"/>
          </w:tcPr>
          <w:p>
            <w:pPr>
              <w:spacing w:line="400" w:lineRule="exact"/>
              <w:jc w:val="center"/>
              <w:rPr>
                <w:b/>
                <w:bCs/>
                <w:sz w:val="28"/>
              </w:rPr>
            </w:pPr>
          </w:p>
        </w:tc>
        <w:tc>
          <w:tcPr>
            <w:tcW w:w="986" w:type="dxa"/>
          </w:tcPr>
          <w:p>
            <w:pPr>
              <w:spacing w:line="400" w:lineRule="exact"/>
              <w:jc w:val="center"/>
              <w:rPr>
                <w:b/>
                <w:bCs/>
                <w:sz w:val="28"/>
              </w:rPr>
            </w:pPr>
          </w:p>
        </w:tc>
        <w:tc>
          <w:tcPr>
            <w:tcW w:w="986" w:type="dxa"/>
          </w:tcPr>
          <w:p>
            <w:pPr>
              <w:spacing w:line="400" w:lineRule="exact"/>
              <w:jc w:val="center"/>
              <w:rPr>
                <w:b/>
                <w:bCs/>
                <w:sz w:val="28"/>
              </w:rPr>
            </w:pPr>
          </w:p>
        </w:tc>
        <w:tc>
          <w:tcPr>
            <w:tcW w:w="1285" w:type="dxa"/>
          </w:tcPr>
          <w:p>
            <w:pPr>
              <w:spacing w:line="400" w:lineRule="exact"/>
              <w:jc w:val="center"/>
              <w:rPr>
                <w:b/>
                <w:bCs/>
                <w:sz w:val="28"/>
              </w:rPr>
            </w:pPr>
          </w:p>
        </w:tc>
        <w:tc>
          <w:tcPr>
            <w:tcW w:w="904" w:type="dxa"/>
          </w:tcPr>
          <w:p>
            <w:pPr>
              <w:spacing w:line="400" w:lineRule="exact"/>
              <w:jc w:val="center"/>
              <w:rPr>
                <w:b/>
                <w:bCs/>
                <w:sz w:val="28"/>
              </w:rPr>
            </w:pPr>
          </w:p>
        </w:tc>
        <w:tc>
          <w:tcPr>
            <w:tcW w:w="1029" w:type="dxa"/>
          </w:tcPr>
          <w:p>
            <w:pPr>
              <w:spacing w:line="400" w:lineRule="exact"/>
              <w:jc w:val="center"/>
              <w:rPr>
                <w:b/>
                <w:bCs/>
                <w:sz w:val="28"/>
              </w:rPr>
            </w:pPr>
          </w:p>
        </w:tc>
        <w:tc>
          <w:tcPr>
            <w:tcW w:w="904" w:type="dxa"/>
          </w:tcPr>
          <w:p>
            <w:pPr>
              <w:spacing w:line="400" w:lineRule="exact"/>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145" w:type="dxa"/>
            <w:vMerge w:val="continue"/>
          </w:tcPr>
          <w:p>
            <w:pPr>
              <w:spacing w:line="400" w:lineRule="exact"/>
              <w:jc w:val="center"/>
              <w:rPr>
                <w:sz w:val="28"/>
              </w:rPr>
            </w:pPr>
          </w:p>
        </w:tc>
        <w:tc>
          <w:tcPr>
            <w:tcW w:w="985" w:type="dxa"/>
          </w:tcPr>
          <w:p>
            <w:pPr>
              <w:spacing w:line="400" w:lineRule="exact"/>
              <w:jc w:val="center"/>
              <w:rPr>
                <w:sz w:val="28"/>
              </w:rPr>
            </w:pPr>
          </w:p>
        </w:tc>
        <w:tc>
          <w:tcPr>
            <w:tcW w:w="986" w:type="dxa"/>
          </w:tcPr>
          <w:p>
            <w:pPr>
              <w:spacing w:line="400" w:lineRule="exact"/>
              <w:jc w:val="center"/>
              <w:rPr>
                <w:b/>
                <w:bCs/>
                <w:sz w:val="28"/>
              </w:rPr>
            </w:pPr>
          </w:p>
        </w:tc>
        <w:tc>
          <w:tcPr>
            <w:tcW w:w="986" w:type="dxa"/>
          </w:tcPr>
          <w:p>
            <w:pPr>
              <w:spacing w:line="400" w:lineRule="exact"/>
              <w:jc w:val="center"/>
              <w:rPr>
                <w:b/>
                <w:bCs/>
                <w:sz w:val="28"/>
              </w:rPr>
            </w:pPr>
          </w:p>
        </w:tc>
        <w:tc>
          <w:tcPr>
            <w:tcW w:w="986" w:type="dxa"/>
          </w:tcPr>
          <w:p>
            <w:pPr>
              <w:spacing w:line="400" w:lineRule="exact"/>
              <w:jc w:val="center"/>
              <w:rPr>
                <w:b/>
                <w:bCs/>
                <w:sz w:val="28"/>
              </w:rPr>
            </w:pPr>
          </w:p>
        </w:tc>
        <w:tc>
          <w:tcPr>
            <w:tcW w:w="1285" w:type="dxa"/>
          </w:tcPr>
          <w:p>
            <w:pPr>
              <w:spacing w:line="400" w:lineRule="exact"/>
              <w:jc w:val="center"/>
              <w:rPr>
                <w:b/>
                <w:bCs/>
                <w:sz w:val="28"/>
              </w:rPr>
            </w:pPr>
          </w:p>
        </w:tc>
        <w:tc>
          <w:tcPr>
            <w:tcW w:w="904" w:type="dxa"/>
          </w:tcPr>
          <w:p>
            <w:pPr>
              <w:spacing w:line="400" w:lineRule="exact"/>
              <w:jc w:val="center"/>
              <w:rPr>
                <w:b/>
                <w:bCs/>
                <w:sz w:val="28"/>
              </w:rPr>
            </w:pPr>
          </w:p>
        </w:tc>
        <w:tc>
          <w:tcPr>
            <w:tcW w:w="1029" w:type="dxa"/>
          </w:tcPr>
          <w:p>
            <w:pPr>
              <w:spacing w:line="400" w:lineRule="exact"/>
              <w:jc w:val="center"/>
              <w:rPr>
                <w:b/>
                <w:bCs/>
                <w:sz w:val="28"/>
              </w:rPr>
            </w:pPr>
          </w:p>
        </w:tc>
        <w:tc>
          <w:tcPr>
            <w:tcW w:w="904" w:type="dxa"/>
          </w:tcPr>
          <w:p>
            <w:pPr>
              <w:spacing w:line="400" w:lineRule="exact"/>
              <w:jc w:val="center"/>
              <w:rPr>
                <w:b/>
                <w:bCs/>
                <w:sz w:val="28"/>
              </w:rPr>
            </w:pPr>
          </w:p>
        </w:tc>
      </w:tr>
    </w:tbl>
    <w:p>
      <w:pPr>
        <w:spacing w:line="400" w:lineRule="exact"/>
        <w:jc w:val="center"/>
        <w:rPr>
          <w:b/>
          <w:bCs/>
          <w:sz w:val="28"/>
        </w:rPr>
      </w:pPr>
    </w:p>
    <w:p>
      <w:pPr>
        <w:spacing w:line="400" w:lineRule="exact"/>
        <w:jc w:val="center"/>
        <w:rPr>
          <w:b/>
          <w:bCs/>
          <w:sz w:val="28"/>
        </w:rPr>
      </w:pPr>
    </w:p>
    <w:p>
      <w:pPr>
        <w:spacing w:line="400" w:lineRule="exact"/>
        <w:jc w:val="center"/>
        <w:rPr>
          <w:b/>
          <w:bCs/>
          <w:sz w:val="28"/>
        </w:rPr>
      </w:pPr>
    </w:p>
    <w:p>
      <w:pPr>
        <w:spacing w:line="400" w:lineRule="exact"/>
        <w:jc w:val="center"/>
        <w:rPr>
          <w:b/>
          <w:bCs/>
          <w:sz w:val="28"/>
        </w:rPr>
      </w:pPr>
    </w:p>
    <w:p>
      <w:pPr>
        <w:spacing w:line="400" w:lineRule="exact"/>
        <w:jc w:val="center"/>
        <w:rPr>
          <w:b/>
          <w:bCs/>
          <w:sz w:val="28"/>
        </w:rPr>
      </w:pPr>
    </w:p>
    <w:p>
      <w:pPr>
        <w:adjustRightInd w:val="0"/>
        <w:spacing w:line="400" w:lineRule="exact"/>
        <w:ind w:firstLine="900" w:firstLineChars="375"/>
        <w:jc w:val="left"/>
        <w:rPr>
          <w:bCs/>
          <w:sz w:val="24"/>
          <w:szCs w:val="24"/>
        </w:rPr>
      </w:pPr>
      <w:r>
        <w:rPr>
          <w:bCs/>
          <w:sz w:val="24"/>
          <w:szCs w:val="24"/>
        </w:rPr>
        <w:t>投标人名称：        （盖章）</w:t>
      </w:r>
    </w:p>
    <w:p>
      <w:pPr>
        <w:adjustRightInd w:val="0"/>
        <w:spacing w:line="400" w:lineRule="exact"/>
        <w:ind w:firstLine="900" w:firstLineChars="375"/>
        <w:jc w:val="left"/>
        <w:rPr>
          <w:bCs/>
          <w:sz w:val="24"/>
          <w:szCs w:val="24"/>
        </w:rPr>
      </w:pPr>
      <w:r>
        <w:rPr>
          <w:sz w:val="24"/>
          <w:szCs w:val="24"/>
        </w:rPr>
        <w:t>法定代表人或授权代表（签字或盖章）</w:t>
      </w:r>
      <w:r>
        <w:rPr>
          <w:bCs/>
          <w:sz w:val="24"/>
          <w:szCs w:val="24"/>
        </w:rPr>
        <w:t>：</w:t>
      </w:r>
    </w:p>
    <w:p>
      <w:pPr>
        <w:adjustRightInd w:val="0"/>
        <w:spacing w:line="400" w:lineRule="exact"/>
        <w:ind w:firstLine="900" w:firstLineChars="375"/>
        <w:jc w:val="left"/>
        <w:rPr>
          <w:bCs/>
          <w:sz w:val="24"/>
          <w:szCs w:val="24"/>
        </w:rPr>
      </w:pPr>
      <w:r>
        <w:rPr>
          <w:bCs/>
          <w:sz w:val="24"/>
          <w:szCs w:val="24"/>
        </w:rPr>
        <w:t>投标日期:</w:t>
      </w:r>
    </w:p>
    <w:p>
      <w:pPr>
        <w:spacing w:line="400" w:lineRule="exact"/>
        <w:ind w:firstLine="480" w:firstLineChars="200"/>
        <w:rPr>
          <w:sz w:val="24"/>
          <w:szCs w:val="24"/>
        </w:rPr>
      </w:pPr>
    </w:p>
    <w:p>
      <w:pPr>
        <w:spacing w:line="400" w:lineRule="exact"/>
        <w:ind w:firstLine="480" w:firstLineChars="200"/>
        <w:rPr>
          <w:sz w:val="24"/>
          <w:szCs w:val="24"/>
        </w:rPr>
      </w:pPr>
    </w:p>
    <w:p>
      <w:pPr>
        <w:spacing w:line="400" w:lineRule="exact"/>
        <w:ind w:firstLine="480" w:firstLineChars="200"/>
        <w:rPr>
          <w:sz w:val="24"/>
          <w:szCs w:val="24"/>
        </w:rPr>
      </w:pPr>
    </w:p>
    <w:p>
      <w:pPr>
        <w:spacing w:line="400" w:lineRule="exact"/>
        <w:ind w:firstLine="480" w:firstLineChars="200"/>
        <w:rPr>
          <w:sz w:val="24"/>
          <w:szCs w:val="24"/>
        </w:rPr>
      </w:pPr>
    </w:p>
    <w:p>
      <w:pPr>
        <w:spacing w:line="400" w:lineRule="exact"/>
        <w:ind w:firstLine="480" w:firstLineChars="200"/>
        <w:rPr>
          <w:sz w:val="24"/>
          <w:szCs w:val="24"/>
        </w:rPr>
      </w:pPr>
    </w:p>
    <w:p>
      <w:pPr>
        <w:spacing w:line="400" w:lineRule="exact"/>
        <w:ind w:firstLine="480" w:firstLineChars="200"/>
        <w:rPr>
          <w:sz w:val="24"/>
          <w:szCs w:val="24"/>
        </w:rPr>
      </w:pPr>
    </w:p>
    <w:bookmarkEnd w:id="102"/>
    <w:p>
      <w:pPr>
        <w:numPr>
          <w:ilvl w:val="0"/>
          <w:numId w:val="13"/>
        </w:numPr>
        <w:jc w:val="center"/>
        <w:rPr>
          <w:b/>
          <w:bCs/>
          <w:sz w:val="30"/>
          <w:szCs w:val="30"/>
        </w:rPr>
      </w:pPr>
      <w:bookmarkStart w:id="103" w:name="_Toc6995"/>
      <w:bookmarkStart w:id="104" w:name="_Toc4819"/>
      <w:r>
        <w:rPr>
          <w:b/>
          <w:bCs/>
          <w:sz w:val="30"/>
          <w:szCs w:val="30"/>
        </w:rPr>
        <w:t>技术资料</w:t>
      </w:r>
      <w:bookmarkEnd w:id="103"/>
      <w:bookmarkEnd w:id="104"/>
    </w:p>
    <w:p>
      <w:pPr>
        <w:spacing w:line="360" w:lineRule="auto"/>
        <w:rPr>
          <w:b/>
          <w:sz w:val="24"/>
        </w:rPr>
      </w:pPr>
    </w:p>
    <w:p>
      <w:pPr>
        <w:spacing w:line="360" w:lineRule="auto"/>
        <w:rPr>
          <w:sz w:val="24"/>
        </w:rPr>
      </w:pPr>
      <w:r>
        <w:rPr>
          <w:sz w:val="24"/>
        </w:rPr>
        <w:t>货物说明包括：</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rPr>
      </w:pPr>
      <w:r>
        <w:rPr>
          <w:rFonts w:eastAsia="新宋体"/>
          <w:kern w:val="0"/>
          <w:sz w:val="24"/>
        </w:rPr>
        <w:t>货物名称、型号、规格、数量、技术性能、特点</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szCs w:val="22"/>
        </w:rPr>
      </w:pPr>
      <w:r>
        <w:rPr>
          <w:rFonts w:eastAsia="新宋体"/>
          <w:kern w:val="0"/>
          <w:sz w:val="24"/>
          <w:szCs w:val="22"/>
        </w:rPr>
        <w:t>质保期</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szCs w:val="22"/>
        </w:rPr>
      </w:pPr>
      <w:r>
        <w:rPr>
          <w:rFonts w:eastAsia="新宋体"/>
          <w:kern w:val="0"/>
          <w:sz w:val="24"/>
          <w:szCs w:val="22"/>
        </w:rPr>
        <w:t>供货范围</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szCs w:val="22"/>
        </w:rPr>
      </w:pPr>
      <w:r>
        <w:rPr>
          <w:rFonts w:eastAsia="新宋体"/>
          <w:kern w:val="0"/>
          <w:sz w:val="24"/>
          <w:szCs w:val="22"/>
        </w:rPr>
        <w:t>质量保证措施</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szCs w:val="22"/>
        </w:rPr>
      </w:pPr>
      <w:r>
        <w:rPr>
          <w:sz w:val="24"/>
        </w:rPr>
        <w:t>货物优势介绍、配置先进合理，技术成熟，安全可靠；</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szCs w:val="22"/>
        </w:rPr>
      </w:pPr>
      <w:r>
        <w:rPr>
          <w:rFonts w:eastAsia="新宋体"/>
          <w:kern w:val="0"/>
          <w:sz w:val="24"/>
          <w:szCs w:val="22"/>
        </w:rPr>
        <w:t>采用新技术、新工艺、新材料的情况（若有）</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szCs w:val="22"/>
        </w:rPr>
      </w:pPr>
      <w:r>
        <w:rPr>
          <w:rFonts w:eastAsia="新宋体"/>
          <w:kern w:val="0"/>
          <w:sz w:val="24"/>
          <w:szCs w:val="22"/>
        </w:rPr>
        <w:t>产品的规范资料、外观彩图及尺寸等描述（要求提供复印件）；</w:t>
      </w:r>
    </w:p>
    <w:p>
      <w:pPr>
        <w:numPr>
          <w:ilvl w:val="0"/>
          <w:numId w:val="16"/>
        </w:numPr>
        <w:tabs>
          <w:tab w:val="left" w:pos="630"/>
        </w:tabs>
        <w:autoSpaceDE w:val="0"/>
        <w:autoSpaceDN w:val="0"/>
        <w:adjustRightInd w:val="0"/>
        <w:snapToGrid w:val="0"/>
        <w:spacing w:line="520" w:lineRule="exact"/>
        <w:ind w:firstLine="480" w:firstLineChars="200"/>
        <w:jc w:val="left"/>
        <w:rPr>
          <w:rFonts w:eastAsia="新宋体"/>
          <w:kern w:val="0"/>
          <w:sz w:val="24"/>
          <w:szCs w:val="22"/>
        </w:rPr>
      </w:pPr>
      <w:r>
        <w:rPr>
          <w:rFonts w:eastAsia="新宋体"/>
          <w:kern w:val="0"/>
          <w:sz w:val="24"/>
          <w:szCs w:val="22"/>
        </w:rPr>
        <w:t>投标人认为需要提供的证明文件及资料</w:t>
      </w:r>
    </w:p>
    <w:p>
      <w:pPr>
        <w:spacing w:line="360" w:lineRule="auto"/>
        <w:rPr>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spacing w:line="360" w:lineRule="auto"/>
        <w:rPr>
          <w:b/>
          <w:sz w:val="24"/>
        </w:rPr>
      </w:pPr>
    </w:p>
    <w:p>
      <w:pPr>
        <w:numPr>
          <w:ilvl w:val="0"/>
          <w:numId w:val="13"/>
        </w:numPr>
        <w:jc w:val="center"/>
        <w:rPr>
          <w:b/>
          <w:bCs/>
          <w:sz w:val="30"/>
          <w:szCs w:val="30"/>
        </w:rPr>
      </w:pPr>
      <w:bookmarkStart w:id="105" w:name="_Toc16543"/>
      <w:bookmarkStart w:id="106" w:name="_Toc20219"/>
      <w:bookmarkStart w:id="107" w:name="_Toc25296"/>
      <w:bookmarkStart w:id="108" w:name="_Toc28406"/>
      <w:r>
        <w:rPr>
          <w:rFonts w:hint="eastAsia"/>
          <w:b/>
          <w:bCs/>
          <w:sz w:val="30"/>
          <w:szCs w:val="30"/>
        </w:rPr>
        <w:t>货物说明一览表</w:t>
      </w:r>
    </w:p>
    <w:p>
      <w:pPr>
        <w:spacing w:line="360" w:lineRule="auto"/>
        <w:rPr>
          <w:rFonts w:ascii="宋体" w:hAnsi="宋体" w:cs="宋体"/>
          <w:sz w:val="24"/>
        </w:rPr>
      </w:pPr>
    </w:p>
    <w:p>
      <w:pPr>
        <w:spacing w:line="360" w:lineRule="auto"/>
        <w:rPr>
          <w:rFonts w:ascii="宋体" w:hAnsi="宋体" w:cs="宋体"/>
          <w:sz w:val="24"/>
        </w:rPr>
      </w:pPr>
      <w:r>
        <w:rPr>
          <w:rFonts w:hint="eastAsia" w:ascii="宋体" w:hAnsi="宋体" w:cs="宋体"/>
          <w:sz w:val="24"/>
        </w:rPr>
        <w:t>项目名称：</w:t>
      </w:r>
    </w:p>
    <w:tbl>
      <w:tblPr>
        <w:tblStyle w:val="18"/>
        <w:tblpPr w:leftFromText="180" w:rightFromText="180" w:vertAnchor="text" w:horzAnchor="page" w:tblpX="1485" w:tblpY="51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7"/>
        <w:gridCol w:w="3473"/>
        <w:gridCol w:w="1711"/>
        <w:gridCol w:w="1428"/>
        <w:gridCol w:w="780"/>
        <w:gridCol w:w="1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140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货物名称</w:t>
            </w:r>
          </w:p>
        </w:tc>
        <w:tc>
          <w:tcPr>
            <w:tcW w:w="34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71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品牌及</w:t>
            </w:r>
          </w:p>
          <w:p>
            <w:pPr>
              <w:spacing w:line="360" w:lineRule="auto"/>
              <w:ind w:left="-288" w:leftChars="-137" w:firstLine="288" w:firstLineChars="120"/>
              <w:jc w:val="center"/>
              <w:rPr>
                <w:rFonts w:ascii="宋体" w:hAnsi="宋体" w:cs="宋体"/>
                <w:sz w:val="24"/>
              </w:rPr>
            </w:pPr>
            <w:r>
              <w:rPr>
                <w:rFonts w:hint="eastAsia" w:ascii="宋体" w:hAnsi="宋体" w:cs="宋体"/>
                <w:sz w:val="24"/>
              </w:rPr>
              <w:t>规格型号</w:t>
            </w:r>
          </w:p>
        </w:tc>
        <w:tc>
          <w:tcPr>
            <w:tcW w:w="14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7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数量</w:t>
            </w:r>
          </w:p>
        </w:tc>
        <w:tc>
          <w:tcPr>
            <w:tcW w:w="10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3" w:hRule="atLeast"/>
        </w:trPr>
        <w:tc>
          <w:tcPr>
            <w:tcW w:w="4880" w:type="dxa"/>
            <w:gridSpan w:val="2"/>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 w:val="24"/>
              </w:rPr>
            </w:pPr>
            <w:r>
              <w:rPr>
                <w:rFonts w:hint="eastAsia" w:ascii="宋体" w:hAnsi="宋体" w:cs="宋体"/>
                <w:sz w:val="24"/>
              </w:rPr>
              <w:t>招标文件中详细性能说明</w:t>
            </w:r>
          </w:p>
        </w:tc>
        <w:tc>
          <w:tcPr>
            <w:tcW w:w="4937" w:type="dxa"/>
            <w:gridSpan w:val="4"/>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 w:val="24"/>
              </w:rPr>
            </w:pPr>
            <w:r>
              <w:rPr>
                <w:rFonts w:hint="eastAsia" w:ascii="宋体" w:hAnsi="宋体" w:cs="宋体"/>
                <w:sz w:val="24"/>
              </w:rPr>
              <w:t>投标文件中详细性能说明</w:t>
            </w:r>
          </w:p>
        </w:tc>
      </w:tr>
    </w:tbl>
    <w:p>
      <w:pPr>
        <w:spacing w:line="380" w:lineRule="exact"/>
        <w:ind w:right="-517" w:rightChars="-246"/>
        <w:rPr>
          <w:rFonts w:ascii="宋体" w:hAnsi="宋体" w:cs="宋体"/>
          <w:b/>
          <w:szCs w:val="21"/>
        </w:rPr>
      </w:pPr>
      <w:r>
        <w:rPr>
          <w:rFonts w:hint="eastAsia" w:ascii="宋体" w:hAnsi="宋体" w:cs="宋体"/>
          <w:b/>
          <w:szCs w:val="21"/>
        </w:rPr>
        <w:t>注：</w:t>
      </w:r>
    </w:p>
    <w:p>
      <w:pPr>
        <w:spacing w:line="380" w:lineRule="exact"/>
        <w:ind w:right="-517" w:rightChars="-246"/>
        <w:rPr>
          <w:rFonts w:ascii="宋体" w:hAnsi="宋体" w:cs="宋体"/>
          <w:b/>
          <w:szCs w:val="21"/>
        </w:rPr>
      </w:pPr>
      <w:r>
        <w:rPr>
          <w:rFonts w:hint="eastAsia" w:ascii="宋体" w:hAnsi="宋体" w:cs="宋体"/>
          <w:b/>
          <w:szCs w:val="21"/>
        </w:rPr>
        <w:t>1、供应商不得直接“复制和粘贴”磋商文件中采购设备的技术参数和要求，应如实填写供应货物的详细参数，直接“复制和粘贴”磋商文件中采购设备的技术参数和要求的，视为无效投标。</w:t>
      </w:r>
    </w:p>
    <w:p>
      <w:pPr>
        <w:spacing w:line="380" w:lineRule="exact"/>
        <w:ind w:right="-517" w:rightChars="-246"/>
        <w:rPr>
          <w:rFonts w:ascii="宋体" w:hAnsi="宋体" w:cs="宋体"/>
          <w:b/>
          <w:szCs w:val="21"/>
        </w:rPr>
      </w:pPr>
      <w:r>
        <w:rPr>
          <w:rFonts w:hint="eastAsia" w:ascii="宋体" w:hAnsi="宋体" w:cs="宋体"/>
          <w:b/>
          <w:szCs w:val="21"/>
        </w:rPr>
        <w:t>2、如技术参数符合采购文件要求必须提供相应的有效且真实的证明材料【白皮书或设备生产厂家（或总代理商）相关证明或检测报告或彩页等】以证明技术参数及功能的有效性，如未附有效证明材料或者所附的证明材料由评标委员会认为不能佐证技术指标的有效性的，则同样视为不符合采购文件要求。</w:t>
      </w:r>
    </w:p>
    <w:p>
      <w:pPr>
        <w:spacing w:line="360" w:lineRule="auto"/>
        <w:ind w:firstLine="720" w:firstLineChars="300"/>
        <w:rPr>
          <w:rFonts w:ascii="宋体" w:hAnsi="宋体" w:cs="宋体"/>
          <w:bCs/>
          <w:sz w:val="24"/>
        </w:rPr>
      </w:pPr>
    </w:p>
    <w:p>
      <w:pPr>
        <w:adjustRightInd w:val="0"/>
        <w:spacing w:line="400" w:lineRule="exact"/>
        <w:ind w:firstLine="420" w:firstLineChars="175"/>
        <w:jc w:val="left"/>
        <w:rPr>
          <w:bCs/>
          <w:sz w:val="24"/>
          <w:szCs w:val="24"/>
        </w:rPr>
      </w:pPr>
      <w:r>
        <w:rPr>
          <w:bCs/>
          <w:sz w:val="24"/>
          <w:szCs w:val="24"/>
        </w:rPr>
        <w:t>投标人名称：        （盖章）</w:t>
      </w:r>
    </w:p>
    <w:p>
      <w:pPr>
        <w:adjustRightInd w:val="0"/>
        <w:spacing w:line="400" w:lineRule="exact"/>
        <w:ind w:firstLine="420" w:firstLineChars="175"/>
        <w:jc w:val="left"/>
        <w:rPr>
          <w:bCs/>
          <w:sz w:val="24"/>
          <w:szCs w:val="24"/>
        </w:rPr>
      </w:pPr>
      <w:r>
        <w:rPr>
          <w:sz w:val="24"/>
          <w:szCs w:val="24"/>
        </w:rPr>
        <w:t>法定代表人或授权代表（签字或盖章）</w:t>
      </w:r>
      <w:r>
        <w:rPr>
          <w:bCs/>
          <w:sz w:val="24"/>
          <w:szCs w:val="24"/>
        </w:rPr>
        <w:t>：</w:t>
      </w:r>
    </w:p>
    <w:p>
      <w:pPr>
        <w:ind w:firstLine="480" w:firstLineChars="200"/>
        <w:rPr>
          <w:bCs/>
          <w:sz w:val="24"/>
          <w:szCs w:val="24"/>
        </w:rPr>
      </w:pPr>
      <w:r>
        <w:rPr>
          <w:bCs/>
          <w:sz w:val="24"/>
          <w:szCs w:val="24"/>
        </w:rPr>
        <w:t>投标日期:</w:t>
      </w:r>
    </w:p>
    <w:p>
      <w:pPr>
        <w:numPr>
          <w:ilvl w:val="0"/>
          <w:numId w:val="13"/>
        </w:numPr>
        <w:jc w:val="center"/>
        <w:rPr>
          <w:b/>
          <w:bCs/>
          <w:sz w:val="30"/>
          <w:szCs w:val="30"/>
        </w:rPr>
      </w:pPr>
      <w:r>
        <w:rPr>
          <w:bCs/>
          <w:sz w:val="24"/>
          <w:szCs w:val="24"/>
        </w:rPr>
        <w:br w:type="page"/>
      </w:r>
      <w:r>
        <w:rPr>
          <w:b/>
          <w:bCs/>
          <w:sz w:val="30"/>
          <w:szCs w:val="30"/>
        </w:rPr>
        <w:t>技术／商务响应与偏离表</w:t>
      </w:r>
      <w:bookmarkEnd w:id="105"/>
      <w:bookmarkEnd w:id="106"/>
    </w:p>
    <w:tbl>
      <w:tblPr>
        <w:tblStyle w:val="18"/>
        <w:tblW w:w="0" w:type="auto"/>
        <w:tblInd w:w="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6"/>
        <w:gridCol w:w="1598"/>
        <w:gridCol w:w="2713"/>
        <w:gridCol w:w="2381"/>
        <w:gridCol w:w="1412"/>
        <w:gridCol w:w="9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5" w:hRule="atLeast"/>
        </w:trPr>
        <w:tc>
          <w:tcPr>
            <w:tcW w:w="796" w:type="dxa"/>
          </w:tcPr>
          <w:p>
            <w:pPr>
              <w:pStyle w:val="24"/>
              <w:spacing w:before="5"/>
              <w:jc w:val="left"/>
              <w:rPr>
                <w:rFonts w:ascii="Times New Roman" w:hAnsi="Times New Roman" w:cs="Times New Roman"/>
                <w:b/>
                <w:sz w:val="18"/>
                <w:lang w:eastAsia="zh-CN"/>
              </w:rPr>
            </w:pPr>
          </w:p>
          <w:p>
            <w:pPr>
              <w:pStyle w:val="24"/>
              <w:ind w:left="129" w:right="119"/>
              <w:rPr>
                <w:rFonts w:ascii="Times New Roman" w:hAnsi="Times New Roman" w:eastAsia="宋体" w:cs="Times New Roman"/>
                <w:b/>
                <w:sz w:val="21"/>
              </w:rPr>
            </w:pPr>
            <w:r>
              <w:rPr>
                <w:rFonts w:ascii="Times New Roman" w:hAnsi="Times New Roman" w:eastAsia="宋体" w:cs="Times New Roman"/>
                <w:b/>
                <w:sz w:val="21"/>
              </w:rPr>
              <w:t>序号</w:t>
            </w:r>
          </w:p>
        </w:tc>
        <w:tc>
          <w:tcPr>
            <w:tcW w:w="1598" w:type="dxa"/>
          </w:tcPr>
          <w:p>
            <w:pPr>
              <w:pStyle w:val="24"/>
              <w:spacing w:before="5"/>
              <w:jc w:val="left"/>
              <w:rPr>
                <w:rFonts w:ascii="Times New Roman" w:hAnsi="Times New Roman" w:cs="Times New Roman"/>
                <w:b/>
                <w:sz w:val="18"/>
              </w:rPr>
            </w:pPr>
          </w:p>
          <w:p>
            <w:pPr>
              <w:pStyle w:val="24"/>
              <w:ind w:left="194"/>
              <w:jc w:val="left"/>
              <w:rPr>
                <w:rFonts w:ascii="Times New Roman" w:hAnsi="Times New Roman" w:eastAsia="宋体" w:cs="Times New Roman"/>
                <w:b/>
                <w:sz w:val="21"/>
              </w:rPr>
            </w:pPr>
            <w:r>
              <w:rPr>
                <w:rFonts w:ascii="Times New Roman" w:hAnsi="Times New Roman" w:eastAsia="宋体" w:cs="Times New Roman"/>
                <w:b/>
                <w:sz w:val="21"/>
              </w:rPr>
              <w:t>文件条目号</w:t>
            </w:r>
          </w:p>
        </w:tc>
        <w:tc>
          <w:tcPr>
            <w:tcW w:w="2713" w:type="dxa"/>
          </w:tcPr>
          <w:p>
            <w:pPr>
              <w:pStyle w:val="24"/>
              <w:spacing w:before="5"/>
              <w:jc w:val="left"/>
              <w:rPr>
                <w:rFonts w:ascii="Times New Roman" w:hAnsi="Times New Roman" w:cs="Times New Roman"/>
                <w:b/>
                <w:sz w:val="18"/>
              </w:rPr>
            </w:pPr>
          </w:p>
          <w:p>
            <w:pPr>
              <w:pStyle w:val="24"/>
              <w:ind w:left="273"/>
              <w:jc w:val="left"/>
              <w:rPr>
                <w:rFonts w:ascii="Times New Roman" w:hAnsi="Times New Roman" w:eastAsia="宋体" w:cs="Times New Roman"/>
                <w:b/>
                <w:sz w:val="21"/>
              </w:rPr>
            </w:pPr>
            <w:r>
              <w:rPr>
                <w:rFonts w:ascii="Times New Roman" w:hAnsi="Times New Roman" w:eastAsia="宋体" w:cs="Times New Roman"/>
                <w:b/>
                <w:sz w:val="21"/>
              </w:rPr>
              <w:t>采购规格／商务条款</w:t>
            </w:r>
          </w:p>
        </w:tc>
        <w:tc>
          <w:tcPr>
            <w:tcW w:w="2381" w:type="dxa"/>
          </w:tcPr>
          <w:p>
            <w:pPr>
              <w:pStyle w:val="24"/>
              <w:spacing w:before="166" w:line="244" w:lineRule="auto"/>
              <w:ind w:left="755" w:right="115" w:hanging="632"/>
              <w:jc w:val="left"/>
              <w:rPr>
                <w:rFonts w:ascii="Times New Roman" w:hAnsi="Times New Roman" w:eastAsia="宋体" w:cs="Times New Roman"/>
                <w:b/>
                <w:sz w:val="21"/>
                <w:lang w:eastAsia="zh-CN"/>
              </w:rPr>
            </w:pPr>
            <w:r>
              <w:rPr>
                <w:rFonts w:ascii="Times New Roman" w:hAnsi="Times New Roman" w:eastAsia="宋体" w:cs="Times New Roman"/>
                <w:b/>
                <w:sz w:val="21"/>
                <w:lang w:eastAsia="zh-CN"/>
              </w:rPr>
              <w:t>投标文件的规格／商务条款</w:t>
            </w:r>
          </w:p>
        </w:tc>
        <w:tc>
          <w:tcPr>
            <w:tcW w:w="1412" w:type="dxa"/>
          </w:tcPr>
          <w:p>
            <w:pPr>
              <w:pStyle w:val="24"/>
              <w:spacing w:before="5"/>
              <w:jc w:val="left"/>
              <w:rPr>
                <w:rFonts w:ascii="Times New Roman" w:hAnsi="Times New Roman" w:cs="Times New Roman"/>
                <w:b/>
                <w:sz w:val="18"/>
                <w:lang w:eastAsia="zh-CN"/>
              </w:rPr>
            </w:pPr>
          </w:p>
          <w:p>
            <w:pPr>
              <w:pStyle w:val="24"/>
              <w:ind w:left="109"/>
              <w:jc w:val="left"/>
              <w:rPr>
                <w:rFonts w:ascii="Times New Roman" w:hAnsi="Times New Roman" w:eastAsia="宋体" w:cs="Times New Roman"/>
                <w:b/>
                <w:sz w:val="21"/>
              </w:rPr>
            </w:pPr>
            <w:r>
              <w:rPr>
                <w:rFonts w:ascii="Times New Roman" w:hAnsi="Times New Roman" w:eastAsia="宋体" w:cs="Times New Roman"/>
                <w:b/>
                <w:sz w:val="21"/>
              </w:rPr>
              <w:t>响应与偏离</w:t>
            </w:r>
          </w:p>
        </w:tc>
        <w:tc>
          <w:tcPr>
            <w:tcW w:w="940" w:type="dxa"/>
          </w:tcPr>
          <w:p>
            <w:pPr>
              <w:pStyle w:val="24"/>
              <w:spacing w:before="5"/>
              <w:jc w:val="left"/>
              <w:rPr>
                <w:rFonts w:ascii="Times New Roman" w:hAnsi="Times New Roman" w:cs="Times New Roman"/>
                <w:b/>
                <w:sz w:val="18"/>
              </w:rPr>
            </w:pPr>
          </w:p>
          <w:p>
            <w:pPr>
              <w:pStyle w:val="24"/>
              <w:ind w:left="210"/>
              <w:jc w:val="left"/>
              <w:rPr>
                <w:rFonts w:ascii="Times New Roman" w:hAnsi="Times New Roman" w:eastAsia="宋体" w:cs="Times New Roman"/>
                <w:b/>
                <w:sz w:val="21"/>
              </w:rPr>
            </w:pPr>
            <w:r>
              <w:rPr>
                <w:rFonts w:ascii="Times New Roman" w:hAnsi="Times New Roman" w:eastAsia="宋体" w:cs="Times New Roman"/>
                <w:b/>
                <w:sz w:val="21"/>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9840" w:type="dxa"/>
            <w:gridSpan w:val="6"/>
          </w:tcPr>
          <w:p>
            <w:pPr>
              <w:pStyle w:val="24"/>
              <w:spacing w:before="130"/>
              <w:ind w:left="3692" w:right="3680"/>
              <w:rPr>
                <w:rFonts w:ascii="Times New Roman" w:hAnsi="Times New Roman" w:eastAsia="宋体" w:cs="Times New Roman"/>
                <w:b/>
                <w:sz w:val="21"/>
              </w:rPr>
            </w:pPr>
            <w:r>
              <w:rPr>
                <w:rFonts w:ascii="Times New Roman" w:hAnsi="Times New Roman" w:eastAsia="宋体" w:cs="Times New Roman"/>
                <w:b/>
                <w:sz w:val="21"/>
              </w:rPr>
              <w:t>商务响应与偏离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24"/>
              <w:spacing w:before="130"/>
              <w:ind w:left="9"/>
              <w:rPr>
                <w:rFonts w:ascii="Times New Roman" w:hAnsi="Times New Roman" w:cs="Times New Roman"/>
                <w:sz w:val="21"/>
              </w:rPr>
            </w:pPr>
            <w:r>
              <w:rPr>
                <w:rFonts w:ascii="Times New Roman" w:hAnsi="Times New Roman" w:cs="Times New Roman"/>
                <w:sz w:val="21"/>
              </w:rPr>
              <w:t>1</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24"/>
              <w:spacing w:before="130"/>
              <w:ind w:left="9"/>
              <w:rPr>
                <w:rFonts w:ascii="Times New Roman" w:hAnsi="Times New Roman" w:cs="Times New Roman"/>
                <w:sz w:val="21"/>
              </w:rPr>
            </w:pPr>
            <w:r>
              <w:rPr>
                <w:rFonts w:ascii="Times New Roman" w:hAnsi="Times New Roman" w:cs="Times New Roman"/>
                <w:sz w:val="21"/>
              </w:rPr>
              <w:t>2</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24"/>
              <w:spacing w:before="130"/>
              <w:ind w:left="9"/>
              <w:rPr>
                <w:rFonts w:ascii="Times New Roman" w:hAnsi="Times New Roman" w:cs="Times New Roman"/>
                <w:sz w:val="21"/>
              </w:rPr>
            </w:pPr>
            <w:r>
              <w:rPr>
                <w:rFonts w:ascii="Times New Roman" w:hAnsi="Times New Roman" w:cs="Times New Roman"/>
                <w:sz w:val="21"/>
              </w:rPr>
              <w:t>3</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24"/>
              <w:spacing w:before="130"/>
              <w:ind w:left="9"/>
              <w:rPr>
                <w:rFonts w:ascii="Times New Roman" w:hAnsi="Times New Roman" w:cs="Times New Roman"/>
                <w:sz w:val="21"/>
              </w:rPr>
            </w:pPr>
            <w:r>
              <w:rPr>
                <w:rFonts w:ascii="Times New Roman" w:hAnsi="Times New Roman" w:cs="Times New Roman"/>
                <w:sz w:val="21"/>
              </w:rPr>
              <w:t>4</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9840" w:type="dxa"/>
            <w:gridSpan w:val="6"/>
          </w:tcPr>
          <w:p>
            <w:pPr>
              <w:pStyle w:val="24"/>
              <w:spacing w:before="133"/>
              <w:ind w:left="3692" w:right="3680"/>
              <w:rPr>
                <w:rFonts w:ascii="Times New Roman" w:hAnsi="Times New Roman" w:eastAsia="宋体" w:cs="Times New Roman"/>
                <w:b/>
                <w:sz w:val="21"/>
              </w:rPr>
            </w:pPr>
            <w:r>
              <w:rPr>
                <w:rFonts w:ascii="Times New Roman" w:hAnsi="Times New Roman" w:eastAsia="宋体" w:cs="Times New Roman"/>
                <w:b/>
                <w:sz w:val="21"/>
              </w:rPr>
              <w:t>技术响应与偏离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24"/>
              <w:spacing w:before="130"/>
              <w:ind w:left="9"/>
              <w:rPr>
                <w:rFonts w:ascii="Times New Roman" w:hAnsi="Times New Roman" w:cs="Times New Roman"/>
                <w:sz w:val="21"/>
              </w:rPr>
            </w:pPr>
            <w:r>
              <w:rPr>
                <w:rFonts w:ascii="Times New Roman" w:hAnsi="Times New Roman" w:cs="Times New Roman"/>
                <w:sz w:val="21"/>
              </w:rPr>
              <w:t>1</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24"/>
              <w:spacing w:before="130"/>
              <w:ind w:left="9"/>
              <w:rPr>
                <w:rFonts w:ascii="Times New Roman" w:hAnsi="Times New Roman" w:cs="Times New Roman"/>
                <w:sz w:val="21"/>
              </w:rPr>
            </w:pPr>
            <w:r>
              <w:rPr>
                <w:rFonts w:ascii="Times New Roman" w:hAnsi="Times New Roman" w:cs="Times New Roman"/>
                <w:sz w:val="21"/>
              </w:rPr>
              <w:t>2</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96" w:type="dxa"/>
          </w:tcPr>
          <w:p>
            <w:pPr>
              <w:pStyle w:val="24"/>
              <w:spacing w:before="130"/>
              <w:ind w:left="9"/>
              <w:rPr>
                <w:rFonts w:ascii="Times New Roman" w:hAnsi="Times New Roman" w:cs="Times New Roman"/>
                <w:sz w:val="21"/>
              </w:rPr>
            </w:pPr>
            <w:r>
              <w:rPr>
                <w:rFonts w:ascii="Times New Roman" w:hAnsi="Times New Roman" w:cs="Times New Roman"/>
                <w:sz w:val="21"/>
              </w:rPr>
              <w:t>3</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796" w:type="dxa"/>
          </w:tcPr>
          <w:p>
            <w:pPr>
              <w:pStyle w:val="24"/>
              <w:spacing w:before="154"/>
              <w:ind w:left="9"/>
              <w:rPr>
                <w:rFonts w:ascii="Times New Roman" w:hAnsi="Times New Roman" w:cs="Times New Roman"/>
                <w:sz w:val="21"/>
              </w:rPr>
            </w:pPr>
            <w:r>
              <w:rPr>
                <w:rFonts w:ascii="Times New Roman" w:hAnsi="Times New Roman" w:cs="Times New Roman"/>
                <w:sz w:val="21"/>
              </w:rPr>
              <w:t>4</w:t>
            </w:r>
          </w:p>
        </w:tc>
        <w:tc>
          <w:tcPr>
            <w:tcW w:w="1598" w:type="dxa"/>
          </w:tcPr>
          <w:p>
            <w:pPr>
              <w:pStyle w:val="24"/>
              <w:jc w:val="left"/>
              <w:rPr>
                <w:rFonts w:ascii="Times New Roman" w:hAnsi="Times New Roman" w:cs="Times New Roman"/>
              </w:rPr>
            </w:pPr>
          </w:p>
        </w:tc>
        <w:tc>
          <w:tcPr>
            <w:tcW w:w="2713" w:type="dxa"/>
          </w:tcPr>
          <w:p>
            <w:pPr>
              <w:pStyle w:val="24"/>
              <w:jc w:val="left"/>
              <w:rPr>
                <w:rFonts w:ascii="Times New Roman" w:hAnsi="Times New Roman" w:cs="Times New Roman"/>
              </w:rPr>
            </w:pPr>
          </w:p>
        </w:tc>
        <w:tc>
          <w:tcPr>
            <w:tcW w:w="2381" w:type="dxa"/>
          </w:tcPr>
          <w:p>
            <w:pPr>
              <w:pStyle w:val="24"/>
              <w:jc w:val="left"/>
              <w:rPr>
                <w:rFonts w:ascii="Times New Roman" w:hAnsi="Times New Roman" w:cs="Times New Roman"/>
              </w:rPr>
            </w:pPr>
          </w:p>
        </w:tc>
        <w:tc>
          <w:tcPr>
            <w:tcW w:w="1412" w:type="dxa"/>
          </w:tcPr>
          <w:p>
            <w:pPr>
              <w:pStyle w:val="24"/>
              <w:jc w:val="left"/>
              <w:rPr>
                <w:rFonts w:ascii="Times New Roman" w:hAnsi="Times New Roman" w:cs="Times New Roman"/>
              </w:rPr>
            </w:pPr>
          </w:p>
        </w:tc>
        <w:tc>
          <w:tcPr>
            <w:tcW w:w="940" w:type="dxa"/>
          </w:tcPr>
          <w:p>
            <w:pPr>
              <w:pStyle w:val="24"/>
              <w:jc w:val="left"/>
              <w:rPr>
                <w:rFonts w:ascii="Times New Roman" w:hAnsi="Times New Roman" w:cs="Times New Roman"/>
              </w:rPr>
            </w:pPr>
          </w:p>
        </w:tc>
      </w:tr>
    </w:tbl>
    <w:p>
      <w:pPr>
        <w:spacing w:line="400" w:lineRule="exact"/>
        <w:ind w:left="600" w:leftChars="57" w:hanging="480" w:hangingChars="200"/>
        <w:rPr>
          <w:sz w:val="24"/>
          <w:szCs w:val="24"/>
        </w:rPr>
      </w:pPr>
      <w:r>
        <w:rPr>
          <w:sz w:val="24"/>
          <w:szCs w:val="24"/>
        </w:rPr>
        <w:t>注：1.本表只填写投标文件中与招标文件有偏离（包括正偏离和负偏离）的内容，投标文件中技术规格及指标响应与招标文件要求完全一致的，不用在此表中列出。</w:t>
      </w:r>
    </w:p>
    <w:p>
      <w:pPr>
        <w:spacing w:line="400" w:lineRule="exact"/>
        <w:ind w:left="598" w:leftChars="285"/>
        <w:rPr>
          <w:sz w:val="24"/>
          <w:szCs w:val="24"/>
        </w:rPr>
      </w:pPr>
      <w:r>
        <w:rPr>
          <w:sz w:val="24"/>
          <w:szCs w:val="24"/>
        </w:rPr>
        <w:t>2．投标人必须据实填写，不得虚假响应，否则将取消其投标或中标资格，并按有关规定进行处罚。</w:t>
      </w:r>
    </w:p>
    <w:p>
      <w:pPr>
        <w:adjustRightInd w:val="0"/>
        <w:spacing w:line="400" w:lineRule="exact"/>
        <w:ind w:firstLine="490" w:firstLineChars="175"/>
        <w:jc w:val="left"/>
        <w:rPr>
          <w:bCs/>
          <w:sz w:val="28"/>
          <w:szCs w:val="28"/>
        </w:rPr>
      </w:pPr>
    </w:p>
    <w:p>
      <w:pPr>
        <w:adjustRightInd w:val="0"/>
        <w:spacing w:line="400" w:lineRule="exact"/>
        <w:ind w:firstLine="420" w:firstLineChars="175"/>
        <w:jc w:val="left"/>
        <w:rPr>
          <w:bCs/>
          <w:sz w:val="24"/>
          <w:szCs w:val="24"/>
        </w:rPr>
      </w:pPr>
      <w:r>
        <w:rPr>
          <w:bCs/>
          <w:sz w:val="24"/>
          <w:szCs w:val="24"/>
        </w:rPr>
        <w:t>投标人名称：        （盖章）</w:t>
      </w:r>
    </w:p>
    <w:p>
      <w:pPr>
        <w:adjustRightInd w:val="0"/>
        <w:spacing w:line="400" w:lineRule="exact"/>
        <w:ind w:firstLine="420" w:firstLineChars="175"/>
        <w:jc w:val="left"/>
        <w:rPr>
          <w:bCs/>
          <w:sz w:val="24"/>
          <w:szCs w:val="24"/>
        </w:rPr>
      </w:pPr>
      <w:r>
        <w:rPr>
          <w:sz w:val="24"/>
          <w:szCs w:val="24"/>
        </w:rPr>
        <w:t>法定代表人或授权代表（签字或盖章）</w:t>
      </w:r>
      <w:r>
        <w:rPr>
          <w:bCs/>
          <w:sz w:val="24"/>
          <w:szCs w:val="24"/>
        </w:rPr>
        <w:t>：</w:t>
      </w:r>
    </w:p>
    <w:p>
      <w:pPr>
        <w:spacing w:line="400" w:lineRule="exact"/>
        <w:ind w:firstLine="480" w:firstLineChars="200"/>
        <w:rPr>
          <w:bCs/>
          <w:sz w:val="24"/>
          <w:szCs w:val="24"/>
        </w:rPr>
      </w:pPr>
      <w:r>
        <w:rPr>
          <w:bCs/>
          <w:sz w:val="24"/>
          <w:szCs w:val="24"/>
        </w:rPr>
        <w:t>投标日期:</w:t>
      </w:r>
    </w:p>
    <w:p>
      <w:pPr>
        <w:spacing w:line="400" w:lineRule="exact"/>
        <w:ind w:firstLine="480" w:firstLineChars="200"/>
        <w:rPr>
          <w:bCs/>
          <w:sz w:val="24"/>
          <w:szCs w:val="24"/>
        </w:rPr>
      </w:pPr>
    </w:p>
    <w:p>
      <w:pPr>
        <w:spacing w:line="400" w:lineRule="exact"/>
        <w:ind w:firstLine="480" w:firstLineChars="200"/>
        <w:rPr>
          <w:bCs/>
          <w:sz w:val="24"/>
          <w:szCs w:val="24"/>
        </w:rPr>
      </w:pPr>
    </w:p>
    <w:p>
      <w:pPr>
        <w:spacing w:line="360" w:lineRule="auto"/>
        <w:rPr>
          <w:b/>
          <w:sz w:val="24"/>
        </w:rPr>
      </w:pPr>
    </w:p>
    <w:p>
      <w:pPr>
        <w:spacing w:line="360" w:lineRule="auto"/>
        <w:rPr>
          <w:b/>
          <w:sz w:val="24"/>
        </w:rPr>
      </w:pPr>
    </w:p>
    <w:p>
      <w:pPr>
        <w:numPr>
          <w:ilvl w:val="0"/>
          <w:numId w:val="13"/>
        </w:numPr>
        <w:jc w:val="center"/>
        <w:rPr>
          <w:b/>
          <w:bCs/>
          <w:sz w:val="30"/>
          <w:szCs w:val="30"/>
        </w:rPr>
      </w:pPr>
      <w:r>
        <w:rPr>
          <w:b/>
          <w:bCs/>
          <w:sz w:val="30"/>
          <w:szCs w:val="30"/>
        </w:rPr>
        <w:t>供货单位承诺书</w:t>
      </w:r>
      <w:bookmarkEnd w:id="77"/>
      <w:bookmarkEnd w:id="107"/>
      <w:bookmarkEnd w:id="108"/>
    </w:p>
    <w:p>
      <w:pPr>
        <w:pStyle w:val="6"/>
      </w:pPr>
    </w:p>
    <w:p>
      <w:pPr>
        <w:pStyle w:val="6"/>
      </w:pPr>
    </w:p>
    <w:p>
      <w:pPr>
        <w:spacing w:line="360" w:lineRule="auto"/>
        <w:rPr>
          <w:sz w:val="24"/>
        </w:rPr>
      </w:pPr>
      <w:r>
        <w:rPr>
          <w:sz w:val="24"/>
        </w:rPr>
        <w:t xml:space="preserve">一、在产品制作过程中，材料质量、进度、安全向甲方负责。 </w:t>
      </w:r>
    </w:p>
    <w:p>
      <w:pPr>
        <w:spacing w:line="360" w:lineRule="auto"/>
        <w:rPr>
          <w:sz w:val="24"/>
        </w:rPr>
      </w:pPr>
      <w:r>
        <w:rPr>
          <w:sz w:val="24"/>
        </w:rPr>
        <w:t>二、满足产品要求的技术标准、行业规范和规定。</w:t>
      </w:r>
    </w:p>
    <w:p>
      <w:pPr>
        <w:spacing w:line="360" w:lineRule="auto"/>
        <w:rPr>
          <w:sz w:val="24"/>
        </w:rPr>
      </w:pPr>
      <w:r>
        <w:rPr>
          <w:sz w:val="24"/>
        </w:rPr>
        <w:t>三、售后服务承诺及方案（自行编写）。</w:t>
      </w:r>
    </w:p>
    <w:p>
      <w:pPr>
        <w:spacing w:line="360" w:lineRule="auto"/>
        <w:rPr>
          <w:sz w:val="24"/>
        </w:rPr>
      </w:pPr>
      <w:r>
        <w:rPr>
          <w:sz w:val="24"/>
        </w:rPr>
        <w:t xml:space="preserve">四、货物制安时间：从合同生效之日起，至全部交货、经正式验收止。 </w:t>
      </w:r>
    </w:p>
    <w:p>
      <w:pPr>
        <w:spacing w:line="360" w:lineRule="auto"/>
        <w:rPr>
          <w:sz w:val="24"/>
        </w:rPr>
      </w:pPr>
      <w:r>
        <w:rPr>
          <w:sz w:val="24"/>
        </w:rPr>
        <w:t>五、认真执行甲方对产品制作工作的有关规定和协调要求。</w:t>
      </w:r>
    </w:p>
    <w:p>
      <w:pPr>
        <w:spacing w:line="360" w:lineRule="auto"/>
        <w:rPr>
          <w:sz w:val="24"/>
        </w:rPr>
      </w:pPr>
      <w:r>
        <w:rPr>
          <w:sz w:val="24"/>
        </w:rPr>
        <w:t>六、其他承诺。</w:t>
      </w:r>
    </w:p>
    <w:p>
      <w:pPr>
        <w:spacing w:line="360" w:lineRule="auto"/>
        <w:rPr>
          <w:sz w:val="24"/>
        </w:rPr>
      </w:pPr>
    </w:p>
    <w:p>
      <w:pPr>
        <w:spacing w:line="360" w:lineRule="auto"/>
        <w:rPr>
          <w:sz w:val="24"/>
        </w:rPr>
      </w:pPr>
    </w:p>
    <w:p>
      <w:pPr>
        <w:spacing w:line="360" w:lineRule="auto"/>
        <w:rPr>
          <w:sz w:val="24"/>
        </w:rPr>
      </w:pPr>
    </w:p>
    <w:p>
      <w:pPr>
        <w:spacing w:line="360" w:lineRule="auto"/>
        <w:rPr>
          <w:sz w:val="24"/>
        </w:rPr>
      </w:pPr>
      <w:r>
        <w:rPr>
          <w:sz w:val="24"/>
        </w:rPr>
        <w:t>投标人名称： （签章）</w:t>
      </w:r>
    </w:p>
    <w:p>
      <w:pPr>
        <w:spacing w:line="360" w:lineRule="auto"/>
        <w:rPr>
          <w:sz w:val="24"/>
        </w:rPr>
      </w:pPr>
    </w:p>
    <w:p>
      <w:pPr>
        <w:spacing w:line="360" w:lineRule="auto"/>
        <w:rPr>
          <w:sz w:val="24"/>
        </w:rPr>
      </w:pPr>
      <w:r>
        <w:rPr>
          <w:rFonts w:hint="eastAsia"/>
          <w:sz w:val="24"/>
        </w:rPr>
        <w:t>法定代表人或授权代表（签字或盖章）：</w:t>
      </w:r>
      <w:r>
        <w:rPr>
          <w:sz w:val="24"/>
        </w:rPr>
        <w:t xml:space="preserve"> </w:t>
      </w:r>
    </w:p>
    <w:p>
      <w:pPr>
        <w:spacing w:line="360" w:lineRule="auto"/>
        <w:rPr>
          <w:sz w:val="24"/>
        </w:rPr>
      </w:pPr>
    </w:p>
    <w:p>
      <w:pPr>
        <w:spacing w:line="360" w:lineRule="auto"/>
        <w:rPr>
          <w:sz w:val="24"/>
        </w:rPr>
        <w:sectPr>
          <w:pgSz w:w="12240" w:h="15840"/>
          <w:pgMar w:top="1417" w:right="1020" w:bottom="1417" w:left="1191" w:header="964" w:footer="850" w:gutter="0"/>
          <w:pgNumType w:fmt="numberInDash"/>
          <w:cols w:space="720" w:num="1"/>
          <w:titlePg/>
          <w:docGrid w:linePitch="312" w:charSpace="0"/>
        </w:sectPr>
      </w:pPr>
      <w:r>
        <w:rPr>
          <w:sz w:val="24"/>
        </w:rPr>
        <w:t>年 月 日</w:t>
      </w:r>
    </w:p>
    <w:p>
      <w:pPr>
        <w:pStyle w:val="3"/>
        <w:rPr>
          <w:szCs w:val="22"/>
        </w:rPr>
      </w:pPr>
      <w:r>
        <w:rPr>
          <w:szCs w:val="22"/>
        </w:rPr>
        <w:t>第六章  评标标准及办法</w:t>
      </w:r>
    </w:p>
    <w:p>
      <w:pPr>
        <w:spacing w:before="120" w:beforeLines="50" w:after="120" w:afterLines="50" w:line="360" w:lineRule="auto"/>
        <w:ind w:firstLine="482" w:firstLineChars="200"/>
        <w:rPr>
          <w:b/>
          <w:sz w:val="24"/>
          <w:szCs w:val="24"/>
        </w:rPr>
      </w:pPr>
      <w:bookmarkStart w:id="109" w:name="_Toc88382157"/>
      <w:bookmarkStart w:id="110" w:name="_Toc73332649"/>
      <w:bookmarkStart w:id="111" w:name="_Toc106522497"/>
      <w:bookmarkStart w:id="112" w:name="_Toc98943105"/>
      <w:bookmarkStart w:id="113" w:name="_Toc121212622"/>
      <w:bookmarkStart w:id="114" w:name="_Toc93747396"/>
      <w:r>
        <w:rPr>
          <w:b/>
          <w:sz w:val="24"/>
          <w:szCs w:val="24"/>
        </w:rPr>
        <w:t>1. 总则</w:t>
      </w:r>
      <w:bookmarkEnd w:id="109"/>
      <w:bookmarkEnd w:id="110"/>
      <w:bookmarkEnd w:id="111"/>
      <w:bookmarkEnd w:id="112"/>
      <w:bookmarkEnd w:id="113"/>
      <w:bookmarkEnd w:id="114"/>
      <w:r>
        <w:rPr>
          <w:b/>
          <w:sz w:val="24"/>
          <w:szCs w:val="24"/>
        </w:rPr>
        <w:t xml:space="preserve"> </w:t>
      </w:r>
    </w:p>
    <w:p>
      <w:pPr>
        <w:adjustRightInd w:val="0"/>
        <w:snapToGrid w:val="0"/>
        <w:spacing w:line="360" w:lineRule="auto"/>
        <w:ind w:firstLine="482" w:firstLineChars="200"/>
        <w:rPr>
          <w:sz w:val="24"/>
          <w:szCs w:val="24"/>
        </w:rPr>
      </w:pPr>
      <w:r>
        <w:rPr>
          <w:b/>
          <w:sz w:val="24"/>
          <w:szCs w:val="24"/>
        </w:rPr>
        <w:t>1.1</w:t>
      </w:r>
      <w:r>
        <w:rPr>
          <w:bCs/>
          <w:sz w:val="24"/>
          <w:szCs w:val="24"/>
        </w:rPr>
        <w:t xml:space="preserve"> </w:t>
      </w:r>
      <w:r>
        <w:rPr>
          <w:sz w:val="24"/>
          <w:szCs w:val="24"/>
        </w:rPr>
        <w:t>为保证本项目评标工作顺利进行，依据公平、公正、科学、择优的原则，特制定本评标办法。</w:t>
      </w:r>
    </w:p>
    <w:p>
      <w:pPr>
        <w:adjustRightInd w:val="0"/>
        <w:snapToGrid w:val="0"/>
        <w:spacing w:line="360" w:lineRule="auto"/>
        <w:ind w:firstLine="482" w:firstLineChars="200"/>
        <w:rPr>
          <w:b/>
          <w:sz w:val="24"/>
          <w:szCs w:val="24"/>
        </w:rPr>
      </w:pPr>
      <w:r>
        <w:rPr>
          <w:b/>
          <w:sz w:val="24"/>
          <w:szCs w:val="24"/>
        </w:rPr>
        <w:t>1.2</w:t>
      </w:r>
      <w:r>
        <w:rPr>
          <w:bCs/>
          <w:sz w:val="24"/>
          <w:szCs w:val="24"/>
        </w:rPr>
        <w:t xml:space="preserve"> 本次评标采用 综合评分法，即最大限度地满足采购文件实质性要求前提下，按照采购文件中规定的各项因素进行综合评审后，以评标总得分最高的投标人作为中标候选人的评标方法。综合评分的主要因素是：投标报价、技术部分、商务部分，对采购文件的响应程度，以及相应的比重或者权值等。</w:t>
      </w:r>
    </w:p>
    <w:p>
      <w:pPr>
        <w:spacing w:before="120" w:beforeLines="50" w:after="120" w:afterLines="50" w:line="360" w:lineRule="auto"/>
        <w:ind w:firstLine="482" w:firstLineChars="200"/>
        <w:rPr>
          <w:b/>
          <w:sz w:val="24"/>
          <w:szCs w:val="24"/>
        </w:rPr>
      </w:pPr>
      <w:bookmarkStart w:id="115" w:name="_Toc73332650"/>
      <w:bookmarkStart w:id="116" w:name="_Toc98943106"/>
      <w:bookmarkStart w:id="117" w:name="_Toc106522498"/>
      <w:bookmarkStart w:id="118" w:name="_Toc88382158"/>
      <w:bookmarkStart w:id="119" w:name="_Toc93747397"/>
      <w:bookmarkStart w:id="120" w:name="_Toc121212623"/>
      <w:r>
        <w:rPr>
          <w:b/>
          <w:sz w:val="24"/>
          <w:szCs w:val="24"/>
        </w:rPr>
        <w:t>2. 评标组织机构</w:t>
      </w:r>
      <w:bookmarkEnd w:id="115"/>
      <w:bookmarkEnd w:id="116"/>
      <w:bookmarkEnd w:id="117"/>
      <w:bookmarkEnd w:id="118"/>
      <w:bookmarkEnd w:id="119"/>
      <w:bookmarkEnd w:id="120"/>
    </w:p>
    <w:p>
      <w:pPr>
        <w:spacing w:before="120" w:beforeLines="50" w:after="120" w:afterLines="50" w:line="360" w:lineRule="auto"/>
        <w:ind w:firstLine="482" w:firstLineChars="200"/>
        <w:rPr>
          <w:sz w:val="24"/>
          <w:szCs w:val="24"/>
        </w:rPr>
      </w:pPr>
      <w:r>
        <w:rPr>
          <w:b/>
          <w:sz w:val="24"/>
          <w:szCs w:val="24"/>
        </w:rPr>
        <w:t>2.1</w:t>
      </w:r>
      <w:r>
        <w:rPr>
          <w:sz w:val="24"/>
          <w:szCs w:val="24"/>
        </w:rPr>
        <w:t>评标委员会由业主单位专家及受聘的技术和经济专家组成，</w:t>
      </w:r>
      <w:bookmarkStart w:id="121" w:name="_Toc106522499"/>
      <w:bookmarkStart w:id="122" w:name="_Toc73332651"/>
      <w:bookmarkStart w:id="123" w:name="_Toc121212624"/>
      <w:bookmarkStart w:id="124" w:name="_Toc93747398"/>
      <w:bookmarkStart w:id="125" w:name="_Toc88382159"/>
      <w:bookmarkStart w:id="126" w:name="_Toc98943107"/>
      <w:r>
        <w:rPr>
          <w:sz w:val="24"/>
          <w:szCs w:val="24"/>
        </w:rPr>
        <w:t>成员人数为5人，其中采购人代表1人，专家4人；评标专家确定方式：由财政部门的评标专家库中随机抽取，与投标人有利益或隶属关系的专家不能担任评委，评标委员会应当推选组长，但采购人代表不得担任组长。</w:t>
      </w:r>
    </w:p>
    <w:p>
      <w:pPr>
        <w:spacing w:before="120" w:beforeLines="50" w:after="120" w:afterLines="50" w:line="360" w:lineRule="auto"/>
        <w:ind w:firstLine="482" w:firstLineChars="200"/>
        <w:rPr>
          <w:b/>
          <w:sz w:val="24"/>
          <w:szCs w:val="24"/>
        </w:rPr>
      </w:pPr>
      <w:r>
        <w:rPr>
          <w:b/>
          <w:sz w:val="24"/>
          <w:szCs w:val="24"/>
        </w:rPr>
        <w:t>3. 评标工作程序</w:t>
      </w:r>
      <w:bookmarkEnd w:id="121"/>
      <w:bookmarkEnd w:id="122"/>
      <w:bookmarkEnd w:id="123"/>
      <w:bookmarkEnd w:id="124"/>
      <w:bookmarkEnd w:id="125"/>
      <w:bookmarkEnd w:id="126"/>
    </w:p>
    <w:p>
      <w:pPr>
        <w:tabs>
          <w:tab w:val="left" w:pos="630"/>
        </w:tabs>
        <w:adjustRightInd w:val="0"/>
        <w:snapToGrid w:val="0"/>
        <w:spacing w:line="360" w:lineRule="auto"/>
        <w:ind w:firstLine="480" w:firstLineChars="200"/>
        <w:rPr>
          <w:sz w:val="24"/>
          <w:szCs w:val="24"/>
        </w:rPr>
      </w:pPr>
      <w:r>
        <w:rPr>
          <w:sz w:val="24"/>
          <w:szCs w:val="24"/>
        </w:rPr>
        <w:t>1）初步评审及资格后审：包括资格性检查、符合性检查。评标委员会将按投标须知审查投标文件是否实质上响应了采购文件的要求，对实质上响应采购文件要求的投标文件可进入下一步评审，对实质上不响应采购文件的视为无效投标。</w:t>
      </w:r>
    </w:p>
    <w:p>
      <w:pPr>
        <w:tabs>
          <w:tab w:val="left" w:pos="630"/>
        </w:tabs>
        <w:adjustRightInd w:val="0"/>
        <w:snapToGrid w:val="0"/>
        <w:spacing w:line="360" w:lineRule="auto"/>
        <w:ind w:firstLine="480" w:firstLineChars="200"/>
        <w:rPr>
          <w:sz w:val="24"/>
          <w:szCs w:val="24"/>
        </w:rPr>
      </w:pPr>
      <w:r>
        <w:rPr>
          <w:sz w:val="24"/>
          <w:szCs w:val="24"/>
        </w:rPr>
        <w:t>2）有效报价的确定：各投标人的投标报价不低于成本价的、技术、商务基本符合要求，无缺、漏项的为有效报价，否则，其投标报价不参与评标基准价计算。</w:t>
      </w:r>
    </w:p>
    <w:p>
      <w:pPr>
        <w:tabs>
          <w:tab w:val="left" w:pos="630"/>
        </w:tabs>
        <w:adjustRightInd w:val="0"/>
        <w:snapToGrid w:val="0"/>
        <w:spacing w:line="360" w:lineRule="auto"/>
        <w:ind w:firstLine="480" w:firstLineChars="200"/>
        <w:rPr>
          <w:sz w:val="24"/>
          <w:szCs w:val="24"/>
        </w:rPr>
      </w:pPr>
      <w:r>
        <w:rPr>
          <w:sz w:val="24"/>
          <w:szCs w:val="24"/>
        </w:rPr>
        <w:t>3）评标委员会将按综合得分由高到低的顺序推荐排序前三名的投标人为中标候选人。初步评审(资格后审)、详细评审、澄清（如果需要）、汇总评审结果、确定推荐中标候选人、完成评标报告；</w:t>
      </w:r>
    </w:p>
    <w:p>
      <w:pPr>
        <w:spacing w:before="120" w:beforeLines="50" w:after="120" w:afterLines="50" w:line="360" w:lineRule="auto"/>
        <w:ind w:firstLine="482" w:firstLineChars="200"/>
        <w:rPr>
          <w:b/>
          <w:sz w:val="24"/>
          <w:szCs w:val="24"/>
        </w:rPr>
      </w:pPr>
      <w:bookmarkStart w:id="127" w:name="_Toc121212625"/>
      <w:bookmarkStart w:id="128" w:name="_Toc106522500"/>
      <w:bookmarkStart w:id="129" w:name="_Toc73332652"/>
      <w:bookmarkStart w:id="130" w:name="_Toc88382160"/>
      <w:bookmarkStart w:id="131" w:name="_Toc98943108"/>
      <w:bookmarkStart w:id="132" w:name="_Toc93747399"/>
      <w:r>
        <w:rPr>
          <w:b/>
          <w:sz w:val="24"/>
          <w:szCs w:val="24"/>
        </w:rPr>
        <w:t xml:space="preserve">4. </w:t>
      </w:r>
      <w:bookmarkEnd w:id="127"/>
      <w:bookmarkEnd w:id="128"/>
      <w:bookmarkEnd w:id="129"/>
      <w:bookmarkEnd w:id="130"/>
      <w:bookmarkEnd w:id="131"/>
      <w:bookmarkEnd w:id="132"/>
      <w:r>
        <w:rPr>
          <w:b/>
          <w:sz w:val="24"/>
          <w:szCs w:val="24"/>
        </w:rPr>
        <w:t>初步评审及资格后审</w:t>
      </w:r>
    </w:p>
    <w:p>
      <w:pPr>
        <w:adjustRightInd w:val="0"/>
        <w:snapToGrid w:val="0"/>
        <w:spacing w:line="360" w:lineRule="auto"/>
        <w:ind w:firstLine="480" w:firstLineChars="200"/>
        <w:rPr>
          <w:bCs/>
          <w:sz w:val="24"/>
          <w:szCs w:val="24"/>
        </w:rPr>
      </w:pPr>
      <w:r>
        <w:rPr>
          <w:bCs/>
          <w:sz w:val="24"/>
          <w:szCs w:val="24"/>
        </w:rPr>
        <w:t>4.1资格性审查</w:t>
      </w:r>
    </w:p>
    <w:p>
      <w:pPr>
        <w:adjustRightInd w:val="0"/>
        <w:snapToGrid w:val="0"/>
        <w:spacing w:line="360" w:lineRule="auto"/>
        <w:ind w:firstLine="480" w:firstLineChars="200"/>
        <w:rPr>
          <w:bCs/>
          <w:sz w:val="24"/>
          <w:szCs w:val="24"/>
        </w:rPr>
      </w:pPr>
      <w:r>
        <w:rPr>
          <w:bCs/>
          <w:sz w:val="24"/>
          <w:szCs w:val="24"/>
        </w:rPr>
        <w:t>根据法律法规和招标文件的规定，对投标文件中的资格证明文件、投标保证金等进行审查，以确定投标投标人是否具备投标资格。审查事项如下：</w:t>
      </w:r>
    </w:p>
    <w:p>
      <w:pPr>
        <w:adjustRightInd w:val="0"/>
        <w:snapToGrid w:val="0"/>
        <w:spacing w:line="360" w:lineRule="auto"/>
        <w:ind w:firstLine="480" w:firstLineChars="200"/>
        <w:jc w:val="center"/>
        <w:rPr>
          <w:bCs/>
          <w:sz w:val="24"/>
          <w:szCs w:val="24"/>
        </w:rPr>
      </w:pPr>
      <w:r>
        <w:rPr>
          <w:bCs/>
          <w:sz w:val="24"/>
          <w:szCs w:val="24"/>
        </w:rPr>
        <w:t>资格性审查表</w:t>
      </w:r>
    </w:p>
    <w:tbl>
      <w:tblPr>
        <w:tblStyle w:val="18"/>
        <w:tblW w:w="0" w:type="auto"/>
        <w:tblInd w:w="40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3"/>
        <w:gridCol w:w="966"/>
        <w:gridCol w:w="2618"/>
        <w:gridCol w:w="51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trPr>
        <w:tc>
          <w:tcPr>
            <w:tcW w:w="733" w:type="dxa"/>
            <w:tcBorders>
              <w:top w:val="single" w:color="000000" w:sz="4" w:space="0"/>
              <w:left w:val="single" w:color="000000" w:sz="4" w:space="0"/>
              <w:bottom w:val="single" w:color="000000" w:sz="4" w:space="0"/>
              <w:right w:val="single" w:color="000000" w:sz="4" w:space="0"/>
            </w:tcBorders>
          </w:tcPr>
          <w:p>
            <w:pPr>
              <w:pStyle w:val="17"/>
              <w:widowControl w:val="0"/>
              <w:autoSpaceDE w:val="0"/>
              <w:autoSpaceDN w:val="0"/>
              <w:spacing w:before="169" w:beforeAutospacing="0" w:after="0" w:afterAutospacing="0"/>
              <w:ind w:left="155"/>
              <w:rPr>
                <w:rFonts w:hint="default" w:ascii="Times New Roman"/>
                <w:kern w:val="2"/>
                <w:sz w:val="21"/>
                <w:szCs w:val="21"/>
              </w:rPr>
            </w:pPr>
            <w:r>
              <w:rPr>
                <w:rFonts w:ascii="Times New Roman"/>
                <w:kern w:val="2"/>
                <w:sz w:val="21"/>
                <w:szCs w:val="21"/>
                <w:lang w:bidi="ar"/>
              </w:rPr>
              <w:t>序号</w:t>
            </w:r>
          </w:p>
        </w:tc>
        <w:tc>
          <w:tcPr>
            <w:tcW w:w="3584" w:type="dxa"/>
            <w:gridSpan w:val="2"/>
            <w:tcBorders>
              <w:top w:val="single" w:color="000000" w:sz="4" w:space="0"/>
              <w:left w:val="nil"/>
              <w:bottom w:val="single" w:color="000000" w:sz="4" w:space="0"/>
              <w:right w:val="single" w:color="000000" w:sz="4" w:space="0"/>
            </w:tcBorders>
          </w:tcPr>
          <w:p>
            <w:pPr>
              <w:pStyle w:val="17"/>
              <w:widowControl w:val="0"/>
              <w:autoSpaceDE w:val="0"/>
              <w:autoSpaceDN w:val="0"/>
              <w:spacing w:before="169" w:beforeAutospacing="0" w:after="0" w:afterAutospacing="0"/>
              <w:ind w:left="1354" w:right="1340"/>
              <w:jc w:val="center"/>
              <w:rPr>
                <w:rFonts w:hint="default" w:ascii="Times New Roman"/>
                <w:kern w:val="2"/>
                <w:sz w:val="21"/>
                <w:szCs w:val="21"/>
              </w:rPr>
            </w:pPr>
            <w:r>
              <w:rPr>
                <w:rFonts w:ascii="Times New Roman"/>
                <w:kern w:val="2"/>
                <w:sz w:val="21"/>
                <w:szCs w:val="21"/>
                <w:lang w:bidi="ar"/>
              </w:rPr>
              <w:t>检查因素</w:t>
            </w:r>
          </w:p>
        </w:tc>
        <w:tc>
          <w:tcPr>
            <w:tcW w:w="5141"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169" w:beforeAutospacing="0" w:after="0" w:afterAutospacing="0"/>
              <w:ind w:left="2132" w:right="2120"/>
              <w:jc w:val="center"/>
              <w:rPr>
                <w:rFonts w:hint="default" w:ascii="Times New Roman"/>
                <w:kern w:val="2"/>
                <w:sz w:val="21"/>
                <w:szCs w:val="21"/>
              </w:rPr>
            </w:pPr>
            <w:r>
              <w:rPr>
                <w:rFonts w:ascii="Times New Roman"/>
                <w:kern w:val="2"/>
                <w:sz w:val="21"/>
                <w:szCs w:val="21"/>
                <w:lang w:bidi="ar"/>
              </w:rPr>
              <w:t>检查内容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733" w:type="dxa"/>
            <w:vMerge w:val="restart"/>
            <w:tcBorders>
              <w:top w:val="nil"/>
              <w:left w:val="single" w:color="000000" w:sz="4" w:space="0"/>
              <w:bottom w:val="single" w:color="000000" w:sz="4" w:space="0"/>
              <w:right w:val="single" w:color="000000" w:sz="4" w:space="0"/>
            </w:tcBorders>
          </w:tcPr>
          <w:p>
            <w:pPr>
              <w:pStyle w:val="17"/>
              <w:widowControl w:val="0"/>
              <w:autoSpaceDE w:val="0"/>
              <w:autoSpaceDN w:val="0"/>
              <w:spacing w:before="0" w:beforeAutospacing="0" w:after="0" w:afterAutospacing="0"/>
              <w:rPr>
                <w:rFonts w:hint="default" w:ascii="Times New Roman"/>
                <w:b/>
                <w:kern w:val="2"/>
                <w:sz w:val="20"/>
              </w:rPr>
            </w:pPr>
          </w:p>
          <w:p>
            <w:pPr>
              <w:pStyle w:val="17"/>
              <w:widowControl w:val="0"/>
              <w:autoSpaceDE w:val="0"/>
              <w:autoSpaceDN w:val="0"/>
              <w:spacing w:before="5" w:beforeAutospacing="0" w:after="0" w:afterAutospacing="0"/>
              <w:rPr>
                <w:rFonts w:hint="default" w:ascii="Times New Roman"/>
                <w:b/>
                <w:kern w:val="2"/>
                <w:sz w:val="28"/>
                <w:szCs w:val="28"/>
              </w:rPr>
            </w:pPr>
          </w:p>
          <w:p>
            <w:pPr>
              <w:pStyle w:val="17"/>
              <w:widowControl w:val="0"/>
              <w:autoSpaceDE w:val="0"/>
              <w:autoSpaceDN w:val="0"/>
              <w:spacing w:before="0" w:beforeAutospacing="0" w:after="0" w:afterAutospacing="0"/>
              <w:ind w:left="10"/>
              <w:jc w:val="center"/>
              <w:rPr>
                <w:rFonts w:hint="default" w:ascii="Times New Roman"/>
                <w:kern w:val="2"/>
                <w:sz w:val="21"/>
                <w:szCs w:val="21"/>
              </w:rPr>
            </w:pPr>
            <w:r>
              <w:rPr>
                <w:rFonts w:hint="default" w:ascii="Times New Roman" w:eastAsia="仿宋"/>
                <w:kern w:val="2"/>
                <w:sz w:val="21"/>
                <w:szCs w:val="21"/>
                <w:lang w:bidi="ar"/>
              </w:rPr>
              <w:t>1</w:t>
            </w:r>
          </w:p>
        </w:tc>
        <w:tc>
          <w:tcPr>
            <w:tcW w:w="966" w:type="dxa"/>
            <w:vMerge w:val="restart"/>
            <w:tcBorders>
              <w:top w:val="nil"/>
              <w:left w:val="nil"/>
              <w:bottom w:val="single" w:color="000000" w:sz="4" w:space="0"/>
              <w:right w:val="single" w:color="000000" w:sz="4" w:space="0"/>
            </w:tcBorders>
          </w:tcPr>
          <w:p>
            <w:pPr>
              <w:pStyle w:val="17"/>
              <w:widowControl w:val="0"/>
              <w:autoSpaceDE w:val="0"/>
              <w:autoSpaceDN w:val="0"/>
              <w:spacing w:before="152" w:beforeAutospacing="0" w:after="0" w:afterAutospacing="0" w:line="276" w:lineRule="auto"/>
              <w:ind w:left="108" w:right="92"/>
              <w:rPr>
                <w:rFonts w:hint="default" w:ascii="Times New Roman"/>
                <w:kern w:val="2"/>
                <w:sz w:val="21"/>
                <w:szCs w:val="21"/>
              </w:rPr>
            </w:pPr>
            <w:r>
              <w:rPr>
                <w:rFonts w:ascii="Times New Roman"/>
                <w:spacing w:val="-27"/>
                <w:kern w:val="2"/>
                <w:sz w:val="21"/>
                <w:szCs w:val="21"/>
                <w:lang w:bidi="ar"/>
              </w:rPr>
              <w:t>符合《中</w:t>
            </w:r>
            <w:r>
              <w:rPr>
                <w:rFonts w:ascii="Times New Roman"/>
                <w:kern w:val="2"/>
                <w:sz w:val="21"/>
                <w:szCs w:val="21"/>
                <w:lang w:bidi="ar"/>
              </w:rPr>
              <w:t>华人民共和国政府采</w:t>
            </w:r>
          </w:p>
        </w:tc>
        <w:tc>
          <w:tcPr>
            <w:tcW w:w="2618"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4" w:beforeAutospacing="0" w:after="0" w:afterAutospacing="0"/>
              <w:rPr>
                <w:rFonts w:hint="default" w:ascii="Times New Roman"/>
                <w:b/>
                <w:kern w:val="2"/>
                <w:sz w:val="15"/>
                <w:szCs w:val="15"/>
              </w:rPr>
            </w:pPr>
          </w:p>
          <w:p>
            <w:pPr>
              <w:pStyle w:val="17"/>
              <w:widowControl w:val="0"/>
              <w:autoSpaceDE w:val="0"/>
              <w:autoSpaceDN w:val="0"/>
              <w:spacing w:before="0" w:beforeAutospacing="0" w:after="0" w:afterAutospacing="0"/>
              <w:ind w:left="108" w:right="48"/>
              <w:rPr>
                <w:rFonts w:hint="default" w:ascii="Times New Roman"/>
                <w:kern w:val="2"/>
                <w:sz w:val="21"/>
                <w:szCs w:val="21"/>
              </w:rPr>
            </w:pPr>
            <w:r>
              <w:rPr>
                <w:rFonts w:ascii="Times New Roman"/>
                <w:kern w:val="2"/>
                <w:sz w:val="21"/>
                <w:szCs w:val="21"/>
                <w:lang w:bidi="ar"/>
              </w:rPr>
              <w:t>（</w:t>
            </w:r>
            <w:r>
              <w:rPr>
                <w:rFonts w:hint="default" w:ascii="Times New Roman"/>
                <w:kern w:val="2"/>
                <w:sz w:val="21"/>
                <w:szCs w:val="21"/>
                <w:lang w:bidi="ar"/>
              </w:rPr>
              <w:t>1</w:t>
            </w:r>
            <w:r>
              <w:rPr>
                <w:rFonts w:hAnsi="宋体"/>
                <w:kern w:val="2"/>
                <w:sz w:val="21"/>
                <w:szCs w:val="21"/>
                <w:lang w:bidi="ar"/>
              </w:rPr>
              <w:t>）营业执照</w:t>
            </w:r>
          </w:p>
        </w:tc>
        <w:tc>
          <w:tcPr>
            <w:tcW w:w="5141"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65" w:beforeAutospacing="0" w:after="0" w:afterAutospacing="0"/>
              <w:ind w:left="108" w:right="91"/>
              <w:jc w:val="both"/>
              <w:rPr>
                <w:rFonts w:hint="default" w:ascii="Times New Roman"/>
                <w:kern w:val="2"/>
                <w:sz w:val="21"/>
                <w:szCs w:val="21"/>
              </w:rPr>
            </w:pPr>
            <w:r>
              <w:rPr>
                <w:rFonts w:ascii="Times New Roman"/>
                <w:kern w:val="2"/>
                <w:sz w:val="21"/>
                <w:szCs w:val="21"/>
                <w:lang w:bidi="ar"/>
              </w:rPr>
              <w:t>投标投标人营业执照复印件（未办理三证合一的还需提供税务登记证、组织机构代码证复印件）。自然人只需提供本人身份证。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733" w:type="dxa"/>
            <w:vMerge w:val="continue"/>
            <w:tcBorders>
              <w:top w:val="nil"/>
              <w:left w:val="single" w:color="000000" w:sz="4" w:space="0"/>
              <w:bottom w:val="single" w:color="000000" w:sz="4" w:space="0"/>
              <w:right w:val="single" w:color="000000" w:sz="4" w:space="0"/>
            </w:tcBorders>
          </w:tcPr>
          <w:p>
            <w:pPr>
              <w:rPr>
                <w:rFonts w:ascii="Calibri" w:hAnsi="Calibri"/>
                <w:szCs w:val="22"/>
              </w:rPr>
            </w:pPr>
          </w:p>
        </w:tc>
        <w:tc>
          <w:tcPr>
            <w:tcW w:w="966" w:type="dxa"/>
            <w:vMerge w:val="continue"/>
            <w:tcBorders>
              <w:top w:val="nil"/>
              <w:left w:val="nil"/>
              <w:bottom w:val="single" w:color="000000" w:sz="4" w:space="0"/>
              <w:right w:val="single" w:color="000000" w:sz="4" w:space="0"/>
            </w:tcBorders>
          </w:tcPr>
          <w:p>
            <w:pPr>
              <w:rPr>
                <w:rFonts w:ascii="Calibri" w:hAnsi="Calibri"/>
                <w:szCs w:val="22"/>
              </w:rPr>
            </w:pPr>
          </w:p>
        </w:tc>
        <w:tc>
          <w:tcPr>
            <w:tcW w:w="2618"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45" w:beforeAutospacing="0" w:after="0" w:afterAutospacing="0"/>
              <w:ind w:left="108" w:right="48"/>
              <w:rPr>
                <w:rFonts w:hint="default" w:ascii="Times New Roman"/>
                <w:kern w:val="2"/>
                <w:sz w:val="21"/>
                <w:szCs w:val="21"/>
              </w:rPr>
            </w:pPr>
            <w:r>
              <w:rPr>
                <w:rFonts w:ascii="Times New Roman"/>
                <w:kern w:val="2"/>
                <w:sz w:val="21"/>
                <w:szCs w:val="21"/>
                <w:lang w:bidi="ar"/>
              </w:rPr>
              <w:t>（</w:t>
            </w:r>
            <w:r>
              <w:rPr>
                <w:rFonts w:hint="default" w:ascii="Times New Roman"/>
                <w:kern w:val="2"/>
                <w:sz w:val="21"/>
                <w:szCs w:val="21"/>
                <w:lang w:bidi="ar"/>
              </w:rPr>
              <w:t>2</w:t>
            </w:r>
            <w:r>
              <w:rPr>
                <w:rFonts w:hAnsi="宋体"/>
                <w:kern w:val="2"/>
                <w:sz w:val="21"/>
                <w:szCs w:val="21"/>
                <w:lang w:bidi="ar"/>
              </w:rPr>
              <w:t>）具有良好的商业信誉和健全的财务会计制度</w:t>
            </w:r>
          </w:p>
        </w:tc>
        <w:tc>
          <w:tcPr>
            <w:tcW w:w="5141"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45" w:beforeAutospacing="0" w:after="0" w:afterAutospacing="0"/>
              <w:ind w:left="108" w:right="91"/>
              <w:rPr>
                <w:rFonts w:hint="default" w:ascii="Times New Roman"/>
                <w:kern w:val="2"/>
                <w:sz w:val="21"/>
                <w:szCs w:val="21"/>
              </w:rPr>
            </w:pPr>
            <w:r>
              <w:rPr>
                <w:rFonts w:ascii="Times New Roman"/>
                <w:spacing w:val="-7"/>
                <w:kern w:val="2"/>
                <w:sz w:val="21"/>
                <w:szCs w:val="21"/>
                <w:lang w:bidi="ar"/>
              </w:rPr>
              <w:t>提供2</w:t>
            </w:r>
            <w:r>
              <w:rPr>
                <w:rFonts w:hint="default" w:ascii="Times New Roman"/>
                <w:spacing w:val="-7"/>
                <w:kern w:val="2"/>
                <w:sz w:val="21"/>
                <w:szCs w:val="21"/>
                <w:lang w:bidi="ar"/>
              </w:rPr>
              <w:t>022</w:t>
            </w:r>
            <w:r>
              <w:rPr>
                <w:rFonts w:ascii="Times New Roman"/>
                <w:spacing w:val="-7"/>
                <w:kern w:val="2"/>
                <w:sz w:val="21"/>
                <w:szCs w:val="21"/>
                <w:lang w:bidi="ar"/>
              </w:rPr>
              <w:t>年度经审计财务状况报告（含资产负债表、损益表）</w:t>
            </w:r>
            <w:r>
              <w:rPr>
                <w:rFonts w:ascii="Times New Roman"/>
                <w:spacing w:val="-5"/>
                <w:kern w:val="2"/>
                <w:sz w:val="21"/>
                <w:szCs w:val="21"/>
                <w:lang w:bidi="ar"/>
              </w:rPr>
              <w:t>自然人只需提供本人信誉。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733" w:type="dxa"/>
            <w:vMerge w:val="restart"/>
            <w:tcBorders>
              <w:top w:val="nil"/>
              <w:left w:val="single" w:color="000000" w:sz="4" w:space="0"/>
              <w:bottom w:val="single" w:color="000000" w:sz="4" w:space="0"/>
              <w:right w:val="single" w:color="000000" w:sz="4" w:space="0"/>
            </w:tcBorders>
          </w:tcPr>
          <w:p>
            <w:pPr>
              <w:pStyle w:val="17"/>
              <w:widowControl w:val="0"/>
              <w:autoSpaceDE w:val="0"/>
              <w:autoSpaceDN w:val="0"/>
              <w:spacing w:before="152" w:beforeAutospacing="0" w:after="0" w:afterAutospacing="0"/>
              <w:ind w:left="10"/>
              <w:jc w:val="center"/>
              <w:rPr>
                <w:rFonts w:hint="default" w:ascii="Times New Roman"/>
                <w:kern w:val="2"/>
                <w:sz w:val="20"/>
              </w:rPr>
            </w:pPr>
            <w:r>
              <w:rPr>
                <w:rFonts w:hint="default" w:ascii="Times New Roman" w:eastAsia="仿宋"/>
                <w:kern w:val="2"/>
                <w:sz w:val="21"/>
                <w:szCs w:val="21"/>
                <w:lang w:bidi="ar"/>
              </w:rPr>
              <w:t>2</w:t>
            </w:r>
          </w:p>
        </w:tc>
        <w:tc>
          <w:tcPr>
            <w:tcW w:w="966" w:type="dxa"/>
            <w:vMerge w:val="restart"/>
            <w:tcBorders>
              <w:top w:val="nil"/>
              <w:left w:val="nil"/>
              <w:bottom w:val="single" w:color="000000" w:sz="4" w:space="0"/>
              <w:right w:val="single" w:color="000000" w:sz="4" w:space="0"/>
            </w:tcBorders>
          </w:tcPr>
          <w:p>
            <w:pPr>
              <w:pStyle w:val="17"/>
              <w:widowControl w:val="0"/>
              <w:autoSpaceDE w:val="0"/>
              <w:autoSpaceDN w:val="0"/>
              <w:spacing w:before="22" w:beforeAutospacing="0" w:after="0" w:afterAutospacing="0" w:line="276" w:lineRule="auto"/>
              <w:ind w:left="108" w:right="3"/>
              <w:rPr>
                <w:rFonts w:hint="default" w:ascii="Times New Roman"/>
                <w:kern w:val="2"/>
                <w:sz w:val="21"/>
                <w:szCs w:val="21"/>
              </w:rPr>
            </w:pPr>
            <w:r>
              <w:rPr>
                <w:rFonts w:ascii="Times New Roman"/>
                <w:kern w:val="2"/>
                <w:sz w:val="21"/>
                <w:szCs w:val="21"/>
                <w:lang w:bidi="ar"/>
              </w:rPr>
              <w:t>购法》第二</w:t>
            </w:r>
            <w:r>
              <w:rPr>
                <w:rFonts w:hint="default" w:ascii="Times New Roman"/>
                <w:kern w:val="2"/>
                <w:sz w:val="21"/>
                <w:szCs w:val="21"/>
                <w:lang w:bidi="ar"/>
              </w:rPr>
              <w:t xml:space="preserve"> </w:t>
            </w:r>
            <w:r>
              <w:rPr>
                <w:rFonts w:ascii="Times New Roman"/>
                <w:kern w:val="2"/>
                <w:sz w:val="21"/>
                <w:szCs w:val="21"/>
                <w:lang w:bidi="ar"/>
              </w:rPr>
              <w:t>十</w:t>
            </w:r>
            <w:r>
              <w:rPr>
                <w:rFonts w:hint="default" w:ascii="Times New Roman"/>
                <w:kern w:val="2"/>
                <w:sz w:val="21"/>
                <w:szCs w:val="21"/>
                <w:lang w:bidi="ar"/>
              </w:rPr>
              <w:t xml:space="preserve"> </w:t>
            </w:r>
            <w:r>
              <w:rPr>
                <w:rFonts w:ascii="Times New Roman"/>
                <w:kern w:val="2"/>
                <w:sz w:val="21"/>
                <w:szCs w:val="21"/>
                <w:lang w:bidi="ar"/>
              </w:rPr>
              <w:t>二</w:t>
            </w:r>
            <w:r>
              <w:rPr>
                <w:rFonts w:hint="default" w:ascii="Times New Roman"/>
                <w:kern w:val="2"/>
                <w:sz w:val="21"/>
                <w:szCs w:val="21"/>
                <w:lang w:bidi="ar"/>
              </w:rPr>
              <w:t xml:space="preserve"> </w:t>
            </w:r>
            <w:r>
              <w:rPr>
                <w:rFonts w:ascii="Times New Roman"/>
                <w:kern w:val="2"/>
                <w:sz w:val="21"/>
                <w:szCs w:val="21"/>
                <w:lang w:bidi="ar"/>
              </w:rPr>
              <w:t>条规定，</w:t>
            </w:r>
            <w:r>
              <w:rPr>
                <w:rFonts w:hint="default" w:ascii="Times New Roman"/>
                <w:kern w:val="2"/>
                <w:sz w:val="21"/>
                <w:szCs w:val="21"/>
                <w:lang w:bidi="ar"/>
              </w:rPr>
              <w:t xml:space="preserve"> </w:t>
            </w:r>
            <w:r>
              <w:rPr>
                <w:rFonts w:ascii="Times New Roman"/>
                <w:kern w:val="2"/>
                <w:sz w:val="21"/>
                <w:szCs w:val="21"/>
                <w:lang w:bidi="ar"/>
              </w:rPr>
              <w:t>提供：</w:t>
            </w:r>
          </w:p>
        </w:tc>
        <w:tc>
          <w:tcPr>
            <w:tcW w:w="2618"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43" w:beforeAutospacing="0" w:after="0" w:afterAutospacing="0"/>
              <w:ind w:left="108" w:right="48"/>
              <w:rPr>
                <w:rFonts w:hint="default" w:ascii="Times New Roman"/>
                <w:kern w:val="2"/>
                <w:sz w:val="21"/>
                <w:szCs w:val="21"/>
              </w:rPr>
            </w:pPr>
            <w:r>
              <w:rPr>
                <w:rFonts w:ascii="Times New Roman"/>
                <w:kern w:val="2"/>
                <w:sz w:val="21"/>
                <w:szCs w:val="21"/>
                <w:lang w:bidi="ar"/>
              </w:rPr>
              <w:t>（</w:t>
            </w:r>
            <w:r>
              <w:rPr>
                <w:rFonts w:hint="default" w:ascii="Times New Roman"/>
                <w:kern w:val="2"/>
                <w:sz w:val="21"/>
                <w:szCs w:val="21"/>
                <w:lang w:bidi="ar"/>
              </w:rPr>
              <w:t>3</w:t>
            </w:r>
            <w:r>
              <w:rPr>
                <w:rFonts w:hAnsi="宋体"/>
                <w:kern w:val="2"/>
                <w:sz w:val="21"/>
                <w:szCs w:val="21"/>
                <w:lang w:bidi="ar"/>
              </w:rPr>
              <w:t>）具有履行合同所必须的设备和专业技术能力</w:t>
            </w:r>
          </w:p>
        </w:tc>
        <w:tc>
          <w:tcPr>
            <w:tcW w:w="5141"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43" w:beforeAutospacing="0" w:after="0" w:afterAutospacing="0"/>
              <w:ind w:left="108" w:right="91"/>
              <w:rPr>
                <w:rFonts w:hint="default" w:ascii="Times New Roman"/>
                <w:kern w:val="2"/>
                <w:sz w:val="21"/>
                <w:szCs w:val="21"/>
              </w:rPr>
            </w:pPr>
            <w:r>
              <w:rPr>
                <w:rFonts w:ascii="Times New Roman"/>
                <w:kern w:val="2"/>
                <w:sz w:val="21"/>
                <w:szCs w:val="21"/>
                <w:lang w:bidi="ar"/>
              </w:rPr>
              <w:t>主要设备情况，以及主要技术人员、售后服务机构人员能力等，需提供承诺函。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atLeast"/>
        </w:trPr>
        <w:tc>
          <w:tcPr>
            <w:tcW w:w="733" w:type="dxa"/>
            <w:vMerge w:val="continue"/>
            <w:tcBorders>
              <w:top w:val="nil"/>
              <w:left w:val="single" w:color="000000" w:sz="4" w:space="0"/>
              <w:bottom w:val="single" w:color="000000" w:sz="4" w:space="0"/>
              <w:right w:val="single" w:color="000000" w:sz="4" w:space="0"/>
            </w:tcBorders>
          </w:tcPr>
          <w:p>
            <w:pPr>
              <w:rPr>
                <w:rFonts w:ascii="Calibri" w:hAnsi="Calibri"/>
                <w:szCs w:val="22"/>
              </w:rPr>
            </w:pPr>
          </w:p>
        </w:tc>
        <w:tc>
          <w:tcPr>
            <w:tcW w:w="966" w:type="dxa"/>
            <w:vMerge w:val="continue"/>
            <w:tcBorders>
              <w:top w:val="nil"/>
              <w:left w:val="nil"/>
              <w:bottom w:val="single" w:color="000000" w:sz="4" w:space="0"/>
              <w:right w:val="single" w:color="000000" w:sz="4" w:space="0"/>
            </w:tcBorders>
          </w:tcPr>
          <w:p>
            <w:pPr>
              <w:rPr>
                <w:rFonts w:ascii="Calibri" w:hAnsi="Calibri"/>
                <w:szCs w:val="22"/>
              </w:rPr>
            </w:pPr>
          </w:p>
        </w:tc>
        <w:tc>
          <w:tcPr>
            <w:tcW w:w="2618"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139" w:beforeAutospacing="0" w:after="0" w:afterAutospacing="0"/>
              <w:ind w:left="108" w:right="48"/>
              <w:rPr>
                <w:rFonts w:hint="default" w:ascii="Times New Roman"/>
                <w:kern w:val="2"/>
                <w:sz w:val="21"/>
                <w:szCs w:val="21"/>
              </w:rPr>
            </w:pPr>
            <w:r>
              <w:rPr>
                <w:rFonts w:ascii="Times New Roman"/>
                <w:kern w:val="2"/>
                <w:sz w:val="21"/>
                <w:szCs w:val="21"/>
                <w:lang w:bidi="ar"/>
              </w:rPr>
              <w:t>（</w:t>
            </w:r>
            <w:r>
              <w:rPr>
                <w:rFonts w:hint="default" w:ascii="Times New Roman"/>
                <w:kern w:val="2"/>
                <w:sz w:val="21"/>
                <w:szCs w:val="21"/>
                <w:lang w:bidi="ar"/>
              </w:rPr>
              <w:t>4</w:t>
            </w:r>
            <w:r>
              <w:rPr>
                <w:rFonts w:hAnsi="宋体"/>
                <w:kern w:val="2"/>
                <w:sz w:val="21"/>
                <w:szCs w:val="21"/>
                <w:lang w:bidi="ar"/>
              </w:rPr>
              <w:t>）有依法缴纳税收和社会保障金的良好记录</w:t>
            </w:r>
          </w:p>
        </w:tc>
        <w:tc>
          <w:tcPr>
            <w:tcW w:w="5141"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0" w:beforeAutospacing="0" w:after="0" w:afterAutospacing="0" w:line="236" w:lineRule="exact"/>
              <w:rPr>
                <w:rFonts w:hint="default" w:ascii="Times New Roman"/>
                <w:b/>
                <w:kern w:val="2"/>
                <w:sz w:val="21"/>
                <w:szCs w:val="21"/>
              </w:rPr>
            </w:pPr>
            <w:r>
              <w:rPr>
                <w:rFonts w:ascii="Times New Roman"/>
                <w:kern w:val="2"/>
                <w:sz w:val="21"/>
                <w:szCs w:val="21"/>
                <w:lang w:bidi="ar"/>
              </w:rPr>
              <w:t>提供企业社保机构出具的近半年内（2</w:t>
            </w:r>
            <w:r>
              <w:rPr>
                <w:rFonts w:hint="default" w:ascii="Times New Roman"/>
                <w:kern w:val="2"/>
                <w:sz w:val="21"/>
                <w:szCs w:val="21"/>
                <w:lang w:bidi="ar"/>
              </w:rPr>
              <w:t>023</w:t>
            </w:r>
            <w:r>
              <w:rPr>
                <w:rFonts w:ascii="Times New Roman"/>
                <w:kern w:val="2"/>
                <w:sz w:val="21"/>
                <w:szCs w:val="21"/>
                <w:lang w:bidi="ar"/>
              </w:rPr>
              <w:t>年</w:t>
            </w:r>
            <w:r>
              <w:rPr>
                <w:rFonts w:hint="default" w:ascii="Times New Roman"/>
                <w:kern w:val="2"/>
                <w:sz w:val="21"/>
                <w:szCs w:val="21"/>
                <w:lang w:bidi="ar"/>
              </w:rPr>
              <w:t>3</w:t>
            </w:r>
            <w:r>
              <w:rPr>
                <w:rFonts w:ascii="Times New Roman"/>
                <w:kern w:val="2"/>
                <w:sz w:val="21"/>
                <w:szCs w:val="21"/>
                <w:lang w:bidi="ar"/>
              </w:rPr>
              <w:t>月至2</w:t>
            </w:r>
            <w:r>
              <w:rPr>
                <w:rFonts w:hint="default" w:ascii="Times New Roman"/>
                <w:kern w:val="2"/>
                <w:sz w:val="21"/>
                <w:szCs w:val="21"/>
                <w:lang w:bidi="ar"/>
              </w:rPr>
              <w:t>023</w:t>
            </w:r>
            <w:r>
              <w:rPr>
                <w:rFonts w:ascii="Times New Roman"/>
                <w:kern w:val="2"/>
                <w:sz w:val="21"/>
                <w:szCs w:val="21"/>
                <w:lang w:bidi="ar"/>
              </w:rPr>
              <w:t>年</w:t>
            </w:r>
            <w:r>
              <w:rPr>
                <w:rFonts w:hint="default" w:ascii="Times New Roman"/>
                <w:kern w:val="2"/>
                <w:sz w:val="21"/>
                <w:szCs w:val="21"/>
                <w:lang w:bidi="ar"/>
              </w:rPr>
              <w:t>8</w:t>
            </w:r>
            <w:r>
              <w:rPr>
                <w:rFonts w:ascii="Times New Roman"/>
                <w:kern w:val="2"/>
                <w:sz w:val="21"/>
                <w:szCs w:val="21"/>
                <w:lang w:bidi="ar"/>
              </w:rPr>
              <w:t>月）任一月社保缴纳证明,及近</w:t>
            </w:r>
            <w:r>
              <w:rPr>
                <w:rFonts w:hint="default" w:ascii="Times New Roman"/>
                <w:kern w:val="2"/>
                <w:sz w:val="21"/>
                <w:szCs w:val="21"/>
                <w:lang w:bidi="ar"/>
              </w:rPr>
              <w:t>3</w:t>
            </w:r>
            <w:r>
              <w:rPr>
                <w:rFonts w:ascii="Times New Roman"/>
                <w:kern w:val="2"/>
                <w:sz w:val="21"/>
                <w:szCs w:val="21"/>
                <w:lang w:bidi="ar"/>
              </w:rPr>
              <w:t>个月任一月的完税证明材料，还需提供授权代理人近三个月（2</w:t>
            </w:r>
            <w:r>
              <w:rPr>
                <w:rFonts w:hint="default" w:ascii="Times New Roman"/>
                <w:kern w:val="2"/>
                <w:sz w:val="21"/>
                <w:szCs w:val="21"/>
                <w:lang w:bidi="ar"/>
              </w:rPr>
              <w:t>023</w:t>
            </w:r>
            <w:r>
              <w:rPr>
                <w:rFonts w:ascii="Times New Roman"/>
                <w:kern w:val="2"/>
                <w:sz w:val="21"/>
                <w:szCs w:val="21"/>
                <w:lang w:bidi="ar"/>
              </w:rPr>
              <w:t>年</w:t>
            </w:r>
            <w:r>
              <w:rPr>
                <w:rFonts w:hint="default" w:ascii="Times New Roman"/>
                <w:kern w:val="2"/>
                <w:sz w:val="21"/>
                <w:szCs w:val="21"/>
                <w:lang w:bidi="ar"/>
              </w:rPr>
              <w:t>3</w:t>
            </w:r>
            <w:r>
              <w:rPr>
                <w:rFonts w:ascii="Times New Roman"/>
                <w:kern w:val="2"/>
                <w:sz w:val="21"/>
                <w:szCs w:val="21"/>
                <w:lang w:bidi="ar"/>
              </w:rPr>
              <w:t>月至</w:t>
            </w:r>
            <w:r>
              <w:rPr>
                <w:rFonts w:hint="default" w:ascii="Times New Roman"/>
                <w:kern w:val="2"/>
                <w:sz w:val="21"/>
                <w:szCs w:val="21"/>
                <w:lang w:bidi="ar"/>
              </w:rPr>
              <w:t>6</w:t>
            </w:r>
            <w:r>
              <w:rPr>
                <w:rFonts w:ascii="Times New Roman"/>
                <w:kern w:val="2"/>
                <w:sz w:val="21"/>
                <w:szCs w:val="21"/>
                <w:lang w:bidi="ar"/>
              </w:rPr>
              <w:t>月）的社保缴纳证明材料。</w:t>
            </w:r>
            <w:r>
              <w:rPr>
                <w:rFonts w:ascii="Times New Roman"/>
                <w:b/>
                <w:kern w:val="2"/>
                <w:sz w:val="21"/>
                <w:szCs w:val="21"/>
                <w:lang w:bidi="ar"/>
              </w:rPr>
              <w:t>（自公告发出之日起不足半年的新注册公司除外）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3" w:hRule="atLeast"/>
        </w:trPr>
        <w:tc>
          <w:tcPr>
            <w:tcW w:w="733" w:type="dxa"/>
            <w:vMerge w:val="continue"/>
            <w:tcBorders>
              <w:top w:val="nil"/>
              <w:left w:val="single" w:color="000000" w:sz="4" w:space="0"/>
              <w:bottom w:val="single" w:color="000000" w:sz="4" w:space="0"/>
              <w:right w:val="single" w:color="000000" w:sz="4" w:space="0"/>
            </w:tcBorders>
          </w:tcPr>
          <w:p>
            <w:pPr>
              <w:rPr>
                <w:rFonts w:ascii="Calibri" w:hAnsi="Calibri"/>
                <w:szCs w:val="22"/>
              </w:rPr>
            </w:pPr>
          </w:p>
        </w:tc>
        <w:tc>
          <w:tcPr>
            <w:tcW w:w="966" w:type="dxa"/>
            <w:vMerge w:val="continue"/>
            <w:tcBorders>
              <w:top w:val="nil"/>
              <w:left w:val="nil"/>
              <w:bottom w:val="single" w:color="000000" w:sz="4" w:space="0"/>
              <w:right w:val="single" w:color="000000" w:sz="4" w:space="0"/>
            </w:tcBorders>
          </w:tcPr>
          <w:p>
            <w:pPr>
              <w:rPr>
                <w:rFonts w:ascii="Calibri" w:hAnsi="Calibri"/>
                <w:szCs w:val="22"/>
              </w:rPr>
            </w:pPr>
          </w:p>
        </w:tc>
        <w:tc>
          <w:tcPr>
            <w:tcW w:w="2618"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128" w:beforeAutospacing="0" w:after="0" w:afterAutospacing="0" w:line="264" w:lineRule="exact"/>
              <w:ind w:left="108"/>
              <w:rPr>
                <w:rFonts w:hint="default" w:ascii="Times New Roman"/>
                <w:kern w:val="2"/>
                <w:sz w:val="21"/>
                <w:szCs w:val="21"/>
              </w:rPr>
            </w:pPr>
            <w:r>
              <w:rPr>
                <w:rFonts w:ascii="Times New Roman"/>
                <w:kern w:val="2"/>
                <w:sz w:val="21"/>
                <w:szCs w:val="21"/>
                <w:lang w:bidi="ar"/>
              </w:rPr>
              <w:t>（</w:t>
            </w:r>
            <w:r>
              <w:rPr>
                <w:rFonts w:hint="default" w:ascii="Times New Roman"/>
                <w:kern w:val="2"/>
                <w:sz w:val="21"/>
                <w:szCs w:val="21"/>
                <w:lang w:bidi="ar"/>
              </w:rPr>
              <w:t>5</w:t>
            </w:r>
            <w:r>
              <w:rPr>
                <w:rFonts w:hAnsi="宋体"/>
                <w:kern w:val="2"/>
                <w:sz w:val="21"/>
                <w:szCs w:val="21"/>
                <w:lang w:bidi="ar"/>
              </w:rPr>
              <w:t>）参加政府采购活动近</w:t>
            </w:r>
          </w:p>
          <w:p>
            <w:pPr>
              <w:pStyle w:val="17"/>
              <w:widowControl w:val="0"/>
              <w:autoSpaceDE w:val="0"/>
              <w:autoSpaceDN w:val="0"/>
              <w:spacing w:before="1" w:beforeAutospacing="0" w:after="0" w:afterAutospacing="0"/>
              <w:ind w:left="108" w:right="92"/>
              <w:rPr>
                <w:rFonts w:hint="default" w:ascii="Times New Roman"/>
                <w:kern w:val="2"/>
                <w:sz w:val="21"/>
                <w:szCs w:val="21"/>
              </w:rPr>
            </w:pPr>
            <w:r>
              <w:rPr>
                <w:rFonts w:hint="default" w:ascii="Times New Roman"/>
                <w:kern w:val="2"/>
                <w:sz w:val="21"/>
                <w:szCs w:val="21"/>
                <w:lang w:bidi="ar"/>
              </w:rPr>
              <w:t>3</w:t>
            </w:r>
            <w:r>
              <w:rPr>
                <w:rFonts w:hint="default" w:ascii="Times New Roman"/>
                <w:spacing w:val="-13"/>
                <w:kern w:val="2"/>
                <w:sz w:val="21"/>
                <w:szCs w:val="21"/>
                <w:lang w:bidi="ar"/>
              </w:rPr>
              <w:t xml:space="preserve"> </w:t>
            </w:r>
            <w:r>
              <w:rPr>
                <w:rFonts w:ascii="Times New Roman"/>
                <w:spacing w:val="-13"/>
                <w:kern w:val="2"/>
                <w:sz w:val="21"/>
                <w:szCs w:val="21"/>
                <w:lang w:bidi="ar"/>
              </w:rPr>
              <w:t>年内，在经营活动中没有</w:t>
            </w:r>
            <w:r>
              <w:rPr>
                <w:rFonts w:ascii="Times New Roman"/>
                <w:spacing w:val="-2"/>
                <w:kern w:val="2"/>
                <w:sz w:val="21"/>
                <w:szCs w:val="21"/>
                <w:lang w:bidi="ar"/>
              </w:rPr>
              <w:t>重大违法记录</w:t>
            </w:r>
          </w:p>
        </w:tc>
        <w:tc>
          <w:tcPr>
            <w:tcW w:w="5141"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7" w:beforeAutospacing="0" w:after="0" w:afterAutospacing="0"/>
              <w:ind w:left="108" w:right="91"/>
              <w:jc w:val="both"/>
              <w:rPr>
                <w:rFonts w:hint="default" w:ascii="Times New Roman"/>
                <w:kern w:val="2"/>
                <w:sz w:val="21"/>
                <w:szCs w:val="21"/>
              </w:rPr>
            </w:pPr>
            <w:r>
              <w:rPr>
                <w:rFonts w:ascii="Times New Roman"/>
                <w:spacing w:val="-3"/>
                <w:kern w:val="2"/>
                <w:sz w:val="21"/>
                <w:szCs w:val="21"/>
                <w:lang w:bidi="ar"/>
              </w:rPr>
              <w:t>参加本项目准备活动前</w:t>
            </w:r>
            <w:r>
              <w:rPr>
                <w:rFonts w:hint="default" w:ascii="Times New Roman"/>
                <w:spacing w:val="-3"/>
                <w:kern w:val="2"/>
                <w:sz w:val="21"/>
                <w:szCs w:val="21"/>
                <w:lang w:bidi="ar"/>
              </w:rPr>
              <w:t xml:space="preserve"> </w:t>
            </w:r>
            <w:r>
              <w:rPr>
                <w:rFonts w:hint="default" w:ascii="Times New Roman"/>
                <w:kern w:val="2"/>
                <w:sz w:val="21"/>
                <w:szCs w:val="21"/>
                <w:lang w:bidi="ar"/>
              </w:rPr>
              <w:t>3</w:t>
            </w:r>
            <w:r>
              <w:rPr>
                <w:rFonts w:hint="default" w:ascii="Times New Roman"/>
                <w:spacing w:val="-3"/>
                <w:kern w:val="2"/>
                <w:sz w:val="21"/>
                <w:szCs w:val="21"/>
                <w:lang w:bidi="ar"/>
              </w:rPr>
              <w:t xml:space="preserve"> </w:t>
            </w:r>
            <w:r>
              <w:rPr>
                <w:rFonts w:ascii="Times New Roman"/>
                <w:spacing w:val="-3"/>
                <w:kern w:val="2"/>
                <w:sz w:val="21"/>
                <w:szCs w:val="21"/>
                <w:lang w:bidi="ar"/>
              </w:rPr>
              <w:t>年内无重大违法记录声明，</w:t>
            </w:r>
            <w:r>
              <w:rPr>
                <w:rFonts w:hint="default" w:ascii="Times New Roman"/>
                <w:spacing w:val="-3"/>
                <w:kern w:val="2"/>
                <w:sz w:val="21"/>
                <w:szCs w:val="21"/>
                <w:lang w:bidi="ar"/>
              </w:rPr>
              <w:t xml:space="preserve"> </w:t>
            </w:r>
            <w:r>
              <w:rPr>
                <w:rFonts w:ascii="Times New Roman"/>
                <w:kern w:val="2"/>
                <w:sz w:val="21"/>
                <w:szCs w:val="21"/>
                <w:lang w:bidi="ar"/>
              </w:rPr>
              <w:t>还需提供投标人自行通过中国裁判文书网、</w:t>
            </w:r>
            <w:r>
              <w:rPr>
                <w:rFonts w:hint="default" w:ascii="Times New Roman"/>
                <w:kern w:val="2"/>
                <w:sz w:val="21"/>
                <w:szCs w:val="21"/>
                <w:lang w:bidi="ar"/>
              </w:rPr>
              <w:t>“</w:t>
            </w:r>
            <w:r>
              <w:rPr>
                <w:rFonts w:hAnsi="宋体"/>
                <w:kern w:val="2"/>
                <w:sz w:val="21"/>
                <w:szCs w:val="21"/>
                <w:lang w:bidi="ar"/>
              </w:rPr>
              <w:t>信用中国</w:t>
            </w:r>
            <w:r>
              <w:rPr>
                <w:rFonts w:hint="default" w:ascii="Times New Roman"/>
                <w:kern w:val="2"/>
                <w:sz w:val="21"/>
                <w:szCs w:val="21"/>
                <w:lang w:bidi="ar"/>
              </w:rPr>
              <w:t>”</w:t>
            </w:r>
            <w:r>
              <w:rPr>
                <w:rFonts w:hAnsi="宋体"/>
                <w:kern w:val="2"/>
                <w:sz w:val="21"/>
                <w:szCs w:val="21"/>
                <w:lang w:bidi="ar"/>
              </w:rPr>
              <w:t>及</w:t>
            </w:r>
            <w:r>
              <w:rPr>
                <w:rFonts w:hint="default" w:ascii="Times New Roman"/>
                <w:kern w:val="2"/>
                <w:sz w:val="21"/>
                <w:szCs w:val="21"/>
                <w:lang w:bidi="ar"/>
              </w:rPr>
              <w:t>“</w:t>
            </w:r>
            <w:r>
              <w:rPr>
                <w:rFonts w:hAnsi="宋体"/>
                <w:kern w:val="2"/>
                <w:sz w:val="21"/>
                <w:szCs w:val="21"/>
                <w:lang w:bidi="ar"/>
              </w:rPr>
              <w:t>中国政府采购网</w:t>
            </w:r>
            <w:r>
              <w:rPr>
                <w:rFonts w:hint="default" w:ascii="Times New Roman"/>
                <w:kern w:val="2"/>
                <w:sz w:val="21"/>
                <w:szCs w:val="21"/>
                <w:lang w:bidi="ar"/>
              </w:rPr>
              <w:t>”</w:t>
            </w:r>
            <w:r>
              <w:rPr>
                <w:rFonts w:hAnsi="宋体"/>
                <w:kern w:val="2"/>
                <w:sz w:val="21"/>
                <w:szCs w:val="21"/>
                <w:lang w:bidi="ar"/>
              </w:rPr>
              <w:t>查询，</w:t>
            </w:r>
            <w:r>
              <w:rPr>
                <w:rFonts w:ascii="Times New Roman"/>
                <w:spacing w:val="-1"/>
                <w:kern w:val="2"/>
                <w:sz w:val="21"/>
                <w:szCs w:val="21"/>
                <w:lang w:bidi="ar"/>
              </w:rPr>
              <w:t>近三年无</w:t>
            </w:r>
            <w:r>
              <w:rPr>
                <w:rFonts w:hint="default" w:ascii="Times New Roman"/>
                <w:spacing w:val="-1"/>
                <w:kern w:val="2"/>
                <w:sz w:val="21"/>
                <w:szCs w:val="21"/>
                <w:lang w:bidi="ar"/>
              </w:rPr>
              <w:t xml:space="preserve"> </w:t>
            </w:r>
            <w:r>
              <w:rPr>
                <w:rFonts w:ascii="Times New Roman"/>
                <w:spacing w:val="-18"/>
                <w:kern w:val="2"/>
                <w:sz w:val="21"/>
                <w:szCs w:val="21"/>
                <w:lang w:bidi="ar"/>
              </w:rPr>
              <w:t>违法、处罚信息的查询记录</w:t>
            </w:r>
            <w:r>
              <w:rPr>
                <w:rFonts w:ascii="Times New Roman"/>
                <w:kern w:val="2"/>
                <w:sz w:val="21"/>
                <w:szCs w:val="21"/>
                <w:lang w:bidi="ar"/>
              </w:rPr>
              <w:t>（提供网页打印页加盖公章）；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733" w:type="dxa"/>
            <w:tcBorders>
              <w:top w:val="single" w:color="000000" w:sz="4" w:space="0"/>
              <w:left w:val="single" w:color="000000" w:sz="4" w:space="0"/>
              <w:bottom w:val="single" w:color="000000" w:sz="4" w:space="0"/>
              <w:right w:val="single" w:color="000000" w:sz="4" w:space="0"/>
            </w:tcBorders>
          </w:tcPr>
          <w:p>
            <w:pPr>
              <w:pStyle w:val="17"/>
              <w:widowControl w:val="0"/>
              <w:autoSpaceDE w:val="0"/>
              <w:autoSpaceDN w:val="0"/>
              <w:spacing w:before="73" w:beforeAutospacing="0" w:after="0" w:afterAutospacing="0"/>
              <w:ind w:left="10"/>
              <w:jc w:val="center"/>
              <w:rPr>
                <w:rFonts w:hint="default" w:ascii="Times New Roman"/>
                <w:kern w:val="2"/>
                <w:sz w:val="21"/>
                <w:szCs w:val="21"/>
              </w:rPr>
            </w:pPr>
            <w:r>
              <w:rPr>
                <w:rFonts w:hint="default" w:ascii="Times New Roman" w:eastAsia="仿宋"/>
                <w:kern w:val="2"/>
                <w:sz w:val="21"/>
                <w:szCs w:val="21"/>
                <w:lang w:bidi="ar"/>
              </w:rPr>
              <w:t>3</w:t>
            </w:r>
          </w:p>
        </w:tc>
        <w:tc>
          <w:tcPr>
            <w:tcW w:w="3584" w:type="dxa"/>
            <w:gridSpan w:val="2"/>
            <w:tcBorders>
              <w:top w:val="single" w:color="000000" w:sz="4" w:space="0"/>
              <w:left w:val="nil"/>
              <w:bottom w:val="single" w:color="000000" w:sz="4" w:space="0"/>
              <w:right w:val="single" w:color="000000" w:sz="4" w:space="0"/>
            </w:tcBorders>
          </w:tcPr>
          <w:p>
            <w:pPr>
              <w:pStyle w:val="17"/>
              <w:widowControl w:val="0"/>
              <w:autoSpaceDE w:val="0"/>
              <w:autoSpaceDN w:val="0"/>
              <w:spacing w:before="73" w:beforeAutospacing="0" w:after="0" w:afterAutospacing="0"/>
              <w:ind w:left="108"/>
              <w:rPr>
                <w:rFonts w:hint="default" w:ascii="Times New Roman"/>
                <w:kern w:val="2"/>
                <w:sz w:val="21"/>
                <w:szCs w:val="21"/>
              </w:rPr>
            </w:pPr>
            <w:r>
              <w:rPr>
                <w:rFonts w:ascii="Times New Roman"/>
                <w:kern w:val="2"/>
                <w:sz w:val="21"/>
                <w:szCs w:val="21"/>
                <w:lang w:bidi="ar"/>
              </w:rPr>
              <w:t>投标保证金</w:t>
            </w:r>
          </w:p>
        </w:tc>
        <w:tc>
          <w:tcPr>
            <w:tcW w:w="5141" w:type="dxa"/>
            <w:tcBorders>
              <w:top w:val="single" w:color="000000" w:sz="4" w:space="0"/>
              <w:left w:val="nil"/>
              <w:bottom w:val="single" w:color="000000" w:sz="4" w:space="0"/>
              <w:right w:val="single" w:color="000000" w:sz="4" w:space="0"/>
            </w:tcBorders>
          </w:tcPr>
          <w:p>
            <w:pPr>
              <w:pStyle w:val="17"/>
              <w:widowControl w:val="0"/>
              <w:autoSpaceDE w:val="0"/>
              <w:autoSpaceDN w:val="0"/>
              <w:spacing w:before="73" w:beforeAutospacing="0" w:after="0" w:afterAutospacing="0"/>
              <w:ind w:left="108"/>
              <w:rPr>
                <w:rFonts w:hint="default" w:ascii="Times New Roman"/>
                <w:kern w:val="2"/>
                <w:sz w:val="21"/>
                <w:szCs w:val="21"/>
              </w:rPr>
            </w:pPr>
            <w:r>
              <w:rPr>
                <w:rFonts w:ascii="Times New Roman"/>
                <w:kern w:val="2"/>
                <w:sz w:val="21"/>
                <w:szCs w:val="21"/>
                <w:lang w:bidi="ar"/>
              </w:rPr>
              <w:t>符合本招标文件关于投标保证金的规定</w:t>
            </w:r>
          </w:p>
        </w:tc>
      </w:tr>
    </w:tbl>
    <w:p>
      <w:pPr>
        <w:pStyle w:val="8"/>
        <w:spacing w:before="4"/>
        <w:rPr>
          <w:b/>
          <w:sz w:val="4"/>
        </w:rPr>
      </w:pPr>
    </w:p>
    <w:p>
      <w:pPr>
        <w:adjustRightInd w:val="0"/>
        <w:snapToGrid w:val="0"/>
        <w:spacing w:line="360" w:lineRule="auto"/>
        <w:ind w:firstLine="480" w:firstLineChars="200"/>
        <w:rPr>
          <w:bCs/>
          <w:sz w:val="24"/>
          <w:szCs w:val="24"/>
        </w:rPr>
      </w:pPr>
      <w:r>
        <w:rPr>
          <w:bCs/>
          <w:sz w:val="24"/>
          <w:szCs w:val="24"/>
        </w:rPr>
        <w:t xml:space="preserve">  4.2符合性审查</w:t>
      </w:r>
    </w:p>
    <w:p>
      <w:pPr>
        <w:adjustRightInd w:val="0"/>
        <w:snapToGrid w:val="0"/>
        <w:spacing w:line="360" w:lineRule="auto"/>
        <w:ind w:firstLine="480" w:firstLineChars="200"/>
        <w:rPr>
          <w:bCs/>
          <w:sz w:val="24"/>
          <w:szCs w:val="24"/>
        </w:rPr>
      </w:pPr>
      <w:r>
        <w:rPr>
          <w:bCs/>
          <w:sz w:val="24"/>
          <w:szCs w:val="24"/>
        </w:rPr>
        <w:t>依据招标文件的规定，从投标文件的有效性、完整性和对招标文件的响应程度进行审查，以确定是否对招标文件的实质性要求作出响应。评标委员会评标投标文件的响应性只根据投标文件真实无误的内容，而不依据外部的证据，但投标文件有不真实、不正确的内容时除外。</w:t>
      </w:r>
    </w:p>
    <w:p>
      <w:pPr>
        <w:adjustRightInd w:val="0"/>
        <w:snapToGrid w:val="0"/>
        <w:spacing w:line="360" w:lineRule="auto"/>
        <w:ind w:firstLine="480" w:firstLineChars="200"/>
        <w:rPr>
          <w:bCs/>
          <w:sz w:val="24"/>
          <w:szCs w:val="24"/>
        </w:rPr>
      </w:pPr>
      <w:r>
        <w:rPr>
          <w:bCs/>
          <w:sz w:val="24"/>
          <w:szCs w:val="24"/>
        </w:rPr>
        <w:t>投标人不得通过修正或撤销不符合要求的偏离从而使其投标成为实质上响应的投标。</w:t>
      </w:r>
    </w:p>
    <w:p>
      <w:pPr>
        <w:adjustRightInd w:val="0"/>
        <w:snapToGrid w:val="0"/>
        <w:spacing w:line="360" w:lineRule="auto"/>
        <w:ind w:firstLine="480" w:firstLineChars="200"/>
        <w:jc w:val="center"/>
        <w:rPr>
          <w:bCs/>
          <w:sz w:val="24"/>
          <w:szCs w:val="24"/>
        </w:rPr>
      </w:pPr>
      <w:r>
        <w:rPr>
          <w:bCs/>
          <w:sz w:val="24"/>
          <w:szCs w:val="24"/>
        </w:rPr>
        <w:t>符合性审查表</w:t>
      </w:r>
    </w:p>
    <w:tbl>
      <w:tblPr>
        <w:tblStyle w:val="18"/>
        <w:tblW w:w="0" w:type="auto"/>
        <w:tblInd w:w="35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2"/>
        <w:gridCol w:w="975"/>
        <w:gridCol w:w="2515"/>
        <w:gridCol w:w="531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662" w:type="dxa"/>
          </w:tcPr>
          <w:p>
            <w:pPr>
              <w:pStyle w:val="24"/>
              <w:spacing w:before="109"/>
              <w:ind w:left="127"/>
              <w:jc w:val="left"/>
              <w:rPr>
                <w:rFonts w:ascii="Times New Roman" w:hAnsi="Times New Roman" w:eastAsia="宋体" w:cs="Times New Roman"/>
                <w:sz w:val="21"/>
              </w:rPr>
            </w:pPr>
            <w:r>
              <w:rPr>
                <w:rFonts w:ascii="Times New Roman" w:hAnsi="Times New Roman" w:eastAsia="宋体" w:cs="Times New Roman"/>
                <w:sz w:val="21"/>
              </w:rPr>
              <w:t>序号</w:t>
            </w:r>
          </w:p>
        </w:tc>
        <w:tc>
          <w:tcPr>
            <w:tcW w:w="3490" w:type="dxa"/>
            <w:gridSpan w:val="2"/>
          </w:tcPr>
          <w:p>
            <w:pPr>
              <w:pStyle w:val="24"/>
              <w:spacing w:before="109"/>
              <w:ind w:left="1191" w:right="873"/>
              <w:rPr>
                <w:rFonts w:ascii="Times New Roman" w:hAnsi="Times New Roman" w:eastAsia="宋体" w:cs="Times New Roman"/>
                <w:sz w:val="21"/>
              </w:rPr>
            </w:pPr>
            <w:r>
              <w:rPr>
                <w:rFonts w:ascii="Times New Roman" w:hAnsi="Times New Roman" w:eastAsia="宋体" w:cs="Times New Roman"/>
                <w:sz w:val="21"/>
              </w:rPr>
              <w:t>评标因素</w:t>
            </w:r>
          </w:p>
        </w:tc>
        <w:tc>
          <w:tcPr>
            <w:tcW w:w="5319" w:type="dxa"/>
          </w:tcPr>
          <w:p>
            <w:pPr>
              <w:pStyle w:val="24"/>
              <w:spacing w:before="109"/>
              <w:ind w:left="2042" w:right="1504"/>
              <w:rPr>
                <w:rFonts w:ascii="Times New Roman" w:hAnsi="Times New Roman" w:eastAsia="宋体" w:cs="Times New Roman"/>
                <w:sz w:val="21"/>
              </w:rPr>
            </w:pPr>
            <w:r>
              <w:rPr>
                <w:rFonts w:ascii="Times New Roman" w:hAnsi="Times New Roman" w:eastAsia="宋体" w:cs="Times New Roman"/>
                <w:sz w:val="21"/>
              </w:rPr>
              <w:t>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662" w:type="dxa"/>
            <w:vMerge w:val="restart"/>
          </w:tcPr>
          <w:p>
            <w:pPr>
              <w:pStyle w:val="24"/>
              <w:jc w:val="left"/>
              <w:rPr>
                <w:rFonts w:ascii="Times New Roman" w:hAnsi="Times New Roman" w:cs="Times New Roman"/>
                <w:b/>
                <w:sz w:val="20"/>
              </w:rPr>
            </w:pPr>
          </w:p>
          <w:p>
            <w:pPr>
              <w:pStyle w:val="24"/>
              <w:jc w:val="left"/>
              <w:rPr>
                <w:rFonts w:ascii="Times New Roman" w:hAnsi="Times New Roman" w:cs="Times New Roman"/>
                <w:b/>
                <w:sz w:val="20"/>
              </w:rPr>
            </w:pPr>
          </w:p>
          <w:p>
            <w:pPr>
              <w:pStyle w:val="24"/>
              <w:jc w:val="left"/>
              <w:rPr>
                <w:rFonts w:ascii="Times New Roman" w:hAnsi="Times New Roman" w:cs="Times New Roman"/>
                <w:b/>
                <w:sz w:val="20"/>
              </w:rPr>
            </w:pPr>
          </w:p>
          <w:p>
            <w:pPr>
              <w:pStyle w:val="24"/>
              <w:jc w:val="left"/>
              <w:rPr>
                <w:rFonts w:ascii="Times New Roman" w:hAnsi="Times New Roman" w:cs="Times New Roman"/>
                <w:b/>
                <w:sz w:val="20"/>
              </w:rPr>
            </w:pPr>
          </w:p>
          <w:p>
            <w:pPr>
              <w:pStyle w:val="24"/>
              <w:spacing w:before="3"/>
              <w:jc w:val="left"/>
              <w:rPr>
                <w:rFonts w:ascii="Times New Roman" w:hAnsi="Times New Roman" w:cs="Times New Roman"/>
                <w:b/>
                <w:sz w:val="29"/>
              </w:rPr>
            </w:pPr>
          </w:p>
          <w:p>
            <w:pPr>
              <w:pStyle w:val="24"/>
              <w:ind w:left="7"/>
              <w:rPr>
                <w:rFonts w:ascii="Times New Roman" w:hAnsi="Times New Roman" w:cs="Times New Roman"/>
                <w:sz w:val="21"/>
              </w:rPr>
            </w:pPr>
            <w:r>
              <w:rPr>
                <w:rFonts w:ascii="Times New Roman" w:hAnsi="Times New Roman" w:cs="Times New Roman"/>
                <w:sz w:val="21"/>
              </w:rPr>
              <w:t>1</w:t>
            </w:r>
          </w:p>
        </w:tc>
        <w:tc>
          <w:tcPr>
            <w:tcW w:w="975" w:type="dxa"/>
            <w:vMerge w:val="restart"/>
          </w:tcPr>
          <w:p>
            <w:pPr>
              <w:pStyle w:val="24"/>
              <w:jc w:val="left"/>
              <w:rPr>
                <w:rFonts w:ascii="Times New Roman" w:hAnsi="Times New Roman" w:cs="Times New Roman"/>
                <w:b/>
                <w:sz w:val="20"/>
              </w:rPr>
            </w:pPr>
          </w:p>
          <w:p>
            <w:pPr>
              <w:pStyle w:val="24"/>
              <w:jc w:val="left"/>
              <w:rPr>
                <w:rFonts w:ascii="Times New Roman" w:hAnsi="Times New Roman" w:cs="Times New Roman"/>
                <w:b/>
                <w:sz w:val="20"/>
              </w:rPr>
            </w:pPr>
          </w:p>
          <w:p>
            <w:pPr>
              <w:pStyle w:val="24"/>
              <w:jc w:val="left"/>
              <w:rPr>
                <w:rFonts w:ascii="Times New Roman" w:hAnsi="Times New Roman" w:cs="Times New Roman"/>
                <w:b/>
                <w:sz w:val="20"/>
              </w:rPr>
            </w:pPr>
          </w:p>
          <w:p>
            <w:pPr>
              <w:pStyle w:val="24"/>
              <w:jc w:val="left"/>
              <w:rPr>
                <w:rFonts w:ascii="Times New Roman" w:hAnsi="Times New Roman" w:cs="Times New Roman"/>
                <w:b/>
                <w:sz w:val="20"/>
              </w:rPr>
            </w:pPr>
          </w:p>
          <w:p>
            <w:pPr>
              <w:pStyle w:val="24"/>
              <w:spacing w:before="1"/>
              <w:jc w:val="left"/>
              <w:rPr>
                <w:rFonts w:ascii="Times New Roman" w:hAnsi="Times New Roman" w:cs="Times New Roman"/>
                <w:b/>
                <w:sz w:val="17"/>
              </w:rPr>
            </w:pPr>
          </w:p>
          <w:p>
            <w:pPr>
              <w:pStyle w:val="24"/>
              <w:spacing w:line="278" w:lineRule="auto"/>
              <w:ind w:left="285" w:right="166" w:hanging="106"/>
              <w:jc w:val="left"/>
              <w:rPr>
                <w:rFonts w:ascii="Times New Roman" w:hAnsi="Times New Roman" w:eastAsia="宋体" w:cs="Times New Roman"/>
                <w:sz w:val="21"/>
              </w:rPr>
            </w:pPr>
            <w:r>
              <w:rPr>
                <w:rFonts w:ascii="Times New Roman" w:hAnsi="Times New Roman" w:eastAsia="宋体" w:cs="Times New Roman"/>
                <w:sz w:val="21"/>
              </w:rPr>
              <w:t>有效性审查</w:t>
            </w:r>
          </w:p>
        </w:tc>
        <w:tc>
          <w:tcPr>
            <w:tcW w:w="2515" w:type="dxa"/>
          </w:tcPr>
          <w:p>
            <w:pPr>
              <w:pStyle w:val="24"/>
              <w:spacing w:before="178"/>
              <w:ind w:left="108"/>
              <w:jc w:val="left"/>
              <w:rPr>
                <w:rFonts w:ascii="Times New Roman" w:hAnsi="Times New Roman" w:eastAsia="宋体" w:cs="Times New Roman"/>
                <w:sz w:val="21"/>
              </w:rPr>
            </w:pPr>
            <w:r>
              <w:rPr>
                <w:rFonts w:ascii="Times New Roman" w:hAnsi="Times New Roman" w:eastAsia="宋体" w:cs="Times New Roman"/>
                <w:sz w:val="21"/>
              </w:rPr>
              <w:t>投标文件签署</w:t>
            </w:r>
          </w:p>
        </w:tc>
        <w:tc>
          <w:tcPr>
            <w:tcW w:w="5319" w:type="dxa"/>
          </w:tcPr>
          <w:p>
            <w:pPr>
              <w:pStyle w:val="24"/>
              <w:spacing w:before="22"/>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投标文件上法定代表人或其授权代理人的签字、投标人的单位章齐全符合招标文件规定。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662" w:type="dxa"/>
            <w:vMerge w:val="continue"/>
            <w:tcBorders>
              <w:top w:val="nil"/>
            </w:tcBorders>
          </w:tcPr>
          <w:p>
            <w:pPr>
              <w:autoSpaceDE w:val="0"/>
              <w:autoSpaceDN w:val="0"/>
              <w:rPr>
                <w:sz w:val="2"/>
                <w:szCs w:val="2"/>
              </w:rPr>
            </w:pPr>
          </w:p>
        </w:tc>
        <w:tc>
          <w:tcPr>
            <w:tcW w:w="975" w:type="dxa"/>
            <w:vMerge w:val="continue"/>
            <w:tcBorders>
              <w:top w:val="nil"/>
            </w:tcBorders>
          </w:tcPr>
          <w:p>
            <w:pPr>
              <w:autoSpaceDE w:val="0"/>
              <w:autoSpaceDN w:val="0"/>
              <w:rPr>
                <w:sz w:val="2"/>
                <w:szCs w:val="2"/>
              </w:rPr>
            </w:pPr>
          </w:p>
        </w:tc>
        <w:tc>
          <w:tcPr>
            <w:tcW w:w="2515" w:type="dxa"/>
          </w:tcPr>
          <w:p>
            <w:pPr>
              <w:pStyle w:val="24"/>
              <w:spacing w:before="22" w:line="278" w:lineRule="auto"/>
              <w:ind w:left="108" w:right="-102"/>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投标人法定代表人身份证明或法定代表人授权委托书</w:t>
            </w:r>
          </w:p>
        </w:tc>
        <w:tc>
          <w:tcPr>
            <w:tcW w:w="5319" w:type="dxa"/>
          </w:tcPr>
          <w:p>
            <w:pPr>
              <w:pStyle w:val="24"/>
              <w:spacing w:before="178" w:line="278" w:lineRule="auto"/>
              <w:ind w:left="110" w:right="212"/>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投标人法定代表人身份证明或法定代表人授权委托书有效，且符合招标文件规定的格式。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662" w:type="dxa"/>
            <w:vMerge w:val="continue"/>
            <w:tcBorders>
              <w:top w:val="nil"/>
            </w:tcBorders>
          </w:tcPr>
          <w:p>
            <w:pPr>
              <w:autoSpaceDE w:val="0"/>
              <w:autoSpaceDN w:val="0"/>
              <w:rPr>
                <w:sz w:val="2"/>
                <w:szCs w:val="2"/>
              </w:rPr>
            </w:pPr>
          </w:p>
        </w:tc>
        <w:tc>
          <w:tcPr>
            <w:tcW w:w="975" w:type="dxa"/>
            <w:vMerge w:val="continue"/>
            <w:tcBorders>
              <w:top w:val="nil"/>
            </w:tcBorders>
          </w:tcPr>
          <w:p>
            <w:pPr>
              <w:autoSpaceDE w:val="0"/>
              <w:autoSpaceDN w:val="0"/>
              <w:rPr>
                <w:sz w:val="2"/>
                <w:szCs w:val="2"/>
              </w:rPr>
            </w:pPr>
          </w:p>
        </w:tc>
        <w:tc>
          <w:tcPr>
            <w:tcW w:w="2515" w:type="dxa"/>
          </w:tcPr>
          <w:p>
            <w:pPr>
              <w:pStyle w:val="24"/>
              <w:spacing w:before="109"/>
              <w:ind w:left="108"/>
              <w:jc w:val="left"/>
              <w:rPr>
                <w:rFonts w:ascii="Times New Roman" w:hAnsi="Times New Roman" w:eastAsia="宋体" w:cs="Times New Roman"/>
                <w:sz w:val="21"/>
              </w:rPr>
            </w:pPr>
            <w:r>
              <w:rPr>
                <w:rFonts w:ascii="Times New Roman" w:hAnsi="Times New Roman" w:eastAsia="宋体" w:cs="Times New Roman"/>
                <w:sz w:val="21"/>
              </w:rPr>
              <w:t>投标方案</w:t>
            </w:r>
          </w:p>
        </w:tc>
        <w:tc>
          <w:tcPr>
            <w:tcW w:w="5319" w:type="dxa"/>
          </w:tcPr>
          <w:p>
            <w:pPr>
              <w:pStyle w:val="24"/>
              <w:spacing w:before="109"/>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每个分包只能有一个方案投标。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662" w:type="dxa"/>
            <w:vMerge w:val="continue"/>
            <w:tcBorders>
              <w:top w:val="nil"/>
            </w:tcBorders>
          </w:tcPr>
          <w:p>
            <w:pPr>
              <w:autoSpaceDE w:val="0"/>
              <w:autoSpaceDN w:val="0"/>
              <w:rPr>
                <w:sz w:val="2"/>
                <w:szCs w:val="2"/>
              </w:rPr>
            </w:pPr>
          </w:p>
        </w:tc>
        <w:tc>
          <w:tcPr>
            <w:tcW w:w="975" w:type="dxa"/>
            <w:vMerge w:val="continue"/>
            <w:tcBorders>
              <w:top w:val="nil"/>
            </w:tcBorders>
          </w:tcPr>
          <w:p>
            <w:pPr>
              <w:autoSpaceDE w:val="0"/>
              <w:autoSpaceDN w:val="0"/>
              <w:rPr>
                <w:sz w:val="2"/>
                <w:szCs w:val="2"/>
              </w:rPr>
            </w:pPr>
          </w:p>
        </w:tc>
        <w:tc>
          <w:tcPr>
            <w:tcW w:w="2515" w:type="dxa"/>
          </w:tcPr>
          <w:p>
            <w:pPr>
              <w:pStyle w:val="24"/>
              <w:spacing w:before="178"/>
              <w:ind w:left="108"/>
              <w:jc w:val="left"/>
              <w:rPr>
                <w:rFonts w:ascii="Times New Roman" w:hAnsi="Times New Roman" w:eastAsia="宋体" w:cs="Times New Roman"/>
                <w:sz w:val="21"/>
              </w:rPr>
            </w:pPr>
            <w:r>
              <w:rPr>
                <w:rFonts w:ascii="Times New Roman" w:hAnsi="Times New Roman" w:eastAsia="宋体" w:cs="Times New Roman"/>
                <w:sz w:val="21"/>
              </w:rPr>
              <w:t>报价唯一</w:t>
            </w:r>
          </w:p>
        </w:tc>
        <w:tc>
          <w:tcPr>
            <w:tcW w:w="5319" w:type="dxa"/>
          </w:tcPr>
          <w:p>
            <w:pPr>
              <w:pStyle w:val="24"/>
              <w:spacing w:before="22"/>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其报价未超过采购预算金额，且只有一个有效报价，</w:t>
            </w:r>
          </w:p>
          <w:p>
            <w:pPr>
              <w:pStyle w:val="24"/>
              <w:spacing w:before="43"/>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不得提交选择性报价。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662" w:type="dxa"/>
            <w:vMerge w:val="restart"/>
          </w:tcPr>
          <w:p>
            <w:pPr>
              <w:pStyle w:val="24"/>
              <w:spacing w:before="2"/>
              <w:jc w:val="left"/>
              <w:rPr>
                <w:rFonts w:ascii="Times New Roman" w:hAnsi="Times New Roman" w:cs="Times New Roman"/>
                <w:b/>
                <w:lang w:eastAsia="zh-CN"/>
              </w:rPr>
            </w:pPr>
          </w:p>
          <w:p>
            <w:pPr>
              <w:pStyle w:val="24"/>
              <w:ind w:left="7"/>
              <w:rPr>
                <w:rFonts w:ascii="Times New Roman" w:hAnsi="Times New Roman" w:cs="Times New Roman"/>
                <w:sz w:val="21"/>
              </w:rPr>
            </w:pPr>
            <w:r>
              <w:rPr>
                <w:rFonts w:ascii="Times New Roman" w:hAnsi="Times New Roman" w:cs="Times New Roman"/>
                <w:sz w:val="21"/>
              </w:rPr>
              <w:t>2</w:t>
            </w:r>
          </w:p>
          <w:p>
            <w:pPr>
              <w:pStyle w:val="24"/>
              <w:jc w:val="left"/>
              <w:rPr>
                <w:rFonts w:ascii="Times New Roman" w:hAnsi="Times New Roman" w:cs="Times New Roman"/>
                <w:b/>
                <w:sz w:val="20"/>
                <w:lang w:eastAsia="zh-CN"/>
              </w:rPr>
            </w:pPr>
          </w:p>
          <w:p>
            <w:pPr>
              <w:pStyle w:val="24"/>
              <w:jc w:val="left"/>
              <w:rPr>
                <w:rFonts w:ascii="Times New Roman" w:hAnsi="Times New Roman" w:cs="Times New Roman"/>
                <w:b/>
                <w:sz w:val="16"/>
                <w:lang w:eastAsia="zh-CN"/>
              </w:rPr>
            </w:pPr>
          </w:p>
          <w:p>
            <w:pPr>
              <w:pStyle w:val="24"/>
              <w:ind w:left="7"/>
              <w:rPr>
                <w:rFonts w:ascii="Times New Roman" w:hAnsi="Times New Roman" w:cs="Times New Roman"/>
                <w:sz w:val="21"/>
              </w:rPr>
            </w:pPr>
          </w:p>
        </w:tc>
        <w:tc>
          <w:tcPr>
            <w:tcW w:w="975" w:type="dxa"/>
            <w:vMerge w:val="restart"/>
          </w:tcPr>
          <w:p>
            <w:pPr>
              <w:pStyle w:val="24"/>
              <w:spacing w:before="128" w:line="278" w:lineRule="auto"/>
              <w:ind w:left="285" w:right="166" w:hanging="106"/>
              <w:jc w:val="left"/>
              <w:rPr>
                <w:rFonts w:ascii="Times New Roman" w:hAnsi="Times New Roman" w:eastAsia="宋体" w:cs="Times New Roman"/>
                <w:sz w:val="21"/>
              </w:rPr>
            </w:pPr>
            <w:r>
              <w:rPr>
                <w:rFonts w:ascii="Times New Roman" w:hAnsi="Times New Roman" w:eastAsia="宋体" w:cs="Times New Roman"/>
                <w:sz w:val="21"/>
              </w:rPr>
              <w:t>完整性审查</w:t>
            </w:r>
          </w:p>
        </w:tc>
        <w:tc>
          <w:tcPr>
            <w:tcW w:w="2515" w:type="dxa"/>
          </w:tcPr>
          <w:p>
            <w:pPr>
              <w:pStyle w:val="24"/>
              <w:spacing w:before="68"/>
              <w:ind w:left="108"/>
              <w:jc w:val="left"/>
              <w:rPr>
                <w:rFonts w:ascii="Times New Roman" w:hAnsi="Times New Roman" w:eastAsia="宋体" w:cs="Times New Roman"/>
                <w:sz w:val="21"/>
              </w:rPr>
            </w:pPr>
            <w:r>
              <w:rPr>
                <w:rFonts w:ascii="Times New Roman" w:hAnsi="Times New Roman" w:eastAsia="宋体" w:cs="Times New Roman"/>
                <w:sz w:val="21"/>
              </w:rPr>
              <w:t>投标文件内容</w:t>
            </w:r>
          </w:p>
        </w:tc>
        <w:tc>
          <w:tcPr>
            <w:tcW w:w="5319" w:type="dxa"/>
          </w:tcPr>
          <w:p>
            <w:pPr>
              <w:pStyle w:val="24"/>
              <w:spacing w:before="68"/>
              <w:ind w:left="110" w:right="-15"/>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投标文件内容齐全、字迹清晰可辨、无遗漏。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662" w:type="dxa"/>
            <w:vMerge w:val="continue"/>
          </w:tcPr>
          <w:p>
            <w:pPr>
              <w:pStyle w:val="24"/>
              <w:ind w:left="7"/>
              <w:rPr>
                <w:rFonts w:ascii="Times New Roman" w:hAnsi="Times New Roman" w:cs="Times New Roman"/>
                <w:sz w:val="21"/>
                <w:lang w:eastAsia="zh-CN"/>
              </w:rPr>
            </w:pPr>
          </w:p>
        </w:tc>
        <w:tc>
          <w:tcPr>
            <w:tcW w:w="975" w:type="dxa"/>
            <w:vMerge w:val="continue"/>
          </w:tcPr>
          <w:p>
            <w:pPr>
              <w:pStyle w:val="24"/>
              <w:spacing w:before="128" w:line="278" w:lineRule="auto"/>
              <w:ind w:left="285" w:right="166" w:hanging="106"/>
              <w:jc w:val="left"/>
              <w:rPr>
                <w:rFonts w:ascii="Times New Roman" w:hAnsi="Times New Roman" w:eastAsia="宋体" w:cs="Times New Roman"/>
                <w:sz w:val="21"/>
                <w:lang w:eastAsia="zh-CN"/>
              </w:rPr>
            </w:pPr>
          </w:p>
        </w:tc>
        <w:tc>
          <w:tcPr>
            <w:tcW w:w="2515" w:type="dxa"/>
          </w:tcPr>
          <w:p>
            <w:pPr>
              <w:pStyle w:val="24"/>
              <w:spacing w:before="80"/>
              <w:ind w:left="108"/>
              <w:jc w:val="left"/>
              <w:rPr>
                <w:rFonts w:ascii="Times New Roman" w:hAnsi="Times New Roman" w:eastAsia="宋体" w:cs="Times New Roman"/>
                <w:sz w:val="21"/>
              </w:rPr>
            </w:pPr>
            <w:r>
              <w:rPr>
                <w:rFonts w:ascii="Times New Roman" w:hAnsi="Times New Roman" w:eastAsia="宋体" w:cs="Times New Roman"/>
                <w:sz w:val="21"/>
              </w:rPr>
              <w:t>投标文件的格式</w:t>
            </w:r>
          </w:p>
        </w:tc>
        <w:tc>
          <w:tcPr>
            <w:tcW w:w="5319" w:type="dxa"/>
          </w:tcPr>
          <w:p>
            <w:pPr>
              <w:pStyle w:val="24"/>
              <w:spacing w:before="80"/>
              <w:ind w:left="110"/>
              <w:jc w:val="left"/>
              <w:rPr>
                <w:rFonts w:ascii="Times New Roman" w:hAnsi="Times New Roman" w:eastAsia="宋体" w:cs="Times New Roman"/>
                <w:spacing w:val="-16"/>
                <w:sz w:val="21"/>
                <w:lang w:eastAsia="zh-CN"/>
              </w:rPr>
            </w:pPr>
            <w:r>
              <w:rPr>
                <w:rFonts w:ascii="Times New Roman" w:hAnsi="Times New Roman" w:eastAsia="宋体" w:cs="Times New Roman"/>
                <w:sz w:val="21"/>
                <w:lang w:eastAsia="zh-CN"/>
              </w:rPr>
              <w:t>投标文件按招标文件规定格式完整提供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 w:hRule="atLeast"/>
        </w:trPr>
        <w:tc>
          <w:tcPr>
            <w:tcW w:w="662" w:type="dxa"/>
            <w:vMerge w:val="continue"/>
            <w:tcBorders>
              <w:bottom w:val="single" w:color="auto" w:sz="4" w:space="0"/>
            </w:tcBorders>
          </w:tcPr>
          <w:p>
            <w:pPr>
              <w:pStyle w:val="24"/>
              <w:ind w:left="7"/>
              <w:rPr>
                <w:rFonts w:ascii="Times New Roman" w:hAnsi="Times New Roman" w:cs="Times New Roman"/>
                <w:sz w:val="21"/>
                <w:lang w:eastAsia="zh-CN"/>
              </w:rPr>
            </w:pPr>
          </w:p>
        </w:tc>
        <w:tc>
          <w:tcPr>
            <w:tcW w:w="975" w:type="dxa"/>
            <w:vMerge w:val="continue"/>
            <w:tcBorders>
              <w:bottom w:val="single" w:color="auto" w:sz="4" w:space="0"/>
            </w:tcBorders>
          </w:tcPr>
          <w:p>
            <w:pPr>
              <w:pStyle w:val="24"/>
              <w:spacing w:before="150" w:line="278" w:lineRule="auto"/>
              <w:ind w:left="180" w:right="166"/>
              <w:jc w:val="both"/>
              <w:rPr>
                <w:rFonts w:ascii="Times New Roman" w:hAnsi="Times New Roman" w:eastAsia="宋体" w:cs="Times New Roman"/>
                <w:sz w:val="21"/>
                <w:lang w:eastAsia="zh-CN"/>
              </w:rPr>
            </w:pPr>
          </w:p>
        </w:tc>
        <w:tc>
          <w:tcPr>
            <w:tcW w:w="2515" w:type="dxa"/>
            <w:tcBorders>
              <w:bottom w:val="single" w:color="auto" w:sz="4" w:space="0"/>
            </w:tcBorders>
          </w:tcPr>
          <w:p>
            <w:pPr>
              <w:pStyle w:val="24"/>
              <w:spacing w:before="68"/>
              <w:ind w:left="108"/>
              <w:jc w:val="left"/>
              <w:rPr>
                <w:rFonts w:ascii="Times New Roman" w:hAnsi="Times New Roman" w:eastAsia="宋体" w:cs="Times New Roman"/>
                <w:sz w:val="21"/>
              </w:rPr>
            </w:pPr>
            <w:r>
              <w:rPr>
                <w:rFonts w:ascii="Times New Roman" w:hAnsi="Times New Roman" w:eastAsia="宋体" w:cs="Times New Roman"/>
                <w:sz w:val="21"/>
              </w:rPr>
              <w:t>投标内容</w:t>
            </w:r>
          </w:p>
        </w:tc>
        <w:tc>
          <w:tcPr>
            <w:tcW w:w="5319" w:type="dxa"/>
          </w:tcPr>
          <w:p>
            <w:pPr>
              <w:pStyle w:val="24"/>
              <w:spacing w:before="68"/>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符合招标文件的招标范围。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1" w:hRule="atLeast"/>
        </w:trPr>
        <w:tc>
          <w:tcPr>
            <w:tcW w:w="662" w:type="dxa"/>
            <w:vMerge w:val="restart"/>
            <w:tcBorders>
              <w:top w:val="single" w:color="auto" w:sz="4" w:space="0"/>
            </w:tcBorders>
            <w:vAlign w:val="center"/>
          </w:tcPr>
          <w:p>
            <w:pPr>
              <w:autoSpaceDE w:val="0"/>
              <w:autoSpaceDN w:val="0"/>
              <w:jc w:val="center"/>
              <w:rPr>
                <w:sz w:val="2"/>
                <w:szCs w:val="2"/>
              </w:rPr>
            </w:pPr>
            <w:r>
              <w:rPr>
                <w:szCs w:val="22"/>
              </w:rPr>
              <w:t>3</w:t>
            </w:r>
          </w:p>
        </w:tc>
        <w:tc>
          <w:tcPr>
            <w:tcW w:w="975" w:type="dxa"/>
            <w:vMerge w:val="restart"/>
            <w:tcBorders>
              <w:top w:val="single" w:color="auto" w:sz="4" w:space="0"/>
            </w:tcBorders>
          </w:tcPr>
          <w:p>
            <w:pPr>
              <w:autoSpaceDE w:val="0"/>
              <w:autoSpaceDN w:val="0"/>
              <w:rPr>
                <w:sz w:val="2"/>
                <w:szCs w:val="2"/>
              </w:rPr>
            </w:pPr>
            <w:r>
              <w:rPr>
                <w:rFonts w:hint="eastAsia" w:ascii="宋体" w:hAnsi="宋体" w:cs="宋体"/>
                <w:szCs w:val="22"/>
              </w:rPr>
              <w:t>对招标文件的响应程度审查</w:t>
            </w:r>
          </w:p>
        </w:tc>
        <w:tc>
          <w:tcPr>
            <w:tcW w:w="2515" w:type="dxa"/>
            <w:tcBorders>
              <w:top w:val="single" w:color="auto" w:sz="4" w:space="0"/>
            </w:tcBorders>
          </w:tcPr>
          <w:p>
            <w:pPr>
              <w:pStyle w:val="24"/>
              <w:spacing w:before="49"/>
              <w:ind w:left="108"/>
              <w:jc w:val="left"/>
              <w:rPr>
                <w:rFonts w:ascii="Times New Roman" w:hAnsi="Times New Roman" w:eastAsia="宋体" w:cs="Times New Roman"/>
                <w:sz w:val="21"/>
              </w:rPr>
            </w:pPr>
            <w:r>
              <w:rPr>
                <w:rFonts w:ascii="Times New Roman" w:hAnsi="Times New Roman" w:eastAsia="宋体" w:cs="Times New Roman"/>
                <w:sz w:val="21"/>
              </w:rPr>
              <w:t>质量技术</w:t>
            </w:r>
          </w:p>
        </w:tc>
        <w:tc>
          <w:tcPr>
            <w:tcW w:w="5319" w:type="dxa"/>
          </w:tcPr>
          <w:p>
            <w:pPr>
              <w:pStyle w:val="24"/>
              <w:spacing w:before="49"/>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满足招标文件提出的技术和功能要求。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62" w:type="dxa"/>
            <w:vMerge w:val="continue"/>
          </w:tcPr>
          <w:p>
            <w:pPr>
              <w:autoSpaceDE w:val="0"/>
              <w:autoSpaceDN w:val="0"/>
              <w:rPr>
                <w:sz w:val="2"/>
                <w:szCs w:val="2"/>
              </w:rPr>
            </w:pPr>
          </w:p>
        </w:tc>
        <w:tc>
          <w:tcPr>
            <w:tcW w:w="975" w:type="dxa"/>
            <w:vMerge w:val="continue"/>
          </w:tcPr>
          <w:p>
            <w:pPr>
              <w:autoSpaceDE w:val="0"/>
              <w:autoSpaceDN w:val="0"/>
              <w:rPr>
                <w:sz w:val="2"/>
                <w:szCs w:val="2"/>
              </w:rPr>
            </w:pPr>
          </w:p>
        </w:tc>
        <w:tc>
          <w:tcPr>
            <w:tcW w:w="2515" w:type="dxa"/>
          </w:tcPr>
          <w:p>
            <w:pPr>
              <w:pStyle w:val="24"/>
              <w:spacing w:before="68"/>
              <w:ind w:left="108"/>
              <w:jc w:val="left"/>
              <w:rPr>
                <w:rFonts w:ascii="Times New Roman" w:hAnsi="Times New Roman" w:eastAsia="宋体" w:cs="Times New Roman"/>
                <w:sz w:val="21"/>
              </w:rPr>
            </w:pPr>
            <w:r>
              <w:rPr>
                <w:rFonts w:ascii="Times New Roman" w:hAnsi="Times New Roman" w:eastAsia="宋体" w:cs="Times New Roman"/>
                <w:sz w:val="21"/>
              </w:rPr>
              <w:t>交货期</w:t>
            </w:r>
          </w:p>
        </w:tc>
        <w:tc>
          <w:tcPr>
            <w:tcW w:w="5319" w:type="dxa"/>
          </w:tcPr>
          <w:p>
            <w:pPr>
              <w:pStyle w:val="24"/>
              <w:spacing w:before="68"/>
              <w:ind w:left="110"/>
              <w:jc w:val="left"/>
              <w:rPr>
                <w:rFonts w:ascii="Times New Roman" w:hAnsi="Times New Roman" w:eastAsia="宋体" w:cs="Times New Roman"/>
                <w:sz w:val="21"/>
              </w:rPr>
            </w:pPr>
            <w:r>
              <w:rPr>
                <w:rFonts w:ascii="Times New Roman" w:hAnsi="Times New Roman" w:eastAsia="宋体" w:cs="Times New Roman"/>
                <w:sz w:val="21"/>
              </w:rPr>
              <w:t>满足招标文件要求。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sz w:val="2"/>
                <w:szCs w:val="2"/>
              </w:rPr>
            </w:pPr>
          </w:p>
        </w:tc>
        <w:tc>
          <w:tcPr>
            <w:tcW w:w="975" w:type="dxa"/>
            <w:vMerge w:val="continue"/>
          </w:tcPr>
          <w:p>
            <w:pPr>
              <w:autoSpaceDE w:val="0"/>
              <w:autoSpaceDN w:val="0"/>
              <w:rPr>
                <w:sz w:val="2"/>
                <w:szCs w:val="2"/>
              </w:rPr>
            </w:pPr>
          </w:p>
        </w:tc>
        <w:tc>
          <w:tcPr>
            <w:tcW w:w="2515" w:type="dxa"/>
          </w:tcPr>
          <w:p>
            <w:pPr>
              <w:pStyle w:val="24"/>
              <w:spacing w:before="22"/>
              <w:ind w:left="108"/>
              <w:jc w:val="left"/>
              <w:rPr>
                <w:rFonts w:ascii="Times New Roman" w:hAnsi="Times New Roman" w:eastAsia="宋体" w:cs="Times New Roman"/>
                <w:sz w:val="21"/>
              </w:rPr>
            </w:pPr>
            <w:r>
              <w:rPr>
                <w:rFonts w:ascii="Times New Roman" w:hAnsi="Times New Roman" w:eastAsia="宋体" w:cs="Times New Roman"/>
                <w:sz w:val="21"/>
              </w:rPr>
              <w:t>质保期</w:t>
            </w:r>
          </w:p>
        </w:tc>
        <w:tc>
          <w:tcPr>
            <w:tcW w:w="5319" w:type="dxa"/>
          </w:tcPr>
          <w:p>
            <w:pPr>
              <w:pStyle w:val="24"/>
              <w:spacing w:before="22"/>
              <w:ind w:left="110"/>
              <w:jc w:val="left"/>
              <w:rPr>
                <w:rFonts w:ascii="Times New Roman" w:hAnsi="Times New Roman" w:eastAsia="宋体" w:cs="Times New Roman"/>
                <w:sz w:val="21"/>
              </w:rPr>
            </w:pPr>
            <w:r>
              <w:rPr>
                <w:rFonts w:ascii="Times New Roman" w:hAnsi="Times New Roman" w:eastAsia="宋体" w:cs="Times New Roman"/>
                <w:sz w:val="21"/>
              </w:rPr>
              <w:t>满足招标文件要求。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sz w:val="2"/>
                <w:szCs w:val="2"/>
              </w:rPr>
            </w:pPr>
          </w:p>
        </w:tc>
        <w:tc>
          <w:tcPr>
            <w:tcW w:w="975" w:type="dxa"/>
            <w:vMerge w:val="continue"/>
          </w:tcPr>
          <w:p>
            <w:pPr>
              <w:autoSpaceDE w:val="0"/>
              <w:autoSpaceDN w:val="0"/>
              <w:rPr>
                <w:sz w:val="2"/>
                <w:szCs w:val="2"/>
              </w:rPr>
            </w:pPr>
          </w:p>
        </w:tc>
        <w:tc>
          <w:tcPr>
            <w:tcW w:w="2515" w:type="dxa"/>
          </w:tcPr>
          <w:p>
            <w:pPr>
              <w:pStyle w:val="24"/>
              <w:spacing w:before="22"/>
              <w:ind w:left="108"/>
              <w:jc w:val="left"/>
              <w:rPr>
                <w:rFonts w:ascii="Times New Roman" w:hAnsi="Times New Roman" w:eastAsia="宋体" w:cs="Times New Roman"/>
                <w:sz w:val="21"/>
              </w:rPr>
            </w:pPr>
            <w:r>
              <w:rPr>
                <w:rFonts w:ascii="Times New Roman" w:hAnsi="Times New Roman" w:eastAsia="宋体" w:cs="Times New Roman"/>
                <w:sz w:val="21"/>
              </w:rPr>
              <w:t>投标有效期</w:t>
            </w:r>
          </w:p>
        </w:tc>
        <w:tc>
          <w:tcPr>
            <w:tcW w:w="5319" w:type="dxa"/>
          </w:tcPr>
          <w:p>
            <w:pPr>
              <w:pStyle w:val="24"/>
              <w:spacing w:before="22"/>
              <w:ind w:left="110"/>
              <w:jc w:val="left"/>
              <w:rPr>
                <w:rFonts w:ascii="Times New Roman" w:hAnsi="Times New Roman" w:eastAsia="宋体" w:cs="Times New Roman"/>
                <w:sz w:val="21"/>
              </w:rPr>
            </w:pPr>
            <w:r>
              <w:rPr>
                <w:rFonts w:ascii="Times New Roman" w:hAnsi="Times New Roman" w:eastAsia="宋体" w:cs="Times New Roman"/>
                <w:sz w:val="21"/>
              </w:rPr>
              <w:t>满足招标文件规定。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sz w:val="2"/>
                <w:szCs w:val="2"/>
              </w:rPr>
            </w:pPr>
          </w:p>
        </w:tc>
        <w:tc>
          <w:tcPr>
            <w:tcW w:w="975" w:type="dxa"/>
            <w:vMerge w:val="continue"/>
          </w:tcPr>
          <w:p>
            <w:pPr>
              <w:autoSpaceDE w:val="0"/>
              <w:autoSpaceDN w:val="0"/>
              <w:rPr>
                <w:sz w:val="2"/>
                <w:szCs w:val="2"/>
              </w:rPr>
            </w:pPr>
          </w:p>
        </w:tc>
        <w:tc>
          <w:tcPr>
            <w:tcW w:w="2515" w:type="dxa"/>
          </w:tcPr>
          <w:p>
            <w:pPr>
              <w:pStyle w:val="24"/>
              <w:spacing w:before="22"/>
              <w:ind w:left="108"/>
              <w:jc w:val="left"/>
              <w:rPr>
                <w:rFonts w:ascii="Times New Roman" w:hAnsi="Times New Roman" w:eastAsia="宋体" w:cs="Times New Roman"/>
                <w:sz w:val="21"/>
              </w:rPr>
            </w:pPr>
            <w:r>
              <w:rPr>
                <w:rFonts w:ascii="Times New Roman" w:hAnsi="Times New Roman" w:eastAsia="宋体" w:cs="Times New Roman"/>
                <w:sz w:val="21"/>
              </w:rPr>
              <w:t>付款方式</w:t>
            </w:r>
          </w:p>
        </w:tc>
        <w:tc>
          <w:tcPr>
            <w:tcW w:w="5319" w:type="dxa"/>
          </w:tcPr>
          <w:p>
            <w:pPr>
              <w:pStyle w:val="24"/>
              <w:spacing w:before="22"/>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投标文件承诺的的付款方式满足招标文件要求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662" w:type="dxa"/>
            <w:vMerge w:val="continue"/>
          </w:tcPr>
          <w:p>
            <w:pPr>
              <w:autoSpaceDE w:val="0"/>
              <w:autoSpaceDN w:val="0"/>
              <w:rPr>
                <w:sz w:val="2"/>
                <w:szCs w:val="2"/>
              </w:rPr>
            </w:pPr>
          </w:p>
        </w:tc>
        <w:tc>
          <w:tcPr>
            <w:tcW w:w="975" w:type="dxa"/>
            <w:vMerge w:val="continue"/>
          </w:tcPr>
          <w:p>
            <w:pPr>
              <w:autoSpaceDE w:val="0"/>
              <w:autoSpaceDN w:val="0"/>
              <w:rPr>
                <w:sz w:val="2"/>
                <w:szCs w:val="2"/>
              </w:rPr>
            </w:pPr>
          </w:p>
        </w:tc>
        <w:tc>
          <w:tcPr>
            <w:tcW w:w="2515" w:type="dxa"/>
          </w:tcPr>
          <w:p>
            <w:pPr>
              <w:pStyle w:val="24"/>
              <w:spacing w:before="1"/>
              <w:jc w:val="left"/>
              <w:rPr>
                <w:rFonts w:ascii="Times New Roman" w:hAnsi="Times New Roman" w:cs="Times New Roman"/>
                <w:b/>
                <w:sz w:val="14"/>
                <w:lang w:eastAsia="zh-CN"/>
              </w:rPr>
            </w:pPr>
          </w:p>
          <w:p>
            <w:pPr>
              <w:pStyle w:val="24"/>
              <w:ind w:left="108"/>
              <w:jc w:val="left"/>
              <w:rPr>
                <w:rFonts w:ascii="Times New Roman" w:hAnsi="Times New Roman" w:eastAsia="宋体" w:cs="Times New Roman"/>
                <w:sz w:val="21"/>
              </w:rPr>
            </w:pPr>
            <w:r>
              <w:rPr>
                <w:rFonts w:ascii="Times New Roman" w:hAnsi="Times New Roman" w:eastAsia="宋体" w:cs="Times New Roman"/>
                <w:sz w:val="21"/>
              </w:rPr>
              <w:t>其他</w:t>
            </w:r>
          </w:p>
        </w:tc>
        <w:tc>
          <w:tcPr>
            <w:tcW w:w="5319" w:type="dxa"/>
          </w:tcPr>
          <w:p>
            <w:pPr>
              <w:pStyle w:val="24"/>
              <w:spacing w:before="25"/>
              <w:ind w:left="110"/>
              <w:jc w:val="left"/>
              <w:rPr>
                <w:rFonts w:ascii="Times New Roman" w:hAnsi="Times New Roman" w:eastAsia="宋体" w:cs="Times New Roman"/>
                <w:sz w:val="21"/>
                <w:lang w:eastAsia="zh-CN"/>
              </w:rPr>
            </w:pPr>
            <w:r>
              <w:rPr>
                <w:rFonts w:ascii="Times New Roman" w:hAnsi="Times New Roman" w:eastAsia="宋体" w:cs="Times New Roman"/>
                <w:sz w:val="21"/>
                <w:lang w:eastAsia="zh-CN"/>
              </w:rPr>
              <w:t>投标文件未附有采购人不能接受的附加条件及法律、法规和招标文件规定的其他无效情形。</w:t>
            </w:r>
          </w:p>
        </w:tc>
      </w:tr>
    </w:tbl>
    <w:p>
      <w:pPr>
        <w:adjustRightInd w:val="0"/>
        <w:snapToGrid w:val="0"/>
        <w:spacing w:line="360" w:lineRule="auto"/>
        <w:ind w:firstLine="480" w:firstLineChars="200"/>
        <w:rPr>
          <w:bCs/>
          <w:sz w:val="24"/>
          <w:szCs w:val="24"/>
        </w:rPr>
      </w:pPr>
      <w:r>
        <w:rPr>
          <w:bCs/>
          <w:sz w:val="24"/>
          <w:szCs w:val="24"/>
        </w:rPr>
        <w:t>4.3有下列情形之一时,评标委员会应予废标,并将理由通知所有投标人：</w:t>
      </w:r>
    </w:p>
    <w:p>
      <w:pPr>
        <w:numPr>
          <w:ilvl w:val="0"/>
          <w:numId w:val="17"/>
        </w:numPr>
        <w:adjustRightInd w:val="0"/>
        <w:snapToGrid w:val="0"/>
        <w:spacing w:line="360" w:lineRule="auto"/>
        <w:ind w:firstLine="415"/>
        <w:rPr>
          <w:bCs/>
          <w:sz w:val="24"/>
          <w:szCs w:val="24"/>
        </w:rPr>
      </w:pPr>
      <w:r>
        <w:rPr>
          <w:bCs/>
          <w:sz w:val="24"/>
          <w:szCs w:val="24"/>
        </w:rPr>
        <w:t>符合专业条件的投标人或者对招标文件作实质性响应的投标人不足三家的；</w:t>
      </w:r>
    </w:p>
    <w:p>
      <w:pPr>
        <w:numPr>
          <w:ilvl w:val="0"/>
          <w:numId w:val="17"/>
        </w:numPr>
        <w:adjustRightInd w:val="0"/>
        <w:snapToGrid w:val="0"/>
        <w:spacing w:line="360" w:lineRule="auto"/>
        <w:ind w:firstLine="415"/>
        <w:rPr>
          <w:bCs/>
          <w:sz w:val="24"/>
          <w:szCs w:val="24"/>
        </w:rPr>
      </w:pPr>
      <w:r>
        <w:rPr>
          <w:bCs/>
          <w:sz w:val="24"/>
          <w:szCs w:val="24"/>
        </w:rPr>
        <w:t>出现影响招标公正的违法、违规行为的；</w:t>
      </w:r>
    </w:p>
    <w:p>
      <w:pPr>
        <w:numPr>
          <w:ilvl w:val="0"/>
          <w:numId w:val="17"/>
        </w:numPr>
        <w:adjustRightInd w:val="0"/>
        <w:snapToGrid w:val="0"/>
        <w:spacing w:line="360" w:lineRule="auto"/>
        <w:ind w:firstLine="415"/>
        <w:rPr>
          <w:bCs/>
          <w:sz w:val="24"/>
          <w:szCs w:val="24"/>
        </w:rPr>
      </w:pPr>
      <w:r>
        <w:rPr>
          <w:bCs/>
          <w:sz w:val="24"/>
          <w:szCs w:val="24"/>
        </w:rPr>
        <w:t>投标人的报份均超过了采购预算,采购人不能支付的；</w:t>
      </w:r>
    </w:p>
    <w:p>
      <w:pPr>
        <w:numPr>
          <w:ilvl w:val="0"/>
          <w:numId w:val="17"/>
        </w:numPr>
        <w:adjustRightInd w:val="0"/>
        <w:snapToGrid w:val="0"/>
        <w:spacing w:line="360" w:lineRule="auto"/>
        <w:ind w:firstLine="415"/>
        <w:rPr>
          <w:bCs/>
          <w:sz w:val="24"/>
          <w:szCs w:val="24"/>
        </w:rPr>
      </w:pPr>
      <w:r>
        <w:rPr>
          <w:bCs/>
          <w:sz w:val="24"/>
          <w:szCs w:val="24"/>
        </w:rPr>
        <w:t>因重大变故，采购任务取消的。</w:t>
      </w:r>
    </w:p>
    <w:p>
      <w:pPr>
        <w:numPr>
          <w:ilvl w:val="0"/>
          <w:numId w:val="17"/>
        </w:numPr>
        <w:adjustRightInd w:val="0"/>
        <w:snapToGrid w:val="0"/>
        <w:spacing w:line="360" w:lineRule="auto"/>
        <w:ind w:firstLine="415"/>
        <w:rPr>
          <w:b/>
          <w:sz w:val="24"/>
          <w:szCs w:val="24"/>
        </w:rPr>
      </w:pPr>
      <w:r>
        <w:rPr>
          <w:bCs/>
          <w:sz w:val="24"/>
          <w:szCs w:val="24"/>
        </w:rPr>
        <w:t>废标后，除采购任务取消情形外，招标采购人应当重新组织招标。需要采取其他采购方式的，应当在采购活动开始前获得设区的市、自治州以上人民政府财政部门的批准。</w:t>
      </w:r>
    </w:p>
    <w:p>
      <w:pPr>
        <w:spacing w:line="360" w:lineRule="auto"/>
        <w:ind w:firstLine="482" w:firstLineChars="200"/>
        <w:rPr>
          <w:b/>
          <w:sz w:val="24"/>
          <w:szCs w:val="24"/>
        </w:rPr>
      </w:pPr>
      <w:r>
        <w:rPr>
          <w:b/>
          <w:sz w:val="24"/>
          <w:szCs w:val="24"/>
        </w:rPr>
        <w:t>必要合格条件：是法律、法规等规定必须满足的必要条件，只进行定性评审，只要有一项不满足，其投标资格将被拒绝</w:t>
      </w:r>
      <w:bookmarkStart w:id="133" w:name="_Toc106522501"/>
      <w:bookmarkStart w:id="134" w:name="_Toc73332653"/>
      <w:bookmarkStart w:id="135" w:name="_Toc121212626"/>
      <w:bookmarkStart w:id="136" w:name="_Toc88382162"/>
      <w:bookmarkStart w:id="137" w:name="_Toc93747400"/>
      <w:bookmarkStart w:id="138" w:name="_Toc98943109"/>
      <w:r>
        <w:rPr>
          <w:b/>
          <w:sz w:val="24"/>
          <w:szCs w:val="24"/>
        </w:rPr>
        <w:t>，证件齐全、满足要求的投标人为有效投标人。</w:t>
      </w:r>
    </w:p>
    <w:p>
      <w:pPr>
        <w:adjustRightInd w:val="0"/>
        <w:snapToGrid w:val="0"/>
        <w:spacing w:line="360" w:lineRule="auto"/>
        <w:ind w:firstLine="354" w:firstLineChars="147"/>
        <w:rPr>
          <w:b/>
          <w:sz w:val="24"/>
        </w:rPr>
      </w:pPr>
      <w:r>
        <w:rPr>
          <w:b/>
          <w:sz w:val="24"/>
        </w:rPr>
        <w:t>5．</w:t>
      </w:r>
      <w:bookmarkEnd w:id="133"/>
      <w:bookmarkEnd w:id="134"/>
      <w:bookmarkEnd w:id="135"/>
      <w:bookmarkEnd w:id="136"/>
      <w:bookmarkEnd w:id="137"/>
      <w:bookmarkEnd w:id="138"/>
      <w:r>
        <w:rPr>
          <w:b/>
          <w:sz w:val="24"/>
        </w:rPr>
        <w:t>详细评审</w:t>
      </w:r>
    </w:p>
    <w:p>
      <w:pPr>
        <w:adjustRightInd w:val="0"/>
        <w:snapToGrid w:val="0"/>
        <w:spacing w:line="360" w:lineRule="auto"/>
        <w:ind w:firstLine="360" w:firstLineChars="150"/>
        <w:rPr>
          <w:sz w:val="24"/>
        </w:rPr>
      </w:pPr>
      <w:r>
        <w:rPr>
          <w:sz w:val="24"/>
        </w:rPr>
        <w:t>5.1根据招标文件的规定，对经初步评审合格的投标文件，进行详细评审，从而进一步确定投标的实质响应性和投标人的履约能力。</w:t>
      </w:r>
    </w:p>
    <w:p>
      <w:pPr>
        <w:adjustRightInd w:val="0"/>
        <w:snapToGrid w:val="0"/>
        <w:spacing w:line="360" w:lineRule="auto"/>
        <w:ind w:firstLine="360" w:firstLineChars="150"/>
        <w:rPr>
          <w:sz w:val="24"/>
        </w:rPr>
      </w:pPr>
      <w:r>
        <w:rPr>
          <w:sz w:val="24"/>
        </w:rPr>
        <w:t>5.2本次招标为公开招标，不允许二次报价。</w:t>
      </w:r>
    </w:p>
    <w:p>
      <w:pPr>
        <w:adjustRightInd w:val="0"/>
        <w:snapToGrid w:val="0"/>
        <w:spacing w:line="360" w:lineRule="auto"/>
        <w:ind w:firstLine="360" w:firstLineChars="150"/>
        <w:rPr>
          <w:sz w:val="24"/>
          <w:szCs w:val="22"/>
        </w:rPr>
      </w:pPr>
      <w:r>
        <w:rPr>
          <w:sz w:val="24"/>
          <w:szCs w:val="22"/>
        </w:rPr>
        <w:t>5.3评分标准（满分100分）=投标报价30分+商务</w:t>
      </w:r>
      <w:r>
        <w:rPr>
          <w:rFonts w:hint="eastAsia"/>
          <w:sz w:val="24"/>
          <w:szCs w:val="22"/>
        </w:rPr>
        <w:t>、</w:t>
      </w:r>
      <w:r>
        <w:rPr>
          <w:sz w:val="24"/>
          <w:szCs w:val="22"/>
        </w:rPr>
        <w:t>技术</w:t>
      </w:r>
      <w:r>
        <w:rPr>
          <w:rFonts w:hint="eastAsia"/>
          <w:sz w:val="24"/>
          <w:szCs w:val="22"/>
        </w:rPr>
        <w:t>部分70</w:t>
      </w:r>
      <w:r>
        <w:rPr>
          <w:sz w:val="24"/>
          <w:szCs w:val="22"/>
        </w:rPr>
        <w:t>分，其中投标报价得分=（评标基准价/投标报价）×价格权值×100，评标基准价是指满足采购文件要求且投标价格最低的投标报价。</w:t>
      </w:r>
    </w:p>
    <w:p>
      <w:pPr>
        <w:adjustRightInd w:val="0"/>
        <w:snapToGrid w:val="0"/>
        <w:spacing w:line="360" w:lineRule="auto"/>
        <w:ind w:firstLine="360" w:firstLineChars="150"/>
        <w:jc w:val="center"/>
      </w:pPr>
      <w:r>
        <w:rPr>
          <w:sz w:val="24"/>
        </w:rPr>
        <w:t>详细评标表（满分100分）</w:t>
      </w:r>
    </w:p>
    <w:tbl>
      <w:tblPr>
        <w:tblStyle w:val="18"/>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7"/>
        <w:gridCol w:w="299"/>
        <w:gridCol w:w="6166"/>
        <w:gridCol w:w="1108"/>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187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综合</w:t>
            </w:r>
          </w:p>
          <w:p>
            <w:pPr>
              <w:jc w:val="center"/>
              <w:rPr>
                <w:rFonts w:ascii="宋体" w:hAnsi="宋体" w:cs="宋体"/>
                <w:szCs w:val="21"/>
              </w:rPr>
            </w:pPr>
            <w:r>
              <w:rPr>
                <w:rFonts w:hint="eastAsia" w:ascii="宋体" w:hAnsi="宋体" w:cs="宋体"/>
                <w:szCs w:val="21"/>
              </w:rPr>
              <w:t>评审</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评审细则</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分值</w:t>
            </w:r>
          </w:p>
          <w:p>
            <w:pPr>
              <w:jc w:val="center"/>
              <w:rPr>
                <w:rFonts w:ascii="宋体" w:hAnsi="宋体" w:cs="宋体"/>
                <w:szCs w:val="21"/>
              </w:rPr>
            </w:pPr>
            <w:r>
              <w:rPr>
                <w:rFonts w:hint="eastAsia" w:ascii="宋体" w:hAnsi="宋体" w:cs="宋体"/>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2" w:hRule="exact"/>
          <w:jc w:val="center"/>
        </w:trPr>
        <w:tc>
          <w:tcPr>
            <w:tcW w:w="1876" w:type="dxa"/>
            <w:gridSpan w:val="2"/>
            <w:tcBorders>
              <w:top w:val="single" w:color="auto" w:sz="4" w:space="0"/>
              <w:left w:val="single" w:color="auto" w:sz="4" w:space="0"/>
              <w:bottom w:val="single" w:color="auto" w:sz="4" w:space="0"/>
              <w:right w:val="single" w:color="auto" w:sz="4" w:space="0"/>
            </w:tcBorders>
            <w:vAlign w:val="center"/>
          </w:tcPr>
          <w:p>
            <w:pPr>
              <w:widowControl/>
              <w:tabs>
                <w:tab w:val="left" w:pos="614"/>
              </w:tabs>
              <w:jc w:val="center"/>
              <w:rPr>
                <w:rFonts w:ascii="宋体" w:hAnsi="宋体" w:cs="宋体"/>
                <w:szCs w:val="21"/>
              </w:rPr>
            </w:pPr>
            <w:r>
              <w:rPr>
                <w:rFonts w:hint="eastAsia" w:ascii="宋体" w:hAnsi="宋体" w:cs="宋体"/>
                <w:szCs w:val="21"/>
              </w:rPr>
              <w:t>价格部分</w:t>
            </w:r>
          </w:p>
          <w:p>
            <w:pPr>
              <w:widowControl/>
              <w:tabs>
                <w:tab w:val="left" w:pos="614"/>
              </w:tabs>
              <w:jc w:val="center"/>
              <w:rPr>
                <w:rFonts w:ascii="宋体" w:hAnsi="宋体" w:cs="宋体"/>
                <w:szCs w:val="21"/>
              </w:rPr>
            </w:pPr>
            <w:r>
              <w:rPr>
                <w:rFonts w:hint="eastAsia" w:ascii="宋体" w:hAnsi="宋体" w:cs="宋体"/>
                <w:szCs w:val="21"/>
              </w:rPr>
              <w:t>（30分）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szCs w:val="21"/>
              </w:rPr>
            </w:pPr>
            <w:r>
              <w:rPr>
                <w:rFonts w:hint="eastAsia" w:ascii="宋体" w:hAnsi="宋体" w:cs="宋体"/>
                <w:szCs w:val="21"/>
              </w:rPr>
              <w:t>在满足磋商文件要求的前提下，取各供应商有效报价的最低投标价作为评标基准价,满分为30分；价格分的计算投标报价得分=(评标基准价／投标报价)×30% 。（计算分值时，百分比按四舍五入原则，保留小数点后二位数）</w:t>
            </w:r>
          </w:p>
          <w:p>
            <w:pPr>
              <w:widowControl/>
              <w:tabs>
                <w:tab w:val="left" w:pos="614"/>
              </w:tabs>
              <w:rPr>
                <w:rFonts w:ascii="宋体" w:hAnsi="宋体" w:cs="宋体"/>
                <w:szCs w:val="21"/>
              </w:rPr>
            </w:pPr>
            <w:r>
              <w:rPr>
                <w:rFonts w:hint="eastAsia" w:ascii="宋体" w:hAnsi="宋体" w:cs="宋体"/>
                <w:szCs w:val="21"/>
              </w:rPr>
              <w:t>注：在经济标评审阶段，经评标委员会小组认为无效的招标报价，经济标按零分计。</w:t>
            </w:r>
          </w:p>
        </w:tc>
        <w:tc>
          <w:tcPr>
            <w:tcW w:w="910" w:type="dxa"/>
            <w:tcBorders>
              <w:top w:val="single" w:color="auto" w:sz="4" w:space="0"/>
              <w:left w:val="single" w:color="auto" w:sz="4" w:space="0"/>
              <w:bottom w:val="single" w:color="auto" w:sz="4" w:space="0"/>
              <w:right w:val="single" w:color="auto" w:sz="4" w:space="0"/>
            </w:tcBorders>
            <w:vAlign w:val="center"/>
          </w:tcPr>
          <w:p>
            <w:pPr>
              <w:widowControl/>
              <w:tabs>
                <w:tab w:val="left" w:pos="614"/>
              </w:tabs>
              <w:jc w:val="center"/>
              <w:rPr>
                <w:rFonts w:ascii="宋体" w:hAnsi="宋体" w:cs="宋体"/>
                <w:kern w:val="0"/>
                <w:szCs w:val="21"/>
              </w:rPr>
            </w:pPr>
            <w:r>
              <w:rPr>
                <w:rFonts w:hint="eastAsia" w:ascii="宋体" w:hAnsi="宋体" w:cs="宋体"/>
                <w:kern w:val="0"/>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8" w:hRule="exact"/>
          <w:jc w:val="center"/>
        </w:trPr>
        <w:tc>
          <w:tcPr>
            <w:tcW w:w="1876" w:type="dxa"/>
            <w:gridSpan w:val="2"/>
            <w:tcBorders>
              <w:top w:val="single" w:color="auto" w:sz="4" w:space="0"/>
              <w:left w:val="single" w:color="auto" w:sz="4" w:space="0"/>
              <w:bottom w:val="single" w:color="auto" w:sz="4" w:space="0"/>
              <w:right w:val="single" w:color="auto" w:sz="4" w:space="0"/>
            </w:tcBorders>
            <w:vAlign w:val="center"/>
          </w:tcPr>
          <w:p>
            <w:pPr>
              <w:ind w:left="-105" w:leftChars="-50" w:right="-105" w:rightChars="-50"/>
              <w:jc w:val="center"/>
              <w:rPr>
                <w:rFonts w:ascii="宋体" w:hAnsi="宋体" w:cs="宋体"/>
                <w:kern w:val="0"/>
                <w:szCs w:val="21"/>
                <w:lang w:bidi="ar"/>
              </w:rPr>
            </w:pPr>
            <w:r>
              <w:rPr>
                <w:rFonts w:hint="eastAsia" w:ascii="宋体" w:hAnsi="宋体" w:cs="宋体"/>
                <w:kern w:val="0"/>
                <w:szCs w:val="21"/>
                <w:lang w:bidi="ar"/>
              </w:rPr>
              <w:t>供应商基本概况</w:t>
            </w:r>
          </w:p>
          <w:p>
            <w:pPr>
              <w:ind w:left="-105" w:leftChars="-50" w:right="-105" w:rightChars="-50"/>
              <w:jc w:val="center"/>
              <w:rPr>
                <w:rFonts w:ascii="宋体" w:hAnsi="宋体" w:cs="宋体"/>
                <w:szCs w:val="21"/>
              </w:rPr>
            </w:pPr>
            <w:r>
              <w:rPr>
                <w:rFonts w:hint="eastAsia" w:ascii="宋体" w:hAnsi="宋体" w:cs="宋体"/>
                <w:szCs w:val="21"/>
              </w:rPr>
              <w:t>（3分）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kern w:val="0"/>
                <w:szCs w:val="21"/>
                <w:lang w:bidi="ar"/>
              </w:rPr>
              <w:t>根据综合实力和经营状况（2022年度财务审计报告）、合同履约保证、企业管理制度的健全性进行评分，每提供一项证明得1分，最多得3分；每有一项提供的证明材料不完整或不全面或表述不清的，扣0.5分</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zCs w:val="21"/>
              </w:rPr>
            </w:pPr>
            <w:r>
              <w:rPr>
                <w:rFonts w:hint="eastAsia" w:ascii="宋体" w:hAnsi="宋体" w:cs="宋体"/>
                <w:kern w:val="0"/>
                <w:szCs w:val="21"/>
                <w:lang w:bidi="ar"/>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1876" w:type="dxa"/>
            <w:gridSpan w:val="2"/>
            <w:tcBorders>
              <w:top w:val="single" w:color="auto" w:sz="4" w:space="0"/>
              <w:left w:val="single" w:color="auto" w:sz="4" w:space="0"/>
              <w:right w:val="single" w:color="auto" w:sz="4" w:space="0"/>
            </w:tcBorders>
            <w:vAlign w:val="center"/>
          </w:tcPr>
          <w:p>
            <w:pPr>
              <w:ind w:left="-105" w:leftChars="-50" w:right="-105" w:rightChars="-50"/>
              <w:jc w:val="center"/>
              <w:rPr>
                <w:rFonts w:ascii="宋体" w:hAnsi="宋体" w:cs="宋体"/>
                <w:kern w:val="0"/>
                <w:szCs w:val="21"/>
                <w:lang w:bidi="ar"/>
              </w:rPr>
            </w:pPr>
            <w:r>
              <w:rPr>
                <w:rFonts w:hint="eastAsia" w:ascii="宋体" w:hAnsi="宋体" w:cs="宋体"/>
                <w:kern w:val="0"/>
                <w:szCs w:val="21"/>
                <w:lang w:bidi="ar"/>
              </w:rPr>
              <w:t>近三年制造商类似业绩</w:t>
            </w:r>
          </w:p>
          <w:p>
            <w:pPr>
              <w:ind w:left="-105" w:leftChars="-50" w:right="-105" w:rightChars="-50"/>
              <w:jc w:val="center"/>
              <w:rPr>
                <w:rFonts w:ascii="宋体" w:hAnsi="宋体" w:cs="宋体"/>
                <w:szCs w:val="21"/>
              </w:rPr>
            </w:pPr>
            <w:r>
              <w:rPr>
                <w:rFonts w:hint="eastAsia" w:ascii="宋体" w:hAnsi="宋体" w:cs="宋体"/>
                <w:szCs w:val="21"/>
              </w:rPr>
              <w:t>（10分）</w:t>
            </w:r>
          </w:p>
        </w:tc>
        <w:tc>
          <w:tcPr>
            <w:tcW w:w="7274" w:type="dxa"/>
            <w:gridSpan w:val="2"/>
            <w:tcBorders>
              <w:top w:val="single" w:color="auto" w:sz="4" w:space="0"/>
              <w:left w:val="single" w:color="auto" w:sz="4" w:space="0"/>
              <w:right w:val="single" w:color="auto" w:sz="4" w:space="0"/>
            </w:tcBorders>
            <w:vAlign w:val="center"/>
          </w:tcPr>
          <w:p>
            <w:pPr>
              <w:rPr>
                <w:rFonts w:ascii="宋体" w:hAnsi="宋体" w:cs="宋体"/>
                <w:kern w:val="0"/>
                <w:szCs w:val="21"/>
              </w:rPr>
            </w:pPr>
            <w:r>
              <w:rPr>
                <w:rFonts w:hint="eastAsia" w:ascii="宋体" w:hAnsi="宋体" w:cs="宋体"/>
                <w:kern w:val="0"/>
                <w:szCs w:val="21"/>
                <w:lang w:bidi="ar"/>
              </w:rPr>
              <w:t>根据制造商提供的近三年（2020年</w:t>
            </w:r>
            <w:r>
              <w:rPr>
                <w:rFonts w:ascii="宋体" w:hAnsi="宋体" w:cs="宋体"/>
                <w:kern w:val="0"/>
                <w:szCs w:val="21"/>
                <w:lang w:bidi="ar"/>
              </w:rPr>
              <w:t>7</w:t>
            </w:r>
            <w:r>
              <w:rPr>
                <w:rFonts w:hint="eastAsia" w:ascii="宋体" w:hAnsi="宋体" w:cs="宋体"/>
                <w:kern w:val="0"/>
                <w:szCs w:val="21"/>
                <w:lang w:bidi="ar"/>
              </w:rPr>
              <w:t>月3</w:t>
            </w:r>
            <w:r>
              <w:rPr>
                <w:rFonts w:ascii="宋体" w:hAnsi="宋体" w:cs="宋体"/>
                <w:kern w:val="0"/>
                <w:szCs w:val="21"/>
                <w:lang w:bidi="ar"/>
              </w:rPr>
              <w:t>0</w:t>
            </w:r>
            <w:r>
              <w:rPr>
                <w:rFonts w:hint="eastAsia" w:ascii="宋体" w:hAnsi="宋体" w:cs="宋体"/>
                <w:kern w:val="0"/>
                <w:szCs w:val="21"/>
                <w:lang w:bidi="ar"/>
              </w:rPr>
              <w:t>日</w:t>
            </w:r>
            <w:r>
              <w:rPr>
                <w:rFonts w:hint="eastAsia" w:ascii="宋体" w:hAnsi="宋体" w:cs="宋体"/>
                <w:b/>
                <w:bCs/>
                <w:kern w:val="0"/>
                <w:szCs w:val="21"/>
                <w:lang w:bidi="ar"/>
              </w:rPr>
              <w:t>-2023年8月31日</w:t>
            </w:r>
            <w:r>
              <w:rPr>
                <w:rFonts w:hint="eastAsia" w:ascii="宋体" w:hAnsi="宋体" w:cs="宋体"/>
                <w:kern w:val="0"/>
                <w:szCs w:val="21"/>
                <w:lang w:bidi="ar"/>
              </w:rPr>
              <w:t>）</w:t>
            </w:r>
            <w:r>
              <w:rPr>
                <w:rFonts w:hint="eastAsia" w:ascii="宋体" w:hAnsi="宋体" w:cs="宋体"/>
                <w:b/>
                <w:bCs/>
                <w:kern w:val="0"/>
                <w:szCs w:val="21"/>
                <w:lang w:bidi="ar"/>
              </w:rPr>
              <w:t>已完成的</w:t>
            </w:r>
            <w:r>
              <w:rPr>
                <w:rFonts w:hint="eastAsia" w:ascii="宋体" w:hAnsi="宋体" w:cs="宋体"/>
                <w:kern w:val="0"/>
                <w:szCs w:val="21"/>
                <w:lang w:bidi="ar"/>
              </w:rPr>
              <w:t>类似项目销售业绩情况，每提供一份已经完成的类似业绩得1分，最多得10分</w:t>
            </w:r>
            <w:r>
              <w:rPr>
                <w:rFonts w:hint="eastAsia" w:ascii="宋体" w:hAnsi="宋体" w:cs="宋体"/>
                <w:b/>
                <w:bCs/>
                <w:kern w:val="0"/>
                <w:szCs w:val="21"/>
                <w:lang w:bidi="ar"/>
              </w:rPr>
              <w:t>（证明材料包括：合同及对应的收款凭证、已开的发票、完税证明等彩色扫描件）</w:t>
            </w:r>
          </w:p>
        </w:tc>
        <w:tc>
          <w:tcPr>
            <w:tcW w:w="910" w:type="dxa"/>
            <w:tcBorders>
              <w:top w:val="single" w:color="auto" w:sz="4" w:space="0"/>
              <w:left w:val="single" w:color="auto" w:sz="4" w:space="0"/>
              <w:right w:val="single" w:color="auto" w:sz="4" w:space="0"/>
            </w:tcBorders>
            <w:vAlign w:val="center"/>
          </w:tcPr>
          <w:p>
            <w:pPr>
              <w:jc w:val="center"/>
              <w:rPr>
                <w:rFonts w:ascii="宋体" w:hAnsi="宋体" w:cs="宋体"/>
                <w:szCs w:val="21"/>
              </w:rPr>
            </w:pPr>
            <w:r>
              <w:rPr>
                <w:rFonts w:hint="eastAsia" w:ascii="宋体" w:hAnsi="宋体" w:cs="宋体"/>
                <w:kern w:val="0"/>
                <w:szCs w:val="21"/>
                <w:lang w:bidi="ar"/>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876" w:type="dxa"/>
            <w:gridSpan w:val="2"/>
            <w:tcBorders>
              <w:top w:val="single" w:color="auto" w:sz="4" w:space="0"/>
              <w:left w:val="single" w:color="auto" w:sz="4" w:space="0"/>
              <w:right w:val="single" w:color="auto" w:sz="4" w:space="0"/>
            </w:tcBorders>
            <w:vAlign w:val="center"/>
          </w:tcPr>
          <w:p>
            <w:pPr>
              <w:ind w:left="-105" w:leftChars="-50" w:right="-105" w:rightChars="-50"/>
              <w:jc w:val="center"/>
              <w:rPr>
                <w:rFonts w:ascii="宋体" w:hAnsi="宋体" w:cs="宋体"/>
                <w:szCs w:val="21"/>
              </w:rPr>
            </w:pPr>
            <w:r>
              <w:rPr>
                <w:rFonts w:hint="eastAsia" w:ascii="宋体" w:hAnsi="宋体" w:cs="宋体"/>
                <w:szCs w:val="21"/>
              </w:rPr>
              <w:t>制造商设备和技术能力</w:t>
            </w:r>
          </w:p>
          <w:p>
            <w:pPr>
              <w:ind w:left="-105" w:leftChars="-50" w:right="-105" w:rightChars="-50"/>
              <w:jc w:val="center"/>
              <w:rPr>
                <w:rFonts w:ascii="宋体" w:hAnsi="宋体" w:cs="宋体"/>
                <w:kern w:val="0"/>
                <w:szCs w:val="21"/>
                <w:lang w:bidi="ar"/>
              </w:rPr>
            </w:pPr>
            <w:r>
              <w:rPr>
                <w:rFonts w:hint="eastAsia" w:ascii="宋体" w:hAnsi="宋体" w:cs="宋体"/>
                <w:szCs w:val="21"/>
              </w:rPr>
              <w:t>（7分）</w:t>
            </w:r>
          </w:p>
        </w:tc>
        <w:tc>
          <w:tcPr>
            <w:tcW w:w="7274" w:type="dxa"/>
            <w:gridSpan w:val="2"/>
            <w:tcBorders>
              <w:top w:val="single" w:color="auto" w:sz="4" w:space="0"/>
              <w:left w:val="single" w:color="auto" w:sz="4" w:space="0"/>
              <w:right w:val="single" w:color="auto" w:sz="4" w:space="0"/>
            </w:tcBorders>
            <w:vAlign w:val="center"/>
          </w:tcPr>
          <w:p>
            <w:pPr>
              <w:rPr>
                <w:rFonts w:ascii="宋体" w:hAnsi="宋体" w:cs="宋体"/>
                <w:kern w:val="0"/>
                <w:szCs w:val="21"/>
                <w:lang w:bidi="ar"/>
              </w:rPr>
            </w:pPr>
            <w:r>
              <w:rPr>
                <w:rFonts w:hint="eastAsia" w:ascii="宋体" w:hAnsi="宋体" w:cs="宋体"/>
                <w:szCs w:val="21"/>
              </w:rPr>
              <w:t>制造商提供近五年（</w:t>
            </w:r>
            <w:r>
              <w:rPr>
                <w:rFonts w:hint="eastAsia" w:ascii="宋体" w:hAnsi="宋体" w:cs="宋体"/>
                <w:kern w:val="0"/>
                <w:szCs w:val="21"/>
                <w:lang w:bidi="ar"/>
              </w:rPr>
              <w:t>2020年</w:t>
            </w:r>
            <w:r>
              <w:rPr>
                <w:rFonts w:ascii="宋体" w:hAnsi="宋体" w:cs="宋体"/>
                <w:kern w:val="0"/>
                <w:szCs w:val="21"/>
                <w:lang w:bidi="ar"/>
              </w:rPr>
              <w:t>7</w:t>
            </w:r>
            <w:r>
              <w:rPr>
                <w:rFonts w:hint="eastAsia" w:ascii="宋体" w:hAnsi="宋体" w:cs="宋体"/>
                <w:kern w:val="0"/>
                <w:szCs w:val="21"/>
                <w:lang w:bidi="ar"/>
              </w:rPr>
              <w:t>月3</w:t>
            </w:r>
            <w:r>
              <w:rPr>
                <w:rFonts w:ascii="宋体" w:hAnsi="宋体" w:cs="宋体"/>
                <w:kern w:val="0"/>
                <w:szCs w:val="21"/>
                <w:lang w:bidi="ar"/>
              </w:rPr>
              <w:t>0</w:t>
            </w:r>
            <w:r>
              <w:rPr>
                <w:rFonts w:hint="eastAsia" w:ascii="宋体" w:hAnsi="宋体" w:cs="宋体"/>
                <w:kern w:val="0"/>
                <w:szCs w:val="21"/>
                <w:lang w:bidi="ar"/>
              </w:rPr>
              <w:t>日</w:t>
            </w:r>
            <w:r>
              <w:rPr>
                <w:rFonts w:hint="eastAsia" w:ascii="宋体" w:hAnsi="宋体" w:cs="宋体"/>
                <w:b/>
                <w:bCs/>
                <w:kern w:val="0"/>
                <w:szCs w:val="21"/>
                <w:lang w:bidi="ar"/>
              </w:rPr>
              <w:t>-2023年8月31日</w:t>
            </w:r>
            <w:r>
              <w:rPr>
                <w:rFonts w:hint="eastAsia" w:ascii="宋体" w:hAnsi="宋体" w:cs="宋体"/>
                <w:szCs w:val="21"/>
              </w:rPr>
              <w:t>）生产设备购置合同以及发票等证明材料</w:t>
            </w:r>
            <w:r>
              <w:rPr>
                <w:rFonts w:hint="eastAsia" w:ascii="宋体" w:hAnsi="宋体" w:cs="宋体"/>
                <w:kern w:val="0"/>
                <w:szCs w:val="21"/>
                <w:lang w:bidi="ar"/>
              </w:rPr>
              <w:t>。有一项提供证明材料的得1分，最多得7分。（</w:t>
            </w:r>
            <w:r>
              <w:rPr>
                <w:rFonts w:hint="eastAsia" w:ascii="宋体" w:hAnsi="宋体" w:cs="宋体"/>
                <w:b/>
                <w:bCs/>
                <w:kern w:val="0"/>
                <w:szCs w:val="21"/>
                <w:lang w:bidi="ar"/>
              </w:rPr>
              <w:t>购置单位、购置合同以及购置发票必须一一对应）提供</w:t>
            </w:r>
            <w:r>
              <w:rPr>
                <w:rFonts w:hint="eastAsia" w:ascii="宋体" w:hAnsi="宋体" w:cs="宋体"/>
                <w:kern w:val="0"/>
                <w:szCs w:val="21"/>
                <w:lang w:bidi="ar"/>
              </w:rPr>
              <w:t>不全的不得分。</w:t>
            </w:r>
          </w:p>
        </w:tc>
        <w:tc>
          <w:tcPr>
            <w:tcW w:w="910" w:type="dxa"/>
            <w:tcBorders>
              <w:top w:val="single" w:color="auto" w:sz="4" w:space="0"/>
              <w:left w:val="single" w:color="auto" w:sz="4" w:space="0"/>
              <w:right w:val="single" w:color="auto" w:sz="4" w:space="0"/>
            </w:tcBorders>
            <w:vAlign w:val="center"/>
          </w:tcPr>
          <w:p>
            <w:pPr>
              <w:jc w:val="center"/>
              <w:rPr>
                <w:rFonts w:ascii="宋体" w:hAnsi="宋体" w:cs="宋体"/>
                <w:kern w:val="0"/>
                <w:szCs w:val="21"/>
                <w:lang w:bidi="ar"/>
              </w:rPr>
            </w:pPr>
            <w:r>
              <w:rPr>
                <w:rFonts w:hint="eastAsia" w:ascii="宋体" w:hAnsi="宋体" w:cs="宋体"/>
                <w:kern w:val="0"/>
                <w:szCs w:val="21"/>
                <w:lang w:bidi="ar"/>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8" w:hRule="exact"/>
          <w:jc w:val="center"/>
        </w:trPr>
        <w:tc>
          <w:tcPr>
            <w:tcW w:w="1876" w:type="dxa"/>
            <w:gridSpan w:val="2"/>
            <w:tcBorders>
              <w:left w:val="single" w:color="auto" w:sz="4" w:space="0"/>
              <w:right w:val="single" w:color="auto" w:sz="4" w:space="0"/>
            </w:tcBorders>
            <w:vAlign w:val="center"/>
          </w:tcPr>
          <w:p>
            <w:pPr>
              <w:ind w:left="-105" w:leftChars="-50" w:right="-105" w:rightChars="-50"/>
              <w:jc w:val="center"/>
              <w:rPr>
                <w:rFonts w:ascii="宋体" w:hAnsi="宋体" w:cs="宋体"/>
                <w:szCs w:val="21"/>
              </w:rPr>
            </w:pPr>
            <w:r>
              <w:rPr>
                <w:rFonts w:hint="eastAsia" w:ascii="宋体" w:hAnsi="宋体" w:cs="宋体"/>
                <w:kern w:val="0"/>
                <w:szCs w:val="21"/>
                <w:lang w:bidi="ar"/>
              </w:rPr>
              <w:t>产品性能技术指标</w:t>
            </w:r>
            <w:r>
              <w:rPr>
                <w:rFonts w:hint="eastAsia" w:ascii="宋体" w:hAnsi="宋体" w:cs="宋体"/>
                <w:szCs w:val="21"/>
              </w:rPr>
              <w:t>（30分）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cs="宋体"/>
                <w:szCs w:val="21"/>
              </w:rPr>
              <w:t>所投产品中重要指标和一般参数指标配置详细完整,技术指标配置提供齐全， 能够详细说明投标产品的各项使用功能及参数指标，并提供证明的，计 30分；每有一项</w:t>
            </w:r>
            <w:r>
              <w:rPr>
                <w:rFonts w:hint="eastAsia"/>
              </w:rPr>
              <w:t>不满足</w:t>
            </w:r>
            <w:r>
              <w:rPr>
                <w:rFonts w:hint="eastAsia" w:cs="宋体"/>
                <w:kern w:val="0"/>
                <w:sz w:val="20"/>
              </w:rPr>
              <w:t>*</w:t>
            </w:r>
            <w:r>
              <w:rPr>
                <w:rFonts w:hint="eastAsia"/>
              </w:rPr>
              <w:t>指标的每项扣3分，不满足一般指标的每项扣2分，扣完为止</w:t>
            </w:r>
            <w:r>
              <w:rPr>
                <w:rFonts w:hint="eastAsia" w:ascii="宋体" w:hAnsi="宋体" w:cs="宋体"/>
                <w:szCs w:val="21"/>
              </w:rPr>
              <w:t>。</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zCs w:val="21"/>
              </w:rPr>
            </w:pPr>
            <w:r>
              <w:rPr>
                <w:rFonts w:hint="eastAsia" w:ascii="宋体" w:hAnsi="宋体" w:cs="宋体"/>
                <w:kern w:val="0"/>
                <w:szCs w:val="21"/>
                <w:lang w:bidi="ar"/>
              </w:rPr>
              <w:t>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exact"/>
          <w:jc w:val="center"/>
        </w:trPr>
        <w:tc>
          <w:tcPr>
            <w:tcW w:w="1876" w:type="dxa"/>
            <w:gridSpan w:val="2"/>
            <w:tcBorders>
              <w:left w:val="single" w:color="auto" w:sz="4" w:space="0"/>
              <w:right w:val="single" w:color="auto" w:sz="4" w:space="0"/>
            </w:tcBorders>
            <w:vAlign w:val="center"/>
          </w:tcPr>
          <w:p>
            <w:pPr>
              <w:widowControl/>
              <w:tabs>
                <w:tab w:val="left" w:pos="614"/>
              </w:tabs>
              <w:jc w:val="center"/>
              <w:rPr>
                <w:rFonts w:ascii="宋体" w:hAnsi="宋体" w:cs="宋体"/>
                <w:szCs w:val="21"/>
              </w:rPr>
            </w:pPr>
            <w:r>
              <w:rPr>
                <w:rFonts w:hint="eastAsia" w:ascii="宋体" w:hAnsi="宋体" w:cs="宋体"/>
                <w:kern w:val="0"/>
                <w:szCs w:val="21"/>
                <w:lang w:bidi="ar"/>
              </w:rPr>
              <w:t>技术支持和硬件质保</w:t>
            </w:r>
            <w:r>
              <w:rPr>
                <w:rFonts w:hint="eastAsia" w:ascii="宋体" w:hAnsi="宋体" w:cs="宋体"/>
                <w:szCs w:val="21"/>
              </w:rPr>
              <w:t>（6分）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Cs w:val="21"/>
              </w:rPr>
            </w:pPr>
            <w:r>
              <w:rPr>
                <w:rFonts w:hint="eastAsia" w:ascii="宋体" w:hAnsi="宋体" w:cs="宋体"/>
                <w:kern w:val="0"/>
                <w:szCs w:val="21"/>
                <w:lang w:bidi="ar"/>
              </w:rPr>
              <w:t>由生产厂家统一提供技术支持和硬件质保的，提供生产厂家质保承诺的，在满足招标文件要求年限基础上，每增加一年质保承诺加2分，最多得6分。</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zCs w:val="21"/>
              </w:rPr>
            </w:pPr>
            <w:r>
              <w:rPr>
                <w:rFonts w:hint="eastAsia" w:ascii="宋体" w:hAnsi="宋体" w:cs="宋体"/>
                <w:kern w:val="0"/>
                <w:szCs w:val="21"/>
                <w:lang w:bidi="ar"/>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7" w:hRule="exact"/>
          <w:jc w:val="center"/>
        </w:trPr>
        <w:tc>
          <w:tcPr>
            <w:tcW w:w="1876" w:type="dxa"/>
            <w:gridSpan w:val="2"/>
            <w:tcBorders>
              <w:left w:val="single" w:color="auto" w:sz="4" w:space="0"/>
              <w:right w:val="single" w:color="auto" w:sz="4" w:space="0"/>
            </w:tcBorders>
            <w:vAlign w:val="center"/>
          </w:tcPr>
          <w:p>
            <w:pPr>
              <w:widowControl/>
              <w:tabs>
                <w:tab w:val="left" w:pos="614"/>
              </w:tabs>
              <w:jc w:val="center"/>
              <w:rPr>
                <w:rFonts w:ascii="宋体" w:hAnsi="宋体" w:cs="宋体"/>
                <w:szCs w:val="21"/>
              </w:rPr>
            </w:pPr>
            <w:r>
              <w:rPr>
                <w:rFonts w:hint="eastAsia" w:ascii="宋体" w:hAnsi="宋体" w:cs="宋体"/>
                <w:szCs w:val="21"/>
              </w:rPr>
              <w:t>供货计划</w:t>
            </w:r>
          </w:p>
          <w:p>
            <w:pPr>
              <w:widowControl/>
              <w:tabs>
                <w:tab w:val="left" w:pos="614"/>
              </w:tabs>
              <w:jc w:val="center"/>
              <w:rPr>
                <w:rFonts w:ascii="宋体" w:hAnsi="宋体" w:cs="宋体"/>
                <w:szCs w:val="21"/>
              </w:rPr>
            </w:pPr>
            <w:r>
              <w:rPr>
                <w:rFonts w:hint="eastAsia" w:ascii="宋体" w:hAnsi="宋体" w:cs="宋体"/>
                <w:szCs w:val="21"/>
              </w:rPr>
              <w:t>（6分）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Cs w:val="21"/>
              </w:rPr>
            </w:pPr>
            <w:r>
              <w:rPr>
                <w:rFonts w:hint="eastAsia" w:ascii="宋体" w:hAnsi="宋体" w:cs="宋体"/>
                <w:kern w:val="0"/>
                <w:szCs w:val="21"/>
                <w:lang w:bidi="ar"/>
              </w:rPr>
              <w:t>供产品的供货计划（包括设备的供货、运输、辅材供应），质量保证措施清晰完整，能够保证供应产品质量，每提供一项得3分，最多得6分。每有一项提供的证明材料不完整或不全面或表述不清的，扣1分</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zCs w:val="21"/>
              </w:rPr>
            </w:pPr>
            <w:r>
              <w:rPr>
                <w:rFonts w:hint="eastAsia" w:ascii="宋体" w:hAnsi="宋体" w:cs="宋体"/>
                <w:kern w:val="0"/>
                <w:szCs w:val="21"/>
                <w:lang w:bidi="ar"/>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3" w:hRule="exact"/>
          <w:jc w:val="center"/>
        </w:trPr>
        <w:tc>
          <w:tcPr>
            <w:tcW w:w="1876" w:type="dxa"/>
            <w:gridSpan w:val="2"/>
            <w:tcBorders>
              <w:left w:val="single" w:color="auto" w:sz="4" w:space="0"/>
              <w:right w:val="single" w:color="auto" w:sz="4" w:space="0"/>
            </w:tcBorders>
            <w:vAlign w:val="center"/>
          </w:tcPr>
          <w:p>
            <w:pPr>
              <w:widowControl/>
              <w:tabs>
                <w:tab w:val="left" w:pos="614"/>
              </w:tabs>
              <w:jc w:val="center"/>
              <w:rPr>
                <w:rFonts w:ascii="宋体" w:hAnsi="宋体" w:cs="宋体"/>
                <w:szCs w:val="21"/>
              </w:rPr>
            </w:pPr>
            <w:r>
              <w:rPr>
                <w:rFonts w:hint="eastAsia" w:ascii="宋体" w:hAnsi="宋体" w:cs="宋体"/>
                <w:szCs w:val="21"/>
              </w:rPr>
              <w:t>售后服务</w:t>
            </w:r>
          </w:p>
          <w:p>
            <w:pPr>
              <w:widowControl/>
              <w:tabs>
                <w:tab w:val="left" w:pos="614"/>
              </w:tabs>
              <w:jc w:val="center"/>
              <w:rPr>
                <w:rFonts w:ascii="宋体" w:hAnsi="宋体" w:cs="宋体"/>
                <w:szCs w:val="21"/>
              </w:rPr>
            </w:pPr>
            <w:r>
              <w:rPr>
                <w:rFonts w:hint="eastAsia" w:ascii="宋体" w:hAnsi="宋体" w:cs="宋体"/>
                <w:szCs w:val="21"/>
              </w:rPr>
              <w:t>（</w:t>
            </w:r>
            <w:r>
              <w:rPr>
                <w:rFonts w:ascii="宋体" w:hAnsi="宋体" w:cs="宋体"/>
                <w:szCs w:val="21"/>
              </w:rPr>
              <w:t>4</w:t>
            </w:r>
            <w:r>
              <w:rPr>
                <w:rFonts w:hint="eastAsia" w:ascii="宋体" w:hAnsi="宋体" w:cs="宋体"/>
                <w:szCs w:val="21"/>
              </w:rPr>
              <w:t>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Cs w:val="21"/>
                <w:lang w:bidi="ar"/>
              </w:rPr>
            </w:pPr>
            <w:r>
              <w:rPr>
                <w:rFonts w:hint="eastAsia" w:ascii="宋体" w:hAnsi="宋体" w:cs="宋体"/>
                <w:kern w:val="0"/>
                <w:szCs w:val="21"/>
                <w:lang w:bidi="ar"/>
              </w:rPr>
              <w:t>有售后服务措施和零配件的供应方案，每提供一项得</w:t>
            </w:r>
            <w:r>
              <w:rPr>
                <w:rFonts w:ascii="宋体" w:hAnsi="宋体" w:cs="宋体"/>
                <w:kern w:val="0"/>
                <w:szCs w:val="21"/>
                <w:lang w:bidi="ar"/>
              </w:rPr>
              <w:t>2</w:t>
            </w:r>
            <w:r>
              <w:rPr>
                <w:rFonts w:hint="eastAsia" w:ascii="宋体" w:hAnsi="宋体" w:cs="宋体"/>
                <w:kern w:val="0"/>
                <w:szCs w:val="21"/>
                <w:lang w:bidi="ar"/>
              </w:rPr>
              <w:t>分，最多得</w:t>
            </w:r>
            <w:r>
              <w:rPr>
                <w:rFonts w:ascii="宋体" w:hAnsi="宋体" w:cs="宋体"/>
                <w:kern w:val="0"/>
                <w:szCs w:val="21"/>
                <w:lang w:bidi="ar"/>
              </w:rPr>
              <w:t>4</w:t>
            </w:r>
            <w:r>
              <w:rPr>
                <w:rFonts w:hint="eastAsia" w:ascii="宋体" w:hAnsi="宋体" w:cs="宋体"/>
                <w:kern w:val="0"/>
                <w:szCs w:val="21"/>
                <w:lang w:bidi="ar"/>
              </w:rPr>
              <w:t>分。每有一项提供的证明材料不完整或不全面或表述不清的，扣1分</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kern w:val="0"/>
                <w:szCs w:val="21"/>
                <w:lang w:bidi="ar"/>
              </w:rPr>
            </w:pPr>
            <w:r>
              <w:rPr>
                <w:rFonts w:hint="eastAsia" w:ascii="宋体" w:hAnsi="宋体" w:cs="宋体"/>
                <w:kern w:val="0"/>
                <w:szCs w:val="21"/>
                <w:lang w:bidi="ar"/>
              </w:rPr>
              <w:t>0-</w:t>
            </w:r>
            <w:r>
              <w:rPr>
                <w:rFonts w:ascii="宋体" w:hAnsi="宋体" w:cs="宋体"/>
                <w:kern w:val="0"/>
                <w:szCs w:val="21"/>
                <w:lang w:bidi="ar"/>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4" w:hRule="exact"/>
          <w:jc w:val="center"/>
        </w:trPr>
        <w:tc>
          <w:tcPr>
            <w:tcW w:w="1876" w:type="dxa"/>
            <w:gridSpan w:val="2"/>
            <w:tcBorders>
              <w:left w:val="single" w:color="auto" w:sz="4" w:space="0"/>
              <w:right w:val="single" w:color="auto" w:sz="4" w:space="0"/>
            </w:tcBorders>
            <w:vAlign w:val="center"/>
          </w:tcPr>
          <w:p>
            <w:pPr>
              <w:pStyle w:val="27"/>
            </w:pPr>
            <w:r>
              <w:rPr>
                <w:rFonts w:hint="eastAsia" w:ascii="宋体" w:hAnsi="宋体"/>
              </w:rPr>
              <w:t>节能、环境标志产品评标优惠内容</w:t>
            </w:r>
          </w:p>
          <w:p>
            <w:pPr>
              <w:widowControl/>
              <w:tabs>
                <w:tab w:val="left" w:pos="614"/>
              </w:tabs>
              <w:jc w:val="center"/>
              <w:rPr>
                <w:rFonts w:hint="eastAsia" w:ascii="宋体" w:hAns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Cs w:val="21"/>
                <w:lang w:bidi="ar"/>
              </w:rPr>
            </w:pPr>
            <w:r>
              <w:rPr>
                <w:rFonts w:hint="eastAsia" w:ascii="宋体" w:hAnsi="宋体" w:cs="宋体"/>
                <w:kern w:val="0"/>
                <w:szCs w:val="21"/>
                <w:lang w:bidi="ar"/>
              </w:rPr>
              <w:t>l、列入市场监管总局组织建立节能产品认证结果信息发布平</w:t>
            </w:r>
            <w:bookmarkStart w:id="143" w:name="_GoBack"/>
            <w:bookmarkEnd w:id="143"/>
            <w:r>
              <w:rPr>
                <w:rFonts w:hint="eastAsia" w:ascii="宋体" w:hAnsi="宋体" w:cs="宋体"/>
                <w:kern w:val="0"/>
                <w:szCs w:val="21"/>
                <w:lang w:bidi="ar"/>
              </w:rPr>
              <w:t>台产品目录的，每项加0.5分，最多加1分。</w:t>
            </w:r>
          </w:p>
          <w:p>
            <w:pPr>
              <w:rPr>
                <w:rFonts w:hint="eastAsia" w:ascii="宋体" w:hAnsi="宋体" w:cs="宋体"/>
                <w:kern w:val="0"/>
                <w:szCs w:val="21"/>
                <w:lang w:bidi="ar"/>
              </w:rPr>
            </w:pPr>
            <w:r>
              <w:rPr>
                <w:rFonts w:hint="eastAsia" w:ascii="宋体" w:hAnsi="宋体" w:cs="宋体"/>
                <w:kern w:val="0"/>
                <w:szCs w:val="21"/>
                <w:lang w:bidi="ar"/>
              </w:rPr>
              <w:t>2、列入市场监管总局组织的环境标志产品认证结果信息发布平台产品目录的，每项加 0.5分，最多加1分。</w:t>
            </w:r>
          </w:p>
          <w:p>
            <w:pPr>
              <w:rPr>
                <w:rFonts w:hint="eastAsia" w:ascii="宋体" w:hAnsi="宋体" w:cs="宋体"/>
                <w:kern w:val="0"/>
                <w:szCs w:val="21"/>
                <w:lang w:bidi="ar"/>
              </w:rPr>
            </w:pPr>
            <w:r>
              <w:rPr>
                <w:rFonts w:hint="eastAsia" w:ascii="宋体" w:hAnsi="宋体" w:cs="宋体"/>
                <w:kern w:val="0"/>
                <w:szCs w:val="21"/>
                <w:lang w:bidi="ar"/>
              </w:rPr>
              <w:t>注：1、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2、提供最近一期《节能产品认证结果信息发布平台产品目录》关于投标产品当前页的打印件；3、提供最近一期《环境标志产品认证结果信息发布平台产品目录》关于投标产品当前页的打印件。</w:t>
            </w:r>
          </w:p>
        </w:tc>
        <w:tc>
          <w:tcPr>
            <w:tcW w:w="910" w:type="dxa"/>
            <w:tcBorders>
              <w:top w:val="single" w:color="auto" w:sz="4" w:space="0"/>
              <w:left w:val="single" w:color="auto" w:sz="4" w:space="0"/>
              <w:bottom w:val="single" w:color="auto" w:sz="4" w:space="0"/>
              <w:right w:val="single" w:color="auto" w:sz="4" w:space="0"/>
            </w:tcBorders>
            <w:vAlign w:val="center"/>
          </w:tcPr>
          <w:p>
            <w:pPr>
              <w:ind w:firstLine="210" w:firstLineChars="100"/>
              <w:rPr>
                <w:rFonts w:hint="eastAsia" w:ascii="宋体" w:hAnsi="宋体" w:cs="宋体"/>
                <w:kern w:val="0"/>
                <w:szCs w:val="21"/>
                <w:lang w:bidi="ar"/>
              </w:rPr>
            </w:pPr>
            <w:r>
              <w:rPr>
                <w:rFonts w:hint="eastAsia" w:ascii="宋体" w:hAnsi="宋体"/>
                <w:kern w:val="0"/>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2" w:hRule="exact"/>
          <w:jc w:val="center"/>
        </w:trPr>
        <w:tc>
          <w:tcPr>
            <w:tcW w:w="1876" w:type="dxa"/>
            <w:gridSpan w:val="2"/>
            <w:tcBorders>
              <w:left w:val="single" w:color="auto" w:sz="4" w:space="0"/>
              <w:right w:val="single" w:color="auto" w:sz="4" w:space="0"/>
            </w:tcBorders>
            <w:vAlign w:val="center"/>
          </w:tcPr>
          <w:p>
            <w:pPr>
              <w:pStyle w:val="17"/>
              <w:adjustRightInd w:val="0"/>
              <w:spacing w:before="0" w:beforeAutospacing="0" w:after="0" w:afterAutospacing="0"/>
              <w:ind w:firstLine="72"/>
              <w:jc w:val="center"/>
              <w:rPr>
                <w:rFonts w:hint="default" w:hAnsi="宋体" w:cs="宋体"/>
                <w:kern w:val="2"/>
                <w:sz w:val="21"/>
                <w:szCs w:val="21"/>
                <w:lang w:bidi="ar"/>
              </w:rPr>
            </w:pPr>
            <w:r>
              <w:rPr>
                <w:rFonts w:hAnsi="宋体" w:cs="宋体"/>
                <w:kern w:val="2"/>
                <w:sz w:val="21"/>
                <w:szCs w:val="21"/>
                <w:lang w:bidi="ar"/>
              </w:rPr>
              <w:t>标函质量</w:t>
            </w:r>
          </w:p>
          <w:p>
            <w:pPr>
              <w:pStyle w:val="17"/>
              <w:adjustRightInd w:val="0"/>
              <w:spacing w:before="0" w:beforeAutospacing="0" w:after="0" w:afterAutospacing="0"/>
              <w:ind w:firstLine="72"/>
              <w:jc w:val="center"/>
              <w:rPr>
                <w:rFonts w:hint="default" w:hAnsi="宋体" w:cs="宋体"/>
                <w:kern w:val="2"/>
                <w:sz w:val="21"/>
                <w:szCs w:val="21"/>
              </w:rPr>
            </w:pPr>
            <w:r>
              <w:rPr>
                <w:rFonts w:hAnsi="宋体" w:cs="宋体"/>
                <w:kern w:val="2"/>
                <w:sz w:val="21"/>
                <w:szCs w:val="21"/>
              </w:rPr>
              <w:t>（2分）</w:t>
            </w:r>
          </w:p>
        </w:tc>
        <w:tc>
          <w:tcPr>
            <w:tcW w:w="7274"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Cs w:val="21"/>
              </w:rPr>
            </w:pPr>
            <w:r>
              <w:rPr>
                <w:rFonts w:hint="eastAsia" w:ascii="宋体" w:hAnsi="宋体" w:cs="宋体"/>
                <w:kern w:val="0"/>
                <w:szCs w:val="21"/>
                <w:lang w:bidi="ar"/>
              </w:rPr>
              <w:t>根据投标人的投标文件编制内容完整、工整，目录清晰的得2分，投标文件编制中有一处漏项、不完整、存在歧义或表述不清的扣0.5分。</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2" w:hRule="exact"/>
          <w:jc w:val="center"/>
        </w:trPr>
        <w:tc>
          <w:tcPr>
            <w:tcW w:w="9150"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szCs w:val="21"/>
              </w:rPr>
            </w:pPr>
            <w:r>
              <w:rPr>
                <w:rFonts w:hint="eastAsia" w:ascii="宋体" w:hAnsi="宋体" w:cs="宋体"/>
                <w:szCs w:val="21"/>
              </w:rPr>
              <w:t>总分</w:t>
            </w:r>
          </w:p>
        </w:tc>
        <w:tc>
          <w:tcPr>
            <w:tcW w:w="91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Cs w:val="21"/>
              </w:rPr>
            </w:pPr>
            <w:r>
              <w:rPr>
                <w:rFonts w:hint="eastAsia" w:ascii="宋体" w:hAnsi="宋体" w:cs="宋体"/>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6" w:hRule="atLeast"/>
          <w:jc w:val="center"/>
        </w:trPr>
        <w:tc>
          <w:tcPr>
            <w:tcW w:w="10060" w:type="dxa"/>
            <w:gridSpan w:val="5"/>
            <w:vAlign w:val="center"/>
          </w:tcPr>
          <w:p>
            <w:pPr>
              <w:pStyle w:val="24"/>
              <w:jc w:val="left"/>
              <w:rPr>
                <w:rFonts w:ascii="宋体" w:hAnsi="宋体" w:eastAsia="宋体" w:cs="Times New Roman"/>
                <w:b/>
                <w:sz w:val="21"/>
                <w:szCs w:val="21"/>
                <w:lang w:eastAsia="zh-CN"/>
              </w:rPr>
            </w:pPr>
            <w:r>
              <w:rPr>
                <w:rFonts w:ascii="宋体" w:hAnsi="宋体" w:eastAsia="宋体" w:cs="Times New Roman"/>
                <w:b/>
                <w:sz w:val="21"/>
                <w:szCs w:val="21"/>
                <w:lang w:eastAsia="zh-CN"/>
              </w:rPr>
              <w:t>属于中小企业评标优惠内容及价格扣除幅度，本项目的价格扣除为</w:t>
            </w:r>
            <w:r>
              <w:rPr>
                <w:rFonts w:hint="eastAsia" w:ascii="宋体" w:hAnsi="宋体" w:eastAsia="宋体" w:cs="Times New Roman"/>
                <w:b/>
                <w:sz w:val="21"/>
                <w:szCs w:val="21"/>
                <w:lang w:eastAsia="zh-CN"/>
              </w:rPr>
              <w:t>10</w:t>
            </w:r>
            <w:r>
              <w:rPr>
                <w:rFonts w:ascii="宋体" w:hAnsi="宋体" w:eastAsia="宋体" w:cs="Times New Roman"/>
                <w:b/>
                <w:sz w:val="21"/>
                <w:szCs w:val="21"/>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21" w:hRule="atLeast"/>
          <w:jc w:val="center"/>
        </w:trPr>
        <w:tc>
          <w:tcPr>
            <w:tcW w:w="10060" w:type="dxa"/>
            <w:gridSpan w:val="5"/>
            <w:vAlign w:val="center"/>
          </w:tcPr>
          <w:p>
            <w:pPr>
              <w:pStyle w:val="24"/>
              <w:spacing w:line="266" w:lineRule="auto"/>
              <w:jc w:val="left"/>
              <w:rPr>
                <w:rFonts w:ascii="宋体" w:hAnsi="宋体" w:eastAsia="宋体" w:cs="Times New Roman"/>
                <w:sz w:val="21"/>
                <w:szCs w:val="21"/>
                <w:lang w:eastAsia="zh-CN"/>
              </w:rPr>
            </w:pPr>
            <w:r>
              <w:rPr>
                <w:rFonts w:ascii="宋体" w:hAnsi="宋体" w:eastAsia="宋体" w:cs="Times New Roman"/>
                <w:sz w:val="21"/>
                <w:szCs w:val="21"/>
                <w:lang w:eastAsia="zh-CN"/>
              </w:rPr>
              <w:t>根据中华人民共和国财政部、中华人民共和国工业和信息化部</w:t>
            </w:r>
            <w:r>
              <w:rPr>
                <w:rFonts w:hint="eastAsia" w:ascii="宋体" w:hAnsi="宋体" w:eastAsia="宋体" w:cs="Times New Roman"/>
                <w:sz w:val="21"/>
                <w:szCs w:val="21"/>
                <w:lang w:eastAsia="zh-CN"/>
              </w:rPr>
              <w:t>《政府采购促进中小企业发展管理办法》（财库[2020]46号）</w:t>
            </w:r>
            <w:r>
              <w:rPr>
                <w:rFonts w:ascii="宋体" w:hAnsi="宋体" w:eastAsia="宋体" w:cs="Times New Roman"/>
                <w:sz w:val="21"/>
                <w:szCs w:val="21"/>
                <w:lang w:eastAsia="zh-CN"/>
              </w:rPr>
              <w:t>文件的规定，属于中小企业评标优惠内容及幅度如下：</w:t>
            </w:r>
          </w:p>
          <w:p>
            <w:pPr>
              <w:pStyle w:val="24"/>
              <w:jc w:val="left"/>
              <w:rPr>
                <w:rFonts w:ascii="宋体" w:hAnsi="宋体" w:eastAsia="宋体" w:cs="Times New Roman"/>
                <w:b/>
                <w:sz w:val="21"/>
                <w:szCs w:val="21"/>
                <w:lang w:eastAsia="zh-CN"/>
              </w:rPr>
            </w:pPr>
            <w:r>
              <w:rPr>
                <w:rFonts w:ascii="宋体" w:hAnsi="宋体" w:eastAsia="宋体" w:cs="Times New Roman"/>
                <w:b/>
                <w:sz w:val="21"/>
                <w:szCs w:val="21"/>
                <w:lang w:eastAsia="zh-CN"/>
              </w:rPr>
              <w:t>（一）中小企业（含中型、小型、微型企业）应当同时符合以下条件：</w:t>
            </w:r>
          </w:p>
          <w:p>
            <w:pPr>
              <w:pStyle w:val="24"/>
              <w:spacing w:line="268" w:lineRule="auto"/>
              <w:ind w:firstLine="422"/>
              <w:jc w:val="left"/>
              <w:rPr>
                <w:rFonts w:ascii="宋体" w:hAnsi="宋体" w:eastAsia="宋体" w:cs="Times New Roman"/>
                <w:sz w:val="21"/>
                <w:szCs w:val="21"/>
                <w:lang w:eastAsia="zh-CN"/>
              </w:rPr>
            </w:pPr>
            <w:r>
              <w:rPr>
                <w:rFonts w:hint="eastAsia" w:ascii="宋体" w:hAnsi="宋体" w:eastAsia="宋体" w:cs="宋体"/>
                <w:spacing w:val="-3"/>
                <w:sz w:val="21"/>
                <w:szCs w:val="21"/>
                <w:lang w:eastAsia="zh-CN"/>
              </w:rPr>
              <w:t>①</w:t>
            </w:r>
            <w:r>
              <w:rPr>
                <w:rFonts w:ascii="宋体" w:hAnsi="宋体" w:eastAsia="宋体" w:cs="Times New Roman"/>
                <w:spacing w:val="-3"/>
                <w:sz w:val="21"/>
                <w:szCs w:val="21"/>
                <w:lang w:eastAsia="zh-CN"/>
              </w:rPr>
              <w:t>符合中小企业划分标准(按《关于印发中小企业划型标准规定的通知》(工信部联企业( 2011)300号）</w:t>
            </w:r>
            <w:r>
              <w:rPr>
                <w:rFonts w:ascii="宋体" w:hAnsi="宋体" w:eastAsia="宋体" w:cs="Times New Roman"/>
                <w:spacing w:val="-2"/>
                <w:sz w:val="21"/>
                <w:szCs w:val="21"/>
                <w:lang w:eastAsia="zh-CN"/>
              </w:rPr>
              <w:t>执行</w:t>
            </w:r>
            <w:r>
              <w:rPr>
                <w:rFonts w:ascii="宋体" w:hAnsi="宋体" w:eastAsia="宋体" w:cs="Times New Roman"/>
                <w:sz w:val="21"/>
                <w:szCs w:val="21"/>
                <w:lang w:eastAsia="zh-CN"/>
              </w:rPr>
              <w:t>）；</w:t>
            </w:r>
          </w:p>
          <w:p>
            <w:pPr>
              <w:pStyle w:val="24"/>
              <w:spacing w:line="268" w:lineRule="auto"/>
              <w:ind w:firstLine="422"/>
              <w:jc w:val="left"/>
              <w:rPr>
                <w:rFonts w:ascii="宋体" w:hAnsi="宋体" w:eastAsia="宋体" w:cs="Times New Roman"/>
                <w:sz w:val="21"/>
                <w:szCs w:val="21"/>
                <w:lang w:eastAsia="zh-CN"/>
              </w:rPr>
            </w:pPr>
            <w:r>
              <w:rPr>
                <w:rFonts w:hint="eastAsia" w:ascii="宋体" w:hAnsi="宋体" w:eastAsia="宋体" w:cs="宋体"/>
                <w:sz w:val="21"/>
                <w:szCs w:val="21"/>
                <w:lang w:eastAsia="zh-CN"/>
              </w:rPr>
              <w:t>②</w:t>
            </w:r>
            <w:r>
              <w:rPr>
                <w:rFonts w:ascii="宋体" w:hAnsi="宋体" w:eastAsia="宋体" w:cs="Times New Roman"/>
                <w:sz w:val="21"/>
                <w:szCs w:val="21"/>
                <w:lang w:eastAsia="zh-CN"/>
              </w:rPr>
              <w:t>提供本企业制造的货物、承担的项目或者服务，或者提供其他中小企业制造的货物。本项所称货物不包括使用大型企业注册商标的货物；</w:t>
            </w:r>
          </w:p>
          <w:p>
            <w:pPr>
              <w:pStyle w:val="24"/>
              <w:spacing w:line="266" w:lineRule="exact"/>
              <w:jc w:val="left"/>
              <w:rPr>
                <w:rFonts w:ascii="宋体" w:hAnsi="宋体" w:eastAsia="宋体" w:cs="Times New Roman"/>
                <w:sz w:val="21"/>
                <w:szCs w:val="21"/>
                <w:lang w:eastAsia="zh-CN"/>
              </w:rPr>
            </w:pPr>
            <w:r>
              <w:rPr>
                <w:rFonts w:hint="eastAsia" w:ascii="宋体" w:hAnsi="宋体" w:eastAsia="宋体" w:cs="宋体"/>
                <w:sz w:val="21"/>
                <w:szCs w:val="21"/>
                <w:lang w:eastAsia="zh-CN"/>
              </w:rPr>
              <w:t>③</w:t>
            </w:r>
            <w:r>
              <w:rPr>
                <w:rFonts w:ascii="宋体" w:hAnsi="宋体" w:eastAsia="宋体" w:cs="Times New Roman"/>
                <w:sz w:val="21"/>
                <w:szCs w:val="21"/>
                <w:lang w:eastAsia="zh-CN"/>
              </w:rPr>
              <w:t>小型、微型企业提供中型企业制造的货物的，视同为中型企业。</w:t>
            </w:r>
          </w:p>
          <w:p>
            <w:pPr>
              <w:pStyle w:val="24"/>
              <w:jc w:val="left"/>
              <w:rPr>
                <w:rFonts w:ascii="宋体" w:hAnsi="宋体" w:eastAsia="宋体" w:cs="Times New Roman"/>
                <w:b/>
                <w:sz w:val="21"/>
                <w:szCs w:val="21"/>
                <w:lang w:eastAsia="zh-CN"/>
              </w:rPr>
            </w:pPr>
            <w:r>
              <w:rPr>
                <w:rFonts w:ascii="宋体" w:hAnsi="宋体" w:eastAsia="宋体" w:cs="Times New Roman"/>
                <w:b/>
                <w:sz w:val="21"/>
                <w:szCs w:val="21"/>
                <w:lang w:eastAsia="zh-CN"/>
              </w:rPr>
              <w:t>（二）价格扣除办法：</w:t>
            </w:r>
          </w:p>
          <w:p>
            <w:pPr>
              <w:pStyle w:val="24"/>
              <w:spacing w:line="266" w:lineRule="auto"/>
              <w:ind w:firstLine="480"/>
              <w:jc w:val="left"/>
              <w:rPr>
                <w:rFonts w:ascii="宋体" w:hAnsi="宋体" w:eastAsia="宋体" w:cs="Times New Roman"/>
                <w:sz w:val="21"/>
                <w:szCs w:val="21"/>
                <w:lang w:eastAsia="zh-CN"/>
              </w:rPr>
            </w:pPr>
            <w:r>
              <w:rPr>
                <w:rFonts w:hint="eastAsia" w:ascii="宋体" w:hAnsi="宋体" w:eastAsia="宋体" w:cs="宋体"/>
                <w:sz w:val="21"/>
                <w:szCs w:val="21"/>
                <w:lang w:eastAsia="zh-CN"/>
              </w:rPr>
              <w:t>①</w:t>
            </w:r>
            <w:r>
              <w:rPr>
                <w:rFonts w:ascii="宋体" w:hAnsi="宋体" w:eastAsia="宋体" w:cs="Times New Roman"/>
                <w:sz w:val="21"/>
                <w:szCs w:val="21"/>
                <w:lang w:eastAsia="zh-CN"/>
              </w:rPr>
              <w:t>对于非专门面向中小企业的项目，对小型和微型企业（或联合体各方均为小型、微型企业的）产品的价格给予</w:t>
            </w:r>
            <w:r>
              <w:rPr>
                <w:rFonts w:hint="eastAsia" w:ascii="宋体" w:hAnsi="宋体" w:eastAsia="宋体" w:cs="Times New Roman"/>
                <w:sz w:val="21"/>
                <w:szCs w:val="21"/>
                <w:lang w:eastAsia="zh-CN"/>
              </w:rPr>
              <w:t>10</w:t>
            </w:r>
            <w:r>
              <w:rPr>
                <w:rFonts w:ascii="宋体" w:hAnsi="宋体" w:eastAsia="宋体" w:cs="Times New Roman"/>
                <w:sz w:val="21"/>
                <w:szCs w:val="21"/>
                <w:lang w:eastAsia="zh-CN"/>
              </w:rPr>
              <w:t>%</w:t>
            </w:r>
            <w:r>
              <w:rPr>
                <w:rFonts w:hint="eastAsia" w:ascii="宋体" w:hAnsi="宋体" w:eastAsia="宋体" w:cs="Times New Roman"/>
                <w:sz w:val="21"/>
                <w:szCs w:val="21"/>
                <w:lang w:eastAsia="zh-CN"/>
              </w:rPr>
              <w:t>若供应商和小微企业产品/服务制造商均符合小微企业条件，并且提供了《中小企业声明函》及加盖单位公章的声明函附件（须说明供应商和产品制造商的从业人员、营业收入、资产总额等相关情况）的，则其评标价格=供应商报价中属于小型和微型企业产品的价格部分×（100%-10%）+供应商报价中不属于小型和微型企业产品的价格部分；否则，其评标价=投标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4" w:hRule="atLeast"/>
          <w:jc w:val="center"/>
        </w:trPr>
        <w:tc>
          <w:tcPr>
            <w:tcW w:w="1577" w:type="dxa"/>
            <w:vAlign w:val="center"/>
          </w:tcPr>
          <w:p>
            <w:pPr>
              <w:pStyle w:val="24"/>
              <w:rPr>
                <w:rFonts w:ascii="宋体" w:hAnsi="宋体" w:eastAsia="宋体" w:cs="Times New Roman"/>
                <w:b/>
                <w:sz w:val="21"/>
                <w:szCs w:val="21"/>
              </w:rPr>
            </w:pPr>
            <w:r>
              <w:rPr>
                <w:rFonts w:ascii="宋体" w:hAnsi="宋体" w:eastAsia="宋体" w:cs="Times New Roman"/>
                <w:b/>
                <w:sz w:val="21"/>
                <w:szCs w:val="21"/>
              </w:rPr>
              <w:t>项目</w:t>
            </w:r>
          </w:p>
        </w:tc>
        <w:tc>
          <w:tcPr>
            <w:tcW w:w="6465" w:type="dxa"/>
            <w:gridSpan w:val="2"/>
            <w:vAlign w:val="center"/>
          </w:tcPr>
          <w:p>
            <w:pPr>
              <w:pStyle w:val="24"/>
              <w:rPr>
                <w:rFonts w:ascii="宋体" w:hAnsi="宋体" w:eastAsia="宋体" w:cs="Times New Roman"/>
                <w:b/>
                <w:sz w:val="21"/>
                <w:szCs w:val="21"/>
              </w:rPr>
            </w:pPr>
            <w:r>
              <w:rPr>
                <w:rFonts w:ascii="宋体" w:hAnsi="宋体" w:eastAsia="宋体" w:cs="Times New Roman"/>
                <w:b/>
                <w:sz w:val="21"/>
                <w:szCs w:val="21"/>
              </w:rPr>
              <w:t>评标内容</w:t>
            </w:r>
          </w:p>
        </w:tc>
        <w:tc>
          <w:tcPr>
            <w:tcW w:w="2018" w:type="dxa"/>
            <w:gridSpan w:val="2"/>
            <w:vAlign w:val="center"/>
          </w:tcPr>
          <w:p>
            <w:pPr>
              <w:pStyle w:val="24"/>
              <w:rPr>
                <w:rFonts w:ascii="宋体" w:hAnsi="宋体" w:eastAsia="宋体" w:cs="Times New Roman"/>
                <w:b/>
                <w:sz w:val="21"/>
                <w:szCs w:val="21"/>
              </w:rPr>
            </w:pPr>
            <w:r>
              <w:rPr>
                <w:rFonts w:ascii="宋体" w:hAnsi="宋体" w:eastAsia="宋体" w:cs="Times New Roman"/>
                <w:b/>
                <w:sz w:val="21"/>
                <w:szCs w:val="21"/>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10060" w:type="dxa"/>
            <w:gridSpan w:val="5"/>
            <w:vAlign w:val="center"/>
          </w:tcPr>
          <w:p>
            <w:pPr>
              <w:pStyle w:val="24"/>
              <w:jc w:val="left"/>
              <w:rPr>
                <w:rFonts w:ascii="宋体" w:hAnsi="宋体" w:eastAsia="宋体" w:cs="Times New Roman"/>
                <w:b/>
                <w:sz w:val="21"/>
                <w:szCs w:val="21"/>
                <w:lang w:eastAsia="zh-CN"/>
              </w:rPr>
            </w:pPr>
            <w:r>
              <w:rPr>
                <w:rFonts w:ascii="宋体" w:hAnsi="宋体" w:eastAsia="宋体" w:cs="Times New Roman"/>
                <w:b/>
                <w:sz w:val="21"/>
                <w:szCs w:val="21"/>
                <w:lang w:eastAsia="zh-CN"/>
              </w:rPr>
              <w:t>（三）小型和微型企业适用价格扣除办法时应提供的相关资料：</w:t>
            </w:r>
          </w:p>
          <w:p>
            <w:pPr>
              <w:pStyle w:val="24"/>
              <w:ind w:firstLine="420" w:firstLineChars="200"/>
              <w:jc w:val="left"/>
              <w:rPr>
                <w:rFonts w:ascii="宋体" w:hAnsi="宋体" w:eastAsia="宋体" w:cs="Times New Roman"/>
                <w:sz w:val="21"/>
                <w:szCs w:val="21"/>
                <w:lang w:eastAsia="zh-CN"/>
              </w:rPr>
            </w:pPr>
            <w:r>
              <w:rPr>
                <w:rFonts w:hint="eastAsia" w:ascii="宋体" w:hAnsi="宋体" w:eastAsia="宋体" w:cs="Times New Roman"/>
                <w:sz w:val="21"/>
                <w:szCs w:val="21"/>
                <w:lang w:eastAsia="zh-CN"/>
              </w:rPr>
              <w:t>中小企业（含中型、小型、微型企业）应当同时符合以下条件：</w:t>
            </w:r>
          </w:p>
          <w:p>
            <w:pPr>
              <w:pStyle w:val="24"/>
              <w:jc w:val="left"/>
              <w:rPr>
                <w:rFonts w:ascii="宋体" w:hAnsi="宋体" w:eastAsia="宋体" w:cs="Times New Roman"/>
                <w:sz w:val="21"/>
                <w:szCs w:val="21"/>
                <w:lang w:eastAsia="zh-CN"/>
              </w:rPr>
            </w:pPr>
            <w:r>
              <w:rPr>
                <w:rFonts w:hint="eastAsia" w:ascii="宋体" w:hAnsi="宋体" w:eastAsia="宋体" w:cs="Times New Roman"/>
                <w:sz w:val="21"/>
                <w:szCs w:val="21"/>
                <w:lang w:eastAsia="zh-CN"/>
              </w:rPr>
              <w:t>①</w:t>
            </w:r>
            <w:r>
              <w:rPr>
                <w:rFonts w:ascii="宋体" w:hAnsi="宋体" w:eastAsia="宋体" w:cs="Times New Roman"/>
                <w:sz w:val="21"/>
                <w:szCs w:val="21"/>
                <w:lang w:eastAsia="zh-CN"/>
              </w:rPr>
              <w:t>《中小企业声明函》；</w:t>
            </w:r>
            <w:r>
              <w:rPr>
                <w:rFonts w:hint="eastAsia" w:ascii="宋体" w:hAnsi="宋体" w:eastAsia="宋体" w:cs="Times New Roman"/>
                <w:sz w:val="21"/>
                <w:szCs w:val="21"/>
                <w:lang w:eastAsia="zh-CN"/>
              </w:rPr>
              <w:t>符合中小企业划分标准(按《关于印发中小企业划型标准规定的通知》(工信部联企业( 2011)300号）执行）；</w:t>
            </w:r>
          </w:p>
          <w:p>
            <w:pPr>
              <w:pStyle w:val="24"/>
              <w:jc w:val="left"/>
              <w:rPr>
                <w:rFonts w:ascii="宋体" w:hAnsi="宋体" w:eastAsia="宋体" w:cs="Times New Roman"/>
                <w:sz w:val="21"/>
                <w:szCs w:val="21"/>
                <w:lang w:eastAsia="zh-CN"/>
              </w:rPr>
            </w:pPr>
            <w:r>
              <w:rPr>
                <w:rFonts w:hint="eastAsia" w:ascii="宋体" w:hAnsi="宋体" w:eastAsia="宋体" w:cs="Times New Roman"/>
                <w:sz w:val="21"/>
                <w:szCs w:val="21"/>
                <w:lang w:eastAsia="zh-CN"/>
              </w:rPr>
              <w:t>②提供本企业制造的货物、承担的项目或者服务，或者提供其他中小企业制造的货物。本项所称货物不包括使用大型企业注册商标的货物；</w:t>
            </w:r>
          </w:p>
          <w:p>
            <w:pPr>
              <w:pStyle w:val="24"/>
              <w:jc w:val="left"/>
              <w:rPr>
                <w:rFonts w:ascii="宋体" w:hAnsi="宋体" w:eastAsia="宋体" w:cs="Times New Roman"/>
                <w:sz w:val="21"/>
                <w:szCs w:val="21"/>
                <w:lang w:eastAsia="zh-CN"/>
              </w:rPr>
            </w:pPr>
            <w:r>
              <w:rPr>
                <w:rFonts w:hint="eastAsia" w:ascii="宋体" w:hAnsi="宋体" w:eastAsia="宋体" w:cs="Times New Roman"/>
                <w:sz w:val="21"/>
                <w:szCs w:val="21"/>
                <w:lang w:eastAsia="zh-CN"/>
              </w:rPr>
              <w:t>③小型、微型企业提供中型企业制造的货物的，视同为中型企业。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jc w:val="center"/>
        </w:trPr>
        <w:tc>
          <w:tcPr>
            <w:tcW w:w="10060" w:type="dxa"/>
            <w:gridSpan w:val="5"/>
            <w:vAlign w:val="center"/>
          </w:tcPr>
          <w:p>
            <w:pPr>
              <w:pStyle w:val="24"/>
              <w:jc w:val="left"/>
              <w:rPr>
                <w:rFonts w:ascii="宋体" w:hAnsi="宋体" w:eastAsia="宋体" w:cs="Times New Roman"/>
                <w:b/>
                <w:sz w:val="21"/>
                <w:szCs w:val="21"/>
                <w:lang w:eastAsia="zh-CN"/>
              </w:rPr>
            </w:pPr>
            <w:r>
              <w:rPr>
                <w:rFonts w:hint="eastAsia" w:ascii="宋体" w:hAnsi="宋体" w:eastAsia="宋体" w:cs="Times New Roman"/>
                <w:b/>
                <w:sz w:val="21"/>
                <w:szCs w:val="21"/>
                <w:lang w:eastAsia="zh-CN"/>
              </w:rPr>
              <w:t>D</w:t>
            </w:r>
            <w:r>
              <w:rPr>
                <w:rFonts w:ascii="宋体" w:hAnsi="宋体" w:eastAsia="宋体" w:cs="Times New Roman"/>
                <w:b/>
                <w:sz w:val="21"/>
                <w:szCs w:val="21"/>
                <w:lang w:eastAsia="zh-CN"/>
              </w:rPr>
              <w:t>：属于享受政府采购支持政策的残疾人福利性单位评标优惠内容及价格扣除幅度按小型、</w:t>
            </w:r>
          </w:p>
          <w:p>
            <w:pPr>
              <w:pStyle w:val="24"/>
              <w:spacing w:line="310" w:lineRule="atLeast"/>
              <w:jc w:val="left"/>
              <w:rPr>
                <w:rFonts w:ascii="宋体" w:hAnsi="宋体" w:eastAsia="宋体" w:cs="Times New Roman"/>
                <w:b/>
                <w:sz w:val="21"/>
                <w:szCs w:val="21"/>
                <w:lang w:eastAsia="zh-CN"/>
              </w:rPr>
            </w:pPr>
            <w:r>
              <w:rPr>
                <w:rFonts w:ascii="宋体" w:hAnsi="宋体" w:eastAsia="宋体" w:cs="Times New Roman"/>
                <w:b/>
                <w:spacing w:val="-6"/>
                <w:sz w:val="21"/>
                <w:szCs w:val="21"/>
                <w:lang w:eastAsia="zh-CN"/>
              </w:rPr>
              <w:t>微型企业评标中价格扣除</w:t>
            </w:r>
            <w:r>
              <w:rPr>
                <w:rFonts w:hint="eastAsia" w:ascii="宋体" w:hAnsi="宋体" w:eastAsia="宋体" w:cs="Times New Roman"/>
                <w:b/>
                <w:spacing w:val="-6"/>
                <w:sz w:val="21"/>
                <w:szCs w:val="21"/>
                <w:lang w:eastAsia="zh-CN"/>
              </w:rPr>
              <w:t>。</w:t>
            </w:r>
            <w:r>
              <w:rPr>
                <w:rFonts w:hint="eastAsia" w:ascii="宋体" w:hAnsi="宋体" w:eastAsia="宋体"/>
                <w:sz w:val="21"/>
                <w:szCs w:val="21"/>
                <w:lang w:eastAsia="zh-CN"/>
              </w:rPr>
              <w:t xml:space="preserve"> </w:t>
            </w:r>
            <w:r>
              <w:rPr>
                <w:rFonts w:hint="eastAsia" w:ascii="宋体" w:hAnsi="宋体" w:eastAsia="宋体" w:cs="Times New Roman"/>
                <w:b/>
                <w:spacing w:val="-6"/>
                <w:sz w:val="21"/>
                <w:szCs w:val="21"/>
                <w:lang w:eastAsia="zh-CN"/>
              </w:rPr>
              <w:t>监狱和戒毒企业参加政府采购活动视同小型、微型企业；</w:t>
            </w:r>
            <w:r>
              <w:rPr>
                <w:rFonts w:ascii="宋体" w:hAnsi="宋体" w:eastAsia="宋体" w:cs="Times New Roman"/>
                <w:b/>
                <w:spacing w:val="-6"/>
                <w:sz w:val="21"/>
                <w:szCs w:val="21"/>
                <w:lang w:eastAsia="zh-CN"/>
              </w:rPr>
              <w:t>残疾人福利性单位属于小型、微型企业的，不重复享受政策。本项目的价格扣除为</w:t>
            </w:r>
            <w:r>
              <w:rPr>
                <w:rFonts w:hint="eastAsia" w:ascii="宋体" w:hAnsi="宋体" w:eastAsia="宋体" w:cs="Times New Roman"/>
                <w:b/>
                <w:spacing w:val="-6"/>
                <w:sz w:val="21"/>
                <w:szCs w:val="21"/>
                <w:lang w:eastAsia="zh-CN"/>
              </w:rPr>
              <w:t>10%</w:t>
            </w:r>
            <w:r>
              <w:rPr>
                <w:rFonts w:ascii="宋体" w:hAnsi="宋体" w:eastAsia="宋体" w:cs="Times New Roman"/>
                <w:b/>
                <w:spacing w:val="-6"/>
                <w:sz w:val="21"/>
                <w:szCs w:val="21"/>
                <w:lang w:eastAsia="zh-CN"/>
              </w:rPr>
              <w:t>。</w:t>
            </w:r>
          </w:p>
        </w:tc>
      </w:tr>
    </w:tbl>
    <w:p>
      <w:pPr>
        <w:snapToGrid w:val="0"/>
        <w:ind w:firstLine="600" w:firstLineChars="250"/>
        <w:rPr>
          <w:sz w:val="24"/>
          <w:szCs w:val="30"/>
        </w:rPr>
      </w:pPr>
      <w:r>
        <w:rPr>
          <w:sz w:val="24"/>
          <w:szCs w:val="30"/>
        </w:rPr>
        <w:t>项目评审过程中，不得去掉最后报价中的最高报价和最低报价。</w:t>
      </w:r>
    </w:p>
    <w:p>
      <w:pPr>
        <w:adjustRightInd w:val="0"/>
        <w:snapToGrid w:val="0"/>
        <w:ind w:firstLine="482" w:firstLineChars="200"/>
        <w:rPr>
          <w:b/>
          <w:sz w:val="24"/>
        </w:rPr>
      </w:pPr>
      <w:r>
        <w:rPr>
          <w:b/>
          <w:sz w:val="24"/>
        </w:rPr>
        <w:t>5.4澄清</w:t>
      </w:r>
    </w:p>
    <w:p>
      <w:pPr>
        <w:adjustRightInd w:val="0"/>
        <w:snapToGrid w:val="0"/>
        <w:ind w:firstLine="600"/>
        <w:rPr>
          <w:sz w:val="24"/>
        </w:rPr>
      </w:pPr>
      <w:r>
        <w:rPr>
          <w:sz w:val="24"/>
        </w:rPr>
        <w:t>为有助于投标文件的审查、评价和比较，可要求投标人对招标文件的商务、报价和技术等方面的任何不明确的内容做进一步澄清或对存在的细微偏差予以补正。但不得寻求、提出、允许或接受对招标报价及实质性内容进行更改。在澄清过程中不得向投标人提出不符合招标文件的要求。</w:t>
      </w:r>
    </w:p>
    <w:p>
      <w:pPr>
        <w:adjustRightInd w:val="0"/>
        <w:snapToGrid w:val="0"/>
        <w:ind w:firstLine="600"/>
        <w:rPr>
          <w:sz w:val="24"/>
        </w:rPr>
      </w:pPr>
      <w:r>
        <w:rPr>
          <w:sz w:val="24"/>
        </w:rPr>
        <w:t>评标委员会对所有需要澄清或补正的问题，应以书面形式向投标人进行澄清或补正。澄清或补正结果汇总纳入评标报告。</w:t>
      </w:r>
    </w:p>
    <w:p>
      <w:pPr>
        <w:adjustRightInd w:val="0"/>
        <w:snapToGrid w:val="0"/>
        <w:ind w:firstLine="482" w:firstLineChars="200"/>
        <w:rPr>
          <w:sz w:val="24"/>
        </w:rPr>
      </w:pPr>
      <w:r>
        <w:rPr>
          <w:b/>
          <w:sz w:val="24"/>
        </w:rPr>
        <w:t>5.5 评审结果的汇总</w:t>
      </w:r>
    </w:p>
    <w:p>
      <w:pPr>
        <w:adjustRightInd w:val="0"/>
        <w:snapToGrid w:val="0"/>
        <w:ind w:firstLine="600"/>
        <w:rPr>
          <w:sz w:val="24"/>
        </w:rPr>
      </w:pPr>
      <w:r>
        <w:rPr>
          <w:sz w:val="24"/>
        </w:rPr>
        <w:t>将每位评委的评分进行统计汇总，计分保留小数点后两位，第三位四舍五入。评委的汇总评分后的算术平均值，确定为该投标人的最终得分。在确定中标候选人顺序时，若有相同的最终评分，则依次按招标报价进行比较，低者顺序居前。</w:t>
      </w:r>
    </w:p>
    <w:p>
      <w:pPr>
        <w:pStyle w:val="11"/>
        <w:adjustRightInd w:val="0"/>
        <w:snapToGrid w:val="0"/>
        <w:spacing w:before="100" w:after="100"/>
        <w:ind w:firstLine="541"/>
        <w:rPr>
          <w:rFonts w:ascii="Times New Roman"/>
          <w:sz w:val="24"/>
          <w:szCs w:val="24"/>
        </w:rPr>
      </w:pPr>
      <w:r>
        <w:rPr>
          <w:rFonts w:ascii="Times New Roman"/>
          <w:sz w:val="24"/>
        </w:rPr>
        <w:t>通过全体评委汇签的方式确定评审结果。根据评标委员会的推荐，投标人得分排列前三名为</w:t>
      </w:r>
      <w:r>
        <w:rPr>
          <w:rFonts w:ascii="Times New Roman"/>
          <w:sz w:val="24"/>
          <w:szCs w:val="24"/>
        </w:rPr>
        <w:t>中标候选人。</w:t>
      </w:r>
    </w:p>
    <w:p>
      <w:pPr>
        <w:pStyle w:val="11"/>
        <w:adjustRightInd w:val="0"/>
        <w:snapToGrid w:val="0"/>
        <w:spacing w:before="100" w:after="100"/>
        <w:rPr>
          <w:rFonts w:ascii="Times New Roman"/>
          <w:sz w:val="24"/>
          <w:szCs w:val="24"/>
        </w:rPr>
      </w:pPr>
    </w:p>
    <w:p>
      <w:pPr>
        <w:spacing w:before="120" w:beforeLines="50" w:after="120" w:afterLines="50"/>
        <w:ind w:firstLine="482" w:firstLineChars="200"/>
        <w:rPr>
          <w:b/>
          <w:sz w:val="24"/>
          <w:szCs w:val="24"/>
        </w:rPr>
      </w:pPr>
      <w:bookmarkStart w:id="139" w:name="_Toc133322777"/>
      <w:r>
        <w:rPr>
          <w:b/>
          <w:sz w:val="24"/>
          <w:szCs w:val="24"/>
        </w:rPr>
        <w:t>6. 确定推荐的中标候选人</w:t>
      </w:r>
      <w:bookmarkEnd w:id="139"/>
    </w:p>
    <w:p>
      <w:pPr>
        <w:adjustRightInd w:val="0"/>
        <w:snapToGrid w:val="0"/>
        <w:ind w:firstLine="482" w:firstLineChars="200"/>
        <w:rPr>
          <w:sz w:val="24"/>
          <w:szCs w:val="24"/>
        </w:rPr>
      </w:pPr>
      <w:r>
        <w:rPr>
          <w:b/>
          <w:bCs/>
          <w:sz w:val="24"/>
          <w:szCs w:val="24"/>
        </w:rPr>
        <w:t>6.1</w:t>
      </w:r>
      <w:r>
        <w:rPr>
          <w:sz w:val="24"/>
          <w:szCs w:val="24"/>
        </w:rPr>
        <w:t>投标文件能够最大限度地满足招标文件中规定的各项综合评价标准。采购人不一定接受最低报价的投标文件。</w:t>
      </w:r>
    </w:p>
    <w:p>
      <w:pPr>
        <w:adjustRightInd w:val="0"/>
        <w:snapToGrid w:val="0"/>
        <w:ind w:firstLine="482" w:firstLineChars="200"/>
        <w:rPr>
          <w:sz w:val="24"/>
          <w:szCs w:val="24"/>
        </w:rPr>
      </w:pPr>
      <w:r>
        <w:rPr>
          <w:b/>
          <w:bCs/>
          <w:sz w:val="24"/>
          <w:szCs w:val="24"/>
        </w:rPr>
        <w:t>6.2</w:t>
      </w:r>
      <w:r>
        <w:rPr>
          <w:sz w:val="24"/>
          <w:szCs w:val="24"/>
        </w:rPr>
        <w:t>采购人根据评标结果选定中标候选人：采购人确定排名第一的中标候选人为中标候选人，但排名第一的中标候选人自动放弃中标或因不可抗力提出不能履行合同时，采购人可以确定排名第二的中标候选人为中标候选人，排名第二的中标候选人因上述同样原因不能签订的，采购人可以确定排名第三的中标候选人为中标候选人。如果前三名均放弃中标资格，采购人则重新组织招标。</w:t>
      </w:r>
    </w:p>
    <w:p>
      <w:pPr>
        <w:spacing w:before="120" w:beforeLines="50" w:after="120" w:afterLines="50"/>
        <w:ind w:firstLine="482" w:firstLineChars="200"/>
        <w:rPr>
          <w:b/>
          <w:sz w:val="24"/>
          <w:szCs w:val="24"/>
        </w:rPr>
      </w:pPr>
      <w:bookmarkStart w:id="140" w:name="_Toc133322778"/>
      <w:r>
        <w:rPr>
          <w:b/>
          <w:sz w:val="24"/>
          <w:szCs w:val="24"/>
        </w:rPr>
        <w:t>7．完成评标报告</w:t>
      </w:r>
      <w:bookmarkEnd w:id="140"/>
    </w:p>
    <w:p>
      <w:pPr>
        <w:adjustRightInd w:val="0"/>
        <w:snapToGrid w:val="0"/>
        <w:ind w:firstLine="480" w:firstLineChars="200"/>
        <w:rPr>
          <w:b/>
          <w:sz w:val="24"/>
          <w:szCs w:val="24"/>
        </w:rPr>
      </w:pPr>
      <w:r>
        <w:rPr>
          <w:sz w:val="24"/>
        </w:rPr>
        <w:t>评标委员会按《政府采购货物和服务招标投标管理办法》的规定编制评标报告，对于需要向中</w:t>
      </w:r>
      <w:r>
        <w:rPr>
          <w:sz w:val="24"/>
          <w:szCs w:val="24"/>
        </w:rPr>
        <w:t>标候选人进一步澄清、说明、补正的事宜应纳入评标报告，并由评标委员会主任签字或盖章确认。</w:t>
      </w:r>
    </w:p>
    <w:p>
      <w:pPr>
        <w:spacing w:before="120" w:beforeLines="50" w:after="120" w:afterLines="50"/>
        <w:ind w:firstLine="482" w:firstLineChars="200"/>
        <w:rPr>
          <w:b/>
          <w:sz w:val="24"/>
          <w:szCs w:val="24"/>
        </w:rPr>
      </w:pPr>
      <w:bookmarkStart w:id="141" w:name="_Toc133322779"/>
      <w:r>
        <w:rPr>
          <w:b/>
          <w:sz w:val="24"/>
          <w:szCs w:val="24"/>
        </w:rPr>
        <w:t>8. 评标工作纪律与保密要求</w:t>
      </w:r>
      <w:bookmarkEnd w:id="141"/>
    </w:p>
    <w:p>
      <w:pPr>
        <w:adjustRightInd w:val="0"/>
        <w:snapToGrid w:val="0"/>
        <w:ind w:firstLine="482" w:firstLineChars="200"/>
        <w:rPr>
          <w:sz w:val="24"/>
          <w:szCs w:val="24"/>
        </w:rPr>
      </w:pPr>
      <w:r>
        <w:rPr>
          <w:b/>
          <w:sz w:val="24"/>
          <w:szCs w:val="24"/>
        </w:rPr>
        <w:t>8.1</w:t>
      </w:r>
      <w:r>
        <w:rPr>
          <w:sz w:val="24"/>
          <w:szCs w:val="24"/>
        </w:rPr>
        <w:t>评标工作应严格按照评标程序和评标细则，遵循公平、公正、科学、择优的原则进行。</w:t>
      </w:r>
    </w:p>
    <w:p>
      <w:pPr>
        <w:adjustRightInd w:val="0"/>
        <w:snapToGrid w:val="0"/>
        <w:ind w:firstLine="482" w:firstLineChars="200"/>
        <w:rPr>
          <w:sz w:val="24"/>
          <w:szCs w:val="24"/>
        </w:rPr>
      </w:pPr>
      <w:r>
        <w:rPr>
          <w:b/>
          <w:sz w:val="24"/>
          <w:szCs w:val="24"/>
        </w:rPr>
        <w:t>8.2</w:t>
      </w:r>
      <w:r>
        <w:rPr>
          <w:sz w:val="24"/>
          <w:szCs w:val="24"/>
        </w:rPr>
        <w:t>评标委员会成员有下列情形之一的，应当主动提出回避。</w:t>
      </w:r>
    </w:p>
    <w:p>
      <w:pPr>
        <w:adjustRightInd w:val="0"/>
        <w:snapToGrid w:val="0"/>
        <w:ind w:firstLine="480" w:firstLineChars="200"/>
        <w:rPr>
          <w:sz w:val="24"/>
          <w:szCs w:val="24"/>
        </w:rPr>
      </w:pPr>
      <w:r>
        <w:rPr>
          <w:sz w:val="24"/>
          <w:szCs w:val="24"/>
        </w:rPr>
        <w:t>1、投标人或者投标人主要负责人的近亲属；</w:t>
      </w:r>
    </w:p>
    <w:p>
      <w:pPr>
        <w:adjustRightInd w:val="0"/>
        <w:snapToGrid w:val="0"/>
        <w:ind w:firstLine="480" w:firstLineChars="200"/>
        <w:rPr>
          <w:sz w:val="24"/>
        </w:rPr>
      </w:pPr>
      <w:r>
        <w:rPr>
          <w:sz w:val="24"/>
          <w:szCs w:val="24"/>
        </w:rPr>
        <w:t>2、项目主管部门或者行政监督</w:t>
      </w:r>
      <w:r>
        <w:rPr>
          <w:sz w:val="24"/>
        </w:rPr>
        <w:t>部门的人员；</w:t>
      </w:r>
    </w:p>
    <w:p>
      <w:pPr>
        <w:adjustRightInd w:val="0"/>
        <w:snapToGrid w:val="0"/>
        <w:ind w:firstLine="480" w:firstLineChars="200"/>
        <w:rPr>
          <w:sz w:val="24"/>
        </w:rPr>
      </w:pPr>
      <w:r>
        <w:rPr>
          <w:sz w:val="24"/>
        </w:rPr>
        <w:t>3、与投标人有经济利益关系，可能影响对投标公正评审的；</w:t>
      </w:r>
    </w:p>
    <w:p>
      <w:pPr>
        <w:tabs>
          <w:tab w:val="left" w:pos="1620"/>
        </w:tabs>
        <w:adjustRightInd w:val="0"/>
        <w:snapToGrid w:val="0"/>
        <w:ind w:firstLine="480" w:firstLineChars="200"/>
        <w:rPr>
          <w:sz w:val="24"/>
        </w:rPr>
      </w:pPr>
      <w:r>
        <w:rPr>
          <w:sz w:val="24"/>
        </w:rPr>
        <w:t>4、曾因在招标、评标以及其他与招标投标有关活动中从事 违法行为而受过行政或刑事处罚的。</w:t>
      </w:r>
    </w:p>
    <w:p>
      <w:pPr>
        <w:tabs>
          <w:tab w:val="left" w:pos="1620"/>
        </w:tabs>
        <w:adjustRightInd w:val="0"/>
        <w:snapToGrid w:val="0"/>
        <w:ind w:firstLine="480" w:firstLineChars="200"/>
        <w:rPr>
          <w:sz w:val="24"/>
        </w:rPr>
      </w:pPr>
      <w:r>
        <w:rPr>
          <w:sz w:val="24"/>
        </w:rPr>
        <w:t>8.3公开开标后，直至宣布授予合同为止，评标人员必须严格遵守保密规定，凡属于审查、澄清、评价的有关资料以及授予合同有关的信息，都不应向投标人或与该评标过程无关的其他人员泄漏。</w:t>
      </w:r>
    </w:p>
    <w:p>
      <w:pPr>
        <w:tabs>
          <w:tab w:val="left" w:pos="1620"/>
        </w:tabs>
        <w:adjustRightInd w:val="0"/>
        <w:snapToGrid w:val="0"/>
        <w:ind w:firstLine="480" w:firstLineChars="200"/>
        <w:rPr>
          <w:sz w:val="24"/>
        </w:rPr>
      </w:pPr>
      <w:r>
        <w:rPr>
          <w:sz w:val="24"/>
        </w:rPr>
        <w:t>8.4投标人在标书的审查、澄清、评标和比较以及授予合同决定的过程中，对有关人员施加影响的任何企图和行为，都可能导致投标人的投标被废止。</w:t>
      </w:r>
    </w:p>
    <w:p>
      <w:pPr>
        <w:tabs>
          <w:tab w:val="left" w:pos="1620"/>
        </w:tabs>
        <w:adjustRightInd w:val="0"/>
        <w:snapToGrid w:val="0"/>
        <w:spacing w:line="360" w:lineRule="auto"/>
        <w:rPr>
          <w:sz w:val="24"/>
        </w:rPr>
        <w:sectPr>
          <w:type w:val="nextColumn"/>
          <w:pgSz w:w="12240" w:h="15840"/>
          <w:pgMar w:top="1417" w:right="1020" w:bottom="1417" w:left="1191" w:header="964" w:footer="850" w:gutter="0"/>
          <w:pgNumType w:fmt="numberInDash"/>
          <w:cols w:space="720" w:num="1"/>
          <w:titlePg/>
          <w:docGrid w:linePitch="312" w:charSpace="0"/>
        </w:sectPr>
      </w:pPr>
    </w:p>
    <w:p>
      <w:pPr>
        <w:pStyle w:val="3"/>
        <w:rPr>
          <w:szCs w:val="22"/>
        </w:rPr>
      </w:pPr>
      <w:bookmarkStart w:id="142" w:name="_Toc20317"/>
      <w:r>
        <w:rPr>
          <w:rFonts w:hint="eastAsia"/>
          <w:szCs w:val="22"/>
        </w:rPr>
        <w:t>第七章</w:t>
      </w:r>
      <w:r>
        <w:rPr>
          <w:szCs w:val="22"/>
        </w:rPr>
        <w:t>：货物技术规格、参数与要求</w:t>
      </w:r>
      <w:bookmarkEnd w:id="142"/>
    </w:p>
    <w:p>
      <w:pPr>
        <w:rPr>
          <w:bCs/>
          <w:kern w:val="0"/>
          <w:sz w:val="24"/>
          <w:szCs w:val="24"/>
        </w:rPr>
      </w:pPr>
    </w:p>
    <w:p>
      <w:pPr>
        <w:pStyle w:val="4"/>
        <w:rPr>
          <w:rFonts w:ascii="宋体" w:hAnsi="宋体" w:eastAsia="宋体" w:cs="宋体"/>
          <w:sz w:val="28"/>
          <w:szCs w:val="22"/>
        </w:rPr>
      </w:pPr>
      <w:r>
        <w:rPr>
          <w:rFonts w:hint="eastAsia" w:ascii="宋体" w:hAnsi="宋体" w:eastAsia="宋体" w:cs="宋体"/>
          <w:sz w:val="28"/>
          <w:szCs w:val="22"/>
        </w:rPr>
        <w:t>详细清单</w:t>
      </w:r>
    </w:p>
    <w:tbl>
      <w:tblPr>
        <w:tblStyle w:val="18"/>
        <w:tblW w:w="99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62"/>
        <w:gridCol w:w="1418"/>
        <w:gridCol w:w="5966"/>
        <w:gridCol w:w="709"/>
        <w:gridCol w:w="708"/>
        <w:gridCol w:w="6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2" w:hRule="atLeast"/>
          <w:jc w:val="center"/>
        </w:trPr>
        <w:tc>
          <w:tcPr>
            <w:tcW w:w="562" w:type="dxa"/>
            <w:tcBorders>
              <w:top w:val="single" w:color="000000" w:sz="4" w:space="0"/>
              <w:left w:val="single" w:color="000000" w:sz="4" w:space="0"/>
              <w:bottom w:val="single" w:color="000000" w:sz="4" w:space="0"/>
              <w:right w:val="single" w:color="000000" w:sz="4" w:space="0"/>
            </w:tcBorders>
          </w:tcPr>
          <w:p>
            <w:pPr>
              <w:widowControl/>
              <w:spacing w:after="120"/>
              <w:jc w:val="center"/>
              <w:rPr>
                <w:kern w:val="0"/>
                <w:sz w:val="20"/>
              </w:rPr>
            </w:pPr>
            <w:r>
              <w:rPr>
                <w:rFonts w:hint="eastAsia"/>
                <w:kern w:val="0"/>
                <w:sz w:val="20"/>
              </w:rPr>
              <w:t>序号</w:t>
            </w:r>
          </w:p>
        </w:tc>
        <w:tc>
          <w:tcPr>
            <w:tcW w:w="1418"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r>
              <w:rPr>
                <w:rFonts w:hint="eastAsia"/>
                <w:kern w:val="0"/>
                <w:sz w:val="20"/>
              </w:rPr>
              <w:t>设备名称</w:t>
            </w:r>
          </w:p>
        </w:tc>
        <w:tc>
          <w:tcPr>
            <w:tcW w:w="5966"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r>
              <w:rPr>
                <w:rFonts w:hint="eastAsia"/>
                <w:kern w:val="0"/>
                <w:sz w:val="20"/>
              </w:rPr>
              <w:t>技术参数</w:t>
            </w:r>
          </w:p>
        </w:tc>
        <w:tc>
          <w:tcPr>
            <w:tcW w:w="709" w:type="dxa"/>
            <w:tcBorders>
              <w:top w:val="single" w:color="000000" w:sz="4" w:space="0"/>
              <w:left w:val="single" w:color="000000" w:sz="4" w:space="0"/>
              <w:bottom w:val="single" w:color="000000" w:sz="4" w:space="0"/>
              <w:right w:val="single" w:color="000000" w:sz="4" w:space="0"/>
            </w:tcBorders>
            <w:noWrap/>
            <w:vAlign w:val="center"/>
          </w:tcPr>
          <w:p>
            <w:pPr>
              <w:widowControl/>
              <w:spacing w:after="120"/>
              <w:jc w:val="center"/>
              <w:rPr>
                <w:kern w:val="0"/>
                <w:sz w:val="20"/>
              </w:rPr>
            </w:pPr>
            <w:r>
              <w:rPr>
                <w:rFonts w:hint="eastAsia"/>
                <w:kern w:val="0"/>
                <w:sz w:val="20"/>
              </w:rPr>
              <w:t>数量</w:t>
            </w:r>
          </w:p>
        </w:tc>
        <w:tc>
          <w:tcPr>
            <w:tcW w:w="708" w:type="dxa"/>
            <w:tcBorders>
              <w:top w:val="single" w:color="000000" w:sz="4" w:space="0"/>
              <w:left w:val="single" w:color="000000" w:sz="4" w:space="0"/>
              <w:bottom w:val="single" w:color="000000" w:sz="4" w:space="0"/>
              <w:right w:val="single" w:color="000000" w:sz="4" w:space="0"/>
            </w:tcBorders>
            <w:noWrap/>
            <w:vAlign w:val="center"/>
          </w:tcPr>
          <w:p>
            <w:pPr>
              <w:widowControl/>
              <w:spacing w:after="120"/>
              <w:jc w:val="center"/>
              <w:rPr>
                <w:kern w:val="0"/>
                <w:sz w:val="20"/>
              </w:rPr>
            </w:pPr>
            <w:r>
              <w:rPr>
                <w:rFonts w:hint="eastAsia"/>
                <w:kern w:val="0"/>
                <w:sz w:val="20"/>
              </w:rPr>
              <w:t>单位</w:t>
            </w:r>
          </w:p>
        </w:tc>
        <w:tc>
          <w:tcPr>
            <w:tcW w:w="634"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r>
              <w:rPr>
                <w:rFonts w:hint="eastAsia"/>
                <w:kern w:val="0"/>
                <w:sz w:val="2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jc w:val="center"/>
        </w:trPr>
        <w:tc>
          <w:tcPr>
            <w:tcW w:w="562" w:type="dxa"/>
            <w:tcBorders>
              <w:top w:val="single" w:color="000000" w:sz="4" w:space="0"/>
              <w:left w:val="single" w:color="000000" w:sz="4" w:space="0"/>
              <w:bottom w:val="single" w:color="000000" w:sz="4" w:space="0"/>
              <w:right w:val="single" w:color="000000" w:sz="4" w:space="0"/>
            </w:tcBorders>
          </w:tcPr>
          <w:p>
            <w:pPr>
              <w:spacing w:line="400" w:lineRule="exact"/>
              <w:rPr>
                <w:kern w:val="0"/>
                <w:sz w:val="20"/>
              </w:rPr>
            </w:pPr>
            <w:r>
              <w:rPr>
                <w:rFonts w:hint="eastAsia"/>
                <w:kern w:val="0"/>
                <w:sz w:val="20"/>
              </w:rPr>
              <w:t>1</w:t>
            </w:r>
          </w:p>
        </w:tc>
        <w:tc>
          <w:tcPr>
            <w:tcW w:w="1418" w:type="dxa"/>
            <w:tcBorders>
              <w:top w:val="single" w:color="000000" w:sz="4" w:space="0"/>
              <w:left w:val="single" w:color="000000" w:sz="4" w:space="0"/>
              <w:bottom w:val="single" w:color="000000" w:sz="4" w:space="0"/>
              <w:right w:val="single" w:color="000000" w:sz="4" w:space="0"/>
            </w:tcBorders>
          </w:tcPr>
          <w:p>
            <w:pPr>
              <w:pStyle w:val="26"/>
              <w:ind w:firstLine="400"/>
              <w:jc w:val="center"/>
              <w:rPr>
                <w:bCs w:val="0"/>
                <w:kern w:val="0"/>
                <w:sz w:val="20"/>
                <w:szCs w:val="20"/>
              </w:rPr>
            </w:pPr>
            <w:r>
              <w:rPr>
                <w:rFonts w:hint="eastAsia"/>
                <w:bCs w:val="0"/>
                <w:kern w:val="0"/>
                <w:sz w:val="20"/>
                <w:szCs w:val="20"/>
              </w:rPr>
              <w:t>全自动水工材料界面剪切渗透溶蚀耦合试验系统</w:t>
            </w:r>
          </w:p>
          <w:p>
            <w:pPr>
              <w:widowControl/>
              <w:textAlignment w:val="center"/>
              <w:rPr>
                <w:rFonts w:ascii="宋体" w:hAnsi="宋体" w:cs="宋体"/>
                <w:kern w:val="0"/>
                <w:sz w:val="20"/>
              </w:rPr>
            </w:pPr>
          </w:p>
        </w:tc>
        <w:tc>
          <w:tcPr>
            <w:tcW w:w="59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left"/>
              <w:rPr>
                <w:kern w:val="0"/>
                <w:sz w:val="20"/>
              </w:rPr>
            </w:pPr>
            <w:r>
              <w:rPr>
                <w:rFonts w:hint="eastAsia" w:cs="宋体"/>
                <w:kern w:val="0"/>
                <w:sz w:val="20"/>
              </w:rPr>
              <w:t>*</w:t>
            </w:r>
            <w:r>
              <w:rPr>
                <w:rFonts w:hint="eastAsia"/>
                <w:kern w:val="0"/>
                <w:sz w:val="20"/>
              </w:rPr>
              <w:t>1、加载实现软件全自动控制、伺服反馈，最大垂直力不小于5</w:t>
            </w:r>
            <w:r>
              <w:rPr>
                <w:kern w:val="0"/>
                <w:sz w:val="20"/>
              </w:rPr>
              <w:t>0</w:t>
            </w:r>
            <w:r>
              <w:rPr>
                <w:rFonts w:hint="eastAsia"/>
                <w:kern w:val="0"/>
                <w:sz w:val="20"/>
              </w:rPr>
              <w:t>kN，最大水平剪切力不小于10</w:t>
            </w:r>
            <w:r>
              <w:rPr>
                <w:kern w:val="0"/>
                <w:sz w:val="20"/>
              </w:rPr>
              <w:t>0</w:t>
            </w:r>
            <w:r>
              <w:rPr>
                <w:rFonts w:hint="eastAsia"/>
                <w:kern w:val="0"/>
                <w:sz w:val="20"/>
              </w:rPr>
              <w:t>kN，能够进行快剪、标准固结剪、往复剪切、残余强度剪切试验、流变测试模块、界面剪切试验、溶蚀渗透试验、以及剪切渗透溶蚀耦合等试验，配套240*192非触摸式LCD，并配套20位实体薄膜按键。</w:t>
            </w:r>
          </w:p>
          <w:p>
            <w:pPr>
              <w:spacing w:line="360" w:lineRule="auto"/>
              <w:jc w:val="left"/>
              <w:rPr>
                <w:kern w:val="0"/>
                <w:sz w:val="20"/>
              </w:rPr>
            </w:pPr>
            <w:r>
              <w:rPr>
                <w:rFonts w:hint="eastAsia"/>
                <w:kern w:val="0"/>
                <w:sz w:val="20"/>
              </w:rPr>
              <w:t xml:space="preserve"> 2、剪切盒（需要提供实物照片以及原理说明）：采用耐酸碱腐蚀材质，上剪切盒直径为</w:t>
            </w:r>
            <w:r>
              <w:rPr>
                <w:kern w:val="0"/>
                <w:sz w:val="20"/>
              </w:rPr>
              <w:t>100</w:t>
            </w:r>
            <w:r>
              <w:rPr>
                <w:rFonts w:hint="eastAsia"/>
                <w:kern w:val="0"/>
                <w:sz w:val="20"/>
              </w:rPr>
              <w:t>mm，试样高度</w:t>
            </w:r>
            <w:r>
              <w:rPr>
                <w:kern w:val="0"/>
                <w:sz w:val="20"/>
              </w:rPr>
              <w:t>8</w:t>
            </w:r>
            <w:r>
              <w:rPr>
                <w:rFonts w:hint="eastAsia"/>
                <w:kern w:val="0"/>
                <w:sz w:val="20"/>
              </w:rPr>
              <w:t>0mm，下剪切盒</w:t>
            </w:r>
            <w:r>
              <w:rPr>
                <w:kern w:val="0"/>
                <w:sz w:val="20"/>
              </w:rPr>
              <w:t>100</w:t>
            </w:r>
            <w:r>
              <w:rPr>
                <w:rFonts w:hint="eastAsia"/>
                <w:kern w:val="0"/>
                <w:sz w:val="20"/>
              </w:rPr>
              <w:t>*80mm；上下剪切盒之间必须耐2MPa水压密封，剪切盒之间没有水渗透，上下剪切盒还必须保证径向密封，耐2MPa水压力。</w:t>
            </w:r>
          </w:p>
          <w:p>
            <w:pPr>
              <w:spacing w:line="360" w:lineRule="auto"/>
              <w:jc w:val="left"/>
              <w:rPr>
                <w:kern w:val="0"/>
                <w:sz w:val="20"/>
              </w:rPr>
            </w:pPr>
            <w:r>
              <w:rPr>
                <w:rFonts w:hint="eastAsia"/>
                <w:kern w:val="0"/>
                <w:sz w:val="20"/>
              </w:rPr>
              <w:t>3、垂直加载系统：最大法向力不小于50kN，控制精度+/-3N，法向应力通过垂直力传感器闭环控制，量程50kN，分辨率1N，精度+/-0.1%F.S，采用伺服加载系统；</w:t>
            </w:r>
          </w:p>
          <w:p>
            <w:pPr>
              <w:spacing w:line="360" w:lineRule="auto"/>
              <w:jc w:val="left"/>
              <w:rPr>
                <w:kern w:val="0"/>
                <w:sz w:val="20"/>
              </w:rPr>
            </w:pPr>
            <w:r>
              <w:rPr>
                <w:rFonts w:hint="eastAsia" w:cs="宋体"/>
                <w:kern w:val="0"/>
                <w:sz w:val="20"/>
              </w:rPr>
              <w:t>*</w:t>
            </w:r>
            <w:r>
              <w:rPr>
                <w:rFonts w:hint="eastAsia"/>
                <w:kern w:val="0"/>
                <w:sz w:val="20"/>
              </w:rPr>
              <w:t>4、水平加载系统：最大剪切力不小于1</w:t>
            </w:r>
            <w:r>
              <w:rPr>
                <w:kern w:val="0"/>
                <w:sz w:val="20"/>
              </w:rPr>
              <w:t>0</w:t>
            </w:r>
            <w:r>
              <w:rPr>
                <w:rFonts w:hint="eastAsia"/>
                <w:kern w:val="0"/>
                <w:sz w:val="20"/>
              </w:rPr>
              <w:t>0kN，控制精度+/-3N，剪切应力通过剪切力传感器测量，量程100kN，分辨率1N，精度+/-0.1%F.S，采用伺服电机加载系统，流变测试模块通过荷重传感器伺服控制；剪切速度：0.00001～50mm/min，无级调速；最大行程25mm，位移精度+/-0.003mm，分辨率0.001mm；</w:t>
            </w:r>
          </w:p>
          <w:p>
            <w:pPr>
              <w:spacing w:line="360" w:lineRule="auto"/>
              <w:jc w:val="left"/>
              <w:rPr>
                <w:kern w:val="0"/>
                <w:sz w:val="20"/>
              </w:rPr>
            </w:pPr>
            <w:r>
              <w:rPr>
                <w:rFonts w:hint="eastAsia"/>
                <w:kern w:val="0"/>
                <w:sz w:val="20"/>
              </w:rPr>
              <w:t>5、垂直位移：量程不小于12.7mm，分辨率1μm，精度3μm，并且实现数据计算机实时采集。</w:t>
            </w:r>
          </w:p>
          <w:p>
            <w:pPr>
              <w:spacing w:line="360" w:lineRule="auto"/>
              <w:jc w:val="left"/>
              <w:rPr>
                <w:kern w:val="0"/>
                <w:sz w:val="20"/>
              </w:rPr>
            </w:pPr>
            <w:r>
              <w:rPr>
                <w:rFonts w:hint="eastAsia"/>
                <w:kern w:val="0"/>
                <w:sz w:val="20"/>
              </w:rPr>
              <w:t>6、一套计算机采集、加载控制软件（必须提供软件截图以及详细使用说明书，中文版软件）：标准固结模块；标准剪切模块；快剪模块；循环剪切模块；流变测试模块；界面剪切试验；溶蚀渗透试验；</w:t>
            </w:r>
            <w:r>
              <w:rPr>
                <w:rFonts w:hint="eastAsia" w:ascii="宋体" w:hAnsi="宋体"/>
                <w:bCs/>
                <w:kern w:val="0"/>
                <w:sz w:val="20"/>
              </w:rPr>
              <w:t>剪切渗透溶蚀耦合</w:t>
            </w:r>
            <w:r>
              <w:rPr>
                <w:rFonts w:hint="eastAsia"/>
                <w:kern w:val="0"/>
                <w:sz w:val="20"/>
              </w:rPr>
              <w:t>等试验；配套数据后处理模块，绘制强度曲线，计算内摩擦角和粘聚力等参数。</w:t>
            </w:r>
          </w:p>
          <w:p>
            <w:pPr>
              <w:spacing w:line="360" w:lineRule="auto"/>
              <w:jc w:val="left"/>
              <w:rPr>
                <w:kern w:val="0"/>
                <w:sz w:val="20"/>
              </w:rPr>
            </w:pPr>
            <w:r>
              <w:rPr>
                <w:rFonts w:hint="eastAsia"/>
                <w:kern w:val="0"/>
                <w:sz w:val="20"/>
              </w:rPr>
              <w:t>7、自带240*128</w:t>
            </w:r>
            <w:r>
              <w:rPr>
                <w:kern w:val="0"/>
                <w:sz w:val="20"/>
              </w:rPr>
              <w:t xml:space="preserve"> </w:t>
            </w:r>
            <w:r>
              <w:rPr>
                <w:rFonts w:hint="eastAsia"/>
                <w:kern w:val="0"/>
                <w:sz w:val="20"/>
              </w:rPr>
              <w:t>LCD和20位多功能按键，实现手动伺服控制和计算机全自动伺服控制；</w:t>
            </w:r>
          </w:p>
          <w:p>
            <w:pPr>
              <w:pStyle w:val="26"/>
              <w:ind w:firstLine="0" w:firstLineChars="0"/>
              <w:jc w:val="left"/>
              <w:rPr>
                <w:rFonts w:ascii="宋体" w:hAnsi="宋体"/>
                <w:kern w:val="0"/>
                <w:sz w:val="20"/>
                <w:szCs w:val="20"/>
              </w:rPr>
            </w:pPr>
            <w:r>
              <w:rPr>
                <w:rFonts w:hint="eastAsia" w:cs="宋体"/>
                <w:kern w:val="0"/>
                <w:sz w:val="20"/>
                <w:szCs w:val="20"/>
              </w:rPr>
              <w:t>*</w:t>
            </w:r>
            <w:r>
              <w:rPr>
                <w:rFonts w:hint="eastAsia" w:ascii="宋体" w:hAnsi="宋体"/>
                <w:kern w:val="0"/>
                <w:sz w:val="20"/>
                <w:szCs w:val="20"/>
              </w:rPr>
              <w:t>8、剪切渗透溶蚀耦合装置：配套上下控制器，压力不小于2 MPa，分辨率1kPa，稳压波动+/-1kPa，容积不小于300ml，配USB通讯接口，内置16位实体薄膜按键，196*64高分辨率非触摸式液晶。防止超过压力和体积的自动保护装置。压力调节和显示到1kPa。配套LED灯，用于实时显示仪器工作状态。</w:t>
            </w:r>
          </w:p>
          <w:p>
            <w:pPr>
              <w:pStyle w:val="26"/>
              <w:ind w:firstLine="0" w:firstLineChars="0"/>
              <w:jc w:val="left"/>
              <w:rPr>
                <w:rFonts w:ascii="宋体" w:hAnsi="宋体"/>
                <w:kern w:val="0"/>
                <w:sz w:val="20"/>
                <w:szCs w:val="20"/>
              </w:rPr>
            </w:pPr>
            <w:r>
              <w:rPr>
                <w:rFonts w:hint="eastAsia" w:ascii="宋体" w:hAnsi="宋体"/>
                <w:kern w:val="0"/>
                <w:sz w:val="20"/>
                <w:szCs w:val="20"/>
              </w:rPr>
              <w:t>9、配套污染物隔离装置，用于隔离化学溶液对关键设备的腐蚀</w:t>
            </w:r>
            <w:r>
              <w:rPr>
                <w:rFonts w:hint="eastAsia"/>
                <w:kern w:val="0"/>
                <w:sz w:val="20"/>
                <w:szCs w:val="20"/>
              </w:rPr>
              <w:t>。10、温控范围：-30~+150℃，采用液体循环，</w:t>
            </w:r>
            <w:r>
              <w:rPr>
                <w:kern w:val="0"/>
                <w:sz w:val="20"/>
                <w:szCs w:val="20"/>
              </w:rPr>
              <w:t>配套温度传感器，温度控制精度+/-0.</w:t>
            </w:r>
            <w:r>
              <w:rPr>
                <w:rFonts w:hint="eastAsia"/>
                <w:kern w:val="0"/>
                <w:sz w:val="20"/>
                <w:szCs w:val="20"/>
              </w:rPr>
              <w:t>01</w:t>
            </w:r>
            <w:r>
              <w:rPr>
                <w:rFonts w:hint="eastAsia" w:ascii="宋体" w:hAnsi="宋体" w:cs="宋体"/>
                <w:kern w:val="0"/>
                <w:sz w:val="20"/>
                <w:szCs w:val="20"/>
              </w:rPr>
              <w:t>℃</w:t>
            </w:r>
            <w:r>
              <w:rPr>
                <w:kern w:val="0"/>
                <w:sz w:val="20"/>
                <w:szCs w:val="20"/>
              </w:rPr>
              <w:t>，温度控制器自带液晶屏和薄膜按键，既可以通过按键控制，也可以通过计算机软件实时控制，可通过软件设置每个试验阶段的温度，实时计算机控制，实现实时闭环控制。</w:t>
            </w:r>
          </w:p>
        </w:tc>
        <w:tc>
          <w:tcPr>
            <w:tcW w:w="709" w:type="dxa"/>
            <w:tcBorders>
              <w:top w:val="single" w:color="000000" w:sz="4" w:space="0"/>
              <w:left w:val="single" w:color="000000" w:sz="4" w:space="0"/>
              <w:bottom w:val="single" w:color="000000" w:sz="4" w:space="0"/>
              <w:right w:val="single" w:color="000000" w:sz="4" w:space="0"/>
            </w:tcBorders>
            <w:noWrap/>
          </w:tcPr>
          <w:p>
            <w:pPr>
              <w:widowControl/>
              <w:jc w:val="center"/>
              <w:textAlignment w:val="center"/>
              <w:rPr>
                <w:kern w:val="0"/>
                <w:sz w:val="20"/>
              </w:rPr>
            </w:pPr>
            <w:r>
              <w:rPr>
                <w:rFonts w:hint="eastAsia"/>
                <w:kern w:val="0"/>
                <w:sz w:val="20"/>
              </w:rPr>
              <w:t>1</w:t>
            </w:r>
          </w:p>
        </w:tc>
        <w:tc>
          <w:tcPr>
            <w:tcW w:w="708" w:type="dxa"/>
            <w:tcBorders>
              <w:top w:val="single" w:color="000000" w:sz="4" w:space="0"/>
              <w:left w:val="single" w:color="000000" w:sz="4" w:space="0"/>
              <w:bottom w:val="single" w:color="000000" w:sz="4" w:space="0"/>
              <w:right w:val="single" w:color="000000" w:sz="4" w:space="0"/>
            </w:tcBorders>
            <w:noWrap/>
          </w:tcPr>
          <w:p>
            <w:pPr>
              <w:widowControl/>
              <w:spacing w:after="120"/>
              <w:jc w:val="center"/>
              <w:rPr>
                <w:kern w:val="0"/>
                <w:sz w:val="20"/>
              </w:rPr>
            </w:pPr>
            <w:r>
              <w:rPr>
                <w:rFonts w:hint="eastAsia"/>
                <w:kern w:val="0"/>
                <w:sz w:val="20"/>
              </w:rPr>
              <w:t>套</w:t>
            </w:r>
          </w:p>
        </w:tc>
        <w:tc>
          <w:tcPr>
            <w:tcW w:w="634"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50" w:hRule="atLeast"/>
          <w:jc w:val="center"/>
        </w:trPr>
        <w:tc>
          <w:tcPr>
            <w:tcW w:w="562" w:type="dxa"/>
            <w:tcBorders>
              <w:top w:val="single" w:color="000000" w:sz="4" w:space="0"/>
              <w:left w:val="single" w:color="000000" w:sz="4" w:space="0"/>
              <w:bottom w:val="single" w:color="000000" w:sz="4" w:space="0"/>
              <w:right w:val="single" w:color="000000" w:sz="4" w:space="0"/>
            </w:tcBorders>
          </w:tcPr>
          <w:p>
            <w:pPr>
              <w:spacing w:line="400" w:lineRule="exact"/>
              <w:rPr>
                <w:kern w:val="0"/>
                <w:sz w:val="20"/>
              </w:rPr>
            </w:pPr>
            <w:r>
              <w:rPr>
                <w:rFonts w:hint="eastAsia"/>
                <w:kern w:val="0"/>
                <w:sz w:val="20"/>
              </w:rPr>
              <w:t>2</w:t>
            </w:r>
          </w:p>
        </w:tc>
        <w:tc>
          <w:tcPr>
            <w:tcW w:w="1418" w:type="dxa"/>
            <w:tcBorders>
              <w:top w:val="single" w:color="000000" w:sz="4" w:space="0"/>
              <w:left w:val="single" w:color="000000" w:sz="4" w:space="0"/>
              <w:bottom w:val="single" w:color="000000" w:sz="4" w:space="0"/>
              <w:right w:val="single" w:color="000000" w:sz="4" w:space="0"/>
            </w:tcBorders>
          </w:tcPr>
          <w:p>
            <w:pPr>
              <w:widowControl/>
              <w:textAlignment w:val="center"/>
              <w:rPr>
                <w:rFonts w:ascii="宋体" w:hAnsi="宋体" w:cs="宋体"/>
                <w:kern w:val="0"/>
                <w:sz w:val="20"/>
              </w:rPr>
            </w:pPr>
            <w:r>
              <w:rPr>
                <w:rFonts w:hint="eastAsia" w:ascii="宋体" w:hAnsi="宋体" w:cs="宋体"/>
                <w:kern w:val="0"/>
                <w:sz w:val="20"/>
              </w:rPr>
              <w:t>冻土三轴仪（2</w:t>
            </w:r>
            <w:r>
              <w:rPr>
                <w:rFonts w:ascii="宋体" w:hAnsi="宋体" w:cs="宋体"/>
                <w:kern w:val="0"/>
                <w:sz w:val="20"/>
              </w:rPr>
              <w:t>00KN</w:t>
            </w:r>
            <w:r>
              <w:rPr>
                <w:rFonts w:hint="eastAsia" w:ascii="宋体" w:hAnsi="宋体" w:cs="宋体"/>
                <w:kern w:val="0"/>
                <w:sz w:val="20"/>
              </w:rPr>
              <w:t>）</w:t>
            </w:r>
          </w:p>
        </w:tc>
        <w:tc>
          <w:tcPr>
            <w:tcW w:w="59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left"/>
            </w:pPr>
            <w:r>
              <w:rPr>
                <w:rFonts w:hint="eastAsia"/>
              </w:rPr>
              <w:t>主要参数：</w:t>
            </w:r>
          </w:p>
          <w:p>
            <w:pPr>
              <w:spacing w:line="360" w:lineRule="auto"/>
              <w:jc w:val="left"/>
            </w:pPr>
            <w:r>
              <w:rPr>
                <w:rFonts w:hint="eastAsia"/>
              </w:rPr>
              <w:t>*（1）双腔压力室：外腔用于控温，内腔用于施加围压，试样尺寸：Ø101*200mm，配套温控压力室，用于温度控制；</w:t>
            </w:r>
          </w:p>
          <w:p>
            <w:pPr>
              <w:spacing w:line="360" w:lineRule="auto"/>
              <w:jc w:val="left"/>
            </w:pPr>
            <w:r>
              <w:rPr>
                <w:rFonts w:hint="eastAsia"/>
              </w:rPr>
              <w:t>（2）温度控制器温控范围：-30~+99℃，采用液体循环，配套温度传感器，传感器必须内置试样底部，测量试样内部真实温度，温度控制精度+/-0.1℃，温度控制器自带液晶屏和薄膜按键；</w:t>
            </w:r>
          </w:p>
          <w:p>
            <w:pPr>
              <w:spacing w:line="360" w:lineRule="auto"/>
              <w:jc w:val="left"/>
            </w:pPr>
            <w:r>
              <w:rPr>
                <w:rFonts w:hint="eastAsia"/>
              </w:rPr>
              <w:t>*（3）主机： 240*128LCD显示，速率0.00001~9.99999㎜∕min，无级调速，最大轴力</w:t>
            </w:r>
            <w:r>
              <w:rPr>
                <w:rFonts w:hint="eastAsia"/>
                <w:kern w:val="0"/>
                <w:sz w:val="20"/>
              </w:rPr>
              <w:t>不小于</w:t>
            </w:r>
            <w:r>
              <w:rPr>
                <w:rFonts w:hint="eastAsia"/>
              </w:rPr>
              <w:t>200kN，配200kN荷重传感器，精度+/-0.1%F.S；主机前端面板内嵌16位薄膜按键控制(非外置型连接按键控制器)，内置4通道采集仪（非外置型采集仪），可采集孔压、LVDT、PT100温度传感器等各类传感器，配套4套LED状态指示灯，用于显示仪器工作状态；</w:t>
            </w:r>
          </w:p>
          <w:p>
            <w:pPr>
              <w:spacing w:line="360" w:lineRule="auto"/>
              <w:jc w:val="left"/>
            </w:pPr>
            <w:r>
              <w:rPr>
                <w:rFonts w:hint="eastAsia"/>
              </w:rPr>
              <w:t>（4）围压体积控制器：0~3MPa，分辨率不大于1kPa，绝对精度不大于2kPa，体积不小于250ml；配USB接口，配套非外置型连接按键控制器和非触摸液晶屏。防止超过压力和体积的自动保护装置。压力调节和显示到1kPa。</w:t>
            </w:r>
          </w:p>
          <w:p>
            <w:pPr>
              <w:spacing w:line="360" w:lineRule="auto"/>
              <w:jc w:val="left"/>
            </w:pPr>
            <w:r>
              <w:rPr>
                <w:rFonts w:hint="eastAsia"/>
              </w:rPr>
              <w:t>*（5）反压体积控制器：0~3MPa，分辨率不大于1kPa，绝对精度不大于2kPa，体积不小于250ml；配USB接口，配套非外置型连接按键控制器和非触摸液晶屏。防止超过压力和体积的自动保护装置。压力调节和显示到1kPa。</w:t>
            </w:r>
          </w:p>
          <w:p>
            <w:pPr>
              <w:spacing w:line="360" w:lineRule="auto"/>
              <w:jc w:val="left"/>
            </w:pPr>
            <w:r>
              <w:rPr>
                <w:rFonts w:hint="eastAsia"/>
              </w:rPr>
              <w:t>（6）排水：至少250 ml，分辨率不大于0.001ml，精度不小于+/-0.01ml;</w:t>
            </w:r>
          </w:p>
          <w:p>
            <w:pPr>
              <w:spacing w:line="360" w:lineRule="auto"/>
              <w:jc w:val="left"/>
            </w:pPr>
            <w:r>
              <w:rPr>
                <w:rFonts w:hint="eastAsia"/>
              </w:rPr>
              <w:t>（7）体变：至少250 ml，分辨率不大于0.001ml，精度不小于+/-0.01ml；</w:t>
            </w:r>
          </w:p>
          <w:p>
            <w:pPr>
              <w:spacing w:line="360" w:lineRule="auto"/>
              <w:jc w:val="left"/>
            </w:pPr>
            <w:r>
              <w:rPr>
                <w:rFonts w:hint="eastAsia"/>
              </w:rPr>
              <w:t>（8）孔压0-3MPa，精度+/-0.1%F.S；</w:t>
            </w:r>
          </w:p>
          <w:p>
            <w:pPr>
              <w:spacing w:line="360" w:lineRule="auto"/>
              <w:jc w:val="left"/>
            </w:pPr>
            <w:r>
              <w:rPr>
                <w:rFonts w:hint="eastAsia"/>
              </w:rPr>
              <w:t>（9）配套全自动三轴测试软件V3.11</w:t>
            </w:r>
            <w:r>
              <w:rPr>
                <w:rFonts w:hint="eastAsia"/>
                <w:kern w:val="0"/>
                <w:sz w:val="20"/>
              </w:rPr>
              <w:t>（必须提供软件截图以及详细使用说明书，中文版软件）</w:t>
            </w:r>
            <w:r>
              <w:rPr>
                <w:rFonts w:hint="eastAsia"/>
              </w:rPr>
              <w:t>，具有以下试验模块：数据采集模块；B检测；反压饱和试验；各向同性固结试验和各向异性固结（预接触）；不固结-不排水试验（U-U）；固结-不排水试验（C-U）可测孔压；固结-排水试验（C-D）可测体积变化；应力路径模块；k0固结试验模块（可选配小应变水下内置LVDT-位移传感器）；三轴流变试验模块（分级加载和分别加载）；传感器标定模块。</w:t>
            </w:r>
          </w:p>
          <w:p>
            <w:pPr>
              <w:spacing w:line="360" w:lineRule="auto"/>
              <w:jc w:val="left"/>
            </w:pPr>
            <w:r>
              <w:rPr>
                <w:rFonts w:hint="eastAsia"/>
              </w:rPr>
              <w:t>该软件具体有以下功能：</w:t>
            </w:r>
          </w:p>
          <w:p>
            <w:pPr>
              <w:spacing w:line="360" w:lineRule="auto"/>
              <w:jc w:val="left"/>
            </w:pPr>
            <w:r>
              <w:rPr>
                <w:rFonts w:hint="eastAsia"/>
              </w:rPr>
              <w:t>1）试验过程全自动控制：计算机能够自动控制整个试验过程，其中包括试验控制和数据的采集、自动保存等；</w:t>
            </w:r>
          </w:p>
          <w:p>
            <w:pPr>
              <w:spacing w:line="360" w:lineRule="auto"/>
              <w:jc w:val="left"/>
            </w:pPr>
            <w:r>
              <w:rPr>
                <w:rFonts w:hint="eastAsia"/>
              </w:rPr>
              <w:t>2） 用于试验中控制和试验后数据处理的 Windows 版软件，支持Windows10和11系统；</w:t>
            </w:r>
          </w:p>
          <w:p>
            <w:pPr>
              <w:spacing w:line="360" w:lineRule="auto"/>
              <w:jc w:val="left"/>
            </w:pPr>
            <w:r>
              <w:rPr>
                <w:rFonts w:hint="eastAsia"/>
              </w:rPr>
              <w:t>3）控制方式：既可以应变式控制，也可以应力式控制；</w:t>
            </w:r>
          </w:p>
          <w:p>
            <w:pPr>
              <w:spacing w:line="360" w:lineRule="auto"/>
              <w:jc w:val="left"/>
            </w:pPr>
            <w:r>
              <w:rPr>
                <w:rFonts w:hint="eastAsia"/>
              </w:rPr>
              <w:t>4）试验模块控制：软件采用多个试验模块进行控制，包括数据采集模块、反压饱和模块、UU、CU、CD试验模块、应力路径模块、k0固结试验模块（可选配小应变水下内置LVDT-位移传感器）、三轴流变试验模块（分级加载和分别加载）、传感器标定等模块；自动采集、实时保存各类参数，可根据试验方案设计对试验模块进行任意的组合；</w:t>
            </w:r>
          </w:p>
          <w:p>
            <w:pPr>
              <w:spacing w:line="360" w:lineRule="auto"/>
              <w:jc w:val="left"/>
            </w:pPr>
            <w:r>
              <w:rPr>
                <w:rFonts w:hint="eastAsia"/>
              </w:rPr>
              <w:t>5）软件数据采集：软件系统对数据进行自动的存储和显示，软件试验显示部分采用双 Y 坐标显示，可对坐标显示参数进行任意更换，可同时显示3个图形窗口（均采用双 Y 坐标显示，可自行设置X和双Y显示对象）；</w:t>
            </w:r>
          </w:p>
          <w:p>
            <w:pPr>
              <w:spacing w:line="360" w:lineRule="auto"/>
              <w:jc w:val="left"/>
            </w:pPr>
            <w:r>
              <w:rPr>
                <w:rFonts w:hint="eastAsia"/>
              </w:rPr>
              <w:t>6）传感器标定：软件系统自带传感器标定模块，可对传感器等进行标定；</w:t>
            </w:r>
          </w:p>
          <w:p>
            <w:pPr>
              <w:spacing w:line="360" w:lineRule="auto"/>
              <w:jc w:val="left"/>
            </w:pPr>
            <w:r>
              <w:rPr>
                <w:rFonts w:hint="eastAsia"/>
              </w:rPr>
              <w:t>7） 数据显示界面：至少3个显示界面，可设置实时显示数据，进行自由切换；可缩放曲线；可复制图表、保存图表、打印图表以及显示曲线上点的坐标等功能；</w:t>
            </w:r>
          </w:p>
          <w:p>
            <w:pPr>
              <w:spacing w:line="360" w:lineRule="auto"/>
              <w:jc w:val="left"/>
            </w:pPr>
            <w:r>
              <w:rPr>
                <w:rFonts w:hint="eastAsia"/>
              </w:rPr>
              <w:t xml:space="preserve">8）数据处理模块：选择至少3个不同围压的试验数据，可自动绘制莫尔圆、计算C、￠值。 </w:t>
            </w:r>
          </w:p>
          <w:p>
            <w:pPr>
              <w:spacing w:line="360" w:lineRule="auto"/>
              <w:jc w:val="left"/>
            </w:pPr>
            <w:r>
              <w:rPr>
                <w:rFonts w:hint="eastAsia"/>
              </w:rPr>
              <w:t>（10）、沥青三轴试验附件以及相应软件。</w:t>
            </w:r>
          </w:p>
          <w:p>
            <w:pPr>
              <w:spacing w:line="360" w:lineRule="auto"/>
              <w:jc w:val="left"/>
            </w:pPr>
            <w:r>
              <w:rPr>
                <w:rFonts w:hint="eastAsia"/>
              </w:rPr>
              <w:t>（11）、冻土三轴试验附件以及相应软件。</w:t>
            </w:r>
          </w:p>
          <w:p>
            <w:pPr>
              <w:jc w:val="left"/>
              <w:rPr>
                <w:rFonts w:ascii="仿宋" w:hAnsi="仿宋" w:eastAsia="仿宋"/>
                <w:b/>
                <w:sz w:val="32"/>
                <w:szCs w:val="32"/>
                <w:u w:val="single"/>
              </w:rPr>
            </w:pPr>
            <w:r>
              <w:rPr>
                <w:rFonts w:hint="eastAsia" w:ascii="仿宋" w:hAnsi="仿宋" w:eastAsia="仿宋"/>
                <w:b/>
                <w:sz w:val="32"/>
                <w:szCs w:val="32"/>
                <w:u w:val="single"/>
              </w:rPr>
              <w:t>主要配置</w:t>
            </w:r>
          </w:p>
          <w:p>
            <w:pPr>
              <w:spacing w:line="360" w:lineRule="auto"/>
              <w:jc w:val="left"/>
            </w:pPr>
            <w:r>
              <w:rPr>
                <w:rFonts w:hint="eastAsia"/>
              </w:rPr>
              <w:t>1、一套200kN主机；</w:t>
            </w:r>
          </w:p>
          <w:p>
            <w:pPr>
              <w:spacing w:line="360" w:lineRule="auto"/>
              <w:jc w:val="left"/>
            </w:pPr>
            <w:r>
              <w:rPr>
                <w:rFonts w:hint="eastAsia"/>
              </w:rPr>
              <w:t>2、 一套双腔温控压力室（配套pt100传感器直接接触试样测量温度）；</w:t>
            </w:r>
          </w:p>
          <w:p>
            <w:pPr>
              <w:spacing w:line="360" w:lineRule="auto"/>
              <w:jc w:val="left"/>
            </w:pPr>
            <w:r>
              <w:rPr>
                <w:rFonts w:hint="eastAsia"/>
              </w:rPr>
              <w:t>3、一套3MPa/250CC围压反压控制器；</w:t>
            </w:r>
          </w:p>
          <w:p>
            <w:pPr>
              <w:spacing w:line="360" w:lineRule="auto"/>
              <w:jc w:val="left"/>
            </w:pPr>
            <w:r>
              <w:rPr>
                <w:rFonts w:hint="eastAsia"/>
              </w:rPr>
              <w:t>4、一套3MPa/250CC反压反压控制器；</w:t>
            </w:r>
          </w:p>
          <w:p>
            <w:pPr>
              <w:spacing w:line="360" w:lineRule="auto"/>
              <w:jc w:val="left"/>
            </w:pPr>
            <w:r>
              <w:rPr>
                <w:rFonts w:hint="eastAsia"/>
              </w:rPr>
              <w:t>5、一套温控系统；</w:t>
            </w:r>
          </w:p>
          <w:p>
            <w:pPr>
              <w:spacing w:line="360" w:lineRule="auto"/>
              <w:jc w:val="left"/>
            </w:pPr>
            <w:r>
              <w:rPr>
                <w:rFonts w:hint="eastAsia"/>
              </w:rPr>
              <w:t>6、一套保温装置；</w:t>
            </w:r>
          </w:p>
          <w:p>
            <w:pPr>
              <w:spacing w:line="360" w:lineRule="auto"/>
              <w:jc w:val="left"/>
            </w:pPr>
            <w:r>
              <w:rPr>
                <w:rFonts w:hint="eastAsia"/>
              </w:rPr>
              <w:t>7、一套孔压传感器（3MPa）及安装附件；</w:t>
            </w:r>
          </w:p>
          <w:p>
            <w:pPr>
              <w:spacing w:line="360" w:lineRule="auto"/>
              <w:jc w:val="left"/>
            </w:pPr>
            <w:r>
              <w:rPr>
                <w:rFonts w:hint="eastAsia"/>
              </w:rPr>
              <w:t>8、一套轴力传感器（200kN）及安装附件；</w:t>
            </w:r>
          </w:p>
          <w:p>
            <w:pPr>
              <w:spacing w:line="360" w:lineRule="auto"/>
              <w:jc w:val="left"/>
            </w:pPr>
            <w:r>
              <w:rPr>
                <w:rFonts w:hint="eastAsia"/>
              </w:rPr>
              <w:t>9、一套计算机采集控制软件；</w:t>
            </w:r>
          </w:p>
          <w:p>
            <w:pPr>
              <w:spacing w:line="360" w:lineRule="auto"/>
              <w:jc w:val="left"/>
            </w:pPr>
            <w:r>
              <w:rPr>
                <w:rFonts w:hint="eastAsia"/>
              </w:rPr>
              <w:t>10、三轴制样装样工具。</w:t>
            </w:r>
          </w:p>
          <w:p/>
          <w:p>
            <w:pPr>
              <w:rPr>
                <w:kern w:val="0"/>
                <w:sz w:val="20"/>
              </w:rPr>
            </w:pPr>
          </w:p>
        </w:tc>
        <w:tc>
          <w:tcPr>
            <w:tcW w:w="709" w:type="dxa"/>
            <w:tcBorders>
              <w:top w:val="single" w:color="000000" w:sz="4" w:space="0"/>
              <w:left w:val="single" w:color="000000" w:sz="4" w:space="0"/>
              <w:bottom w:val="single" w:color="000000" w:sz="4" w:space="0"/>
              <w:right w:val="single" w:color="000000" w:sz="4" w:space="0"/>
            </w:tcBorders>
            <w:noWrap/>
          </w:tcPr>
          <w:p>
            <w:pPr>
              <w:widowControl/>
              <w:jc w:val="center"/>
              <w:textAlignment w:val="center"/>
              <w:rPr>
                <w:kern w:val="0"/>
                <w:sz w:val="20"/>
              </w:rPr>
            </w:pPr>
            <w:r>
              <w:rPr>
                <w:rFonts w:hint="eastAsia"/>
                <w:kern w:val="0"/>
                <w:sz w:val="20"/>
              </w:rPr>
              <w:t>1</w:t>
            </w:r>
          </w:p>
        </w:tc>
        <w:tc>
          <w:tcPr>
            <w:tcW w:w="708" w:type="dxa"/>
            <w:tcBorders>
              <w:top w:val="single" w:color="000000" w:sz="4" w:space="0"/>
              <w:left w:val="single" w:color="000000" w:sz="4" w:space="0"/>
              <w:bottom w:val="single" w:color="000000" w:sz="4" w:space="0"/>
              <w:right w:val="single" w:color="000000" w:sz="4" w:space="0"/>
            </w:tcBorders>
            <w:noWrap/>
          </w:tcPr>
          <w:p>
            <w:pPr>
              <w:widowControl/>
              <w:spacing w:after="120"/>
              <w:jc w:val="center"/>
              <w:rPr>
                <w:kern w:val="0"/>
                <w:sz w:val="20"/>
              </w:rPr>
            </w:pPr>
            <w:r>
              <w:rPr>
                <w:rFonts w:hint="eastAsia"/>
                <w:kern w:val="0"/>
                <w:sz w:val="20"/>
              </w:rPr>
              <w:t>套</w:t>
            </w:r>
          </w:p>
        </w:tc>
        <w:tc>
          <w:tcPr>
            <w:tcW w:w="634"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jc w:val="center"/>
        </w:trPr>
        <w:tc>
          <w:tcPr>
            <w:tcW w:w="562" w:type="dxa"/>
            <w:tcBorders>
              <w:top w:val="single" w:color="000000" w:sz="4" w:space="0"/>
              <w:left w:val="single" w:color="000000" w:sz="4" w:space="0"/>
              <w:bottom w:val="single" w:color="000000" w:sz="4" w:space="0"/>
              <w:right w:val="single" w:color="000000" w:sz="4" w:space="0"/>
            </w:tcBorders>
          </w:tcPr>
          <w:p>
            <w:pPr>
              <w:spacing w:line="400" w:lineRule="exact"/>
              <w:rPr>
                <w:kern w:val="0"/>
                <w:sz w:val="20"/>
              </w:rPr>
            </w:pPr>
            <w:r>
              <w:rPr>
                <w:rFonts w:hint="eastAsia"/>
                <w:kern w:val="0"/>
                <w:sz w:val="20"/>
              </w:rPr>
              <w:t>3</w:t>
            </w:r>
          </w:p>
        </w:tc>
        <w:tc>
          <w:tcPr>
            <w:tcW w:w="1418" w:type="dxa"/>
            <w:tcBorders>
              <w:top w:val="single" w:color="000000" w:sz="4" w:space="0"/>
              <w:left w:val="single" w:color="000000" w:sz="4" w:space="0"/>
              <w:bottom w:val="single" w:color="000000" w:sz="4" w:space="0"/>
              <w:right w:val="single" w:color="000000" w:sz="4" w:space="0"/>
            </w:tcBorders>
          </w:tcPr>
          <w:p>
            <w:pPr>
              <w:pStyle w:val="26"/>
              <w:ind w:firstLine="0" w:firstLineChars="0"/>
              <w:rPr>
                <w:rFonts w:ascii="宋体" w:hAnsi="宋体"/>
                <w:kern w:val="0"/>
                <w:sz w:val="20"/>
                <w:szCs w:val="20"/>
              </w:rPr>
            </w:pPr>
            <w:r>
              <w:rPr>
                <w:rFonts w:hint="eastAsia" w:ascii="宋体" w:hAnsi="宋体"/>
                <w:kern w:val="0"/>
                <w:sz w:val="20"/>
                <w:szCs w:val="20"/>
              </w:rPr>
              <w:t>全自动水工材料渗透溶蚀耦合试验系统</w:t>
            </w:r>
          </w:p>
          <w:p>
            <w:pPr>
              <w:widowControl/>
              <w:textAlignment w:val="center"/>
              <w:rPr>
                <w:rFonts w:ascii="宋体" w:hAnsi="宋体" w:cs="宋体"/>
                <w:kern w:val="0"/>
                <w:sz w:val="20"/>
              </w:rPr>
            </w:pPr>
          </w:p>
        </w:tc>
        <w:tc>
          <w:tcPr>
            <w:tcW w:w="5966" w:type="dxa"/>
            <w:tcBorders>
              <w:top w:val="single" w:color="000000" w:sz="4" w:space="0"/>
              <w:left w:val="single" w:color="000000" w:sz="4" w:space="0"/>
              <w:bottom w:val="single" w:color="000000" w:sz="4" w:space="0"/>
              <w:right w:val="single" w:color="000000" w:sz="4" w:space="0"/>
            </w:tcBorders>
            <w:vAlign w:val="center"/>
          </w:tcPr>
          <w:p>
            <w:pPr>
              <w:pStyle w:val="26"/>
              <w:ind w:firstLine="0" w:firstLineChars="0"/>
              <w:jc w:val="left"/>
              <w:rPr>
                <w:rFonts w:ascii="宋体" w:hAnsi="宋体"/>
                <w:kern w:val="0"/>
                <w:sz w:val="20"/>
                <w:szCs w:val="20"/>
              </w:rPr>
            </w:pPr>
            <w:r>
              <w:rPr>
                <w:rFonts w:ascii="宋体" w:hAnsi="宋体"/>
                <w:kern w:val="0"/>
                <w:sz w:val="20"/>
                <w:szCs w:val="20"/>
              </w:rPr>
              <w:t>1</w:t>
            </w:r>
            <w:r>
              <w:rPr>
                <w:rFonts w:hint="eastAsia" w:ascii="宋体" w:hAnsi="宋体"/>
                <w:kern w:val="0"/>
                <w:sz w:val="20"/>
                <w:szCs w:val="20"/>
              </w:rPr>
              <w:t>、三联结构，防腐蚀压力室：试样尺寸：Ø</w:t>
            </w:r>
            <w:r>
              <w:rPr>
                <w:rFonts w:ascii="宋体" w:hAnsi="宋体"/>
                <w:kern w:val="0"/>
                <w:sz w:val="20"/>
                <w:szCs w:val="20"/>
              </w:rPr>
              <w:t>10</w:t>
            </w:r>
            <w:r>
              <w:rPr>
                <w:rFonts w:hint="eastAsia" w:ascii="宋体" w:hAnsi="宋体"/>
                <w:kern w:val="0"/>
                <w:sz w:val="20"/>
                <w:szCs w:val="20"/>
              </w:rPr>
              <w:t>0mm*H.200mm（试样尺寸根据客户要求订做）；</w:t>
            </w:r>
          </w:p>
          <w:p>
            <w:pPr>
              <w:pStyle w:val="26"/>
              <w:ind w:firstLine="0" w:firstLineChars="0"/>
              <w:jc w:val="left"/>
              <w:rPr>
                <w:rFonts w:ascii="宋体" w:hAnsi="宋体"/>
                <w:kern w:val="0"/>
                <w:sz w:val="20"/>
                <w:szCs w:val="20"/>
              </w:rPr>
            </w:pPr>
            <w:r>
              <w:rPr>
                <w:rFonts w:hint="eastAsia" w:ascii="宋体" w:hAnsi="宋体"/>
                <w:kern w:val="0"/>
                <w:sz w:val="20"/>
                <w:szCs w:val="20"/>
              </w:rPr>
              <w:t>*2、围压量程不小于2 MPa，分辨率1kPa，稳压波动+/-1kPa，容积不小于300ml，配USB通讯接口，内置16位实体薄膜按键，196*64高分辨率非触摸式液晶。防止超过压力和体积的自动保护装置。压力调节和显示到1kPa。配套LED灯，用于实时显示仪器工作状态。</w:t>
            </w:r>
          </w:p>
          <w:p>
            <w:pPr>
              <w:pStyle w:val="26"/>
              <w:ind w:firstLine="0" w:firstLineChars="0"/>
              <w:jc w:val="left"/>
              <w:rPr>
                <w:rFonts w:ascii="宋体" w:hAnsi="宋体"/>
                <w:kern w:val="0"/>
                <w:sz w:val="20"/>
                <w:szCs w:val="20"/>
              </w:rPr>
            </w:pPr>
            <w:r>
              <w:rPr>
                <w:rFonts w:hint="eastAsia" w:ascii="宋体" w:hAnsi="宋体"/>
                <w:kern w:val="0"/>
                <w:sz w:val="20"/>
                <w:szCs w:val="20"/>
              </w:rPr>
              <w:t>3、反压量程不小于2 MPa，分辨率1kPa，稳压波动+/-1kPa，容积不小于300ml，配USB通讯接口，内置16位实体薄膜按键，196*64高分辨率非触摸式液晶。防止超过压力和体积的自动保护装置。压力调节和显示到1kPa。配套LED灯，用于实时显示仪器工作状态。</w:t>
            </w:r>
          </w:p>
          <w:p>
            <w:pPr>
              <w:pStyle w:val="26"/>
              <w:ind w:firstLine="0" w:firstLineChars="0"/>
              <w:jc w:val="left"/>
              <w:rPr>
                <w:rFonts w:ascii="宋体" w:hAnsi="宋体"/>
                <w:kern w:val="0"/>
                <w:sz w:val="20"/>
                <w:szCs w:val="20"/>
              </w:rPr>
            </w:pPr>
            <w:r>
              <w:rPr>
                <w:rFonts w:hint="eastAsia" w:ascii="宋体" w:hAnsi="宋体"/>
                <w:kern w:val="0"/>
                <w:sz w:val="20"/>
                <w:szCs w:val="20"/>
              </w:rPr>
              <w:t>4、渗透压力不小于2 MPa，分辨率1kPa，稳压波动+/-1kPa，容积不小于300ml，配USB通讯接口，内置16位实体薄膜按键，196*64高分辨率非触摸式液晶。防止超过压力和体积的自动保护装置。压力调节和显示到1kPa。配套LED灯，用于实时显示仪器工作状态。</w:t>
            </w:r>
          </w:p>
          <w:p>
            <w:pPr>
              <w:pStyle w:val="26"/>
              <w:ind w:firstLine="0" w:firstLineChars="0"/>
              <w:jc w:val="left"/>
              <w:rPr>
                <w:rFonts w:ascii="宋体" w:hAnsi="宋体"/>
                <w:kern w:val="0"/>
                <w:sz w:val="20"/>
                <w:szCs w:val="20"/>
              </w:rPr>
            </w:pPr>
            <w:r>
              <w:rPr>
                <w:rFonts w:hint="eastAsia" w:ascii="宋体" w:hAnsi="宋体"/>
                <w:kern w:val="0"/>
                <w:sz w:val="20"/>
                <w:szCs w:val="20"/>
              </w:rPr>
              <w:t>*5、配套6套污染物隔离装置（提供实物照片），用于隔离化学溶液对关键设备的腐蚀；</w:t>
            </w:r>
          </w:p>
          <w:p>
            <w:pPr>
              <w:pStyle w:val="26"/>
              <w:ind w:firstLine="0" w:firstLineChars="0"/>
              <w:jc w:val="left"/>
              <w:rPr>
                <w:rFonts w:ascii="宋体" w:hAnsi="宋体"/>
                <w:kern w:val="0"/>
                <w:sz w:val="20"/>
                <w:szCs w:val="20"/>
              </w:rPr>
            </w:pPr>
            <w:r>
              <w:rPr>
                <w:rFonts w:hint="eastAsia" w:ascii="宋体" w:hAnsi="宋体"/>
                <w:kern w:val="0"/>
                <w:sz w:val="20"/>
                <w:szCs w:val="20"/>
              </w:rPr>
              <w:t>*6、</w:t>
            </w:r>
            <w:r>
              <w:rPr>
                <w:rFonts w:hint="eastAsia"/>
                <w:kern w:val="0"/>
                <w:sz w:val="20"/>
                <w:szCs w:val="20"/>
              </w:rPr>
              <w:t>温度控制器：温控范围：-30~+150℃，采用液体循环，</w:t>
            </w:r>
            <w:r>
              <w:rPr>
                <w:kern w:val="0"/>
                <w:sz w:val="20"/>
                <w:szCs w:val="20"/>
              </w:rPr>
              <w:t>配套温度传感器，温度控制精度+/-0.</w:t>
            </w:r>
            <w:r>
              <w:rPr>
                <w:rFonts w:hint="eastAsia"/>
                <w:kern w:val="0"/>
                <w:sz w:val="20"/>
                <w:szCs w:val="20"/>
              </w:rPr>
              <w:t>01</w:t>
            </w:r>
            <w:r>
              <w:rPr>
                <w:rFonts w:hint="eastAsia" w:ascii="宋体" w:hAnsi="宋体" w:cs="宋体"/>
                <w:kern w:val="0"/>
                <w:sz w:val="20"/>
                <w:szCs w:val="20"/>
              </w:rPr>
              <w:t>℃</w:t>
            </w:r>
            <w:r>
              <w:rPr>
                <w:kern w:val="0"/>
                <w:sz w:val="20"/>
                <w:szCs w:val="20"/>
              </w:rPr>
              <w:t>，温度控制器自带液晶屏和薄膜按键，既可以通过按键控制，也可以通过计算机软件实时控制，可通过软件设置每个试验阶段的温度，实时计算机控制，实现实时闭环控制。</w:t>
            </w:r>
          </w:p>
          <w:p>
            <w:pPr>
              <w:pStyle w:val="26"/>
              <w:ind w:firstLine="0" w:firstLineChars="0"/>
              <w:jc w:val="left"/>
              <w:rPr>
                <w:rFonts w:ascii="宋体" w:hAnsi="宋体"/>
                <w:kern w:val="0"/>
                <w:sz w:val="20"/>
                <w:szCs w:val="20"/>
              </w:rPr>
            </w:pPr>
            <w:r>
              <w:rPr>
                <w:rFonts w:hint="eastAsia" w:ascii="宋体" w:hAnsi="宋体"/>
                <w:kern w:val="0"/>
                <w:sz w:val="20"/>
                <w:szCs w:val="20"/>
              </w:rPr>
              <w:t>7、试验模块（提供软件界面截图）：</w:t>
            </w:r>
          </w:p>
          <w:p>
            <w:pPr>
              <w:rPr>
                <w:bCs/>
                <w:kern w:val="0"/>
                <w:sz w:val="20"/>
              </w:rPr>
            </w:pPr>
            <w:r>
              <w:rPr>
                <w:rFonts w:ascii="宋体" w:hAnsi="宋体"/>
                <w:bCs/>
                <w:kern w:val="0"/>
                <w:sz w:val="20"/>
              </w:rPr>
              <w:t></w:t>
            </w:r>
            <w:r>
              <w:rPr>
                <w:rFonts w:hint="eastAsia" w:ascii="宋体" w:hAnsi="宋体"/>
                <w:bCs/>
                <w:kern w:val="0"/>
                <w:sz w:val="20"/>
              </w:rPr>
              <w:t>数据采集模块；</w:t>
            </w:r>
            <w:r>
              <w:rPr>
                <w:rFonts w:ascii="宋体" w:hAnsi="宋体"/>
                <w:bCs/>
                <w:kern w:val="0"/>
                <w:sz w:val="20"/>
              </w:rPr>
              <w:t>B</w:t>
            </w:r>
            <w:r>
              <w:rPr>
                <w:rFonts w:hint="eastAsia" w:ascii="宋体" w:hAnsi="宋体"/>
                <w:bCs/>
                <w:kern w:val="0"/>
                <w:sz w:val="20"/>
              </w:rPr>
              <w:t>检测；</w:t>
            </w:r>
            <w:r>
              <w:rPr>
                <w:rFonts w:ascii="宋体" w:hAnsi="宋体"/>
                <w:bCs/>
                <w:kern w:val="0"/>
                <w:sz w:val="20"/>
              </w:rPr>
              <w:t xml:space="preserve"> </w:t>
            </w:r>
            <w:r>
              <w:rPr>
                <w:rFonts w:hint="eastAsia" w:ascii="宋体" w:hAnsi="宋体"/>
                <w:bCs/>
                <w:kern w:val="0"/>
                <w:sz w:val="20"/>
              </w:rPr>
              <w:t>反压饱和试验；渗透溶蚀耦合试验；传感器标定模块。</w:t>
            </w:r>
          </w:p>
        </w:tc>
        <w:tc>
          <w:tcPr>
            <w:tcW w:w="709" w:type="dxa"/>
            <w:tcBorders>
              <w:top w:val="single" w:color="000000" w:sz="4" w:space="0"/>
              <w:left w:val="single" w:color="000000" w:sz="4" w:space="0"/>
              <w:bottom w:val="single" w:color="000000" w:sz="4" w:space="0"/>
              <w:right w:val="single" w:color="000000" w:sz="4" w:space="0"/>
            </w:tcBorders>
            <w:noWrap/>
          </w:tcPr>
          <w:p>
            <w:pPr>
              <w:widowControl/>
              <w:jc w:val="center"/>
              <w:textAlignment w:val="center"/>
              <w:rPr>
                <w:kern w:val="0"/>
                <w:sz w:val="20"/>
              </w:rPr>
            </w:pPr>
            <w:r>
              <w:rPr>
                <w:rFonts w:hint="eastAsia"/>
                <w:kern w:val="0"/>
                <w:sz w:val="20"/>
              </w:rPr>
              <w:t>1</w:t>
            </w:r>
          </w:p>
        </w:tc>
        <w:tc>
          <w:tcPr>
            <w:tcW w:w="708" w:type="dxa"/>
            <w:tcBorders>
              <w:top w:val="single" w:color="000000" w:sz="4" w:space="0"/>
              <w:left w:val="single" w:color="000000" w:sz="4" w:space="0"/>
              <w:bottom w:val="single" w:color="000000" w:sz="4" w:space="0"/>
              <w:right w:val="single" w:color="000000" w:sz="4" w:space="0"/>
            </w:tcBorders>
            <w:noWrap/>
          </w:tcPr>
          <w:p>
            <w:pPr>
              <w:widowControl/>
              <w:spacing w:after="120"/>
              <w:jc w:val="center"/>
              <w:rPr>
                <w:kern w:val="0"/>
                <w:sz w:val="20"/>
              </w:rPr>
            </w:pPr>
            <w:r>
              <w:rPr>
                <w:rFonts w:hint="eastAsia"/>
                <w:kern w:val="0"/>
                <w:sz w:val="20"/>
              </w:rPr>
              <w:t>套</w:t>
            </w:r>
          </w:p>
        </w:tc>
        <w:tc>
          <w:tcPr>
            <w:tcW w:w="634"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7" w:hRule="atLeast"/>
          <w:jc w:val="center"/>
        </w:trPr>
        <w:tc>
          <w:tcPr>
            <w:tcW w:w="562" w:type="dxa"/>
            <w:tcBorders>
              <w:top w:val="single" w:color="000000" w:sz="4" w:space="0"/>
              <w:left w:val="single" w:color="000000" w:sz="4" w:space="0"/>
              <w:bottom w:val="single" w:color="000000" w:sz="4" w:space="0"/>
              <w:right w:val="single" w:color="000000" w:sz="4" w:space="0"/>
            </w:tcBorders>
          </w:tcPr>
          <w:p>
            <w:pPr>
              <w:spacing w:line="400" w:lineRule="exact"/>
              <w:rPr>
                <w:kern w:val="0"/>
                <w:sz w:val="20"/>
              </w:rPr>
            </w:pPr>
            <w:r>
              <w:rPr>
                <w:rFonts w:hint="eastAsia"/>
                <w:kern w:val="0"/>
                <w:sz w:val="20"/>
              </w:rPr>
              <w:t>4</w:t>
            </w:r>
          </w:p>
        </w:tc>
        <w:tc>
          <w:tcPr>
            <w:tcW w:w="1418" w:type="dxa"/>
            <w:tcBorders>
              <w:top w:val="single" w:color="000000" w:sz="4" w:space="0"/>
              <w:left w:val="single" w:color="000000" w:sz="4" w:space="0"/>
              <w:bottom w:val="single" w:color="000000" w:sz="4" w:space="0"/>
              <w:right w:val="single" w:color="000000" w:sz="4" w:space="0"/>
            </w:tcBorders>
          </w:tcPr>
          <w:p>
            <w:pPr>
              <w:pStyle w:val="26"/>
              <w:ind w:firstLine="0" w:firstLineChars="0"/>
              <w:rPr>
                <w:kern w:val="0"/>
                <w:sz w:val="20"/>
                <w:szCs w:val="20"/>
              </w:rPr>
            </w:pPr>
            <w:r>
              <w:rPr>
                <w:rFonts w:hint="eastAsia"/>
                <w:kern w:val="0"/>
                <w:sz w:val="20"/>
                <w:szCs w:val="20"/>
              </w:rPr>
              <w:t>岩石与混凝土试验系统</w:t>
            </w:r>
          </w:p>
        </w:tc>
        <w:tc>
          <w:tcPr>
            <w:tcW w:w="5966" w:type="dxa"/>
            <w:tcBorders>
              <w:top w:val="single" w:color="000000" w:sz="4" w:space="0"/>
              <w:left w:val="single" w:color="000000" w:sz="4" w:space="0"/>
              <w:bottom w:val="single" w:color="000000" w:sz="4" w:space="0"/>
              <w:right w:val="single" w:color="000000" w:sz="4" w:space="0"/>
            </w:tcBorders>
            <w:vAlign w:val="center"/>
          </w:tcPr>
          <w:p>
            <w:pPr>
              <w:spacing w:line="360" w:lineRule="atLeast"/>
              <w:ind w:firstLine="400" w:firstLineChars="200"/>
              <w:rPr>
                <w:bCs/>
                <w:kern w:val="0"/>
                <w:sz w:val="20"/>
              </w:rPr>
            </w:pPr>
            <w:r>
              <w:rPr>
                <w:rFonts w:hint="eastAsia"/>
                <w:bCs/>
                <w:kern w:val="0"/>
                <w:sz w:val="20"/>
              </w:rPr>
              <w:t>1、独具特色的四合一功能，在一台试验机上可以进行单轴、三轴、剪切和混凝土力学试验，最大限度地利用了伺服系统的能力，能够满足工程应用和基础理论研究方面的需要。</w:t>
            </w:r>
          </w:p>
          <w:p>
            <w:pPr>
              <w:spacing w:line="360" w:lineRule="atLeast"/>
              <w:ind w:firstLine="400" w:firstLineChars="200"/>
              <w:rPr>
                <w:bCs/>
                <w:kern w:val="0"/>
                <w:sz w:val="20"/>
              </w:rPr>
            </w:pPr>
            <w:r>
              <w:rPr>
                <w:rFonts w:hint="eastAsia"/>
                <w:bCs/>
                <w:kern w:val="0"/>
                <w:sz w:val="20"/>
              </w:rPr>
              <w:t>2、整体式铸造机架、整个系统具有高刚度、高动态响应，适合脆性岩石类材料的全过程试验，以获得理想的后区曲线。</w:t>
            </w:r>
          </w:p>
          <w:p>
            <w:pPr>
              <w:spacing w:line="360" w:lineRule="atLeast"/>
              <w:ind w:firstLine="400" w:firstLineChars="200"/>
              <w:rPr>
                <w:bCs/>
                <w:kern w:val="0"/>
                <w:sz w:val="20"/>
              </w:rPr>
            </w:pPr>
            <w:r>
              <w:rPr>
                <w:bCs/>
                <w:kern w:val="0"/>
                <w:sz w:val="20"/>
              </w:rPr>
              <w:t>3</w:t>
            </w:r>
            <w:r>
              <w:rPr>
                <w:rFonts w:hint="eastAsia"/>
                <w:bCs/>
                <w:kern w:val="0"/>
                <w:sz w:val="20"/>
              </w:rPr>
              <w:t>、整个系统配置10路传感器，垂直液压缸配备了两套不同量程的力传感器和行程传感器以更好地适应不同的试件和试验方法。</w:t>
            </w:r>
          </w:p>
          <w:p>
            <w:pPr>
              <w:spacing w:line="360" w:lineRule="atLeast"/>
              <w:ind w:firstLine="400" w:firstLineChars="200"/>
              <w:rPr>
                <w:bCs/>
                <w:kern w:val="0"/>
                <w:sz w:val="20"/>
              </w:rPr>
            </w:pPr>
            <w:r>
              <w:rPr>
                <w:bCs/>
                <w:kern w:val="0"/>
                <w:sz w:val="20"/>
              </w:rPr>
              <w:t>4</w:t>
            </w:r>
            <w:r>
              <w:rPr>
                <w:rFonts w:hint="eastAsia"/>
                <w:bCs/>
                <w:kern w:val="0"/>
                <w:sz w:val="20"/>
              </w:rPr>
              <w:t>、试验均为电液伺服控制，有位移控制、行程控制与载荷控制三种方式可选，均可以做长期试验及流变试验（可达360小时）。</w:t>
            </w:r>
          </w:p>
          <w:p>
            <w:pPr>
              <w:spacing w:line="360" w:lineRule="atLeast"/>
              <w:ind w:firstLine="400" w:firstLineChars="200"/>
              <w:rPr>
                <w:bCs/>
                <w:kern w:val="0"/>
                <w:sz w:val="20"/>
              </w:rPr>
            </w:pPr>
            <w:r>
              <w:rPr>
                <w:bCs/>
                <w:kern w:val="0"/>
                <w:sz w:val="20"/>
              </w:rPr>
              <w:t>5</w:t>
            </w:r>
            <w:r>
              <w:rPr>
                <w:rFonts w:hint="eastAsia"/>
                <w:bCs/>
                <w:kern w:val="0"/>
                <w:sz w:val="20"/>
              </w:rPr>
              <w:t>、标准加载波形的疲劳试验（正弦波、三角波、方波），预设循环次数，试验过程中自动记数。</w:t>
            </w:r>
          </w:p>
          <w:p>
            <w:pPr>
              <w:spacing w:line="360" w:lineRule="atLeast"/>
              <w:ind w:firstLine="400" w:firstLineChars="200"/>
              <w:rPr>
                <w:bCs/>
                <w:kern w:val="0"/>
                <w:sz w:val="20"/>
              </w:rPr>
            </w:pPr>
            <w:r>
              <w:rPr>
                <w:rFonts w:hint="eastAsia"/>
                <w:bCs/>
                <w:kern w:val="0"/>
                <w:sz w:val="20"/>
              </w:rPr>
              <w:t>6、自动组合试验，可以将试验分为若干个步骤，预先在不同的试验阶段设置不同的试验参数，在计算机控制下自动连续完成。</w:t>
            </w:r>
          </w:p>
          <w:p>
            <w:pPr>
              <w:spacing w:line="360" w:lineRule="atLeast"/>
              <w:ind w:firstLine="400" w:firstLineChars="200"/>
              <w:rPr>
                <w:bCs/>
                <w:kern w:val="0"/>
                <w:sz w:val="20"/>
              </w:rPr>
            </w:pPr>
            <w:r>
              <w:rPr>
                <w:bCs/>
                <w:kern w:val="0"/>
                <w:sz w:val="20"/>
              </w:rPr>
              <w:t>7</w:t>
            </w:r>
            <w:r>
              <w:rPr>
                <w:rFonts w:hint="eastAsia"/>
                <w:bCs/>
                <w:kern w:val="0"/>
                <w:sz w:val="20"/>
              </w:rPr>
              <w:t>、三轴试验的轴压和围压可以分别加、卸载也可以同步加、卸载，且σ1可以小于σ3，便于特殊的研究。剪切试验除可进行常规直剪试验外，还可以进行限位剪和反复剪。</w:t>
            </w:r>
          </w:p>
          <w:p>
            <w:pPr>
              <w:pStyle w:val="10"/>
              <w:spacing w:line="360" w:lineRule="atLeast"/>
              <w:ind w:firstLine="400" w:firstLineChars="200"/>
              <w:rPr>
                <w:b w:val="0"/>
                <w:kern w:val="0"/>
                <w:sz w:val="20"/>
              </w:rPr>
            </w:pPr>
            <w:r>
              <w:rPr>
                <w:b w:val="0"/>
                <w:kern w:val="0"/>
                <w:sz w:val="20"/>
              </w:rPr>
              <w:t>8</w:t>
            </w:r>
            <w:r>
              <w:rPr>
                <w:rFonts w:hint="eastAsia"/>
                <w:b w:val="0"/>
                <w:kern w:val="0"/>
                <w:sz w:val="20"/>
              </w:rPr>
              <w:t>、系统中采用智能采样和智能保护措施，可以自动检测系统故障，防止设错试验方式和装错传感器，降低因操作失误而导致的故障率。</w:t>
            </w:r>
          </w:p>
          <w:p>
            <w:pPr>
              <w:pStyle w:val="10"/>
              <w:spacing w:line="360" w:lineRule="atLeast"/>
              <w:ind w:firstLine="400" w:firstLineChars="200"/>
              <w:rPr>
                <w:b w:val="0"/>
                <w:kern w:val="0"/>
                <w:sz w:val="20"/>
              </w:rPr>
            </w:pPr>
            <w:r>
              <w:rPr>
                <w:b w:val="0"/>
                <w:kern w:val="0"/>
                <w:sz w:val="20"/>
              </w:rPr>
              <w:t>9</w:t>
            </w:r>
            <w:r>
              <w:rPr>
                <w:rFonts w:hint="eastAsia"/>
                <w:b w:val="0"/>
                <w:kern w:val="0"/>
                <w:sz w:val="20"/>
              </w:rPr>
              <w:t>、系统采用数控器自动校准和为计量标定而设的软件修正技术，有效提高系统精度，操作十分简单。</w:t>
            </w:r>
          </w:p>
          <w:p>
            <w:pPr>
              <w:pStyle w:val="10"/>
              <w:spacing w:line="360" w:lineRule="atLeast"/>
              <w:ind w:firstLine="400" w:firstLineChars="200"/>
              <w:rPr>
                <w:b w:val="0"/>
                <w:kern w:val="0"/>
                <w:sz w:val="20"/>
              </w:rPr>
            </w:pPr>
            <w:r>
              <w:rPr>
                <w:rFonts w:hint="eastAsia"/>
                <w:b w:val="0"/>
                <w:kern w:val="0"/>
                <w:sz w:val="20"/>
              </w:rPr>
              <w:t>1</w:t>
            </w:r>
            <w:r>
              <w:rPr>
                <w:b w:val="0"/>
                <w:kern w:val="0"/>
                <w:sz w:val="20"/>
              </w:rPr>
              <w:t>0</w:t>
            </w:r>
            <w:r>
              <w:rPr>
                <w:rFonts w:hint="eastAsia"/>
                <w:b w:val="0"/>
                <w:kern w:val="0"/>
                <w:sz w:val="20"/>
              </w:rPr>
              <w:t>、配备后处理软件，试验一结束就可以给出完整的原始数据及常规结果，且多个试验结果可在同一张图上进行比较，力学参数的取样点可以自动设定也可以人工设定。</w:t>
            </w:r>
          </w:p>
          <w:p>
            <w:pPr>
              <w:pStyle w:val="10"/>
              <w:spacing w:line="360" w:lineRule="atLeast"/>
              <w:ind w:firstLine="400" w:firstLineChars="200"/>
              <w:rPr>
                <w:b w:val="0"/>
                <w:kern w:val="0"/>
                <w:sz w:val="20"/>
              </w:rPr>
            </w:pPr>
            <w:r>
              <w:rPr>
                <w:rFonts w:hint="eastAsia"/>
                <w:b w:val="0"/>
                <w:kern w:val="0"/>
                <w:sz w:val="20"/>
              </w:rPr>
              <w:t>1</w:t>
            </w:r>
            <w:r>
              <w:rPr>
                <w:b w:val="0"/>
                <w:kern w:val="0"/>
                <w:sz w:val="20"/>
              </w:rPr>
              <w:t>1</w:t>
            </w:r>
            <w:r>
              <w:rPr>
                <w:rFonts w:hint="eastAsia"/>
                <w:b w:val="0"/>
                <w:kern w:val="0"/>
                <w:sz w:val="20"/>
              </w:rPr>
              <w:t>、采用变频节能子系统，液压系统启动后自动运行，能将液压系统的无功能耗降低</w:t>
            </w:r>
            <w:r>
              <w:rPr>
                <w:b w:val="0"/>
                <w:kern w:val="0"/>
                <w:sz w:val="20"/>
              </w:rPr>
              <w:t>80</w:t>
            </w:r>
            <w:r>
              <w:rPr>
                <w:rFonts w:hint="eastAsia"/>
                <w:b w:val="0"/>
                <w:kern w:val="0"/>
                <w:sz w:val="20"/>
              </w:rPr>
              <w:t>%以上，起到节电、节水和降低噪声的多重作用。数字控制器采用</w:t>
            </w:r>
            <w:r>
              <w:rPr>
                <w:b w:val="0"/>
                <w:kern w:val="0"/>
                <w:sz w:val="20"/>
              </w:rPr>
              <w:t>40kHz/S</w:t>
            </w:r>
            <w:r>
              <w:rPr>
                <w:rFonts w:hint="eastAsia"/>
                <w:b w:val="0"/>
                <w:kern w:val="0"/>
                <w:sz w:val="20"/>
              </w:rPr>
              <w:t>高速采样控制板，控制性能更加优异，能够完整捕捉到脆性岩石的瞬间破坏过程，用于动态冲击试验时效果显著。为了保证产品的质量，电动机、低噪声油泵；冷却器；温控水阀；液压阀；缸内密封件等产品满足连续工作3</w:t>
            </w:r>
            <w:r>
              <w:rPr>
                <w:b w:val="0"/>
                <w:kern w:val="0"/>
                <w:sz w:val="20"/>
              </w:rPr>
              <w:t>000</w:t>
            </w:r>
            <w:r>
              <w:rPr>
                <w:rFonts w:hint="eastAsia"/>
                <w:b w:val="0"/>
                <w:kern w:val="0"/>
                <w:sz w:val="20"/>
              </w:rPr>
              <w:t>小时以上。</w:t>
            </w:r>
          </w:p>
          <w:p>
            <w:pPr>
              <w:ind w:firstLine="400" w:firstLineChars="200"/>
              <w:rPr>
                <w:bCs/>
                <w:kern w:val="0"/>
                <w:sz w:val="20"/>
              </w:rPr>
            </w:pPr>
            <w:r>
              <w:rPr>
                <w:bCs/>
                <w:kern w:val="0"/>
                <w:sz w:val="20"/>
              </w:rPr>
              <w:t>12</w:t>
            </w:r>
            <w:r>
              <w:rPr>
                <w:rFonts w:hint="eastAsia"/>
                <w:bCs/>
                <w:kern w:val="0"/>
                <w:sz w:val="20"/>
              </w:rPr>
              <w:t>、参数指标</w:t>
            </w:r>
          </w:p>
          <w:p>
            <w:pPr>
              <w:rPr>
                <w:bCs/>
                <w:kern w:val="0"/>
                <w:sz w:val="20"/>
              </w:rPr>
            </w:pPr>
            <w:r>
              <w:rPr>
                <w:rFonts w:hint="eastAsia"/>
                <w:bCs/>
                <w:kern w:val="0"/>
                <w:sz w:val="20"/>
              </w:rPr>
              <w:t>外形尺寸不小于1700mm×1240mm×1860mm（长×宽×高），主机重量不小于4500 kg，机架刚度（整体铸造）＞6MN/mm</w:t>
            </w:r>
          </w:p>
          <w:p>
            <w:pPr>
              <w:rPr>
                <w:bCs/>
                <w:kern w:val="0"/>
                <w:sz w:val="20"/>
              </w:rPr>
            </w:pPr>
            <w:r>
              <w:rPr>
                <w:rFonts w:hint="eastAsia"/>
                <w:bCs/>
                <w:kern w:val="0"/>
                <w:sz w:val="20"/>
              </w:rPr>
              <w:t>垂直液压缸出力1500kN（1500kN、100kN 两级），活塞行程50mm</w:t>
            </w:r>
          </w:p>
          <w:p>
            <w:pPr>
              <w:rPr>
                <w:bCs/>
                <w:kern w:val="0"/>
                <w:sz w:val="20"/>
              </w:rPr>
            </w:pPr>
            <w:r>
              <w:rPr>
                <w:rFonts w:hint="eastAsia"/>
                <w:bCs/>
                <w:kern w:val="0"/>
                <w:sz w:val="20"/>
              </w:rPr>
              <w:t>有效测力范围  10～1500kN； 精度优于0.5％； 分辨率20N</w:t>
            </w:r>
          </w:p>
          <w:p>
            <w:pPr>
              <w:rPr>
                <w:bCs/>
                <w:kern w:val="0"/>
                <w:sz w:val="20"/>
              </w:rPr>
            </w:pPr>
            <w:r>
              <w:rPr>
                <w:rFonts w:hint="eastAsia"/>
                <w:bCs/>
                <w:kern w:val="0"/>
                <w:sz w:val="20"/>
              </w:rPr>
              <w:t>水平液压缸出力  500kN   活塞行程   50mm</w:t>
            </w:r>
          </w:p>
          <w:p>
            <w:pPr>
              <w:rPr>
                <w:bCs/>
                <w:kern w:val="0"/>
                <w:sz w:val="20"/>
              </w:rPr>
            </w:pPr>
            <w:r>
              <w:rPr>
                <w:rFonts w:hint="eastAsia"/>
                <w:bCs/>
                <w:kern w:val="0"/>
                <w:sz w:val="20"/>
              </w:rPr>
              <w:t>有效测力范围  10～500kN； 精度优于0.5％； 分辨率20N</w:t>
            </w:r>
          </w:p>
          <w:p>
            <w:pPr>
              <w:rPr>
                <w:bCs/>
                <w:kern w:val="0"/>
                <w:sz w:val="20"/>
              </w:rPr>
            </w:pPr>
            <w:r>
              <w:rPr>
                <w:rFonts w:hint="eastAsia"/>
                <w:bCs/>
                <w:kern w:val="0"/>
                <w:sz w:val="20"/>
              </w:rPr>
              <w:t>三轴围压            50MPa</w:t>
            </w:r>
          </w:p>
          <w:p>
            <w:pPr>
              <w:rPr>
                <w:bCs/>
                <w:kern w:val="0"/>
                <w:sz w:val="20"/>
              </w:rPr>
            </w:pPr>
            <w:r>
              <w:rPr>
                <w:rFonts w:hint="eastAsia"/>
                <w:bCs/>
                <w:kern w:val="0"/>
                <w:sz w:val="20"/>
              </w:rPr>
              <w:t>有效测压范围  2～50MPa； 精度优于0.5％； 分辨率0.01MPa</w:t>
            </w:r>
          </w:p>
          <w:p>
            <w:pPr>
              <w:rPr>
                <w:bCs/>
                <w:kern w:val="0"/>
                <w:sz w:val="20"/>
              </w:rPr>
            </w:pPr>
            <w:r>
              <w:rPr>
                <w:rFonts w:hint="eastAsia"/>
                <w:bCs/>
                <w:kern w:val="0"/>
                <w:sz w:val="20"/>
              </w:rPr>
              <w:t>所有位移及行程传感器： 测量精度优于0.3％；分辨率高于0.02％F.S</w:t>
            </w:r>
          </w:p>
          <w:p>
            <w:pPr>
              <w:rPr>
                <w:bCs/>
                <w:kern w:val="0"/>
                <w:sz w:val="20"/>
              </w:rPr>
            </w:pPr>
            <w:r>
              <w:rPr>
                <w:rFonts w:hint="eastAsia"/>
                <w:bCs/>
                <w:kern w:val="0"/>
                <w:sz w:val="20"/>
              </w:rPr>
              <w:t>变形速率       0.0001～1mm/s</w:t>
            </w:r>
          </w:p>
          <w:p>
            <w:pPr>
              <w:rPr>
                <w:bCs/>
                <w:kern w:val="0"/>
                <w:sz w:val="20"/>
              </w:rPr>
            </w:pPr>
            <w:r>
              <w:rPr>
                <w:rFonts w:hint="eastAsia"/>
                <w:bCs/>
                <w:kern w:val="0"/>
                <w:sz w:val="20"/>
              </w:rPr>
              <w:t>加载速率       0.01～90kN/s</w:t>
            </w:r>
          </w:p>
          <w:p>
            <w:pPr>
              <w:rPr>
                <w:bCs/>
                <w:kern w:val="0"/>
                <w:sz w:val="20"/>
              </w:rPr>
            </w:pPr>
            <w:r>
              <w:rPr>
                <w:rFonts w:hint="eastAsia"/>
                <w:bCs/>
                <w:kern w:val="0"/>
                <w:sz w:val="20"/>
              </w:rPr>
              <w:t>围压速率       0.001～1MPa/s</w:t>
            </w:r>
          </w:p>
          <w:p>
            <w:pPr>
              <w:rPr>
                <w:bCs/>
                <w:kern w:val="0"/>
                <w:sz w:val="20"/>
              </w:rPr>
            </w:pPr>
            <w:r>
              <w:rPr>
                <w:rFonts w:hint="eastAsia"/>
                <w:bCs/>
                <w:kern w:val="0"/>
                <w:sz w:val="20"/>
              </w:rPr>
              <w:t>基本波形       斜坡、正弦波、三角波、方波以及长期保持恒定（可达360小时以上）</w:t>
            </w:r>
          </w:p>
          <w:p>
            <w:pPr>
              <w:rPr>
                <w:bCs/>
                <w:kern w:val="0"/>
                <w:sz w:val="20"/>
              </w:rPr>
            </w:pPr>
            <w:r>
              <w:rPr>
                <w:rFonts w:hint="eastAsia"/>
                <w:bCs/>
                <w:kern w:val="0"/>
                <w:sz w:val="20"/>
              </w:rPr>
              <w:t>脉动频率       0.001～1Hz</w:t>
            </w:r>
          </w:p>
          <w:p>
            <w:pPr>
              <w:adjustRightInd w:val="0"/>
              <w:snapToGrid w:val="0"/>
              <w:ind w:firstLine="400" w:firstLineChars="200"/>
              <w:rPr>
                <w:bCs/>
                <w:kern w:val="0"/>
                <w:sz w:val="20"/>
              </w:rPr>
            </w:pPr>
            <w:r>
              <w:rPr>
                <w:rFonts w:hint="eastAsia"/>
                <w:bCs/>
                <w:kern w:val="0"/>
                <w:sz w:val="20"/>
              </w:rPr>
              <w:t>岩石力学试验</w:t>
            </w:r>
          </w:p>
          <w:p>
            <w:pPr>
              <w:adjustRightInd w:val="0"/>
              <w:snapToGrid w:val="0"/>
              <w:rPr>
                <w:bCs/>
                <w:kern w:val="0"/>
                <w:sz w:val="20"/>
              </w:rPr>
            </w:pPr>
            <w:r>
              <w:rPr>
                <w:bCs/>
                <w:kern w:val="0"/>
                <w:sz w:val="20"/>
              </w:rPr>
              <w:t>1</w:t>
            </w:r>
            <w:r>
              <w:rPr>
                <w:rFonts w:hint="eastAsia"/>
                <w:bCs/>
                <w:kern w:val="0"/>
                <w:sz w:val="20"/>
              </w:rPr>
              <w:t>）岩石单轴压缩试验：包括单轴抗压强度试验、单轴压缩全过程试验、单轴蠕变试验、单轴松弛试验等。</w:t>
            </w:r>
          </w:p>
          <w:p>
            <w:pPr>
              <w:adjustRightInd w:val="0"/>
              <w:snapToGrid w:val="0"/>
              <w:rPr>
                <w:bCs/>
                <w:kern w:val="0"/>
                <w:sz w:val="20"/>
              </w:rPr>
            </w:pPr>
            <w:r>
              <w:rPr>
                <w:rFonts w:hint="eastAsia"/>
                <w:bCs/>
                <w:kern w:val="0"/>
                <w:sz w:val="20"/>
              </w:rPr>
              <w:t>试样尺寸：圆柱体            直径：50～70mm；高度：100～140mm</w:t>
            </w:r>
          </w:p>
          <w:p>
            <w:pPr>
              <w:adjustRightInd w:val="0"/>
              <w:snapToGrid w:val="0"/>
              <w:rPr>
                <w:bCs/>
                <w:kern w:val="0"/>
                <w:sz w:val="20"/>
              </w:rPr>
            </w:pPr>
            <w:r>
              <w:rPr>
                <w:rFonts w:hint="eastAsia"/>
                <w:bCs/>
                <w:kern w:val="0"/>
                <w:sz w:val="20"/>
              </w:rPr>
              <w:t>2）间接拉伸试验（巴西法）：配有专用装置。</w:t>
            </w:r>
          </w:p>
          <w:p>
            <w:pPr>
              <w:adjustRightInd w:val="0"/>
              <w:snapToGrid w:val="0"/>
              <w:rPr>
                <w:bCs/>
                <w:kern w:val="0"/>
                <w:sz w:val="20"/>
              </w:rPr>
            </w:pPr>
            <w:r>
              <w:rPr>
                <w:rFonts w:hint="eastAsia"/>
                <w:bCs/>
                <w:kern w:val="0"/>
                <w:sz w:val="20"/>
              </w:rPr>
              <w:t xml:space="preserve">试样尺寸：圆柱体  </w:t>
            </w:r>
            <w:r>
              <w:rPr>
                <w:bCs/>
                <w:kern w:val="0"/>
                <w:sz w:val="20"/>
              </w:rPr>
              <w:t xml:space="preserve">  </w:t>
            </w:r>
            <w:r>
              <w:rPr>
                <w:rFonts w:hint="eastAsia"/>
                <w:bCs/>
                <w:kern w:val="0"/>
                <w:sz w:val="20"/>
              </w:rPr>
              <w:t>直径：50mm；高度：50mm</w:t>
            </w:r>
          </w:p>
          <w:p>
            <w:pPr>
              <w:adjustRightInd w:val="0"/>
              <w:snapToGrid w:val="0"/>
              <w:rPr>
                <w:bCs/>
                <w:kern w:val="0"/>
                <w:sz w:val="20"/>
              </w:rPr>
            </w:pPr>
            <w:r>
              <w:rPr>
                <w:bCs/>
                <w:kern w:val="0"/>
                <w:sz w:val="20"/>
              </w:rPr>
              <w:t>3</w:t>
            </w:r>
            <w:r>
              <w:rPr>
                <w:rFonts w:hint="eastAsia"/>
                <w:bCs/>
                <w:kern w:val="0"/>
                <w:sz w:val="20"/>
              </w:rPr>
              <w:t>）岩石三轴压缩试验：包括三轴恒围压下压缩试验、三轴变围压下压缩试验、三轴蠕变试验、三轴松弛试验等。</w:t>
            </w:r>
          </w:p>
          <w:p>
            <w:pPr>
              <w:adjustRightInd w:val="0"/>
              <w:snapToGrid w:val="0"/>
              <w:rPr>
                <w:bCs/>
                <w:kern w:val="0"/>
                <w:sz w:val="20"/>
              </w:rPr>
            </w:pPr>
            <w:r>
              <w:rPr>
                <w:rFonts w:hint="eastAsia"/>
                <w:bCs/>
                <w:kern w:val="0"/>
                <w:sz w:val="20"/>
              </w:rPr>
              <w:t xml:space="preserve">试样尺寸：圆柱体 </w:t>
            </w:r>
            <w:r>
              <w:rPr>
                <w:bCs/>
                <w:kern w:val="0"/>
                <w:sz w:val="20"/>
              </w:rPr>
              <w:t xml:space="preserve">           </w:t>
            </w:r>
            <w:r>
              <w:rPr>
                <w:rFonts w:hint="eastAsia"/>
                <w:bCs/>
                <w:kern w:val="0"/>
                <w:sz w:val="20"/>
              </w:rPr>
              <w:t>直径：5</w:t>
            </w:r>
            <w:r>
              <w:rPr>
                <w:bCs/>
                <w:kern w:val="0"/>
                <w:sz w:val="20"/>
              </w:rPr>
              <w:t>0</w:t>
            </w:r>
            <w:r>
              <w:rPr>
                <w:rFonts w:hint="eastAsia"/>
                <w:bCs/>
                <w:kern w:val="0"/>
                <w:sz w:val="20"/>
              </w:rPr>
              <w:t>mm；高度：100～1</w:t>
            </w:r>
            <w:r>
              <w:rPr>
                <w:bCs/>
                <w:kern w:val="0"/>
                <w:sz w:val="20"/>
              </w:rPr>
              <w:t>2</w:t>
            </w:r>
            <w:r>
              <w:rPr>
                <w:rFonts w:hint="eastAsia"/>
                <w:bCs/>
                <w:kern w:val="0"/>
                <w:sz w:val="20"/>
              </w:rPr>
              <w:t>0mm</w:t>
            </w:r>
          </w:p>
          <w:p>
            <w:pPr>
              <w:adjustRightInd w:val="0"/>
              <w:snapToGrid w:val="0"/>
              <w:rPr>
                <w:bCs/>
                <w:kern w:val="0"/>
                <w:sz w:val="20"/>
              </w:rPr>
            </w:pPr>
            <w:r>
              <w:rPr>
                <w:rFonts w:hint="eastAsia"/>
                <w:bCs/>
                <w:kern w:val="0"/>
                <w:sz w:val="20"/>
              </w:rPr>
              <w:t>4）直接剪切试验：包括常规剪切试验、限位剪切试验、反复剪切试验等。剪力由拉力提供。剪切试验装置可以方便地组合成三种不同的尺寸规格，配有专用取样装置，装样取样皆十分简单。</w:t>
            </w:r>
          </w:p>
          <w:p>
            <w:pPr>
              <w:adjustRightInd w:val="0"/>
              <w:snapToGrid w:val="0"/>
              <w:rPr>
                <w:bCs/>
                <w:kern w:val="0"/>
                <w:sz w:val="20"/>
              </w:rPr>
            </w:pPr>
            <w:r>
              <w:rPr>
                <w:rFonts w:hint="eastAsia"/>
                <w:bCs/>
                <w:kern w:val="0"/>
                <w:sz w:val="20"/>
              </w:rPr>
              <w:t>试样尺寸：</w:t>
            </w:r>
          </w:p>
          <w:p>
            <w:pPr>
              <w:adjustRightInd w:val="0"/>
              <w:snapToGrid w:val="0"/>
              <w:rPr>
                <w:bCs/>
                <w:kern w:val="0"/>
                <w:sz w:val="20"/>
              </w:rPr>
            </w:pPr>
            <w:r>
              <w:rPr>
                <w:rFonts w:hint="eastAsia"/>
                <w:bCs/>
                <w:kern w:val="0"/>
                <w:sz w:val="20"/>
              </w:rPr>
              <w:t xml:space="preserve">立方体或长方体 </w:t>
            </w:r>
            <w:r>
              <w:rPr>
                <w:bCs/>
                <w:kern w:val="0"/>
                <w:sz w:val="20"/>
              </w:rPr>
              <w:t xml:space="preserve"> </w:t>
            </w:r>
            <w:r>
              <w:rPr>
                <w:rFonts w:hint="eastAsia"/>
                <w:bCs/>
                <w:kern w:val="0"/>
                <w:sz w:val="20"/>
              </w:rPr>
              <w:t xml:space="preserve">  200mm×200mm×200mm</w:t>
            </w:r>
          </w:p>
          <w:p>
            <w:pPr>
              <w:adjustRightInd w:val="0"/>
              <w:snapToGrid w:val="0"/>
              <w:ind w:firstLine="1800" w:firstLineChars="900"/>
              <w:rPr>
                <w:bCs/>
                <w:kern w:val="0"/>
                <w:sz w:val="20"/>
              </w:rPr>
            </w:pPr>
            <w:r>
              <w:rPr>
                <w:bCs/>
                <w:kern w:val="0"/>
                <w:sz w:val="20"/>
              </w:rPr>
              <w:t>200mm</w:t>
            </w:r>
            <w:r>
              <w:rPr>
                <w:rFonts w:hint="eastAsia"/>
                <w:bCs/>
                <w:kern w:val="0"/>
                <w:sz w:val="20"/>
              </w:rPr>
              <w:t>×</w:t>
            </w:r>
            <w:r>
              <w:rPr>
                <w:bCs/>
                <w:kern w:val="0"/>
                <w:sz w:val="20"/>
              </w:rPr>
              <w:t>150mm</w:t>
            </w:r>
            <w:r>
              <w:rPr>
                <w:rFonts w:hint="eastAsia"/>
                <w:bCs/>
                <w:kern w:val="0"/>
                <w:sz w:val="20"/>
              </w:rPr>
              <w:t>×</w:t>
            </w:r>
            <w:r>
              <w:rPr>
                <w:bCs/>
                <w:kern w:val="0"/>
                <w:sz w:val="20"/>
              </w:rPr>
              <w:t>150mm</w:t>
            </w:r>
          </w:p>
          <w:p>
            <w:pPr>
              <w:adjustRightInd w:val="0"/>
              <w:snapToGrid w:val="0"/>
              <w:ind w:firstLine="1800" w:firstLineChars="900"/>
              <w:rPr>
                <w:bCs/>
                <w:kern w:val="0"/>
                <w:sz w:val="20"/>
              </w:rPr>
            </w:pPr>
            <w:r>
              <w:rPr>
                <w:bCs/>
                <w:kern w:val="0"/>
                <w:sz w:val="20"/>
              </w:rPr>
              <w:t>150mm</w:t>
            </w:r>
            <w:r>
              <w:rPr>
                <w:rFonts w:hint="eastAsia"/>
                <w:bCs/>
                <w:kern w:val="0"/>
                <w:sz w:val="20"/>
              </w:rPr>
              <w:t>×</w:t>
            </w:r>
            <w:r>
              <w:rPr>
                <w:bCs/>
                <w:kern w:val="0"/>
                <w:sz w:val="20"/>
              </w:rPr>
              <w:t>150mm</w:t>
            </w:r>
            <w:r>
              <w:rPr>
                <w:rFonts w:hint="eastAsia"/>
                <w:bCs/>
                <w:kern w:val="0"/>
                <w:sz w:val="20"/>
              </w:rPr>
              <w:t>×</w:t>
            </w:r>
            <w:r>
              <w:rPr>
                <w:bCs/>
                <w:kern w:val="0"/>
                <w:sz w:val="20"/>
              </w:rPr>
              <w:t>150mm</w:t>
            </w:r>
          </w:p>
          <w:p>
            <w:pPr>
              <w:adjustRightInd w:val="0"/>
              <w:snapToGrid w:val="0"/>
              <w:rPr>
                <w:bCs/>
                <w:kern w:val="0"/>
                <w:sz w:val="20"/>
              </w:rPr>
            </w:pPr>
            <w:r>
              <w:rPr>
                <w:rFonts w:hint="eastAsia"/>
                <w:bCs/>
                <w:kern w:val="0"/>
                <w:sz w:val="20"/>
              </w:rPr>
              <w:t>混凝土力学试验</w:t>
            </w:r>
          </w:p>
          <w:p>
            <w:pPr>
              <w:adjustRightInd w:val="0"/>
              <w:snapToGrid w:val="0"/>
              <w:rPr>
                <w:bCs/>
                <w:kern w:val="0"/>
                <w:sz w:val="20"/>
              </w:rPr>
            </w:pPr>
            <w:r>
              <w:rPr>
                <w:bCs/>
                <w:kern w:val="0"/>
                <w:sz w:val="20"/>
              </w:rPr>
              <w:t>1</w:t>
            </w:r>
            <w:r>
              <w:rPr>
                <w:rFonts w:hint="eastAsia"/>
                <w:bCs/>
                <w:kern w:val="0"/>
                <w:sz w:val="20"/>
              </w:rPr>
              <w:t>）混凝土抗压强度试验和轴心抗压强度试验</w:t>
            </w:r>
          </w:p>
          <w:p>
            <w:pPr>
              <w:adjustRightInd w:val="0"/>
              <w:snapToGrid w:val="0"/>
              <w:rPr>
                <w:bCs/>
                <w:kern w:val="0"/>
                <w:sz w:val="20"/>
              </w:rPr>
            </w:pPr>
            <w:r>
              <w:rPr>
                <w:rFonts w:hint="eastAsia"/>
                <w:bCs/>
                <w:kern w:val="0"/>
                <w:sz w:val="20"/>
              </w:rPr>
              <w:t>试样尺寸：抗压强度试验时的试件尺寸采用标准值（GB/T 50081-2002）：</w:t>
            </w:r>
          </w:p>
          <w:p>
            <w:pPr>
              <w:adjustRightInd w:val="0"/>
              <w:snapToGrid w:val="0"/>
              <w:rPr>
                <w:bCs/>
                <w:kern w:val="0"/>
                <w:sz w:val="20"/>
              </w:rPr>
            </w:pPr>
            <w:r>
              <w:rPr>
                <w:rFonts w:hint="eastAsia"/>
                <w:bCs/>
                <w:kern w:val="0"/>
                <w:sz w:val="20"/>
              </w:rPr>
              <w:t>立方体       150mm×150mm×150mm</w:t>
            </w:r>
          </w:p>
          <w:p>
            <w:pPr>
              <w:adjustRightInd w:val="0"/>
              <w:snapToGrid w:val="0"/>
              <w:rPr>
                <w:bCs/>
                <w:kern w:val="0"/>
                <w:sz w:val="20"/>
              </w:rPr>
            </w:pPr>
            <w:r>
              <w:rPr>
                <w:rFonts w:hint="eastAsia"/>
                <w:bCs/>
                <w:kern w:val="0"/>
                <w:sz w:val="20"/>
              </w:rPr>
              <w:t>圆柱体       φ150mm×300mm</w:t>
            </w:r>
          </w:p>
          <w:p>
            <w:pPr>
              <w:adjustRightInd w:val="0"/>
              <w:snapToGrid w:val="0"/>
              <w:rPr>
                <w:bCs/>
                <w:kern w:val="0"/>
                <w:sz w:val="20"/>
              </w:rPr>
            </w:pPr>
            <w:r>
              <w:rPr>
                <w:rFonts w:hint="eastAsia"/>
                <w:bCs/>
                <w:kern w:val="0"/>
                <w:sz w:val="20"/>
              </w:rPr>
              <w:t>2）混凝土轴心抗压强度试验</w:t>
            </w:r>
          </w:p>
          <w:p>
            <w:pPr>
              <w:adjustRightInd w:val="0"/>
              <w:snapToGrid w:val="0"/>
              <w:rPr>
                <w:bCs/>
                <w:kern w:val="0"/>
                <w:sz w:val="20"/>
              </w:rPr>
            </w:pPr>
            <w:r>
              <w:rPr>
                <w:rFonts w:hint="eastAsia"/>
                <w:bCs/>
                <w:kern w:val="0"/>
                <w:sz w:val="20"/>
              </w:rPr>
              <w:t>试样尺寸：轴心抗压强度试验时的试件尺寸采用标准值（GB/T 50081-2002）：</w:t>
            </w:r>
          </w:p>
          <w:p>
            <w:pPr>
              <w:adjustRightInd w:val="0"/>
              <w:snapToGrid w:val="0"/>
              <w:rPr>
                <w:bCs/>
                <w:kern w:val="0"/>
                <w:sz w:val="20"/>
              </w:rPr>
            </w:pPr>
            <w:r>
              <w:rPr>
                <w:rFonts w:hint="eastAsia"/>
                <w:bCs/>
                <w:kern w:val="0"/>
                <w:sz w:val="20"/>
              </w:rPr>
              <w:t>棱柱体       150mm×150mm×300mm</w:t>
            </w:r>
          </w:p>
          <w:p>
            <w:pPr>
              <w:adjustRightInd w:val="0"/>
              <w:snapToGrid w:val="0"/>
              <w:rPr>
                <w:bCs/>
                <w:kern w:val="0"/>
                <w:sz w:val="20"/>
              </w:rPr>
            </w:pPr>
            <w:r>
              <w:rPr>
                <w:rFonts w:hint="eastAsia"/>
                <w:bCs/>
                <w:kern w:val="0"/>
                <w:sz w:val="20"/>
              </w:rPr>
              <w:t>圆柱体       φ150mm×300mm</w:t>
            </w:r>
          </w:p>
          <w:p>
            <w:pPr>
              <w:adjustRightInd w:val="0"/>
              <w:snapToGrid w:val="0"/>
              <w:rPr>
                <w:bCs/>
                <w:kern w:val="0"/>
                <w:sz w:val="20"/>
              </w:rPr>
            </w:pPr>
            <w:r>
              <w:rPr>
                <w:bCs/>
                <w:kern w:val="0"/>
                <w:sz w:val="20"/>
              </w:rPr>
              <w:t>3</w:t>
            </w:r>
            <w:r>
              <w:rPr>
                <w:rFonts w:hint="eastAsia"/>
                <w:bCs/>
                <w:kern w:val="0"/>
                <w:sz w:val="20"/>
              </w:rPr>
              <w:t>）混凝土静力受压弹性模量试验（配有专用装置）</w:t>
            </w:r>
          </w:p>
          <w:p>
            <w:pPr>
              <w:adjustRightInd w:val="0"/>
              <w:snapToGrid w:val="0"/>
              <w:rPr>
                <w:bCs/>
                <w:kern w:val="0"/>
                <w:sz w:val="20"/>
              </w:rPr>
            </w:pPr>
            <w:r>
              <w:rPr>
                <w:rFonts w:hint="eastAsia"/>
                <w:bCs/>
                <w:kern w:val="0"/>
                <w:sz w:val="20"/>
              </w:rPr>
              <w:t>试样尺寸：静力受压弹性模量试验时的试件尺寸采用标准值（GB/T 50081-2002）：</w:t>
            </w:r>
          </w:p>
          <w:p>
            <w:pPr>
              <w:adjustRightInd w:val="0"/>
              <w:snapToGrid w:val="0"/>
              <w:rPr>
                <w:bCs/>
                <w:kern w:val="0"/>
                <w:sz w:val="20"/>
              </w:rPr>
            </w:pPr>
            <w:r>
              <w:rPr>
                <w:rFonts w:hint="eastAsia"/>
                <w:bCs/>
                <w:kern w:val="0"/>
                <w:sz w:val="20"/>
              </w:rPr>
              <w:t>棱柱体       150mm×150mm×300mm</w:t>
            </w:r>
          </w:p>
          <w:p>
            <w:pPr>
              <w:adjustRightInd w:val="0"/>
              <w:snapToGrid w:val="0"/>
              <w:rPr>
                <w:bCs/>
                <w:kern w:val="0"/>
                <w:sz w:val="20"/>
              </w:rPr>
            </w:pPr>
            <w:r>
              <w:rPr>
                <w:rFonts w:hint="eastAsia"/>
                <w:bCs/>
                <w:kern w:val="0"/>
                <w:sz w:val="20"/>
              </w:rPr>
              <w:t>圆柱体       φ150mm×300mm</w:t>
            </w:r>
          </w:p>
          <w:p>
            <w:pPr>
              <w:adjustRightInd w:val="0"/>
              <w:snapToGrid w:val="0"/>
              <w:rPr>
                <w:bCs/>
                <w:kern w:val="0"/>
                <w:sz w:val="20"/>
              </w:rPr>
            </w:pPr>
            <w:r>
              <w:rPr>
                <w:bCs/>
                <w:kern w:val="0"/>
                <w:sz w:val="20"/>
              </w:rPr>
              <w:t>4</w:t>
            </w:r>
            <w:r>
              <w:rPr>
                <w:rFonts w:hint="eastAsia"/>
                <w:bCs/>
                <w:kern w:val="0"/>
                <w:sz w:val="20"/>
              </w:rPr>
              <w:t>）混凝土劈裂抗拉强度试验（配有专用装置）</w:t>
            </w:r>
          </w:p>
          <w:p>
            <w:pPr>
              <w:adjustRightInd w:val="0"/>
              <w:snapToGrid w:val="0"/>
              <w:rPr>
                <w:bCs/>
                <w:kern w:val="0"/>
                <w:sz w:val="20"/>
              </w:rPr>
            </w:pPr>
            <w:r>
              <w:rPr>
                <w:rFonts w:hint="eastAsia"/>
                <w:bCs/>
                <w:kern w:val="0"/>
                <w:sz w:val="20"/>
              </w:rPr>
              <w:t>试样尺寸：劈裂抗拉强度试验时的试件尺寸采用标准值（GB/T 50081-2002）：</w:t>
            </w:r>
          </w:p>
          <w:p>
            <w:pPr>
              <w:adjustRightInd w:val="0"/>
              <w:snapToGrid w:val="0"/>
              <w:rPr>
                <w:bCs/>
                <w:kern w:val="0"/>
                <w:sz w:val="20"/>
              </w:rPr>
            </w:pPr>
            <w:r>
              <w:rPr>
                <w:rFonts w:hint="eastAsia"/>
                <w:bCs/>
                <w:kern w:val="0"/>
                <w:sz w:val="20"/>
              </w:rPr>
              <w:t>立方体       150mm×150mm×150mm</w:t>
            </w:r>
          </w:p>
          <w:p>
            <w:pPr>
              <w:adjustRightInd w:val="0"/>
              <w:snapToGrid w:val="0"/>
              <w:rPr>
                <w:bCs/>
                <w:kern w:val="0"/>
                <w:sz w:val="20"/>
              </w:rPr>
            </w:pPr>
            <w:r>
              <w:rPr>
                <w:bCs/>
                <w:kern w:val="0"/>
                <w:sz w:val="20"/>
              </w:rPr>
              <w:t>5</w:t>
            </w:r>
            <w:r>
              <w:rPr>
                <w:rFonts w:hint="eastAsia"/>
                <w:bCs/>
                <w:kern w:val="0"/>
                <w:sz w:val="20"/>
              </w:rPr>
              <w:t>）混凝土抗折强度试验（配有专用装置）和弯曲挠度试验</w:t>
            </w:r>
          </w:p>
          <w:p>
            <w:pPr>
              <w:adjustRightInd w:val="0"/>
              <w:snapToGrid w:val="0"/>
              <w:rPr>
                <w:bCs/>
                <w:kern w:val="0"/>
                <w:sz w:val="20"/>
              </w:rPr>
            </w:pPr>
            <w:r>
              <w:rPr>
                <w:rFonts w:hint="eastAsia"/>
                <w:bCs/>
                <w:kern w:val="0"/>
                <w:sz w:val="20"/>
              </w:rPr>
              <w:t>试样尺寸：抗折强度试验时的试件尺寸采用标准值（GB/T 50081-2002）：</w:t>
            </w:r>
          </w:p>
          <w:p>
            <w:pPr>
              <w:adjustRightInd w:val="0"/>
              <w:snapToGrid w:val="0"/>
              <w:rPr>
                <w:bCs/>
                <w:kern w:val="0"/>
                <w:sz w:val="20"/>
              </w:rPr>
            </w:pPr>
            <w:r>
              <w:rPr>
                <w:rFonts w:hint="eastAsia"/>
                <w:bCs/>
                <w:kern w:val="0"/>
                <w:sz w:val="20"/>
              </w:rPr>
              <w:t>棱柱体       150mm×150mm×600mm</w:t>
            </w:r>
          </w:p>
          <w:p>
            <w:pPr>
              <w:adjustRightInd w:val="0"/>
              <w:snapToGrid w:val="0"/>
              <w:rPr>
                <w:bCs/>
                <w:kern w:val="0"/>
                <w:sz w:val="20"/>
              </w:rPr>
            </w:pPr>
            <w:r>
              <w:rPr>
                <w:rFonts w:hint="eastAsia"/>
                <w:bCs/>
                <w:kern w:val="0"/>
                <w:sz w:val="20"/>
              </w:rPr>
              <w:t xml:space="preserve">          </w:t>
            </w:r>
            <w:r>
              <w:rPr>
                <w:bCs/>
                <w:kern w:val="0"/>
                <w:sz w:val="20"/>
              </w:rPr>
              <w:t xml:space="preserve">   </w:t>
            </w:r>
            <w:r>
              <w:rPr>
                <w:rFonts w:hint="eastAsia"/>
                <w:bCs/>
                <w:kern w:val="0"/>
                <w:sz w:val="20"/>
              </w:rPr>
              <w:t>100mm×100mm×400mm</w:t>
            </w:r>
          </w:p>
          <w:p>
            <w:pPr>
              <w:adjustRightInd w:val="0"/>
              <w:snapToGrid w:val="0"/>
              <w:rPr>
                <w:bCs/>
                <w:kern w:val="0"/>
                <w:sz w:val="20"/>
              </w:rPr>
            </w:pPr>
            <w:r>
              <w:rPr>
                <w:bCs/>
                <w:kern w:val="0"/>
                <w:sz w:val="20"/>
              </w:rPr>
              <w:t>6</w:t>
            </w:r>
            <w:r>
              <w:rPr>
                <w:rFonts w:hint="eastAsia"/>
                <w:bCs/>
                <w:kern w:val="0"/>
                <w:sz w:val="20"/>
              </w:rPr>
              <w:t>）混凝土弯曲挠度试验</w:t>
            </w:r>
          </w:p>
          <w:p>
            <w:pPr>
              <w:adjustRightInd w:val="0"/>
              <w:snapToGrid w:val="0"/>
              <w:rPr>
                <w:bCs/>
                <w:kern w:val="0"/>
                <w:sz w:val="20"/>
              </w:rPr>
            </w:pPr>
            <w:r>
              <w:rPr>
                <w:rFonts w:hint="eastAsia"/>
                <w:bCs/>
                <w:kern w:val="0"/>
                <w:sz w:val="20"/>
              </w:rPr>
              <w:t>试样尺寸：弯曲挠度试验时的试件尺寸采用标准值（GB/T 50081-2002）：</w:t>
            </w:r>
          </w:p>
          <w:p>
            <w:pPr>
              <w:adjustRightInd w:val="0"/>
              <w:snapToGrid w:val="0"/>
              <w:rPr>
                <w:bCs/>
                <w:kern w:val="0"/>
                <w:sz w:val="20"/>
              </w:rPr>
            </w:pPr>
            <w:r>
              <w:rPr>
                <w:rFonts w:hint="eastAsia"/>
                <w:bCs/>
                <w:kern w:val="0"/>
                <w:sz w:val="20"/>
              </w:rPr>
              <w:t>棱柱体       150mm×150mm×600mm</w:t>
            </w:r>
          </w:p>
          <w:p>
            <w:pPr>
              <w:adjustRightInd w:val="0"/>
              <w:snapToGrid w:val="0"/>
              <w:rPr>
                <w:bCs/>
                <w:kern w:val="0"/>
                <w:sz w:val="20"/>
              </w:rPr>
            </w:pPr>
            <w:r>
              <w:rPr>
                <w:rFonts w:hint="eastAsia"/>
                <w:bCs/>
                <w:kern w:val="0"/>
                <w:sz w:val="20"/>
              </w:rPr>
              <w:t xml:space="preserve">          </w:t>
            </w:r>
            <w:r>
              <w:rPr>
                <w:bCs/>
                <w:kern w:val="0"/>
                <w:sz w:val="20"/>
              </w:rPr>
              <w:t xml:space="preserve">   </w:t>
            </w:r>
            <w:r>
              <w:rPr>
                <w:rFonts w:hint="eastAsia"/>
                <w:bCs/>
                <w:kern w:val="0"/>
                <w:sz w:val="20"/>
              </w:rPr>
              <w:t>100mm×100mm×400mm</w:t>
            </w:r>
          </w:p>
          <w:p>
            <w:pPr>
              <w:rPr>
                <w:bCs/>
                <w:kern w:val="0"/>
                <w:sz w:val="20"/>
              </w:rPr>
            </w:pPr>
          </w:p>
        </w:tc>
        <w:tc>
          <w:tcPr>
            <w:tcW w:w="709" w:type="dxa"/>
            <w:tcBorders>
              <w:top w:val="single" w:color="000000" w:sz="4" w:space="0"/>
              <w:left w:val="single" w:color="000000" w:sz="4" w:space="0"/>
              <w:bottom w:val="single" w:color="000000" w:sz="4" w:space="0"/>
              <w:right w:val="single" w:color="000000" w:sz="4" w:space="0"/>
            </w:tcBorders>
            <w:noWrap/>
          </w:tcPr>
          <w:p>
            <w:pPr>
              <w:widowControl/>
              <w:jc w:val="center"/>
              <w:textAlignment w:val="center"/>
              <w:rPr>
                <w:kern w:val="0"/>
                <w:sz w:val="20"/>
              </w:rPr>
            </w:pPr>
            <w:r>
              <w:rPr>
                <w:rFonts w:hint="eastAsia"/>
                <w:kern w:val="0"/>
                <w:sz w:val="20"/>
              </w:rPr>
              <w:t>1</w:t>
            </w:r>
          </w:p>
        </w:tc>
        <w:tc>
          <w:tcPr>
            <w:tcW w:w="708" w:type="dxa"/>
            <w:tcBorders>
              <w:top w:val="single" w:color="000000" w:sz="4" w:space="0"/>
              <w:left w:val="single" w:color="000000" w:sz="4" w:space="0"/>
              <w:bottom w:val="single" w:color="000000" w:sz="4" w:space="0"/>
              <w:right w:val="single" w:color="000000" w:sz="4" w:space="0"/>
            </w:tcBorders>
            <w:noWrap/>
          </w:tcPr>
          <w:p>
            <w:pPr>
              <w:widowControl/>
              <w:spacing w:after="120"/>
              <w:jc w:val="center"/>
              <w:rPr>
                <w:kern w:val="0"/>
                <w:sz w:val="20"/>
              </w:rPr>
            </w:pPr>
            <w:r>
              <w:rPr>
                <w:rFonts w:hint="eastAsia"/>
                <w:kern w:val="0"/>
                <w:sz w:val="20"/>
              </w:rPr>
              <w:t>套</w:t>
            </w:r>
          </w:p>
        </w:tc>
        <w:tc>
          <w:tcPr>
            <w:tcW w:w="634"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69" w:hRule="atLeast"/>
          <w:jc w:val="center"/>
        </w:trPr>
        <w:tc>
          <w:tcPr>
            <w:tcW w:w="562" w:type="dxa"/>
            <w:tcBorders>
              <w:top w:val="single" w:color="000000" w:sz="4" w:space="0"/>
              <w:left w:val="single" w:color="000000" w:sz="4" w:space="0"/>
              <w:bottom w:val="single" w:color="000000" w:sz="4" w:space="0"/>
              <w:right w:val="single" w:color="000000" w:sz="4" w:space="0"/>
            </w:tcBorders>
          </w:tcPr>
          <w:p>
            <w:pPr>
              <w:spacing w:line="400" w:lineRule="exact"/>
              <w:rPr>
                <w:kern w:val="0"/>
                <w:sz w:val="20"/>
              </w:rPr>
            </w:pPr>
            <w:r>
              <w:rPr>
                <w:rFonts w:hint="eastAsia"/>
                <w:kern w:val="0"/>
                <w:sz w:val="20"/>
              </w:rPr>
              <w:t>5</w:t>
            </w:r>
          </w:p>
        </w:tc>
        <w:tc>
          <w:tcPr>
            <w:tcW w:w="1418" w:type="dxa"/>
            <w:tcBorders>
              <w:top w:val="single" w:color="000000" w:sz="4" w:space="0"/>
              <w:left w:val="single" w:color="000000" w:sz="4" w:space="0"/>
              <w:bottom w:val="single" w:color="000000" w:sz="4" w:space="0"/>
              <w:right w:val="single" w:color="000000" w:sz="4" w:space="0"/>
            </w:tcBorders>
          </w:tcPr>
          <w:p>
            <w:pPr>
              <w:pStyle w:val="26"/>
              <w:ind w:firstLine="0" w:firstLineChars="0"/>
              <w:rPr>
                <w:kern w:val="0"/>
                <w:sz w:val="20"/>
                <w:szCs w:val="20"/>
              </w:rPr>
            </w:pPr>
            <w:r>
              <w:rPr>
                <w:rFonts w:hint="eastAsia"/>
                <w:kern w:val="0"/>
                <w:sz w:val="20"/>
                <w:szCs w:val="20"/>
              </w:rPr>
              <w:t>动</w:t>
            </w:r>
            <w:r>
              <w:rPr>
                <w:kern w:val="0"/>
                <w:sz w:val="20"/>
                <w:szCs w:val="20"/>
              </w:rPr>
              <w:t>三轴设备维修</w:t>
            </w:r>
          </w:p>
        </w:tc>
        <w:tc>
          <w:tcPr>
            <w:tcW w:w="596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rPr>
                <w:bCs/>
                <w:kern w:val="0"/>
                <w:sz w:val="20"/>
              </w:rPr>
            </w:pPr>
            <w:r>
              <w:rPr>
                <w:rFonts w:hint="eastAsia"/>
                <w:bCs/>
                <w:kern w:val="0"/>
                <w:sz w:val="20"/>
              </w:rPr>
              <w:t>一、技术要求</w:t>
            </w:r>
          </w:p>
          <w:p>
            <w:pPr>
              <w:adjustRightInd w:val="0"/>
              <w:snapToGrid w:val="0"/>
              <w:rPr>
                <w:bCs/>
                <w:kern w:val="0"/>
                <w:sz w:val="20"/>
              </w:rPr>
            </w:pPr>
            <w:r>
              <w:rPr>
                <w:rFonts w:hint="eastAsia"/>
                <w:bCs/>
                <w:kern w:val="0"/>
                <w:sz w:val="20"/>
              </w:rPr>
              <w:t>1、采用先进的载荷测量单元，解决密封件对测试力值造成的摩擦力问题，更精确的反应出试样的受力情况。</w:t>
            </w:r>
          </w:p>
          <w:p>
            <w:pPr>
              <w:pStyle w:val="23"/>
              <w:numPr>
                <w:ilvl w:val="0"/>
                <w:numId w:val="18"/>
              </w:numPr>
              <w:ind w:firstLineChars="0"/>
              <w:rPr>
                <w:bCs/>
                <w:kern w:val="0"/>
                <w:sz w:val="20"/>
                <w:szCs w:val="20"/>
              </w:rPr>
            </w:pPr>
            <w:r>
              <w:rPr>
                <w:rFonts w:hint="eastAsia"/>
                <w:bCs/>
                <w:kern w:val="0"/>
                <w:sz w:val="20"/>
                <w:szCs w:val="20"/>
              </w:rPr>
              <w:t>更换原压力室底座为不绣钢压力室底座。</w:t>
            </w:r>
          </w:p>
          <w:p>
            <w:pPr>
              <w:rPr>
                <w:bCs/>
                <w:kern w:val="0"/>
                <w:sz w:val="20"/>
              </w:rPr>
            </w:pPr>
            <w:r>
              <w:rPr>
                <w:bCs/>
                <w:kern w:val="0"/>
                <w:sz w:val="20"/>
              </w:rPr>
              <w:t>3</w:t>
            </w:r>
            <w:r>
              <w:rPr>
                <w:rFonts w:hint="eastAsia"/>
                <w:bCs/>
                <w:kern w:val="0"/>
                <w:sz w:val="20"/>
              </w:rPr>
              <w:t>、更换原加载框架为传感器内置，压力室周围受力的形式，试验更方便，消除摩擦力对试验结果的影响。</w:t>
            </w:r>
          </w:p>
          <w:p>
            <w:pPr>
              <w:pStyle w:val="23"/>
              <w:numPr>
                <w:ilvl w:val="0"/>
                <w:numId w:val="19"/>
              </w:numPr>
              <w:ind w:firstLineChars="0"/>
              <w:rPr>
                <w:bCs/>
                <w:kern w:val="0"/>
                <w:sz w:val="20"/>
                <w:szCs w:val="20"/>
              </w:rPr>
            </w:pPr>
            <w:r>
              <w:rPr>
                <w:rFonts w:hint="eastAsia"/>
                <w:bCs/>
                <w:kern w:val="0"/>
                <w:sz w:val="20"/>
                <w:szCs w:val="20"/>
              </w:rPr>
              <w:t>增加体变测量装置，以满足饱和试样的内体变测量试验。</w:t>
            </w:r>
          </w:p>
          <w:p>
            <w:pPr>
              <w:numPr>
                <w:ilvl w:val="0"/>
                <w:numId w:val="19"/>
              </w:numPr>
              <w:rPr>
                <w:bCs/>
                <w:kern w:val="0"/>
                <w:sz w:val="20"/>
              </w:rPr>
            </w:pPr>
            <w:r>
              <w:rPr>
                <w:rFonts w:hint="eastAsia"/>
                <w:bCs/>
                <w:kern w:val="0"/>
                <w:sz w:val="20"/>
              </w:rPr>
              <w:t>通过与电控系统的共同改造，彻底解决侧向加载的滞后，实现负荷、变形、围压的伺服闭环控制，将原模拟闭环控制更改为数字闭环控制，解决原机在控制方式转换过程中的冲击现象。</w:t>
            </w:r>
          </w:p>
          <w:p>
            <w:pPr>
              <w:numPr>
                <w:ilvl w:val="0"/>
                <w:numId w:val="19"/>
              </w:numPr>
              <w:rPr>
                <w:bCs/>
                <w:kern w:val="0"/>
                <w:sz w:val="20"/>
              </w:rPr>
            </w:pPr>
            <w:r>
              <w:rPr>
                <w:rFonts w:hint="eastAsia"/>
                <w:bCs/>
                <w:kern w:val="0"/>
                <w:sz w:val="20"/>
              </w:rPr>
              <w:t>通过能压力室及底座的改造，使整个制样过程更方便，最大程序上避免在制样过程中对试样的扰动。</w:t>
            </w:r>
          </w:p>
          <w:p>
            <w:pPr>
              <w:numPr>
                <w:ilvl w:val="0"/>
                <w:numId w:val="19"/>
              </w:numPr>
              <w:rPr>
                <w:bCs/>
                <w:kern w:val="0"/>
                <w:sz w:val="20"/>
              </w:rPr>
            </w:pPr>
            <w:r>
              <w:rPr>
                <w:rFonts w:hint="eastAsia"/>
                <w:bCs/>
                <w:kern w:val="0"/>
                <w:sz w:val="20"/>
              </w:rPr>
              <w:t>对原电气控制系统重新更换。</w:t>
            </w:r>
          </w:p>
          <w:p>
            <w:pPr>
              <w:numPr>
                <w:ilvl w:val="1"/>
                <w:numId w:val="20"/>
              </w:numPr>
              <w:autoSpaceDE w:val="0"/>
              <w:autoSpaceDN w:val="0"/>
              <w:adjustRightInd w:val="0"/>
              <w:jc w:val="left"/>
              <w:rPr>
                <w:bCs/>
                <w:kern w:val="0"/>
                <w:sz w:val="20"/>
              </w:rPr>
            </w:pPr>
            <w:r>
              <w:rPr>
                <w:rFonts w:hint="eastAsia"/>
                <w:bCs/>
                <w:kern w:val="0"/>
                <w:sz w:val="20"/>
              </w:rPr>
              <w:t>更换轴向控制器为EDC220/i20控制器,18bit传感器采集精度，将原分辨率提高8倍。轴向位移传感器更换为SSI数字式传感器，传感器0.001mm分辨率，可以满足0.01 mm/min-5 mm/min 的精确加载。</w:t>
            </w:r>
          </w:p>
          <w:p>
            <w:pPr>
              <w:numPr>
                <w:ilvl w:val="1"/>
                <w:numId w:val="20"/>
              </w:numPr>
              <w:autoSpaceDE w:val="0"/>
              <w:autoSpaceDN w:val="0"/>
              <w:adjustRightInd w:val="0"/>
              <w:jc w:val="left"/>
              <w:rPr>
                <w:bCs/>
                <w:kern w:val="0"/>
                <w:sz w:val="20"/>
              </w:rPr>
            </w:pPr>
            <w:r>
              <w:rPr>
                <w:rFonts w:hint="eastAsia"/>
                <w:bCs/>
                <w:kern w:val="0"/>
                <w:sz w:val="20"/>
              </w:rPr>
              <w:t>更换侧向控制器，16bit传感器采集精度，可满足低转压下压力加载的准确精度。</w:t>
            </w:r>
          </w:p>
          <w:p>
            <w:pPr>
              <w:numPr>
                <w:ilvl w:val="0"/>
                <w:numId w:val="19"/>
              </w:numPr>
              <w:rPr>
                <w:bCs/>
                <w:kern w:val="0"/>
                <w:sz w:val="20"/>
              </w:rPr>
            </w:pPr>
            <w:r>
              <w:rPr>
                <w:rFonts w:hint="eastAsia"/>
                <w:bCs/>
                <w:kern w:val="0"/>
                <w:sz w:val="20"/>
              </w:rPr>
              <w:t>计算机及软件系统全面更新升级</w:t>
            </w:r>
          </w:p>
          <w:p>
            <w:pPr>
              <w:numPr>
                <w:ilvl w:val="1"/>
                <w:numId w:val="21"/>
              </w:numPr>
              <w:autoSpaceDE w:val="0"/>
              <w:autoSpaceDN w:val="0"/>
              <w:adjustRightInd w:val="0"/>
              <w:jc w:val="left"/>
              <w:rPr>
                <w:bCs/>
                <w:kern w:val="0"/>
                <w:sz w:val="20"/>
              </w:rPr>
            </w:pPr>
            <w:r>
              <w:rPr>
                <w:rFonts w:hint="eastAsia"/>
                <w:bCs/>
                <w:kern w:val="0"/>
                <w:sz w:val="20"/>
              </w:rPr>
              <w:t>将原WINDOWS XP试验软件升级为新版软件</w:t>
            </w:r>
          </w:p>
          <w:p>
            <w:pPr>
              <w:numPr>
                <w:ilvl w:val="1"/>
                <w:numId w:val="21"/>
              </w:numPr>
              <w:autoSpaceDE w:val="0"/>
              <w:autoSpaceDN w:val="0"/>
              <w:adjustRightInd w:val="0"/>
              <w:jc w:val="left"/>
              <w:rPr>
                <w:bCs/>
                <w:kern w:val="0"/>
                <w:sz w:val="20"/>
              </w:rPr>
            </w:pPr>
            <w:r>
              <w:rPr>
                <w:rFonts w:hint="eastAsia"/>
                <w:bCs/>
                <w:kern w:val="0"/>
                <w:sz w:val="20"/>
              </w:rPr>
              <w:t>界面人性化程度显著提高，操作更加简便</w:t>
            </w:r>
          </w:p>
          <w:p>
            <w:pPr>
              <w:numPr>
                <w:ilvl w:val="1"/>
                <w:numId w:val="21"/>
              </w:numPr>
              <w:autoSpaceDE w:val="0"/>
              <w:autoSpaceDN w:val="0"/>
              <w:adjustRightInd w:val="0"/>
              <w:jc w:val="left"/>
              <w:rPr>
                <w:bCs/>
                <w:kern w:val="0"/>
                <w:sz w:val="20"/>
              </w:rPr>
            </w:pPr>
            <w:r>
              <w:rPr>
                <w:rFonts w:hint="eastAsia"/>
                <w:bCs/>
                <w:kern w:val="0"/>
                <w:sz w:val="20"/>
              </w:rPr>
              <w:t>真正实现随机地震波的荷载输入</w:t>
            </w:r>
          </w:p>
          <w:p>
            <w:pPr>
              <w:numPr>
                <w:ilvl w:val="1"/>
                <w:numId w:val="21"/>
              </w:numPr>
              <w:autoSpaceDE w:val="0"/>
              <w:autoSpaceDN w:val="0"/>
              <w:adjustRightInd w:val="0"/>
              <w:jc w:val="left"/>
              <w:rPr>
                <w:bCs/>
                <w:kern w:val="0"/>
                <w:sz w:val="20"/>
              </w:rPr>
            </w:pPr>
            <w:r>
              <w:rPr>
                <w:rFonts w:hint="eastAsia"/>
                <w:bCs/>
                <w:kern w:val="0"/>
                <w:sz w:val="20"/>
              </w:rPr>
              <w:t>实现试验过程通过计算机软件管理</w:t>
            </w:r>
          </w:p>
          <w:p>
            <w:pPr>
              <w:numPr>
                <w:ilvl w:val="1"/>
                <w:numId w:val="21"/>
              </w:numPr>
              <w:autoSpaceDE w:val="0"/>
              <w:autoSpaceDN w:val="0"/>
              <w:adjustRightInd w:val="0"/>
              <w:jc w:val="left"/>
              <w:rPr>
                <w:bCs/>
                <w:kern w:val="0"/>
                <w:sz w:val="20"/>
              </w:rPr>
            </w:pPr>
            <w:r>
              <w:rPr>
                <w:rFonts w:hint="eastAsia"/>
                <w:bCs/>
                <w:kern w:val="0"/>
                <w:sz w:val="20"/>
              </w:rPr>
              <w:t>实时记录力，变形、轴位移、侧位移、围压、孔压与时间，力-应变，轴载荷-位移等试验实时曲线</w:t>
            </w:r>
          </w:p>
          <w:p>
            <w:pPr>
              <w:numPr>
                <w:ilvl w:val="0"/>
                <w:numId w:val="19"/>
              </w:numPr>
              <w:ind w:left="601"/>
              <w:rPr>
                <w:bCs/>
                <w:kern w:val="0"/>
                <w:sz w:val="20"/>
              </w:rPr>
            </w:pPr>
            <w:r>
              <w:rPr>
                <w:rFonts w:hint="eastAsia"/>
                <w:bCs/>
                <w:kern w:val="0"/>
                <w:sz w:val="20"/>
              </w:rPr>
              <w:t>采用全新的计算机控制软件。实现全数字闭环控制, 提高测量控制精度，软件功能更加强大，操作更加简便，界面友好</w:t>
            </w:r>
          </w:p>
          <w:p>
            <w:pPr>
              <w:numPr>
                <w:ilvl w:val="0"/>
                <w:numId w:val="19"/>
              </w:numPr>
              <w:ind w:left="601"/>
              <w:rPr>
                <w:bCs/>
                <w:kern w:val="0"/>
                <w:sz w:val="20"/>
              </w:rPr>
            </w:pPr>
            <w:r>
              <w:rPr>
                <w:rFonts w:hint="eastAsia"/>
                <w:bCs/>
                <w:kern w:val="0"/>
                <w:sz w:val="20"/>
              </w:rPr>
              <w:t>保留主机原下横梁、围压加载油缸和侧向伺服阀</w:t>
            </w:r>
          </w:p>
          <w:p>
            <w:pPr>
              <w:numPr>
                <w:ilvl w:val="0"/>
                <w:numId w:val="19"/>
              </w:numPr>
              <w:ind w:left="601"/>
              <w:rPr>
                <w:bCs/>
                <w:kern w:val="0"/>
                <w:sz w:val="20"/>
              </w:rPr>
            </w:pPr>
            <w:r>
              <w:rPr>
                <w:rFonts w:hint="eastAsia"/>
                <w:bCs/>
                <w:kern w:val="0"/>
                <w:sz w:val="20"/>
              </w:rPr>
              <w:t>必须在原有动三轴基础上提供维修方案以及提供维修方案的详细配置表，包括配件型号及生产厂家。</w:t>
            </w:r>
          </w:p>
          <w:p>
            <w:pPr>
              <w:rPr>
                <w:bCs/>
                <w:kern w:val="0"/>
                <w:sz w:val="20"/>
              </w:rPr>
            </w:pPr>
            <w:r>
              <w:rPr>
                <w:rFonts w:hint="eastAsia"/>
                <w:bCs/>
                <w:kern w:val="0"/>
                <w:sz w:val="20"/>
              </w:rPr>
              <w:t>二、技术参数</w:t>
            </w:r>
          </w:p>
          <w:p>
            <w:pPr>
              <w:rPr>
                <w:bCs/>
                <w:kern w:val="0"/>
                <w:sz w:val="20"/>
              </w:rPr>
            </w:pPr>
            <w:r>
              <w:rPr>
                <w:rFonts w:hint="eastAsia"/>
                <w:bCs/>
                <w:kern w:val="0"/>
                <w:sz w:val="20"/>
              </w:rPr>
              <w:t>1、轴向激振最大负荷：</w:t>
            </w:r>
          </w:p>
          <w:p>
            <w:pPr>
              <w:ind w:left="420"/>
              <w:rPr>
                <w:bCs/>
                <w:kern w:val="0"/>
                <w:sz w:val="20"/>
              </w:rPr>
            </w:pPr>
            <w:r>
              <w:rPr>
                <w:rFonts w:hint="eastAsia"/>
                <w:bCs/>
                <w:kern w:val="0"/>
                <w:sz w:val="20"/>
              </w:rPr>
              <w:t>轴向激振静态负荷：5000N</w:t>
            </w:r>
          </w:p>
          <w:p>
            <w:pPr>
              <w:ind w:left="420"/>
              <w:rPr>
                <w:bCs/>
                <w:kern w:val="0"/>
                <w:sz w:val="20"/>
              </w:rPr>
            </w:pPr>
            <w:r>
              <w:rPr>
                <w:rFonts w:hint="eastAsia"/>
                <w:bCs/>
                <w:kern w:val="0"/>
                <w:sz w:val="20"/>
              </w:rPr>
              <w:t>轴向激振动态负荷：0－3000N</w:t>
            </w:r>
          </w:p>
          <w:p>
            <w:pPr>
              <w:ind w:left="420"/>
              <w:rPr>
                <w:bCs/>
                <w:kern w:val="0"/>
                <w:sz w:val="20"/>
              </w:rPr>
            </w:pPr>
            <w:r>
              <w:rPr>
                <w:rFonts w:hint="eastAsia"/>
                <w:bCs/>
                <w:kern w:val="0"/>
                <w:sz w:val="20"/>
              </w:rPr>
              <w:t>轴向激振最小加载负荷：10N</w:t>
            </w:r>
          </w:p>
          <w:p>
            <w:pPr>
              <w:ind w:left="420"/>
              <w:rPr>
                <w:bCs/>
                <w:kern w:val="0"/>
                <w:sz w:val="20"/>
              </w:rPr>
            </w:pPr>
            <w:r>
              <w:rPr>
                <w:rFonts w:hint="eastAsia"/>
                <w:bCs/>
                <w:kern w:val="0"/>
                <w:sz w:val="20"/>
              </w:rPr>
              <w:t xml:space="preserve">动态负荷示值波动度：±1% F.S </w:t>
            </w:r>
          </w:p>
          <w:p>
            <w:pPr>
              <w:tabs>
                <w:tab w:val="left" w:pos="720"/>
              </w:tabs>
              <w:rPr>
                <w:bCs/>
                <w:kern w:val="0"/>
                <w:sz w:val="20"/>
              </w:rPr>
            </w:pPr>
            <w:r>
              <w:rPr>
                <w:rFonts w:hint="eastAsia"/>
                <w:bCs/>
                <w:kern w:val="0"/>
                <w:sz w:val="20"/>
              </w:rPr>
              <w:t>2、激振器位移：</w:t>
            </w:r>
          </w:p>
          <w:p>
            <w:pPr>
              <w:ind w:left="420"/>
              <w:rPr>
                <w:bCs/>
                <w:kern w:val="0"/>
                <w:sz w:val="20"/>
              </w:rPr>
            </w:pPr>
            <w:r>
              <w:rPr>
                <w:rFonts w:hint="eastAsia"/>
                <w:bCs/>
                <w:kern w:val="0"/>
                <w:sz w:val="20"/>
              </w:rPr>
              <w:t>轴向行程：0-100mm（采用大量程传感器）采用高精度传感器，可以满足0.01 mm/min-5 mm/min 的精确加载。</w:t>
            </w:r>
          </w:p>
          <w:p>
            <w:pPr>
              <w:ind w:left="420"/>
              <w:rPr>
                <w:bCs/>
                <w:kern w:val="0"/>
                <w:sz w:val="20"/>
              </w:rPr>
            </w:pPr>
            <w:r>
              <w:rPr>
                <w:rFonts w:hint="eastAsia"/>
                <w:bCs/>
                <w:kern w:val="0"/>
                <w:sz w:val="20"/>
              </w:rPr>
              <w:t>轴向位移测量精度：±1% F.S</w:t>
            </w:r>
          </w:p>
          <w:p>
            <w:pPr>
              <w:ind w:left="420"/>
              <w:rPr>
                <w:bCs/>
                <w:kern w:val="0"/>
                <w:sz w:val="20"/>
              </w:rPr>
            </w:pPr>
            <w:r>
              <w:rPr>
                <w:rFonts w:hint="eastAsia"/>
                <w:bCs/>
                <w:kern w:val="0"/>
                <w:sz w:val="20"/>
              </w:rPr>
              <w:t>侧位移行程：0-100mm ，侧位移值精度为±1% F.S</w:t>
            </w:r>
          </w:p>
          <w:p>
            <w:pPr>
              <w:rPr>
                <w:bCs/>
                <w:kern w:val="0"/>
                <w:sz w:val="20"/>
              </w:rPr>
            </w:pPr>
            <w:r>
              <w:rPr>
                <w:rFonts w:hint="eastAsia"/>
                <w:bCs/>
                <w:kern w:val="0"/>
                <w:sz w:val="20"/>
              </w:rPr>
              <w:t>3、三轴压力室压力：</w:t>
            </w:r>
          </w:p>
          <w:p>
            <w:pPr>
              <w:ind w:left="420"/>
              <w:rPr>
                <w:bCs/>
                <w:kern w:val="0"/>
                <w:sz w:val="20"/>
              </w:rPr>
            </w:pPr>
            <w:r>
              <w:rPr>
                <w:rFonts w:hint="eastAsia"/>
                <w:bCs/>
                <w:kern w:val="0"/>
                <w:sz w:val="20"/>
              </w:rPr>
              <w:t xml:space="preserve">1Mpa[有机玻璃压力室] </w:t>
            </w:r>
          </w:p>
          <w:p>
            <w:pPr>
              <w:ind w:left="420"/>
              <w:rPr>
                <w:bCs/>
                <w:kern w:val="0"/>
                <w:sz w:val="20"/>
              </w:rPr>
            </w:pPr>
            <w:r>
              <w:rPr>
                <w:rFonts w:hint="eastAsia"/>
                <w:bCs/>
                <w:kern w:val="0"/>
                <w:sz w:val="20"/>
              </w:rPr>
              <w:t>围压精度：±0.5%F.S</w:t>
            </w:r>
          </w:p>
          <w:p>
            <w:pPr>
              <w:rPr>
                <w:bCs/>
                <w:kern w:val="0"/>
                <w:sz w:val="20"/>
              </w:rPr>
            </w:pPr>
            <w:r>
              <w:rPr>
                <w:rFonts w:hint="eastAsia"/>
                <w:bCs/>
                <w:kern w:val="0"/>
                <w:sz w:val="20"/>
              </w:rPr>
              <w:t>4、孔压：</w:t>
            </w:r>
          </w:p>
          <w:p>
            <w:pPr>
              <w:ind w:left="420"/>
              <w:rPr>
                <w:bCs/>
                <w:kern w:val="0"/>
                <w:sz w:val="20"/>
              </w:rPr>
            </w:pPr>
            <w:r>
              <w:rPr>
                <w:rFonts w:hint="eastAsia"/>
                <w:bCs/>
                <w:kern w:val="0"/>
                <w:sz w:val="20"/>
              </w:rPr>
              <w:t>0－1Mpa</w:t>
            </w:r>
          </w:p>
          <w:p>
            <w:pPr>
              <w:ind w:left="420"/>
              <w:rPr>
                <w:bCs/>
                <w:kern w:val="0"/>
                <w:sz w:val="20"/>
              </w:rPr>
            </w:pPr>
            <w:r>
              <w:rPr>
                <w:rFonts w:hint="eastAsia"/>
                <w:bCs/>
                <w:kern w:val="0"/>
                <w:sz w:val="20"/>
              </w:rPr>
              <w:t>孔压精度：±0.5%</w:t>
            </w:r>
          </w:p>
          <w:p>
            <w:pPr>
              <w:rPr>
                <w:bCs/>
                <w:kern w:val="0"/>
                <w:sz w:val="20"/>
              </w:rPr>
            </w:pPr>
            <w:r>
              <w:rPr>
                <w:rFonts w:hint="eastAsia"/>
                <w:bCs/>
                <w:kern w:val="0"/>
                <w:sz w:val="20"/>
              </w:rPr>
              <w:t>6、试样尺寸：Φ39.1×80mm；Φ</w:t>
            </w:r>
            <w:r>
              <w:rPr>
                <w:bCs/>
                <w:kern w:val="0"/>
                <w:sz w:val="20"/>
              </w:rPr>
              <w:t>80</w:t>
            </w:r>
            <w:r>
              <w:rPr>
                <w:rFonts w:hint="eastAsia"/>
                <w:bCs/>
                <w:kern w:val="0"/>
                <w:sz w:val="20"/>
              </w:rPr>
              <w:t>×</w:t>
            </w:r>
            <w:r>
              <w:rPr>
                <w:bCs/>
                <w:kern w:val="0"/>
                <w:sz w:val="20"/>
              </w:rPr>
              <w:t>16</w:t>
            </w:r>
            <w:r>
              <w:rPr>
                <w:rFonts w:hint="eastAsia"/>
                <w:bCs/>
                <w:kern w:val="0"/>
                <w:sz w:val="20"/>
              </w:rPr>
              <w:t>0mm</w:t>
            </w:r>
          </w:p>
          <w:p>
            <w:pPr>
              <w:rPr>
                <w:bCs/>
                <w:kern w:val="0"/>
                <w:sz w:val="20"/>
              </w:rPr>
            </w:pPr>
            <w:r>
              <w:rPr>
                <w:rFonts w:hint="eastAsia"/>
                <w:bCs/>
                <w:kern w:val="0"/>
                <w:sz w:val="20"/>
              </w:rPr>
              <w:t>7、试验控制系统</w:t>
            </w:r>
          </w:p>
          <w:p>
            <w:pPr>
              <w:ind w:left="420"/>
              <w:rPr>
                <w:bCs/>
                <w:kern w:val="0"/>
                <w:sz w:val="20"/>
              </w:rPr>
            </w:pPr>
            <w:r>
              <w:rPr>
                <w:rFonts w:hint="eastAsia"/>
                <w:bCs/>
                <w:kern w:val="0"/>
                <w:sz w:val="20"/>
              </w:rPr>
              <w:t>试验波形：轴向正弦波、三角波、方波，随机地震波等</w:t>
            </w:r>
          </w:p>
          <w:p>
            <w:pPr>
              <w:ind w:left="420"/>
              <w:rPr>
                <w:bCs/>
                <w:kern w:val="0"/>
                <w:sz w:val="20"/>
              </w:rPr>
            </w:pPr>
            <w:r>
              <w:rPr>
                <w:rFonts w:hint="eastAsia"/>
                <w:bCs/>
                <w:kern w:val="0"/>
                <w:sz w:val="20"/>
              </w:rPr>
              <w:t>轴向激振频率：0－5Hz</w:t>
            </w:r>
          </w:p>
          <w:p>
            <w:pPr>
              <w:ind w:left="420"/>
              <w:rPr>
                <w:bCs/>
                <w:kern w:val="0"/>
                <w:sz w:val="20"/>
              </w:rPr>
            </w:pPr>
            <w:r>
              <w:rPr>
                <w:rFonts w:hint="eastAsia"/>
                <w:bCs/>
                <w:kern w:val="0"/>
                <w:sz w:val="20"/>
              </w:rPr>
              <w:t>可选择力（应力）、变形（应变）、位移等多种控制方式。</w:t>
            </w:r>
          </w:p>
          <w:p>
            <w:pPr>
              <w:rPr>
                <w:bCs/>
                <w:kern w:val="0"/>
                <w:sz w:val="20"/>
              </w:rPr>
            </w:pPr>
            <w:r>
              <w:rPr>
                <w:rFonts w:hint="eastAsia"/>
                <w:bCs/>
                <w:kern w:val="0"/>
                <w:sz w:val="20"/>
              </w:rPr>
              <w:t>8、试验机控制系统能自动标定试验机准确度、能够自动调零。</w:t>
            </w:r>
          </w:p>
          <w:p>
            <w:pPr>
              <w:rPr>
                <w:bCs/>
                <w:kern w:val="0"/>
                <w:sz w:val="20"/>
              </w:rPr>
            </w:pPr>
            <w:r>
              <w:rPr>
                <w:rFonts w:hint="eastAsia"/>
                <w:bCs/>
                <w:kern w:val="0"/>
                <w:sz w:val="20"/>
              </w:rPr>
              <w:t>9、试验条件、参数设置和试验结果系统会自动存盘。</w:t>
            </w:r>
          </w:p>
          <w:p>
            <w:pPr>
              <w:rPr>
                <w:bCs/>
                <w:kern w:val="0"/>
                <w:sz w:val="20"/>
              </w:rPr>
            </w:pPr>
            <w:r>
              <w:rPr>
                <w:rFonts w:hint="eastAsia"/>
                <w:bCs/>
                <w:kern w:val="0"/>
                <w:sz w:val="20"/>
              </w:rPr>
              <w:t>10、系统具有过载、破坏保护、次数设定功能。</w:t>
            </w:r>
          </w:p>
          <w:p>
            <w:pPr>
              <w:autoSpaceDE w:val="0"/>
              <w:autoSpaceDN w:val="0"/>
              <w:adjustRightInd w:val="0"/>
              <w:jc w:val="left"/>
              <w:rPr>
                <w:bCs/>
                <w:kern w:val="0"/>
                <w:sz w:val="20"/>
              </w:rPr>
            </w:pPr>
            <w:r>
              <w:rPr>
                <w:rFonts w:hint="eastAsia"/>
                <w:bCs/>
                <w:kern w:val="0"/>
                <w:sz w:val="20"/>
              </w:rPr>
              <w:t>11、试验控制软件</w:t>
            </w:r>
          </w:p>
          <w:p>
            <w:pPr>
              <w:ind w:left="420"/>
              <w:rPr>
                <w:bCs/>
                <w:kern w:val="0"/>
                <w:sz w:val="20"/>
              </w:rPr>
            </w:pPr>
            <w:r>
              <w:rPr>
                <w:rFonts w:hint="eastAsia"/>
                <w:bCs/>
                <w:kern w:val="0"/>
                <w:sz w:val="20"/>
              </w:rPr>
              <w:t>实时记录力-时间，变形-时间，轴位移-时间，侧位移-时间，围压-时间和孔压-时间试验，变力-应变，轴载荷-位移等曲线；</w:t>
            </w:r>
          </w:p>
          <w:p>
            <w:pPr>
              <w:ind w:left="420"/>
              <w:rPr>
                <w:bCs/>
                <w:kern w:val="0"/>
                <w:sz w:val="20"/>
              </w:rPr>
            </w:pPr>
            <w:r>
              <w:rPr>
                <w:rFonts w:hint="eastAsia"/>
                <w:bCs/>
                <w:kern w:val="0"/>
                <w:sz w:val="20"/>
              </w:rPr>
              <w:t>支持多种控制方式，其中包括轴向位移、力、变形和侧向位移、围压、孔压闭环控制方式；</w:t>
            </w:r>
          </w:p>
          <w:p>
            <w:pPr>
              <w:ind w:left="420"/>
              <w:rPr>
                <w:bCs/>
                <w:kern w:val="0"/>
                <w:sz w:val="20"/>
              </w:rPr>
            </w:pPr>
            <w:r>
              <w:rPr>
                <w:rFonts w:hint="eastAsia"/>
                <w:bCs/>
                <w:kern w:val="0"/>
                <w:sz w:val="20"/>
              </w:rPr>
              <w:t>其中各控制方式下加载速率无级可调；</w:t>
            </w:r>
          </w:p>
          <w:p>
            <w:pPr>
              <w:ind w:left="420"/>
              <w:rPr>
                <w:bCs/>
                <w:kern w:val="0"/>
                <w:sz w:val="20"/>
              </w:rPr>
            </w:pPr>
            <w:r>
              <w:rPr>
                <w:rFonts w:hint="eastAsia"/>
                <w:bCs/>
                <w:kern w:val="0"/>
                <w:sz w:val="20"/>
              </w:rPr>
              <w:t>高速采样；</w:t>
            </w:r>
          </w:p>
          <w:p>
            <w:pPr>
              <w:ind w:left="420"/>
              <w:rPr>
                <w:bCs/>
                <w:kern w:val="0"/>
                <w:sz w:val="20"/>
              </w:rPr>
            </w:pPr>
            <w:r>
              <w:rPr>
                <w:rFonts w:hint="eastAsia"/>
                <w:bCs/>
                <w:kern w:val="0"/>
                <w:sz w:val="20"/>
              </w:rPr>
              <w:t>试验结束后数据可导入在Word、Excel等多种软件下，进行处理，试验完成后可对数据进行分析处理，并打印出试验报告。</w:t>
            </w:r>
          </w:p>
          <w:p>
            <w:pPr>
              <w:rPr>
                <w:bCs/>
                <w:kern w:val="0"/>
                <w:sz w:val="20"/>
              </w:rPr>
            </w:pPr>
            <w:r>
              <w:rPr>
                <w:rFonts w:hint="eastAsia"/>
                <w:bCs/>
                <w:kern w:val="0"/>
                <w:sz w:val="20"/>
              </w:rPr>
              <w:t>12、液压源：原机液压源，流量30L/min，压力：21Mpa。</w:t>
            </w:r>
          </w:p>
          <w:p>
            <w:pPr>
              <w:rPr>
                <w:bCs/>
                <w:kern w:val="0"/>
                <w:sz w:val="20"/>
              </w:rPr>
            </w:pPr>
            <w:r>
              <w:rPr>
                <w:rFonts w:hint="eastAsia"/>
                <w:bCs/>
                <w:kern w:val="0"/>
                <w:sz w:val="20"/>
              </w:rPr>
              <w:t>13、试验功能</w:t>
            </w:r>
          </w:p>
          <w:p>
            <w:pPr>
              <w:ind w:left="420"/>
              <w:rPr>
                <w:bCs/>
                <w:kern w:val="0"/>
                <w:sz w:val="20"/>
              </w:rPr>
            </w:pPr>
            <w:r>
              <w:rPr>
                <w:rFonts w:hint="eastAsia"/>
                <w:bCs/>
                <w:kern w:val="0"/>
                <w:sz w:val="20"/>
              </w:rPr>
              <w:t xml:space="preserve">静力试验： </w:t>
            </w:r>
          </w:p>
          <w:p>
            <w:pPr>
              <w:numPr>
                <w:ilvl w:val="1"/>
                <w:numId w:val="22"/>
              </w:numPr>
              <w:rPr>
                <w:bCs/>
                <w:kern w:val="0"/>
                <w:sz w:val="20"/>
              </w:rPr>
            </w:pPr>
            <w:r>
              <w:rPr>
                <w:rFonts w:hint="eastAsia"/>
                <w:bCs/>
                <w:kern w:val="0"/>
                <w:sz w:val="20"/>
              </w:rPr>
              <w:t xml:space="preserve">常规快剪试验(应变式) </w:t>
            </w:r>
          </w:p>
          <w:p>
            <w:pPr>
              <w:numPr>
                <w:ilvl w:val="1"/>
                <w:numId w:val="22"/>
              </w:numPr>
              <w:rPr>
                <w:bCs/>
                <w:kern w:val="0"/>
                <w:sz w:val="20"/>
              </w:rPr>
            </w:pPr>
            <w:r>
              <w:rPr>
                <w:rFonts w:hint="eastAsia"/>
                <w:bCs/>
                <w:kern w:val="0"/>
                <w:sz w:val="20"/>
              </w:rPr>
              <w:t xml:space="preserve">常规慢剪试验(应变式) </w:t>
            </w:r>
          </w:p>
          <w:p>
            <w:pPr>
              <w:ind w:left="420"/>
              <w:rPr>
                <w:bCs/>
                <w:kern w:val="0"/>
                <w:sz w:val="20"/>
              </w:rPr>
            </w:pPr>
            <w:r>
              <w:rPr>
                <w:rFonts w:hint="eastAsia"/>
                <w:bCs/>
                <w:kern w:val="0"/>
                <w:sz w:val="20"/>
              </w:rPr>
              <w:t>动力试验</w:t>
            </w:r>
          </w:p>
          <w:p>
            <w:pPr>
              <w:numPr>
                <w:ilvl w:val="1"/>
                <w:numId w:val="22"/>
              </w:numPr>
              <w:rPr>
                <w:bCs/>
                <w:kern w:val="0"/>
                <w:sz w:val="20"/>
              </w:rPr>
            </w:pPr>
            <w:r>
              <w:rPr>
                <w:rFonts w:hint="eastAsia"/>
                <w:bCs/>
                <w:kern w:val="0"/>
                <w:sz w:val="20"/>
              </w:rPr>
              <w:t>CD/UU/CU等常规动三轴试验：动模量试验、动强度试验、液化试验等；</w:t>
            </w:r>
          </w:p>
          <w:p>
            <w:pPr>
              <w:numPr>
                <w:ilvl w:val="1"/>
                <w:numId w:val="22"/>
              </w:numPr>
              <w:rPr>
                <w:bCs/>
                <w:kern w:val="0"/>
                <w:sz w:val="20"/>
              </w:rPr>
            </w:pPr>
            <w:r>
              <w:rPr>
                <w:rFonts w:hint="eastAsia"/>
                <w:bCs/>
                <w:kern w:val="0"/>
                <w:sz w:val="20"/>
              </w:rPr>
              <w:t>黄土震陷试验。</w:t>
            </w:r>
          </w:p>
          <w:p>
            <w:pPr>
              <w:ind w:left="420"/>
              <w:rPr>
                <w:bCs/>
                <w:kern w:val="0"/>
                <w:sz w:val="20"/>
              </w:rPr>
            </w:pPr>
            <w:r>
              <w:rPr>
                <w:rFonts w:hint="eastAsia"/>
                <w:bCs/>
                <w:kern w:val="0"/>
                <w:sz w:val="20"/>
              </w:rPr>
              <w:t>设计书应力路径试验：</w:t>
            </w:r>
          </w:p>
          <w:p>
            <w:pPr>
              <w:numPr>
                <w:ilvl w:val="1"/>
                <w:numId w:val="22"/>
              </w:numPr>
              <w:rPr>
                <w:bCs/>
                <w:kern w:val="0"/>
                <w:sz w:val="20"/>
              </w:rPr>
            </w:pPr>
            <w:r>
              <w:rPr>
                <w:rFonts w:hint="eastAsia"/>
                <w:bCs/>
                <w:kern w:val="0"/>
                <w:sz w:val="20"/>
              </w:rPr>
              <w:t>侧向恒压，轴向荷载等幅激振；</w:t>
            </w:r>
          </w:p>
          <w:p>
            <w:pPr>
              <w:numPr>
                <w:ilvl w:val="1"/>
                <w:numId w:val="22"/>
              </w:numPr>
              <w:rPr>
                <w:bCs/>
                <w:kern w:val="0"/>
                <w:sz w:val="20"/>
              </w:rPr>
            </w:pPr>
            <w:r>
              <w:rPr>
                <w:rFonts w:hint="eastAsia"/>
                <w:bCs/>
                <w:kern w:val="0"/>
                <w:sz w:val="20"/>
              </w:rPr>
              <w:t>侧向恒压，轴向变形等幅激振：</w:t>
            </w:r>
          </w:p>
          <w:p>
            <w:pPr>
              <w:numPr>
                <w:ilvl w:val="1"/>
                <w:numId w:val="22"/>
              </w:numPr>
              <w:rPr>
                <w:bCs/>
                <w:kern w:val="0"/>
                <w:sz w:val="20"/>
              </w:rPr>
            </w:pPr>
            <w:r>
              <w:rPr>
                <w:rFonts w:hint="eastAsia"/>
                <w:bCs/>
                <w:kern w:val="0"/>
                <w:sz w:val="20"/>
              </w:rPr>
              <w:t>轴向恒载，侧向压力等幅激振；</w:t>
            </w:r>
          </w:p>
          <w:p>
            <w:pPr>
              <w:numPr>
                <w:ilvl w:val="1"/>
                <w:numId w:val="22"/>
              </w:numPr>
              <w:rPr>
                <w:bCs/>
                <w:kern w:val="0"/>
                <w:sz w:val="20"/>
              </w:rPr>
            </w:pPr>
            <w:r>
              <w:rPr>
                <w:rFonts w:hint="eastAsia"/>
                <w:bCs/>
                <w:kern w:val="0"/>
                <w:sz w:val="20"/>
              </w:rPr>
              <w:t>轴向恒变形，侧压等幅激振；</w:t>
            </w:r>
          </w:p>
          <w:p>
            <w:pPr>
              <w:numPr>
                <w:ilvl w:val="1"/>
                <w:numId w:val="22"/>
              </w:numPr>
              <w:rPr>
                <w:bCs/>
                <w:kern w:val="0"/>
                <w:sz w:val="20"/>
              </w:rPr>
            </w:pPr>
            <w:r>
              <w:rPr>
                <w:rFonts w:hint="eastAsia"/>
                <w:bCs/>
                <w:kern w:val="0"/>
                <w:sz w:val="20"/>
              </w:rPr>
              <w:t>侧向恒孔压，轴向荷载等幅激振（功能考核，孔压允许小幅变化）</w:t>
            </w:r>
          </w:p>
          <w:p>
            <w:pPr>
              <w:numPr>
                <w:ilvl w:val="1"/>
                <w:numId w:val="22"/>
              </w:numPr>
              <w:rPr>
                <w:bCs/>
                <w:kern w:val="0"/>
                <w:sz w:val="20"/>
              </w:rPr>
            </w:pPr>
            <w:r>
              <w:rPr>
                <w:rFonts w:hint="eastAsia"/>
                <w:bCs/>
                <w:kern w:val="0"/>
                <w:sz w:val="20"/>
              </w:rPr>
              <w:t>侧向恒孔压，轴向变形等幅激振（功能考核，孔压允许小幅变化）</w:t>
            </w:r>
          </w:p>
          <w:p>
            <w:pPr>
              <w:spacing w:line="360" w:lineRule="atLeast"/>
              <w:ind w:left="360"/>
              <w:rPr>
                <w:bCs/>
                <w:kern w:val="0"/>
                <w:sz w:val="20"/>
              </w:rPr>
            </w:pPr>
          </w:p>
        </w:tc>
        <w:tc>
          <w:tcPr>
            <w:tcW w:w="709" w:type="dxa"/>
            <w:tcBorders>
              <w:top w:val="single" w:color="000000" w:sz="4" w:space="0"/>
              <w:left w:val="single" w:color="000000" w:sz="4" w:space="0"/>
              <w:bottom w:val="single" w:color="000000" w:sz="4" w:space="0"/>
              <w:right w:val="single" w:color="000000" w:sz="4" w:space="0"/>
            </w:tcBorders>
            <w:noWrap/>
          </w:tcPr>
          <w:p>
            <w:pPr>
              <w:widowControl/>
              <w:jc w:val="center"/>
              <w:textAlignment w:val="center"/>
              <w:rPr>
                <w:kern w:val="0"/>
                <w:sz w:val="20"/>
              </w:rPr>
            </w:pPr>
            <w:r>
              <w:rPr>
                <w:rFonts w:hint="eastAsia"/>
                <w:kern w:val="0"/>
                <w:sz w:val="20"/>
              </w:rPr>
              <w:t>1</w:t>
            </w:r>
          </w:p>
        </w:tc>
        <w:tc>
          <w:tcPr>
            <w:tcW w:w="708" w:type="dxa"/>
            <w:tcBorders>
              <w:top w:val="single" w:color="000000" w:sz="4" w:space="0"/>
              <w:left w:val="single" w:color="000000" w:sz="4" w:space="0"/>
              <w:bottom w:val="single" w:color="000000" w:sz="4" w:space="0"/>
              <w:right w:val="single" w:color="000000" w:sz="4" w:space="0"/>
            </w:tcBorders>
            <w:noWrap/>
          </w:tcPr>
          <w:p>
            <w:pPr>
              <w:widowControl/>
              <w:spacing w:after="120"/>
              <w:jc w:val="center"/>
              <w:rPr>
                <w:kern w:val="0"/>
                <w:sz w:val="20"/>
              </w:rPr>
            </w:pPr>
            <w:r>
              <w:rPr>
                <w:rFonts w:hint="eastAsia"/>
                <w:kern w:val="0"/>
                <w:sz w:val="20"/>
              </w:rPr>
              <w:t>套</w:t>
            </w:r>
          </w:p>
        </w:tc>
        <w:tc>
          <w:tcPr>
            <w:tcW w:w="634" w:type="dxa"/>
            <w:tcBorders>
              <w:top w:val="single" w:color="000000" w:sz="4" w:space="0"/>
              <w:left w:val="single" w:color="000000" w:sz="4" w:space="0"/>
              <w:bottom w:val="single" w:color="000000" w:sz="4" w:space="0"/>
              <w:right w:val="single" w:color="000000" w:sz="4" w:space="0"/>
            </w:tcBorders>
            <w:vAlign w:val="center"/>
          </w:tcPr>
          <w:p>
            <w:pPr>
              <w:widowControl/>
              <w:spacing w:after="120"/>
              <w:jc w:val="center"/>
              <w:rPr>
                <w:kern w:val="0"/>
                <w:sz w:val="20"/>
              </w:rPr>
            </w:pPr>
          </w:p>
        </w:tc>
      </w:tr>
    </w:tbl>
    <w:p/>
    <w:p>
      <w:pPr>
        <w:spacing w:before="120" w:beforeLines="50" w:after="120" w:afterLines="50" w:line="360" w:lineRule="auto"/>
        <w:rPr>
          <w:b/>
          <w:kern w:val="0"/>
          <w:szCs w:val="21"/>
        </w:rPr>
      </w:pPr>
      <w:r>
        <w:rPr>
          <w:rFonts w:hint="eastAsia"/>
          <w:b/>
          <w:kern w:val="0"/>
          <w:szCs w:val="21"/>
        </w:rPr>
        <w:t>注：标</w:t>
      </w:r>
      <w:r>
        <w:rPr>
          <w:rFonts w:hint="eastAsia" w:ascii="宋体" w:hAnsi="宋体"/>
          <w:kern w:val="0"/>
          <w:sz w:val="20"/>
        </w:rPr>
        <w:t>*</w:t>
      </w:r>
      <w:r>
        <w:rPr>
          <w:rFonts w:hint="eastAsia"/>
          <w:b/>
          <w:kern w:val="0"/>
          <w:szCs w:val="21"/>
        </w:rPr>
        <w:t>的参数为重要参数，若不满足则将视为不响应采购文件而予以废标。</w:t>
      </w:r>
    </w:p>
    <w:p/>
    <w:sectPr>
      <w:type w:val="nextColumn"/>
      <w:pgSz w:w="11910" w:h="16840"/>
      <w:pgMar w:top="1380" w:right="640" w:bottom="1300" w:left="1260" w:header="877" w:footer="1118" w:gutter="0"/>
      <w:pgNumType w:fmt="numberInDash"/>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Segoe UI Symbol">
    <w:panose1 w:val="020B0502040204020203"/>
    <w:charset w:val="00"/>
    <w:family w:val="swiss"/>
    <w:pitch w:val="default"/>
    <w:sig w:usb0="800001E3" w:usb1="1200FFEF" w:usb2="00040000" w:usb3="04000000" w:csb0="00000001" w:csb1="40000000"/>
  </w:font>
  <w:font w:name="新宋体">
    <w:panose1 w:val="02010609030101010101"/>
    <w:charset w:val="86"/>
    <w:family w:val="modern"/>
    <w:pitch w:val="default"/>
    <w:sig w:usb0="00000283" w:usb1="288F0000" w:usb2="0000000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center"/>
      <w:rPr>
        <w:rFonts w:eastAsia="黑体"/>
      </w:rPr>
    </w:pPr>
    <w:r>
      <mc:AlternateContent>
        <mc:Choice Requires="wps">
          <w:drawing>
            <wp:anchor distT="0" distB="0" distL="0" distR="0" simplePos="0" relativeHeight="251659264" behindDoc="0" locked="0" layoutInCell="1" allowOverlap="1">
              <wp:simplePos x="0" y="0"/>
              <wp:positionH relativeFrom="margin">
                <wp:align>right</wp:align>
              </wp:positionH>
              <wp:positionV relativeFrom="paragraph">
                <wp:posOffset>0</wp:posOffset>
              </wp:positionV>
              <wp:extent cx="114935" cy="131445"/>
              <wp:effectExtent l="0" t="0" r="0" b="0"/>
              <wp:wrapSquare wrapText="bothSides"/>
              <wp:docPr id="3" name="文本框 3"/>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pStyle w:val="14"/>
                            <w:rPr>
                              <w:rStyle w:val="21"/>
                            </w:rPr>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right;mso-position-horizontal-relative:margin;mso-wrap-distance-bottom:0pt;mso-wrap-distance-left:0pt;mso-wrap-distance-right:0pt;mso-wrap-distance-top:0pt;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IfdNWDOAQAAlwMAAA4AAABkcnMvZTJvRG9jLnhtbK1TS27bMBDdF8gd&#10;CO5rWbFTNILloIWRoEDRFkh6AJoiLQL8gUNb8gXaG3TVTfc9l8+RISU5bbrJohtpOBy9ee/NaHXT&#10;G00OIoBytqblbE6JsNw1yu5q+vXh9vVbSiAy2zDtrKjpUQC9WV+8WnW+EpeudboRgSCIharzNW1j&#10;9FVRAG+FYTBzXli8lC4YFvEYdkUTWIfoRheX8/mbonOh8cFxAYDZzXBJR8TwEkAnpeJi4/jeCBsH&#10;1CA0iygJWuWBrjNbKQWPn6UEEYmuKSqN+YlNMN6mZ7FesWoXmG8VHymwl1B4pskwZbHpGWrDIiP7&#10;oP6BMooHB07GGXemGIRkR1BFOX/mzX3LvMha0GrwZ9Ph/8HyT4cvgaimpgtKLDM48NOP76efv0+/&#10;vpFFsqfzUGHVvce62L93PS7NlAdMJtW9DCa9UQ/BezT3eDZX9JHw9FG5vF5cUcLxqlyUy+VVQime&#10;PvYB4p1whqSgpgFnly1lh48Qh9KpJPWy7lZpneen7V8JxEyZIjEfGKYo9tt+lLN1zRHVdDj2mlrc&#10;ckr0B4uupg2ZgjAF2ynY+6B2LVIrMy/w7/YRSWRuqcMAOzbGeWV1426lhfjznKue/qf1I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CH3TVgzgEAAJcDAAAOAAAAAAAAAAEAIAAAAB8BAABkcnMv&#10;ZTJvRG9jLnhtbFBLBQYAAAAABgAGAFkBAABfBQAAAAA=&#10;">
              <v:fill on="f" focussize="0,0"/>
              <v:stroke on="f"/>
              <v:imagedata o:title=""/>
              <o:lock v:ext="edit" aspectratio="f"/>
              <v:textbox inset="0mm,0mm,0mm,0mm" style="mso-fit-shape-to-text:t;">
                <w:txbxContent>
                  <w:p>
                    <w:pPr>
                      <w:pStyle w:val="14"/>
                      <w:rPr>
                        <w:rStyle w:val="21"/>
                      </w:rPr>
                    </w:pPr>
                  </w:p>
                </w:txbxContent>
              </v:textbox>
              <w10:wrap type="squar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4"/>
                            <w:jc w:val="center"/>
                          </w:pPr>
                          <w:r>
                            <w:fldChar w:fldCharType="begin"/>
                          </w:r>
                          <w:r>
                            <w:rPr>
                              <w:rStyle w:val="21"/>
                            </w:rPr>
                            <w:instrText xml:space="preserve"> PAGE </w:instrText>
                          </w:r>
                          <w:r>
                            <w:fldChar w:fldCharType="separate"/>
                          </w:r>
                          <w:r>
                            <w:rPr>
                              <w:rStyle w:val="21"/>
                            </w:rPr>
                            <w:t>- 19 -</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GjeyTLAQAAl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rORyoO/PURsIXeWUCeouRjOK3ObdystxL9+znr8nzZ/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Bho3skywEAAJcDAAAOAAAAAAAAAAEAIAAAACIBAABkcnMv&#10;ZTJvRG9jLnhtbFBLBQYAAAAABgAGAFkBAABfBQAAAAA=&#10;">
              <v:fill on="f" focussize="0,0"/>
              <v:stroke on="f" weight="1.25pt"/>
              <v:imagedata o:title=""/>
              <o:lock v:ext="edit" aspectratio="f"/>
              <v:textbox inset="0mm,0mm,0mm,0mm" style="mso-fit-shape-to-text:t;">
                <w:txbxContent>
                  <w:p>
                    <w:pPr>
                      <w:pStyle w:val="14"/>
                      <w:jc w:val="center"/>
                    </w:pPr>
                    <w:r>
                      <w:fldChar w:fldCharType="begin"/>
                    </w:r>
                    <w:r>
                      <w:rPr>
                        <w:rStyle w:val="21"/>
                      </w:rPr>
                      <w:instrText xml:space="preserve"> PAGE </w:instrText>
                    </w:r>
                    <w:r>
                      <w:fldChar w:fldCharType="separate"/>
                    </w:r>
                    <w:r>
                      <w:rPr>
                        <w:rStyle w:val="21"/>
                      </w:rPr>
                      <w:t>- 19 -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4"/>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q6k8jKAQAAlwMAAA4AAABkcnMvZTJvRG9jLnhtbK1TzY7TMBC+&#10;I/EOlu80aaWFKGq6AlWLkBAgLfsAruM0lmyP5XGb9AXgDThx4c5z9TkYO2kXLZc9cHHmz9/M93my&#10;vh2tYUcVUINr+HJRcqachFa7fcMfvt69qjjDKFwrDDjV8JNCfrt5+WI9+FqtoAfTqsAIxGE9+Ib3&#10;Mfq6KFD2ygpcgFeOkh0EKyK5YV+0QQyEbk2xKsvXxQCh9QGkQqTodkryGTE8BxC6Tku1BXmwysUJ&#10;NSgjIlHCXnvkmzxt1ykZP3cdqshMw4lpzCc1IXuXzmKzFvU+CN9rOY8gnjPCE05WaEdNr1BbEQU7&#10;BP0PlNUyAEIXFxJsMRHJihCLZflEm/teeJW5kNTor6Lj/4OVn45fAtMtbQJnTlh68POP7+efv8+/&#10;vrFlkmfwWFPVvae6OL6DMZXOcaRgYj12waYv8WGUJ3FPV3HVGJlMl6pVVZWUkpS7OIRTPF73AeN7&#10;BZYlo+GBXi+LKo4fMU6ll5LUzcGdNobiojaODYR6U725yTeuKUI3jpokFtO0yYrjbpwp7KA9EbOB&#10;VqDhjjaeM/PBkcJpWy5GuBi72Ug90b89RBohT5ZQJ6i5Gb1X5jbvVlqIv/1c9fg/bf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aGmCS9MAAAAFAQAADwAAAAAAAAABACAAAAAiAAAAZHJzL2Rvd25y&#10;ZXYueG1sUEsBAhQAFAAAAAgAh07iQFq6k8jKAQAAlwMAAA4AAAAAAAAAAQAgAAAAIgEAAGRycy9l&#10;Mm9Eb2MueG1sUEsFBgAAAAAGAAYAWQEAAF4FAAAAAA==&#10;">
              <v:fill on="f" focussize="0,0"/>
              <v:stroke on="f" weight="1.25pt"/>
              <v:imagedata o:title=""/>
              <o:lock v:ext="edit" aspectratio="f"/>
              <v:textbox inset="0mm,0mm,0mm,0mm" style="mso-fit-shape-to-text:t;">
                <w:txbxContent>
                  <w:p>
                    <w:pPr>
                      <w:pStyle w:val="14"/>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firstLine="422"/>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5FE70A"/>
    <w:multiLevelType w:val="singleLevel"/>
    <w:tmpl w:val="985FE70A"/>
    <w:lvl w:ilvl="0" w:tentative="0">
      <w:start w:val="1"/>
      <w:numFmt w:val="decimal"/>
      <w:suff w:val="nothing"/>
      <w:lvlText w:val="%1．"/>
      <w:lvlJc w:val="left"/>
      <w:pPr>
        <w:ind w:left="168" w:firstLine="400"/>
      </w:pPr>
      <w:rPr>
        <w:rFonts w:hint="default"/>
      </w:rPr>
    </w:lvl>
  </w:abstractNum>
  <w:abstractNum w:abstractNumId="1">
    <w:nsid w:val="98EA63B7"/>
    <w:multiLevelType w:val="singleLevel"/>
    <w:tmpl w:val="98EA63B7"/>
    <w:lvl w:ilvl="0" w:tentative="0">
      <w:start w:val="6"/>
      <w:numFmt w:val="chineseCounting"/>
      <w:suff w:val="nothing"/>
      <w:lvlText w:val="%1、"/>
      <w:lvlJc w:val="left"/>
      <w:rPr>
        <w:rFonts w:hint="eastAsia"/>
      </w:rPr>
    </w:lvl>
  </w:abstractNum>
  <w:abstractNum w:abstractNumId="2">
    <w:nsid w:val="993A766A"/>
    <w:multiLevelType w:val="singleLevel"/>
    <w:tmpl w:val="993A766A"/>
    <w:lvl w:ilvl="0" w:tentative="0">
      <w:start w:val="1"/>
      <w:numFmt w:val="decimal"/>
      <w:lvlText w:val="%1)"/>
      <w:lvlJc w:val="left"/>
      <w:pPr>
        <w:ind w:left="425" w:hanging="425"/>
      </w:pPr>
      <w:rPr>
        <w:rFonts w:hint="default"/>
      </w:rPr>
    </w:lvl>
  </w:abstractNum>
  <w:abstractNum w:abstractNumId="3">
    <w:nsid w:val="B4BC68A7"/>
    <w:multiLevelType w:val="singleLevel"/>
    <w:tmpl w:val="B4BC68A7"/>
    <w:lvl w:ilvl="0" w:tentative="0">
      <w:start w:val="1"/>
      <w:numFmt w:val="decimal"/>
      <w:lvlText w:val="%1)"/>
      <w:lvlJc w:val="left"/>
      <w:pPr>
        <w:ind w:left="425" w:hanging="425"/>
      </w:pPr>
      <w:rPr>
        <w:rFonts w:hint="default"/>
      </w:rPr>
    </w:lvl>
  </w:abstractNum>
  <w:abstractNum w:abstractNumId="4">
    <w:nsid w:val="FB80EA7D"/>
    <w:multiLevelType w:val="singleLevel"/>
    <w:tmpl w:val="FB80EA7D"/>
    <w:lvl w:ilvl="0" w:tentative="0">
      <w:start w:val="1"/>
      <w:numFmt w:val="decimal"/>
      <w:suff w:val="nothing"/>
      <w:lvlText w:val="%1、"/>
      <w:lvlJc w:val="left"/>
    </w:lvl>
  </w:abstractNum>
  <w:abstractNum w:abstractNumId="5">
    <w:nsid w:val="01D74AF1"/>
    <w:multiLevelType w:val="multilevel"/>
    <w:tmpl w:val="01D74AF1"/>
    <w:lvl w:ilvl="0" w:tentative="0">
      <w:start w:val="1"/>
      <w:numFmt w:val="decimal"/>
      <w:lvlText w:val="%1、"/>
      <w:lvlJc w:val="left"/>
      <w:pPr>
        <w:tabs>
          <w:tab w:val="left" w:pos="780"/>
        </w:tabs>
        <w:ind w:left="780" w:hanging="360"/>
      </w:p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23D7AED"/>
    <w:multiLevelType w:val="multilevel"/>
    <w:tmpl w:val="023D7AED"/>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294024CF"/>
    <w:multiLevelType w:val="multilevel"/>
    <w:tmpl w:val="294024CF"/>
    <w:lvl w:ilvl="0" w:tentative="0">
      <w:start w:val="1"/>
      <w:numFmt w:val="decimal"/>
      <w:lvlText w:val="%1、"/>
      <w:lvlJc w:val="left"/>
      <w:pPr>
        <w:tabs>
          <w:tab w:val="left" w:pos="780"/>
        </w:tabs>
        <w:ind w:left="780" w:hanging="360"/>
      </w:p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decimal"/>
      <w:lvlText w:val="%3."/>
      <w:lvlJc w:val="lef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4DE747D"/>
    <w:multiLevelType w:val="multilevel"/>
    <w:tmpl w:val="34DE747D"/>
    <w:lvl w:ilvl="0" w:tentative="0">
      <w:start w:val="2"/>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72A0E39"/>
    <w:multiLevelType w:val="multilevel"/>
    <w:tmpl w:val="372A0E39"/>
    <w:lvl w:ilvl="0" w:tentative="0">
      <w:start w:val="1"/>
      <w:numFmt w:val="decimal"/>
      <w:lvlText w:val="(%1)"/>
      <w:lvlJc w:val="left"/>
      <w:pPr>
        <w:ind w:left="589" w:hanging="362"/>
      </w:pPr>
      <w:rPr>
        <w:rFonts w:hint="default" w:ascii="宋体" w:hAnsi="宋体" w:eastAsia="宋体" w:cs="宋体"/>
        <w:spacing w:val="-1"/>
        <w:w w:val="100"/>
        <w:sz w:val="22"/>
        <w:szCs w:val="22"/>
      </w:rPr>
    </w:lvl>
    <w:lvl w:ilvl="1" w:tentative="0">
      <w:start w:val="0"/>
      <w:numFmt w:val="bullet"/>
      <w:lvlText w:val="•"/>
      <w:lvlJc w:val="left"/>
      <w:pPr>
        <w:ind w:left="1468" w:hanging="362"/>
      </w:pPr>
      <w:rPr>
        <w:rFonts w:hint="default"/>
      </w:rPr>
    </w:lvl>
    <w:lvl w:ilvl="2" w:tentative="0">
      <w:start w:val="0"/>
      <w:numFmt w:val="bullet"/>
      <w:lvlText w:val="•"/>
      <w:lvlJc w:val="left"/>
      <w:pPr>
        <w:ind w:left="2357" w:hanging="362"/>
      </w:pPr>
      <w:rPr>
        <w:rFonts w:hint="default"/>
      </w:rPr>
    </w:lvl>
    <w:lvl w:ilvl="3" w:tentative="0">
      <w:start w:val="0"/>
      <w:numFmt w:val="bullet"/>
      <w:lvlText w:val="•"/>
      <w:lvlJc w:val="left"/>
      <w:pPr>
        <w:ind w:left="3245" w:hanging="362"/>
      </w:pPr>
      <w:rPr>
        <w:rFonts w:hint="default"/>
      </w:rPr>
    </w:lvl>
    <w:lvl w:ilvl="4" w:tentative="0">
      <w:start w:val="0"/>
      <w:numFmt w:val="bullet"/>
      <w:lvlText w:val="•"/>
      <w:lvlJc w:val="left"/>
      <w:pPr>
        <w:ind w:left="4134" w:hanging="362"/>
      </w:pPr>
      <w:rPr>
        <w:rFonts w:hint="default"/>
      </w:rPr>
    </w:lvl>
    <w:lvl w:ilvl="5" w:tentative="0">
      <w:start w:val="0"/>
      <w:numFmt w:val="bullet"/>
      <w:lvlText w:val="•"/>
      <w:lvlJc w:val="left"/>
      <w:pPr>
        <w:ind w:left="5022" w:hanging="362"/>
      </w:pPr>
      <w:rPr>
        <w:rFonts w:hint="default"/>
      </w:rPr>
    </w:lvl>
    <w:lvl w:ilvl="6" w:tentative="0">
      <w:start w:val="0"/>
      <w:numFmt w:val="bullet"/>
      <w:lvlText w:val="•"/>
      <w:lvlJc w:val="left"/>
      <w:pPr>
        <w:ind w:left="5911" w:hanging="362"/>
      </w:pPr>
      <w:rPr>
        <w:rFonts w:hint="default"/>
      </w:rPr>
    </w:lvl>
    <w:lvl w:ilvl="7" w:tentative="0">
      <w:start w:val="0"/>
      <w:numFmt w:val="bullet"/>
      <w:lvlText w:val="•"/>
      <w:lvlJc w:val="left"/>
      <w:pPr>
        <w:ind w:left="6799" w:hanging="362"/>
      </w:pPr>
      <w:rPr>
        <w:rFonts w:hint="default"/>
      </w:rPr>
    </w:lvl>
    <w:lvl w:ilvl="8" w:tentative="0">
      <w:start w:val="0"/>
      <w:numFmt w:val="bullet"/>
      <w:lvlText w:val="•"/>
      <w:lvlJc w:val="left"/>
      <w:pPr>
        <w:ind w:left="7688" w:hanging="362"/>
      </w:pPr>
      <w:rPr>
        <w:rFonts w:hint="default"/>
      </w:rPr>
    </w:lvl>
  </w:abstractNum>
  <w:abstractNum w:abstractNumId="10">
    <w:nsid w:val="39D677E3"/>
    <w:multiLevelType w:val="multilevel"/>
    <w:tmpl w:val="39D677E3"/>
    <w:lvl w:ilvl="0" w:tentative="0">
      <w:start w:val="1"/>
      <w:numFmt w:val="decimal"/>
      <w:lvlText w:val="%1)"/>
      <w:lvlJc w:val="left"/>
      <w:pPr>
        <w:ind w:left="589" w:hanging="242"/>
      </w:pPr>
      <w:rPr>
        <w:rFonts w:hint="default" w:ascii="宋体" w:hAnsi="宋体" w:eastAsia="宋体" w:cs="宋体"/>
        <w:spacing w:val="-1"/>
        <w:w w:val="100"/>
        <w:sz w:val="22"/>
        <w:szCs w:val="22"/>
      </w:rPr>
    </w:lvl>
    <w:lvl w:ilvl="1" w:tentative="0">
      <w:start w:val="0"/>
      <w:numFmt w:val="bullet"/>
      <w:lvlText w:val="•"/>
      <w:lvlJc w:val="left"/>
      <w:pPr>
        <w:ind w:left="1468" w:hanging="242"/>
      </w:pPr>
      <w:rPr>
        <w:rFonts w:hint="default"/>
      </w:rPr>
    </w:lvl>
    <w:lvl w:ilvl="2" w:tentative="0">
      <w:start w:val="0"/>
      <w:numFmt w:val="bullet"/>
      <w:lvlText w:val="•"/>
      <w:lvlJc w:val="left"/>
      <w:pPr>
        <w:ind w:left="2357" w:hanging="242"/>
      </w:pPr>
      <w:rPr>
        <w:rFonts w:hint="default"/>
      </w:rPr>
    </w:lvl>
    <w:lvl w:ilvl="3" w:tentative="0">
      <w:start w:val="0"/>
      <w:numFmt w:val="bullet"/>
      <w:lvlText w:val="•"/>
      <w:lvlJc w:val="left"/>
      <w:pPr>
        <w:ind w:left="3245" w:hanging="242"/>
      </w:pPr>
      <w:rPr>
        <w:rFonts w:hint="default"/>
      </w:rPr>
    </w:lvl>
    <w:lvl w:ilvl="4" w:tentative="0">
      <w:start w:val="0"/>
      <w:numFmt w:val="bullet"/>
      <w:lvlText w:val="•"/>
      <w:lvlJc w:val="left"/>
      <w:pPr>
        <w:ind w:left="4134" w:hanging="242"/>
      </w:pPr>
      <w:rPr>
        <w:rFonts w:hint="default"/>
      </w:rPr>
    </w:lvl>
    <w:lvl w:ilvl="5" w:tentative="0">
      <w:start w:val="0"/>
      <w:numFmt w:val="bullet"/>
      <w:lvlText w:val="•"/>
      <w:lvlJc w:val="left"/>
      <w:pPr>
        <w:ind w:left="5022" w:hanging="242"/>
      </w:pPr>
      <w:rPr>
        <w:rFonts w:hint="default"/>
      </w:rPr>
    </w:lvl>
    <w:lvl w:ilvl="6" w:tentative="0">
      <w:start w:val="0"/>
      <w:numFmt w:val="bullet"/>
      <w:lvlText w:val="•"/>
      <w:lvlJc w:val="left"/>
      <w:pPr>
        <w:ind w:left="5911" w:hanging="242"/>
      </w:pPr>
      <w:rPr>
        <w:rFonts w:hint="default"/>
      </w:rPr>
    </w:lvl>
    <w:lvl w:ilvl="7" w:tentative="0">
      <w:start w:val="0"/>
      <w:numFmt w:val="bullet"/>
      <w:lvlText w:val="•"/>
      <w:lvlJc w:val="left"/>
      <w:pPr>
        <w:ind w:left="6799" w:hanging="242"/>
      </w:pPr>
      <w:rPr>
        <w:rFonts w:hint="default"/>
      </w:rPr>
    </w:lvl>
    <w:lvl w:ilvl="8" w:tentative="0">
      <w:start w:val="0"/>
      <w:numFmt w:val="bullet"/>
      <w:lvlText w:val="•"/>
      <w:lvlJc w:val="left"/>
      <w:pPr>
        <w:ind w:left="7688" w:hanging="242"/>
      </w:pPr>
      <w:rPr>
        <w:rFonts w:hint="default"/>
      </w:rPr>
    </w:lvl>
  </w:abstractNum>
  <w:abstractNum w:abstractNumId="11">
    <w:nsid w:val="3BD7548F"/>
    <w:multiLevelType w:val="multilevel"/>
    <w:tmpl w:val="3BD7548F"/>
    <w:lvl w:ilvl="0" w:tentative="0">
      <w:start w:val="1"/>
      <w:numFmt w:val="decimal"/>
      <w:lvlText w:val="（%1）."/>
      <w:lvlJc w:val="left"/>
      <w:pPr>
        <w:ind w:left="440" w:hanging="440"/>
      </w:pPr>
      <w:rPr>
        <w:rFonts w:hint="eastAsia"/>
        <w:lang w:val="en-U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2">
    <w:nsid w:val="43734D15"/>
    <w:multiLevelType w:val="multilevel"/>
    <w:tmpl w:val="43734D15"/>
    <w:lvl w:ilvl="0" w:tentative="0">
      <w:start w:val="1"/>
      <w:numFmt w:val="decimal"/>
      <w:lvlText w:val="（%1）."/>
      <w:lvlJc w:val="left"/>
      <w:pPr>
        <w:ind w:left="965" w:hanging="440"/>
      </w:pPr>
      <w:rPr>
        <w:rFonts w:hint="eastAsia"/>
      </w:rPr>
    </w:lvl>
    <w:lvl w:ilvl="1" w:tentative="0">
      <w:start w:val="1"/>
      <w:numFmt w:val="lowerLetter"/>
      <w:lvlText w:val="%2)"/>
      <w:lvlJc w:val="left"/>
      <w:pPr>
        <w:ind w:left="1405" w:hanging="440"/>
      </w:pPr>
    </w:lvl>
    <w:lvl w:ilvl="2" w:tentative="0">
      <w:start w:val="1"/>
      <w:numFmt w:val="lowerRoman"/>
      <w:lvlText w:val="%3."/>
      <w:lvlJc w:val="right"/>
      <w:pPr>
        <w:ind w:left="1845" w:hanging="440"/>
      </w:pPr>
    </w:lvl>
    <w:lvl w:ilvl="3" w:tentative="0">
      <w:start w:val="1"/>
      <w:numFmt w:val="decimal"/>
      <w:lvlText w:val="%4."/>
      <w:lvlJc w:val="left"/>
      <w:pPr>
        <w:ind w:left="2285" w:hanging="440"/>
      </w:pPr>
    </w:lvl>
    <w:lvl w:ilvl="4" w:tentative="0">
      <w:start w:val="1"/>
      <w:numFmt w:val="lowerLetter"/>
      <w:lvlText w:val="%5)"/>
      <w:lvlJc w:val="left"/>
      <w:pPr>
        <w:ind w:left="2725" w:hanging="440"/>
      </w:pPr>
    </w:lvl>
    <w:lvl w:ilvl="5" w:tentative="0">
      <w:start w:val="1"/>
      <w:numFmt w:val="lowerRoman"/>
      <w:lvlText w:val="%6."/>
      <w:lvlJc w:val="right"/>
      <w:pPr>
        <w:ind w:left="3165" w:hanging="440"/>
      </w:pPr>
    </w:lvl>
    <w:lvl w:ilvl="6" w:tentative="0">
      <w:start w:val="1"/>
      <w:numFmt w:val="decimal"/>
      <w:lvlText w:val="%7."/>
      <w:lvlJc w:val="left"/>
      <w:pPr>
        <w:ind w:left="3605" w:hanging="440"/>
      </w:pPr>
    </w:lvl>
    <w:lvl w:ilvl="7" w:tentative="0">
      <w:start w:val="1"/>
      <w:numFmt w:val="lowerLetter"/>
      <w:lvlText w:val="%8)"/>
      <w:lvlJc w:val="left"/>
      <w:pPr>
        <w:ind w:left="4045" w:hanging="440"/>
      </w:pPr>
    </w:lvl>
    <w:lvl w:ilvl="8" w:tentative="0">
      <w:start w:val="1"/>
      <w:numFmt w:val="lowerRoman"/>
      <w:lvlText w:val="%9."/>
      <w:lvlJc w:val="right"/>
      <w:pPr>
        <w:ind w:left="4485" w:hanging="440"/>
      </w:pPr>
    </w:lvl>
  </w:abstractNum>
  <w:abstractNum w:abstractNumId="13">
    <w:nsid w:val="4BE303D7"/>
    <w:multiLevelType w:val="multilevel"/>
    <w:tmpl w:val="4BE303D7"/>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4FE8367E"/>
    <w:multiLevelType w:val="multilevel"/>
    <w:tmpl w:val="4FE8367E"/>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52E50C7F"/>
    <w:multiLevelType w:val="singleLevel"/>
    <w:tmpl w:val="52E50C7F"/>
    <w:lvl w:ilvl="0" w:tentative="0">
      <w:start w:val="1"/>
      <w:numFmt w:val="decimal"/>
      <w:lvlText w:val="%1)"/>
      <w:lvlJc w:val="left"/>
      <w:pPr>
        <w:ind w:left="425" w:hanging="425"/>
      </w:pPr>
      <w:rPr>
        <w:rFonts w:hint="default"/>
      </w:rPr>
    </w:lvl>
  </w:abstractNum>
  <w:abstractNum w:abstractNumId="16">
    <w:nsid w:val="61512995"/>
    <w:multiLevelType w:val="multilevel"/>
    <w:tmpl w:val="61512995"/>
    <w:lvl w:ilvl="0" w:tentative="0">
      <w:start w:val="1"/>
      <w:numFmt w:val="decimal"/>
      <w:lvlText w:val="（%1）."/>
      <w:lvlJc w:val="left"/>
      <w:pPr>
        <w:ind w:left="440" w:hanging="440"/>
      </w:pPr>
      <w:rPr>
        <w:rFonts w:hint="eastAsia"/>
        <w:lang w:val="en-U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7">
    <w:nsid w:val="6A562C4F"/>
    <w:multiLevelType w:val="multilevel"/>
    <w:tmpl w:val="6A562C4F"/>
    <w:lvl w:ilvl="0" w:tentative="0">
      <w:start w:val="4"/>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8">
    <w:nsid w:val="6BF27EBB"/>
    <w:multiLevelType w:val="multilevel"/>
    <w:tmpl w:val="6BF27EBB"/>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9">
    <w:nsid w:val="7402493D"/>
    <w:multiLevelType w:val="multilevel"/>
    <w:tmpl w:val="7402493D"/>
    <w:lvl w:ilvl="0" w:tentative="0">
      <w:start w:val="2"/>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0">
    <w:nsid w:val="7B56126D"/>
    <w:multiLevelType w:val="singleLevel"/>
    <w:tmpl w:val="7B56126D"/>
    <w:lvl w:ilvl="0" w:tentative="0">
      <w:start w:val="1"/>
      <w:numFmt w:val="decimal"/>
      <w:lvlText w:val="%1)"/>
      <w:lvlJc w:val="left"/>
      <w:pPr>
        <w:ind w:left="425" w:hanging="425"/>
      </w:pPr>
      <w:rPr>
        <w:rFonts w:hint="default"/>
      </w:rPr>
    </w:lvl>
  </w:abstractNum>
  <w:abstractNum w:abstractNumId="21">
    <w:nsid w:val="7F367213"/>
    <w:multiLevelType w:val="singleLevel"/>
    <w:tmpl w:val="7F367213"/>
    <w:lvl w:ilvl="0" w:tentative="0">
      <w:start w:val="1"/>
      <w:numFmt w:val="decimal"/>
      <w:lvlText w:val="%1)"/>
      <w:lvlJc w:val="left"/>
      <w:pPr>
        <w:ind w:left="425" w:hanging="425"/>
      </w:pPr>
      <w:rPr>
        <w:rFonts w:hint="default"/>
      </w:rPr>
    </w:lvl>
  </w:abstractNum>
  <w:num w:numId="1">
    <w:abstractNumId w:val="11"/>
  </w:num>
  <w:num w:numId="2">
    <w:abstractNumId w:val="1"/>
  </w:num>
  <w:num w:numId="3">
    <w:abstractNumId w:val="12"/>
  </w:num>
  <w:num w:numId="4">
    <w:abstractNumId w:val="16"/>
  </w:num>
  <w:num w:numId="5">
    <w:abstractNumId w:val="8"/>
  </w:num>
  <w:num w:numId="6">
    <w:abstractNumId w:val="4"/>
  </w:num>
  <w:num w:numId="7">
    <w:abstractNumId w:val="13"/>
  </w:num>
  <w:num w:numId="8">
    <w:abstractNumId w:val="20"/>
  </w:num>
  <w:num w:numId="9">
    <w:abstractNumId w:val="2"/>
  </w:num>
  <w:num w:numId="10">
    <w:abstractNumId w:val="3"/>
  </w:num>
  <w:num w:numId="11">
    <w:abstractNumId w:val="21"/>
  </w:num>
  <w:num w:numId="12">
    <w:abstractNumId w:val="6"/>
  </w:num>
  <w:num w:numId="13">
    <w:abstractNumId w:val="14"/>
  </w:num>
  <w:num w:numId="14">
    <w:abstractNumId w:val="9"/>
  </w:num>
  <w:num w:numId="15">
    <w:abstractNumId w:val="10"/>
  </w:num>
  <w:num w:numId="16">
    <w:abstractNumId w:val="0"/>
  </w:num>
  <w:num w:numId="17">
    <w:abstractNumId w:val="15"/>
  </w:num>
  <w:num w:numId="18">
    <w:abstractNumId w:val="19"/>
  </w:num>
  <w:num w:numId="19">
    <w:abstractNumId w:val="17"/>
  </w:num>
  <w:num w:numId="20">
    <w:abstractNumId w:val="7"/>
  </w:num>
  <w:num w:numId="21">
    <w:abstractNumId w:val="5"/>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dit="readOnly" w:formatting="1" w:enforcement="1" w:cryptProviderType="rsaFull" w:cryptAlgorithmClass="hash" w:cryptAlgorithmType="typeAny" w:cryptAlgorithmSid="4" w:cryptSpinCount="0" w:hash="6lrtB3XL4NG/kNuCl14963cSxKs=" w:salt="sGr3LPTBfV88vYl2fgY94Q=="/>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JjYmI4MzNhMjU4NDE2YzFkOWIyNjcxMjZkNzY5ODkifQ=="/>
  </w:docVars>
  <w:rsids>
    <w:rsidRoot w:val="16B56AFE"/>
    <w:rsid w:val="000B2757"/>
    <w:rsid w:val="00391B6E"/>
    <w:rsid w:val="003A014B"/>
    <w:rsid w:val="005D5EFD"/>
    <w:rsid w:val="0089596B"/>
    <w:rsid w:val="00BF1011"/>
    <w:rsid w:val="00C73661"/>
    <w:rsid w:val="00CB7729"/>
    <w:rsid w:val="00DD1DBC"/>
    <w:rsid w:val="00DF0133"/>
    <w:rsid w:val="00E3563F"/>
    <w:rsid w:val="00E959B2"/>
    <w:rsid w:val="00F44DC3"/>
    <w:rsid w:val="0EFF6B2F"/>
    <w:rsid w:val="151E2FAF"/>
    <w:rsid w:val="1676354C"/>
    <w:rsid w:val="16B56AFE"/>
    <w:rsid w:val="18003D99"/>
    <w:rsid w:val="1A4107F9"/>
    <w:rsid w:val="33C543BD"/>
    <w:rsid w:val="3B6E4C22"/>
    <w:rsid w:val="3FEF0ECD"/>
    <w:rsid w:val="53B60D2E"/>
    <w:rsid w:val="5EAE1993"/>
    <w:rsid w:val="67550F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spacing w:before="100"/>
      <w:jc w:val="center"/>
      <w:outlineLvl w:val="0"/>
    </w:pPr>
    <w:rPr>
      <w:b/>
      <w:kern w:val="44"/>
      <w:sz w:val="44"/>
    </w:rPr>
  </w:style>
  <w:style w:type="paragraph" w:styleId="4">
    <w:name w:val="heading 2"/>
    <w:basedOn w:val="1"/>
    <w:next w:val="1"/>
    <w:qFormat/>
    <w:uiPriority w:val="0"/>
    <w:pPr>
      <w:keepNext/>
      <w:keepLines/>
      <w:spacing w:before="260" w:line="408" w:lineRule="auto"/>
      <w:jc w:val="center"/>
      <w:outlineLvl w:val="1"/>
    </w:pPr>
    <w:rPr>
      <w:rFonts w:ascii="Arial" w:hAnsi="Arial" w:eastAsia="黑体"/>
      <w:b/>
      <w:sz w:val="32"/>
    </w:rPr>
  </w:style>
  <w:style w:type="paragraph" w:styleId="5">
    <w:name w:val="heading 3"/>
    <w:basedOn w:val="1"/>
    <w:next w:val="1"/>
    <w:qFormat/>
    <w:uiPriority w:val="0"/>
    <w:pPr>
      <w:keepNext/>
      <w:keepLines/>
      <w:spacing w:before="120" w:after="120"/>
      <w:outlineLvl w:val="2"/>
    </w:pPr>
    <w:rPr>
      <w:b/>
    </w:rPr>
  </w:style>
  <w:style w:type="paragraph" w:styleId="2">
    <w:name w:val="heading 4"/>
    <w:basedOn w:val="1"/>
    <w:next w:val="1"/>
    <w:qFormat/>
    <w:uiPriority w:val="0"/>
    <w:pPr>
      <w:keepNext/>
      <w:keepLines/>
      <w:spacing w:before="280" w:after="290" w:line="372" w:lineRule="auto"/>
      <w:outlineLvl w:val="3"/>
    </w:pPr>
    <w:rPr>
      <w:rFonts w:ascii="Arial" w:hAnsi="Arial" w:eastAsia="黑体"/>
      <w:b/>
      <w:sz w:val="28"/>
    </w:rPr>
  </w:style>
  <w:style w:type="character" w:default="1" w:styleId="19">
    <w:name w:val="Default Paragraph Font"/>
    <w:semiHidden/>
    <w:unhideWhenUsed/>
    <w:uiPriority w:val="1"/>
  </w:style>
  <w:style w:type="table" w:default="1" w:styleId="18">
    <w:name w:val="Normal Table"/>
    <w:semiHidden/>
    <w:unhideWhenUsed/>
    <w:uiPriority w:val="99"/>
    <w:tblPr>
      <w:tblCellMar>
        <w:top w:w="0" w:type="dxa"/>
        <w:left w:w="108" w:type="dxa"/>
        <w:bottom w:w="0" w:type="dxa"/>
        <w:right w:w="108" w:type="dxa"/>
      </w:tblCellMar>
    </w:tblPr>
  </w:style>
  <w:style w:type="paragraph" w:styleId="6">
    <w:name w:val="Normal Indent"/>
    <w:basedOn w:val="1"/>
    <w:qFormat/>
    <w:uiPriority w:val="0"/>
    <w:pPr>
      <w:ind w:firstLine="420"/>
    </w:pPr>
  </w:style>
  <w:style w:type="paragraph" w:styleId="7">
    <w:name w:val="toa heading"/>
    <w:basedOn w:val="1"/>
    <w:next w:val="1"/>
    <w:qFormat/>
    <w:uiPriority w:val="0"/>
    <w:pPr>
      <w:spacing w:before="120"/>
    </w:pPr>
    <w:rPr>
      <w:rFonts w:ascii="Arial" w:hAnsi="Arial" w:cs="Arial"/>
      <w:sz w:val="24"/>
      <w:szCs w:val="24"/>
    </w:rPr>
  </w:style>
  <w:style w:type="paragraph" w:styleId="8">
    <w:name w:val="Body Text"/>
    <w:basedOn w:val="1"/>
    <w:next w:val="9"/>
    <w:qFormat/>
    <w:uiPriority w:val="99"/>
    <w:pPr>
      <w:spacing w:line="360" w:lineRule="auto"/>
    </w:pPr>
    <w:rPr>
      <w:sz w:val="24"/>
    </w:rPr>
  </w:style>
  <w:style w:type="paragraph" w:styleId="9">
    <w:name w:val="Body Text First Indent"/>
    <w:basedOn w:val="8"/>
    <w:qFormat/>
    <w:uiPriority w:val="0"/>
    <w:pPr>
      <w:ind w:firstLine="420" w:firstLineChars="100"/>
    </w:pPr>
    <w:rPr>
      <w:szCs w:val="24"/>
    </w:rPr>
  </w:style>
  <w:style w:type="paragraph" w:styleId="10">
    <w:name w:val="Body Text Indent"/>
    <w:basedOn w:val="1"/>
    <w:qFormat/>
    <w:uiPriority w:val="0"/>
    <w:pPr>
      <w:ind w:firstLine="444"/>
    </w:pPr>
    <w:rPr>
      <w:b/>
      <w:sz w:val="24"/>
    </w:rPr>
  </w:style>
  <w:style w:type="paragraph" w:styleId="11">
    <w:name w:val="Plain Text"/>
    <w:basedOn w:val="1"/>
    <w:qFormat/>
    <w:uiPriority w:val="0"/>
    <w:rPr>
      <w:rFonts w:ascii="宋体"/>
    </w:rPr>
  </w:style>
  <w:style w:type="paragraph" w:styleId="12">
    <w:name w:val="Body Text Indent 2"/>
    <w:basedOn w:val="1"/>
    <w:qFormat/>
    <w:uiPriority w:val="99"/>
    <w:pPr>
      <w:adjustRightInd w:val="0"/>
      <w:spacing w:line="360" w:lineRule="auto"/>
      <w:ind w:firstLine="175" w:firstLineChars="175"/>
    </w:pPr>
    <w:rPr>
      <w:rFonts w:ascii="宋体"/>
      <w:b/>
      <w:sz w:val="24"/>
    </w:rPr>
  </w:style>
  <w:style w:type="paragraph" w:styleId="13">
    <w:name w:val="Balloon Text"/>
    <w:basedOn w:val="1"/>
    <w:qFormat/>
    <w:uiPriority w:val="0"/>
    <w:rPr>
      <w:sz w:val="18"/>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0"/>
    <w:pPr>
      <w:spacing w:line="420" w:lineRule="exact"/>
    </w:pPr>
    <w:rPr>
      <w:rFonts w:ascii="宋体" w:hAnsi="宋体"/>
    </w:rPr>
  </w:style>
  <w:style w:type="paragraph" w:styleId="17">
    <w:name w:val="Normal (Web)"/>
    <w:basedOn w:val="1"/>
    <w:qFormat/>
    <w:uiPriority w:val="99"/>
    <w:pPr>
      <w:widowControl/>
      <w:spacing w:before="100" w:beforeAutospacing="1" w:after="100" w:afterAutospacing="1"/>
      <w:jc w:val="left"/>
    </w:pPr>
    <w:rPr>
      <w:rFonts w:hint="eastAsia" w:ascii="宋体"/>
      <w:kern w:val="0"/>
      <w:sz w:val="24"/>
    </w:rPr>
  </w:style>
  <w:style w:type="character" w:styleId="20">
    <w:name w:val="Strong"/>
    <w:qFormat/>
    <w:uiPriority w:val="22"/>
    <w:rPr>
      <w:b/>
    </w:rPr>
  </w:style>
  <w:style w:type="character" w:styleId="21">
    <w:name w:val="page number"/>
    <w:qFormat/>
    <w:uiPriority w:val="0"/>
  </w:style>
  <w:style w:type="character" w:styleId="22">
    <w:name w:val="Hyperlink"/>
    <w:qFormat/>
    <w:uiPriority w:val="99"/>
    <w:rPr>
      <w:color w:val="0000FF"/>
      <w:u w:val="single"/>
    </w:rPr>
  </w:style>
  <w:style w:type="paragraph" w:styleId="23">
    <w:name w:val="List Paragraph"/>
    <w:basedOn w:val="1"/>
    <w:qFormat/>
    <w:uiPriority w:val="0"/>
    <w:pPr>
      <w:ind w:firstLine="420" w:firstLineChars="200"/>
    </w:pPr>
    <w:rPr>
      <w:szCs w:val="24"/>
    </w:rPr>
  </w:style>
  <w:style w:type="paragraph" w:customStyle="1" w:styleId="24">
    <w:name w:val="Table Paragraph"/>
    <w:basedOn w:val="1"/>
    <w:qFormat/>
    <w:uiPriority w:val="0"/>
    <w:pPr>
      <w:autoSpaceDE w:val="0"/>
      <w:autoSpaceDN w:val="0"/>
      <w:jc w:val="center"/>
    </w:pPr>
    <w:rPr>
      <w:rFonts w:ascii="仿宋" w:hAnsi="仿宋" w:eastAsia="仿宋" w:cs="仿宋"/>
      <w:kern w:val="0"/>
      <w:sz w:val="22"/>
      <w:szCs w:val="22"/>
      <w:lang w:eastAsia="en-US"/>
    </w:rPr>
  </w:style>
  <w:style w:type="paragraph" w:customStyle="1" w:styleId="25">
    <w:name w:val="正文_6"/>
    <w:basedOn w:val="1"/>
    <w:qFormat/>
    <w:uiPriority w:val="0"/>
    <w:rPr>
      <w:szCs w:val="24"/>
    </w:rPr>
  </w:style>
  <w:style w:type="paragraph" w:customStyle="1" w:styleId="26">
    <w:name w:val="a正文1"/>
    <w:basedOn w:val="8"/>
    <w:qFormat/>
    <w:uiPriority w:val="0"/>
    <w:pPr>
      <w:ind w:firstLine="200" w:firstLineChars="200"/>
    </w:pPr>
    <w:rPr>
      <w:bCs/>
      <w:szCs w:val="24"/>
    </w:rPr>
  </w:style>
  <w:style w:type="paragraph" w:customStyle="1" w:styleId="27">
    <w:name w:val="Normal"/>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32735</Words>
  <Characters>35077</Characters>
  <Lines>283</Lines>
  <Paragraphs>79</Paragraphs>
  <TotalTime>49</TotalTime>
  <ScaleCrop>false</ScaleCrop>
  <LinksUpToDate>false</LinksUpToDate>
  <CharactersWithSpaces>37132</CharactersWithSpaces>
  <Application>WPS Office_11.1.0.14036_F1E327BC-269C-435d-A152-05C5408002CA</Application>
  <DocSecurity>8</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2023-09-04T01:32:00Z</dcterms:created>
  <dc:creator>WPS_1656570902</dc:creator>
  <cp:lastModifiedBy>Administrator</cp:lastModifiedBy>
  <dcterms:modified xsi:type="dcterms:W3CDTF">2023-09-05T12:19:35Z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1CACD88820624A9A8841532F46366564_13</vt:lpwstr>
  </property>
</Properties>
</file>