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52"/>
          <w:szCs w:val="52"/>
          <w:highlight w:val="none"/>
        </w:rPr>
      </w:pPr>
    </w:p>
    <w:p>
      <w:pPr>
        <w:jc w:val="center"/>
        <w:rPr>
          <w:rFonts w:hint="eastAsia" w:ascii="宋体" w:hAnsi="宋体" w:cs="宋体"/>
          <w:sz w:val="52"/>
          <w:szCs w:val="52"/>
          <w:highlight w:val="none"/>
        </w:rPr>
      </w:pPr>
    </w:p>
    <w:p>
      <w:pPr>
        <w:jc w:val="center"/>
        <w:rPr>
          <w:rFonts w:hint="eastAsia" w:ascii="宋体" w:hAnsi="宋体" w:cs="宋体"/>
          <w:sz w:val="52"/>
          <w:szCs w:val="52"/>
          <w:highlight w:val="none"/>
        </w:rPr>
      </w:pPr>
      <w:r>
        <w:rPr>
          <w:rFonts w:hint="eastAsia" w:ascii="宋体" w:hAnsi="宋体" w:cs="宋体"/>
          <w:sz w:val="52"/>
          <w:szCs w:val="52"/>
          <w:highlight w:val="none"/>
        </w:rPr>
        <w:t>新疆农业大学附属中学体育设备采购项目</w:t>
      </w:r>
    </w:p>
    <w:p>
      <w:pPr>
        <w:jc w:val="center"/>
        <w:rPr>
          <w:rFonts w:hint="eastAsia" w:ascii="宋体" w:hAnsi="宋体" w:cs="宋体"/>
          <w:sz w:val="52"/>
          <w:szCs w:val="52"/>
          <w:highlight w:val="none"/>
        </w:rPr>
      </w:pPr>
    </w:p>
    <w:p>
      <w:pPr>
        <w:jc w:val="center"/>
        <w:rPr>
          <w:b/>
          <w:bCs/>
          <w:sz w:val="72"/>
          <w:szCs w:val="72"/>
          <w:highlight w:val="none"/>
        </w:rPr>
      </w:pPr>
    </w:p>
    <w:p>
      <w:pPr>
        <w:jc w:val="center"/>
        <w:rPr>
          <w:b/>
          <w:bCs/>
          <w:sz w:val="72"/>
          <w:szCs w:val="72"/>
          <w:highlight w:val="none"/>
        </w:rPr>
      </w:pPr>
    </w:p>
    <w:p>
      <w:pPr>
        <w:jc w:val="center"/>
        <w:rPr>
          <w:b/>
          <w:bCs/>
          <w:sz w:val="72"/>
          <w:szCs w:val="72"/>
          <w:highlight w:val="none"/>
        </w:rPr>
      </w:pPr>
      <w:r>
        <w:rPr>
          <w:rFonts w:hint="eastAsia"/>
          <w:b/>
          <w:bCs/>
          <w:sz w:val="72"/>
          <w:szCs w:val="72"/>
          <w:highlight w:val="none"/>
        </w:rPr>
        <w:t>公开招标文件</w:t>
      </w:r>
    </w:p>
    <w:p>
      <w:pPr>
        <w:rPr>
          <w:highlight w:val="none"/>
        </w:rPr>
      </w:pPr>
    </w:p>
    <w:p>
      <w:pPr>
        <w:pStyle w:val="5"/>
        <w:rPr>
          <w:highlight w:val="none"/>
        </w:rPr>
      </w:pPr>
    </w:p>
    <w:p>
      <w:pPr>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rPr>
          <w:highlight w:val="none"/>
        </w:rPr>
      </w:pPr>
    </w:p>
    <w:p>
      <w:pPr>
        <w:rPr>
          <w:highlight w:val="none"/>
        </w:rPr>
      </w:pPr>
    </w:p>
    <w:p>
      <w:pPr>
        <w:spacing w:before="7" w:after="120" w:line="480" w:lineRule="auto"/>
        <w:ind w:firstLine="281" w:firstLineChars="100"/>
        <w:rPr>
          <w:rFonts w:hint="eastAsia" w:ascii="宋体" w:hAnsi="宋体" w:cs="宋体"/>
          <w:b/>
          <w:sz w:val="28"/>
          <w:highlight w:val="none"/>
        </w:rPr>
      </w:pPr>
      <w:r>
        <w:rPr>
          <w:rFonts w:hint="eastAsia" w:ascii="宋体" w:hAnsi="宋体" w:cs="宋体"/>
          <w:b/>
          <w:sz w:val="28"/>
          <w:highlight w:val="none"/>
        </w:rPr>
        <w:t>项目名称：新疆农业大学附属中学体育设备采购项目</w:t>
      </w:r>
    </w:p>
    <w:p>
      <w:pPr>
        <w:spacing w:before="7" w:after="120" w:line="480" w:lineRule="auto"/>
        <w:ind w:firstLine="281" w:firstLineChars="100"/>
        <w:rPr>
          <w:rFonts w:hint="eastAsia" w:ascii="宋体" w:hAnsi="宋体" w:cs="宋体"/>
          <w:b/>
          <w:sz w:val="28"/>
          <w:highlight w:val="none"/>
        </w:rPr>
      </w:pPr>
      <w:r>
        <w:rPr>
          <w:rFonts w:hint="eastAsia" w:ascii="宋体" w:hAnsi="宋体" w:cs="宋体"/>
          <w:b/>
          <w:sz w:val="28"/>
          <w:highlight w:val="none"/>
        </w:rPr>
        <w:t>采购人名称：新疆农业大学（盖章）</w:t>
      </w:r>
    </w:p>
    <w:p>
      <w:pPr>
        <w:spacing w:before="7" w:after="120" w:line="480" w:lineRule="auto"/>
        <w:ind w:firstLine="281" w:firstLineChars="100"/>
        <w:rPr>
          <w:rFonts w:hint="default" w:hAnsi="宋体" w:eastAsia="宋体" w:cs="宋体"/>
          <w:b/>
          <w:bCs/>
          <w:sz w:val="30"/>
          <w:szCs w:val="30"/>
          <w:highlight w:val="none"/>
          <w:lang w:val="en-US" w:eastAsia="zh-CN"/>
        </w:rPr>
      </w:pPr>
      <w:r>
        <w:rPr>
          <w:rFonts w:hint="eastAsia" w:ascii="宋体" w:hAnsi="宋体" w:cs="宋体"/>
          <w:b/>
          <w:sz w:val="28"/>
          <w:highlight w:val="none"/>
        </w:rPr>
        <w:t>项目编号：HLYZB02-20250</w:t>
      </w:r>
      <w:r>
        <w:rPr>
          <w:rFonts w:hint="eastAsia" w:ascii="宋体" w:hAnsi="宋体" w:cs="宋体"/>
          <w:b/>
          <w:sz w:val="28"/>
          <w:highlight w:val="none"/>
          <w:lang w:val="en-US" w:eastAsia="zh-CN"/>
        </w:rPr>
        <w:t>15</w:t>
      </w:r>
    </w:p>
    <w:p>
      <w:pPr>
        <w:spacing w:before="7" w:after="120" w:line="480" w:lineRule="auto"/>
        <w:ind w:firstLine="281" w:firstLineChars="100"/>
        <w:rPr>
          <w:rFonts w:hint="eastAsia" w:hAnsi="宋体" w:cs="宋体"/>
          <w:b/>
          <w:bCs/>
          <w:sz w:val="30"/>
          <w:szCs w:val="30"/>
          <w:highlight w:val="none"/>
        </w:rPr>
      </w:pPr>
      <w:r>
        <w:rPr>
          <w:rFonts w:hint="eastAsia" w:ascii="宋体" w:hAnsi="宋体" w:cs="宋体"/>
          <w:b/>
          <w:sz w:val="28"/>
          <w:highlight w:val="none"/>
        </w:rPr>
        <w:t>采购代理机构：新疆宏力源工程项目管理有限公司（盖章）</w:t>
      </w:r>
      <w:r>
        <w:rPr>
          <w:rFonts w:hint="eastAsia" w:hAnsi="宋体" w:cs="宋体"/>
          <w:b/>
          <w:bCs/>
          <w:sz w:val="30"/>
          <w:szCs w:val="30"/>
          <w:highlight w:val="none"/>
        </w:rPr>
        <w:t>　</w:t>
      </w:r>
    </w:p>
    <w:p>
      <w:pPr>
        <w:spacing w:line="800" w:lineRule="exact"/>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p>
    <w:p>
      <w:pPr>
        <w:spacing w:line="800" w:lineRule="exact"/>
        <w:rPr>
          <w:bCs/>
          <w:color w:val="000000" w:themeColor="text1"/>
          <w:w w:val="80"/>
          <w:sz w:val="36"/>
          <w:szCs w:val="36"/>
          <w:highlight w:val="none"/>
          <w14:textFill>
            <w14:solidFill>
              <w14:schemeClr w14:val="tx1"/>
            </w14:solidFill>
          </w14:textFill>
        </w:rPr>
      </w:pPr>
    </w:p>
    <w:p>
      <w:pPr>
        <w:spacing w:line="360" w:lineRule="auto"/>
        <w:ind w:right="153" w:rightChars="73" w:firstLine="209" w:firstLineChars="40"/>
        <w:jc w:val="center"/>
        <w:rPr>
          <w:b/>
          <w:color w:val="000000" w:themeColor="text1"/>
          <w:sz w:val="52"/>
          <w:highlight w:val="none"/>
          <w14:textFill>
            <w14:solidFill>
              <w14:schemeClr w14:val="tx1"/>
            </w14:solidFill>
          </w14:textFill>
        </w:rPr>
      </w:pPr>
      <w:r>
        <w:rPr>
          <w:b/>
          <w:color w:val="000000" w:themeColor="text1"/>
          <w:sz w:val="52"/>
          <w:highlight w:val="none"/>
          <w14:textFill>
            <w14:solidFill>
              <w14:schemeClr w14:val="tx1"/>
            </w14:solidFill>
          </w14:textFill>
        </w:rPr>
        <w:t>目  录</w:t>
      </w:r>
    </w:p>
    <w:p>
      <w:pPr>
        <w:spacing w:line="360" w:lineRule="auto"/>
        <w:ind w:right="153" w:rightChars="73" w:firstLine="209" w:firstLineChars="40"/>
        <w:jc w:val="center"/>
        <w:rPr>
          <w:b/>
          <w:color w:val="000000" w:themeColor="text1"/>
          <w:sz w:val="52"/>
          <w:highlight w:val="none"/>
          <w14:textFill>
            <w14:solidFill>
              <w14:schemeClr w14:val="tx1"/>
            </w14:solidFill>
          </w14:textFill>
        </w:rPr>
      </w:pPr>
    </w:p>
    <w:p>
      <w:pPr>
        <w:pStyle w:val="17"/>
        <w:tabs>
          <w:tab w:val="right" w:leader="dot" w:pos="10019"/>
        </w:tabs>
        <w:spacing w:line="480" w:lineRule="auto"/>
        <w:rPr>
          <w:rFonts w:asciiTheme="minorHAnsi" w:hAnsiTheme="minorHAnsi" w:eastAsiaTheme="minorEastAsia" w:cstheme="minorBidi"/>
          <w:color w:val="000000" w:themeColor="text1"/>
          <w:sz w:val="28"/>
          <w:szCs w:val="28"/>
          <w:highlight w:val="none"/>
          <w14:textFill>
            <w14:solidFill>
              <w14:schemeClr w14:val="tx1"/>
            </w14:solidFill>
          </w14:textFill>
        </w:rPr>
      </w:pPr>
      <w:r>
        <w:rPr>
          <w:rFonts w:ascii="Times New Roman" w:hAnsi="Times New Roman"/>
          <w:color w:val="000000" w:themeColor="text1"/>
          <w:sz w:val="28"/>
          <w:szCs w:val="28"/>
          <w:highlight w:val="none"/>
          <w14:textFill>
            <w14:solidFill>
              <w14:schemeClr w14:val="tx1"/>
            </w14:solidFill>
          </w14:textFill>
        </w:rPr>
        <w:fldChar w:fldCharType="begin"/>
      </w:r>
      <w:r>
        <w:rPr>
          <w:rStyle w:val="27"/>
          <w:rFonts w:ascii="Times New Roman" w:hAnsi="Times New Roman"/>
          <w:color w:val="000000" w:themeColor="text1"/>
          <w:sz w:val="28"/>
          <w:szCs w:val="28"/>
          <w:highlight w:val="none"/>
          <w14:textFill>
            <w14:solidFill>
              <w14:schemeClr w14:val="tx1"/>
            </w14:solidFill>
          </w14:textFill>
        </w:rPr>
        <w:instrText xml:space="preserve"> TOC \o "1-3" \h \z \u </w:instrText>
      </w:r>
      <w:r>
        <w:rPr>
          <w:rFonts w:ascii="Times New Roman" w:hAnsi="Times New Roman"/>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"_Toc169194750" </w:instrText>
      </w:r>
      <w:r>
        <w:rPr>
          <w:highlight w:val="none"/>
        </w:rPr>
        <w:fldChar w:fldCharType="separate"/>
      </w:r>
      <w:r>
        <w:rPr>
          <w:rStyle w:val="27"/>
          <w:rFonts w:hint="eastAsia"/>
          <w:color w:val="000000" w:themeColor="text1"/>
          <w:sz w:val="28"/>
          <w:szCs w:val="28"/>
          <w:highlight w:val="none"/>
          <w14:textFill>
            <w14:solidFill>
              <w14:schemeClr w14:val="tx1"/>
            </w14:solidFill>
          </w14:textFill>
        </w:rPr>
        <w:t>第一章</w:t>
      </w:r>
      <w:r>
        <w:rPr>
          <w:rStyle w:val="27"/>
          <w:color w:val="000000" w:themeColor="text1"/>
          <w:sz w:val="28"/>
          <w:szCs w:val="28"/>
          <w:highlight w:val="none"/>
          <w14:textFill>
            <w14:solidFill>
              <w14:schemeClr w14:val="tx1"/>
            </w14:solidFill>
          </w14:textFill>
        </w:rPr>
        <w:t xml:space="preserve">  </w:t>
      </w:r>
      <w:r>
        <w:rPr>
          <w:rStyle w:val="27"/>
          <w:rFonts w:hint="eastAsia"/>
          <w:color w:val="000000" w:themeColor="text1"/>
          <w:sz w:val="28"/>
          <w:szCs w:val="28"/>
          <w:highlight w:val="none"/>
          <w14:textFill>
            <w14:solidFill>
              <w14:schemeClr w14:val="tx1"/>
            </w14:solidFill>
          </w14:textFill>
        </w:rPr>
        <w:t>招标公告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_Toc169194750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17"/>
        <w:tabs>
          <w:tab w:val="right" w:leader="dot" w:pos="10019"/>
        </w:tabs>
        <w:spacing w:line="480" w:lineRule="auto"/>
        <w:rPr>
          <w:rFonts w:asciiTheme="minorHAnsi" w:hAnsiTheme="minorHAnsi" w:eastAsiaTheme="minorEastAsia" w:cstheme="minorBidi"/>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"_Toc169194752" </w:instrText>
      </w:r>
      <w:r>
        <w:rPr>
          <w:highlight w:val="none"/>
        </w:rPr>
        <w:fldChar w:fldCharType="separate"/>
      </w:r>
      <w:r>
        <w:rPr>
          <w:rStyle w:val="27"/>
          <w:rFonts w:hint="eastAsia"/>
          <w:color w:val="000000" w:themeColor="text1"/>
          <w:sz w:val="28"/>
          <w:szCs w:val="28"/>
          <w:highlight w:val="none"/>
          <w14:textFill>
            <w14:solidFill>
              <w14:schemeClr w14:val="tx1"/>
            </w14:solidFill>
          </w14:textFill>
        </w:rPr>
        <w:t>第二章</w:t>
      </w:r>
      <w:r>
        <w:rPr>
          <w:rStyle w:val="27"/>
          <w:color w:val="000000" w:themeColor="text1"/>
          <w:sz w:val="28"/>
          <w:szCs w:val="28"/>
          <w:highlight w:val="none"/>
          <w14:textFill>
            <w14:solidFill>
              <w14:schemeClr w14:val="tx1"/>
            </w14:solidFill>
          </w14:textFill>
        </w:rPr>
        <w:t xml:space="preserve">  </w:t>
      </w:r>
      <w:r>
        <w:rPr>
          <w:rStyle w:val="27"/>
          <w:rFonts w:hint="eastAsia"/>
          <w:color w:val="000000" w:themeColor="text1"/>
          <w:sz w:val="28"/>
          <w:szCs w:val="28"/>
          <w:highlight w:val="none"/>
          <w14:textFill>
            <w14:solidFill>
              <w14:schemeClr w14:val="tx1"/>
            </w14:solidFill>
          </w14:textFill>
        </w:rPr>
        <w:t>投标人须知前附表</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_Toc169194752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17"/>
        <w:tabs>
          <w:tab w:val="right" w:leader="dot" w:pos="10019"/>
        </w:tabs>
        <w:spacing w:line="480" w:lineRule="auto"/>
        <w:rPr>
          <w:rFonts w:asciiTheme="minorHAnsi" w:hAnsiTheme="minorHAnsi" w:eastAsiaTheme="minorEastAsia" w:cstheme="minorBidi"/>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"_Toc169194753" </w:instrText>
      </w:r>
      <w:r>
        <w:rPr>
          <w:highlight w:val="none"/>
        </w:rPr>
        <w:fldChar w:fldCharType="separate"/>
      </w:r>
      <w:r>
        <w:rPr>
          <w:rStyle w:val="27"/>
          <w:rFonts w:hint="eastAsia"/>
          <w:color w:val="000000" w:themeColor="text1"/>
          <w:sz w:val="28"/>
          <w:szCs w:val="28"/>
          <w:highlight w:val="none"/>
          <w14:textFill>
            <w14:solidFill>
              <w14:schemeClr w14:val="tx1"/>
            </w14:solidFill>
          </w14:textFill>
        </w:rPr>
        <w:t>第三章</w:t>
      </w:r>
      <w:r>
        <w:rPr>
          <w:rStyle w:val="27"/>
          <w:color w:val="000000" w:themeColor="text1"/>
          <w:sz w:val="28"/>
          <w:szCs w:val="28"/>
          <w:highlight w:val="none"/>
          <w14:textFill>
            <w14:solidFill>
              <w14:schemeClr w14:val="tx1"/>
            </w14:solidFill>
          </w14:textFill>
        </w:rPr>
        <w:t xml:space="preserve">  </w:t>
      </w:r>
      <w:r>
        <w:rPr>
          <w:rStyle w:val="27"/>
          <w:rFonts w:hint="eastAsia"/>
          <w:color w:val="000000" w:themeColor="text1"/>
          <w:sz w:val="28"/>
          <w:szCs w:val="28"/>
          <w:highlight w:val="none"/>
          <w14:textFill>
            <w14:solidFill>
              <w14:schemeClr w14:val="tx1"/>
            </w14:solidFill>
          </w14:textFill>
        </w:rPr>
        <w:t>投标人须知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_Toc169194753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10</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17"/>
        <w:tabs>
          <w:tab w:val="right" w:leader="dot" w:pos="10019"/>
        </w:tabs>
        <w:spacing w:line="480" w:lineRule="auto"/>
        <w:rPr>
          <w:rFonts w:asciiTheme="minorHAnsi" w:hAnsiTheme="minorHAnsi" w:eastAsiaTheme="minorEastAsia" w:cstheme="minorBidi"/>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"_Toc169194754" </w:instrText>
      </w:r>
      <w:r>
        <w:rPr>
          <w:highlight w:val="none"/>
        </w:rPr>
        <w:fldChar w:fldCharType="separate"/>
      </w:r>
      <w:r>
        <w:rPr>
          <w:rStyle w:val="27"/>
          <w:rFonts w:hint="eastAsia"/>
          <w:color w:val="000000" w:themeColor="text1"/>
          <w:sz w:val="28"/>
          <w:szCs w:val="28"/>
          <w:highlight w:val="none"/>
          <w14:textFill>
            <w14:solidFill>
              <w14:schemeClr w14:val="tx1"/>
            </w14:solidFill>
          </w14:textFill>
        </w:rPr>
        <w:t>第四章</w:t>
      </w:r>
      <w:r>
        <w:rPr>
          <w:rStyle w:val="27"/>
          <w:color w:val="000000" w:themeColor="text1"/>
          <w:sz w:val="28"/>
          <w:szCs w:val="28"/>
          <w:highlight w:val="none"/>
          <w14:textFill>
            <w14:solidFill>
              <w14:schemeClr w14:val="tx1"/>
            </w14:solidFill>
          </w14:textFill>
        </w:rPr>
        <w:t xml:space="preserve">   </w:t>
      </w:r>
      <w:r>
        <w:rPr>
          <w:rStyle w:val="27"/>
          <w:rFonts w:hint="eastAsia"/>
          <w:color w:val="000000" w:themeColor="text1"/>
          <w:sz w:val="28"/>
          <w:szCs w:val="28"/>
          <w:highlight w:val="none"/>
          <w14:textFill>
            <w14:solidFill>
              <w14:schemeClr w14:val="tx1"/>
            </w14:solidFill>
          </w14:textFill>
        </w:rPr>
        <w:t>合</w:t>
      </w:r>
      <w:r>
        <w:rPr>
          <w:rStyle w:val="27"/>
          <w:color w:val="000000" w:themeColor="text1"/>
          <w:sz w:val="28"/>
          <w:szCs w:val="28"/>
          <w:highlight w:val="none"/>
          <w14:textFill>
            <w14:solidFill>
              <w14:schemeClr w14:val="tx1"/>
            </w14:solidFill>
          </w14:textFill>
        </w:rPr>
        <w:t xml:space="preserve">   </w:t>
      </w:r>
      <w:r>
        <w:rPr>
          <w:rStyle w:val="27"/>
          <w:rFonts w:hint="eastAsia"/>
          <w:color w:val="000000" w:themeColor="text1"/>
          <w:sz w:val="28"/>
          <w:szCs w:val="28"/>
          <w:highlight w:val="none"/>
          <w14:textFill>
            <w14:solidFill>
              <w14:schemeClr w14:val="tx1"/>
            </w14:solidFill>
          </w14:textFill>
        </w:rPr>
        <w:t>同</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_Toc169194754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23</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17"/>
        <w:tabs>
          <w:tab w:val="right" w:leader="dot" w:pos="10019"/>
        </w:tabs>
        <w:spacing w:line="480" w:lineRule="auto"/>
        <w:rPr>
          <w:rFonts w:asciiTheme="minorHAnsi" w:hAnsiTheme="minorHAnsi" w:eastAsiaTheme="minorEastAsia" w:cstheme="minorBidi"/>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"_Toc169194755" </w:instrText>
      </w:r>
      <w:r>
        <w:rPr>
          <w:highlight w:val="none"/>
        </w:rPr>
        <w:fldChar w:fldCharType="separate"/>
      </w:r>
      <w:r>
        <w:rPr>
          <w:rStyle w:val="27"/>
          <w:rFonts w:hint="eastAsia"/>
          <w:color w:val="000000" w:themeColor="text1"/>
          <w:sz w:val="28"/>
          <w:szCs w:val="28"/>
          <w:highlight w:val="none"/>
          <w14:textFill>
            <w14:solidFill>
              <w14:schemeClr w14:val="tx1"/>
            </w14:solidFill>
          </w14:textFill>
        </w:rPr>
        <w:t>第五章</w:t>
      </w:r>
      <w:r>
        <w:rPr>
          <w:rStyle w:val="27"/>
          <w:color w:val="000000" w:themeColor="text1"/>
          <w:sz w:val="28"/>
          <w:szCs w:val="28"/>
          <w:highlight w:val="none"/>
          <w14:textFill>
            <w14:solidFill>
              <w14:schemeClr w14:val="tx1"/>
            </w14:solidFill>
          </w14:textFill>
        </w:rPr>
        <w:t xml:space="preserve"> </w:t>
      </w:r>
      <w:r>
        <w:rPr>
          <w:rStyle w:val="27"/>
          <w:rFonts w:hint="eastAsia"/>
          <w:color w:val="000000" w:themeColor="text1"/>
          <w:sz w:val="28"/>
          <w:szCs w:val="28"/>
          <w:highlight w:val="none"/>
          <w14:textFill>
            <w14:solidFill>
              <w14:schemeClr w14:val="tx1"/>
            </w14:solidFill>
          </w14:textFill>
        </w:rPr>
        <w:t>附件（投标文件格式）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_Toc169194755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30</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17"/>
        <w:tabs>
          <w:tab w:val="right" w:leader="dot" w:pos="10019"/>
        </w:tabs>
        <w:spacing w:line="480" w:lineRule="auto"/>
        <w:rPr>
          <w:rFonts w:asciiTheme="minorHAnsi" w:hAnsiTheme="minorHAnsi" w:eastAsiaTheme="minorEastAsia" w:cstheme="minorBidi"/>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"_Toc169194757" </w:instrText>
      </w:r>
      <w:r>
        <w:rPr>
          <w:highlight w:val="none"/>
        </w:rPr>
        <w:fldChar w:fldCharType="separate"/>
      </w:r>
      <w:r>
        <w:rPr>
          <w:rStyle w:val="27"/>
          <w:rFonts w:hint="eastAsia"/>
          <w:color w:val="000000" w:themeColor="text1"/>
          <w:sz w:val="28"/>
          <w:szCs w:val="28"/>
          <w:highlight w:val="none"/>
          <w14:textFill>
            <w14:solidFill>
              <w14:schemeClr w14:val="tx1"/>
            </w14:solidFill>
          </w14:textFill>
        </w:rPr>
        <w:t>第六章</w:t>
      </w:r>
      <w:r>
        <w:rPr>
          <w:rStyle w:val="27"/>
          <w:color w:val="000000" w:themeColor="text1"/>
          <w:sz w:val="28"/>
          <w:szCs w:val="28"/>
          <w:highlight w:val="none"/>
          <w14:textFill>
            <w14:solidFill>
              <w14:schemeClr w14:val="tx1"/>
            </w14:solidFill>
          </w14:textFill>
        </w:rPr>
        <w:t xml:space="preserve">  </w:t>
      </w:r>
      <w:r>
        <w:rPr>
          <w:rStyle w:val="27"/>
          <w:rFonts w:hint="eastAsia"/>
          <w:color w:val="000000" w:themeColor="text1"/>
          <w:sz w:val="28"/>
          <w:szCs w:val="28"/>
          <w:highlight w:val="none"/>
          <w14:textFill>
            <w14:solidFill>
              <w14:schemeClr w14:val="tx1"/>
            </w14:solidFill>
          </w14:textFill>
        </w:rPr>
        <w:t>评标标准及办法</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_Toc169194757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49</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17"/>
        <w:tabs>
          <w:tab w:val="right" w:leader="dot" w:pos="10019"/>
        </w:tabs>
        <w:spacing w:line="480" w:lineRule="auto"/>
        <w:rPr>
          <w:rFonts w:asciiTheme="minorHAnsi" w:hAnsiTheme="minorHAnsi" w:eastAsiaTheme="minorEastAsia" w:cstheme="minorBidi"/>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"_Toc169194758" </w:instrText>
      </w:r>
      <w:r>
        <w:rPr>
          <w:highlight w:val="none"/>
        </w:rPr>
        <w:fldChar w:fldCharType="separate"/>
      </w:r>
      <w:r>
        <w:rPr>
          <w:rStyle w:val="27"/>
          <w:rFonts w:hint="eastAsia"/>
          <w:color w:val="000000" w:themeColor="text1"/>
          <w:sz w:val="28"/>
          <w:szCs w:val="28"/>
          <w:highlight w:val="none"/>
          <w14:textFill>
            <w14:solidFill>
              <w14:schemeClr w14:val="tx1"/>
            </w14:solidFill>
          </w14:textFill>
        </w:rPr>
        <w:t>第七章：货物技术规格、参数与要求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_Toc169194758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17"/>
        <w:tabs>
          <w:tab w:val="right" w:leader="dot" w:pos="8505"/>
        </w:tabs>
        <w:spacing w:line="480" w:lineRule="auto"/>
        <w:rPr>
          <w:rFonts w:ascii="Times New Roman" w:hAnsi="Times New Roman"/>
          <w:b/>
          <w:color w:val="000000" w:themeColor="text1"/>
          <w:sz w:val="28"/>
          <w:szCs w:val="28"/>
          <w:highlight w:val="none"/>
          <w14:textFill>
            <w14:solidFill>
              <w14:schemeClr w14:val="tx1"/>
            </w14:solidFill>
          </w14:textFill>
        </w:rPr>
      </w:pPr>
      <w:r>
        <w:rPr>
          <w:rFonts w:ascii="Times New Roman" w:hAnsi="Times New Roman"/>
          <w:color w:val="000000" w:themeColor="text1"/>
          <w:sz w:val="28"/>
          <w:szCs w:val="28"/>
          <w:highlight w:val="none"/>
          <w14:textFill>
            <w14:solidFill>
              <w14:schemeClr w14:val="tx1"/>
            </w14:solidFill>
          </w14:textFill>
        </w:rPr>
        <w:fldChar w:fldCharType="end"/>
      </w:r>
    </w:p>
    <w:p>
      <w:pPr>
        <w:spacing w:line="480" w:lineRule="auto"/>
        <w:ind w:left="105" w:right="-105" w:rightChars="-50" w:hanging="284"/>
        <w:rPr>
          <w:b/>
          <w:color w:val="000000" w:themeColor="text1"/>
          <w:sz w:val="28"/>
          <w:szCs w:val="28"/>
          <w:highlight w:val="none"/>
          <w14:textFill>
            <w14:solidFill>
              <w14:schemeClr w14:val="tx1"/>
            </w14:solidFill>
          </w14:textFill>
        </w:rPr>
        <w:sectPr>
          <w:headerReference r:id="rId3" w:type="default"/>
          <w:footerReference r:id="rId4" w:type="default"/>
          <w:pgSz w:w="12240" w:h="15840"/>
          <w:pgMar w:top="1604" w:right="1020" w:bottom="1417" w:left="1191" w:header="544" w:footer="850" w:gutter="0"/>
          <w:pgNumType w:start="1"/>
          <w:cols w:space="720" w:num="1"/>
          <w:titlePg/>
          <w:docGrid w:linePitch="312" w:charSpace="0"/>
        </w:sectPr>
      </w:pPr>
    </w:p>
    <w:p>
      <w:pPr>
        <w:pStyle w:val="2"/>
        <w:ind w:firstLine="3092" w:firstLineChars="700"/>
        <w:jc w:val="both"/>
        <w:rPr>
          <w:color w:val="000000" w:themeColor="text1"/>
          <w:highlight w:val="none"/>
          <w14:textFill>
            <w14:solidFill>
              <w14:schemeClr w14:val="tx1"/>
            </w14:solidFill>
          </w14:textFill>
        </w:rPr>
      </w:pPr>
      <w:bookmarkStart w:id="0" w:name="_Toc47418917"/>
      <w:bookmarkStart w:id="1" w:name="_Toc49019215"/>
      <w:bookmarkStart w:id="2" w:name="_Toc47261864"/>
      <w:bookmarkStart w:id="3" w:name="_Toc48995830"/>
      <w:bookmarkStart w:id="4" w:name="_Toc47261049"/>
      <w:bookmarkStart w:id="5" w:name="_Toc48791214"/>
      <w:bookmarkStart w:id="6" w:name="_Toc47418710"/>
      <w:bookmarkStart w:id="7" w:name="_Toc47262048"/>
      <w:bookmarkStart w:id="8" w:name="_Toc47261669"/>
      <w:bookmarkStart w:id="9" w:name="_Toc47418234"/>
      <w:bookmarkStart w:id="10" w:name="_Toc169194750"/>
      <w:r>
        <w:rPr>
          <w:color w:val="000000" w:themeColor="text1"/>
          <w:highlight w:val="none"/>
          <w14:textFill>
            <w14:solidFill>
              <w14:schemeClr w14:val="tx1"/>
            </w14:solidFill>
          </w14:textFill>
        </w:rPr>
        <w:t xml:space="preserve">第一章  </w:t>
      </w:r>
      <w:bookmarkEnd w:id="0"/>
      <w:bookmarkEnd w:id="1"/>
      <w:bookmarkEnd w:id="2"/>
      <w:bookmarkEnd w:id="3"/>
      <w:bookmarkEnd w:id="4"/>
      <w:bookmarkEnd w:id="5"/>
      <w:bookmarkEnd w:id="6"/>
      <w:bookmarkEnd w:id="7"/>
      <w:bookmarkEnd w:id="8"/>
      <w:bookmarkEnd w:id="9"/>
      <w:r>
        <w:rPr>
          <w:rFonts w:hint="eastAsia"/>
          <w:color w:val="000000" w:themeColor="text1"/>
          <w:highlight w:val="none"/>
          <w14:textFill>
            <w14:solidFill>
              <w14:schemeClr w14:val="tx1"/>
            </w14:solidFill>
          </w14:textFill>
        </w:rPr>
        <w:t>招标公告</w:t>
      </w:r>
      <w:bookmarkEnd w:id="10"/>
    </w:p>
    <w:tbl>
      <w:tblPr>
        <w:tblStyle w:val="23"/>
        <w:tblW w:w="10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10360" w:type="dxa"/>
          </w:tcPr>
          <w:p>
            <w:pPr>
              <w:pStyle w:val="3"/>
              <w:spacing w:before="100" w:after="100" w:line="360" w:lineRule="auto"/>
              <w:jc w:val="left"/>
              <w:rPr>
                <w:rFonts w:hint="eastAsia" w:ascii="宋体" w:hAnsi="宋体" w:eastAsia="宋体" w:cs="宋体"/>
                <w:sz w:val="28"/>
                <w:szCs w:val="28"/>
                <w:highlight w:val="none"/>
              </w:rPr>
            </w:pPr>
            <w:bookmarkStart w:id="11" w:name="_Toc23233"/>
            <w:bookmarkStart w:id="12" w:name="_Toc8264"/>
            <w:bookmarkStart w:id="13" w:name="_Toc21773"/>
            <w:bookmarkStart w:id="14" w:name="_Toc47415923"/>
            <w:bookmarkStart w:id="15" w:name="_Toc49019216"/>
            <w:bookmarkStart w:id="16" w:name="_Toc47416177"/>
            <w:r>
              <w:rPr>
                <w:rFonts w:hint="eastAsia" w:ascii="宋体" w:hAnsi="宋体" w:eastAsia="宋体" w:cs="宋体"/>
                <w:sz w:val="28"/>
                <w:szCs w:val="28"/>
                <w:highlight w:val="none"/>
              </w:rPr>
              <w:t>项目概况：</w:t>
            </w:r>
            <w:bookmarkEnd w:id="11"/>
            <w:bookmarkEnd w:id="12"/>
            <w:bookmarkEnd w:id="13"/>
          </w:p>
          <w:p>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u w:val="single"/>
                <w:lang w:val="hr-HR"/>
              </w:rPr>
              <w:t xml:space="preserve"> 新疆农业大学附属中学体育设备采购项目 </w:t>
            </w:r>
            <w:r>
              <w:rPr>
                <w:rFonts w:hint="eastAsia" w:ascii="宋体" w:hAnsi="宋体" w:cs="宋体"/>
                <w:iCs/>
                <w:sz w:val="28"/>
                <w:szCs w:val="28"/>
                <w:highlight w:val="none"/>
                <w:shd w:val="clear" w:color="auto" w:fill="FFFFFF" w:themeFill="background1"/>
                <w:lang w:val="hr-HR"/>
              </w:rPr>
              <w:t>招标项目的潜在投标人应在</w:t>
            </w:r>
            <w:r>
              <w:rPr>
                <w:rFonts w:hint="eastAsia" w:ascii="宋体" w:hAnsi="宋体" w:cs="宋体"/>
                <w:sz w:val="28"/>
                <w:szCs w:val="28"/>
                <w:highlight w:val="none"/>
                <w:u w:val="single"/>
                <w:lang w:val="hr-HR"/>
              </w:rPr>
              <w:t>政采云平台线上（网址：https://www.zcygov.cn/）</w:t>
            </w:r>
            <w:r>
              <w:rPr>
                <w:rFonts w:hint="eastAsia" w:ascii="宋体" w:hAnsi="宋体" w:cs="宋体"/>
                <w:iCs/>
                <w:sz w:val="28"/>
                <w:szCs w:val="28"/>
                <w:highlight w:val="none"/>
                <w:shd w:val="clear" w:color="auto" w:fill="FFFFFF" w:themeFill="background1"/>
                <w:lang w:val="hr-HR"/>
              </w:rPr>
              <w:t>获取招标文件，并于</w:t>
            </w:r>
            <w:r>
              <w:rPr>
                <w:rFonts w:hint="eastAsia" w:ascii="宋体" w:hAnsi="宋体" w:cs="宋体"/>
                <w:iCs/>
                <w:sz w:val="28"/>
                <w:szCs w:val="28"/>
                <w:highlight w:val="none"/>
                <w:u w:val="single"/>
                <w:shd w:val="clear" w:color="auto" w:fill="FFFFFF" w:themeFill="background1"/>
              </w:rPr>
              <w:t>2025</w:t>
            </w:r>
            <w:r>
              <w:rPr>
                <w:rFonts w:hint="eastAsia" w:ascii="宋体" w:hAnsi="宋体" w:cs="宋体"/>
                <w:iCs/>
                <w:sz w:val="28"/>
                <w:szCs w:val="28"/>
                <w:highlight w:val="none"/>
                <w:u w:val="single"/>
                <w:shd w:val="clear" w:color="auto" w:fill="FFFFFF" w:themeFill="background1"/>
                <w:lang w:val="hr-HR"/>
              </w:rPr>
              <w:t>年</w:t>
            </w:r>
            <w:r>
              <w:rPr>
                <w:rFonts w:hint="eastAsia" w:ascii="宋体" w:hAnsi="宋体" w:cs="宋体"/>
                <w:iCs/>
                <w:sz w:val="28"/>
                <w:szCs w:val="28"/>
                <w:highlight w:val="none"/>
                <w:u w:val="single"/>
                <w:shd w:val="clear" w:color="auto" w:fill="FFFFFF" w:themeFill="background1"/>
              </w:rPr>
              <w:t>0</w:t>
            </w:r>
            <w:r>
              <w:rPr>
                <w:rFonts w:hint="eastAsia" w:ascii="宋体" w:hAnsi="宋体" w:cs="宋体"/>
                <w:iCs/>
                <w:sz w:val="28"/>
                <w:szCs w:val="28"/>
                <w:highlight w:val="none"/>
                <w:u w:val="single"/>
                <w:shd w:val="clear" w:color="auto" w:fill="FFFFFF" w:themeFill="background1"/>
                <w:lang w:val="en-US" w:eastAsia="zh-CN"/>
              </w:rPr>
              <w:t>7</w:t>
            </w:r>
            <w:r>
              <w:rPr>
                <w:rFonts w:hint="eastAsia" w:ascii="宋体" w:hAnsi="宋体" w:cs="宋体"/>
                <w:iCs/>
                <w:sz w:val="28"/>
                <w:szCs w:val="28"/>
                <w:highlight w:val="none"/>
                <w:u w:val="single"/>
                <w:shd w:val="clear" w:color="auto" w:fill="FFFFFF" w:themeFill="background1"/>
                <w:lang w:val="hr-HR"/>
              </w:rPr>
              <w:t>月</w:t>
            </w:r>
            <w:r>
              <w:rPr>
                <w:rFonts w:hint="eastAsia" w:ascii="宋体" w:hAnsi="宋体" w:cs="宋体"/>
                <w:iCs/>
                <w:sz w:val="28"/>
                <w:szCs w:val="28"/>
                <w:highlight w:val="none"/>
                <w:u w:val="single"/>
                <w:shd w:val="clear" w:color="auto" w:fill="FFFFFF" w:themeFill="background1"/>
                <w:lang w:val="en-US" w:eastAsia="zh-CN"/>
              </w:rPr>
              <w:t>11</w:t>
            </w:r>
            <w:r>
              <w:rPr>
                <w:rFonts w:hint="eastAsia" w:ascii="宋体" w:hAnsi="宋体" w:cs="宋体"/>
                <w:iCs/>
                <w:sz w:val="28"/>
                <w:szCs w:val="28"/>
                <w:highlight w:val="none"/>
                <w:u w:val="single"/>
                <w:shd w:val="clear" w:color="auto" w:fill="FFFFFF" w:themeFill="background1"/>
                <w:lang w:val="hr-HR"/>
              </w:rPr>
              <w:t>日</w:t>
            </w:r>
            <w:r>
              <w:rPr>
                <w:rFonts w:hint="eastAsia" w:ascii="宋体" w:hAnsi="宋体" w:cs="宋体"/>
                <w:iCs/>
                <w:sz w:val="28"/>
                <w:szCs w:val="28"/>
                <w:highlight w:val="none"/>
                <w:u w:val="single"/>
                <w:shd w:val="clear" w:color="auto" w:fill="FFFFFF" w:themeFill="background1"/>
              </w:rPr>
              <w:t>11：00</w:t>
            </w:r>
            <w:r>
              <w:rPr>
                <w:rFonts w:hint="eastAsia" w:ascii="宋体" w:hAnsi="宋体" w:cs="宋体"/>
                <w:iCs/>
                <w:sz w:val="28"/>
                <w:szCs w:val="28"/>
                <w:highlight w:val="none"/>
                <w:shd w:val="clear" w:color="auto" w:fill="FFFFFF" w:themeFill="background1"/>
                <w:lang w:val="hr-HR"/>
              </w:rPr>
              <w:t>（北京时间）前递交投标文件。</w:t>
            </w:r>
          </w:p>
        </w:tc>
      </w:tr>
    </w:tbl>
    <w:p>
      <w:pPr>
        <w:widowControl/>
        <w:shd w:val="clear" w:color="auto" w:fill="FFFFFF"/>
        <w:spacing w:line="276" w:lineRule="auto"/>
        <w:ind w:right="149" w:firstLine="560" w:firstLineChars="200"/>
        <w:jc w:val="left"/>
        <w:textAlignment w:val="baseline"/>
        <w:rPr>
          <w:rFonts w:hint="eastAsia" w:ascii="宋体" w:hAnsi="宋体" w:cs="宋体"/>
          <w:sz w:val="28"/>
          <w:szCs w:val="28"/>
          <w:highlight w:val="none"/>
        </w:rPr>
      </w:pPr>
    </w:p>
    <w:p>
      <w:pPr>
        <w:pStyle w:val="19"/>
        <w:shd w:val="clear" w:color="auto" w:fill="FFFFFF"/>
        <w:spacing w:before="0" w:beforeAutospacing="0" w:after="0" w:afterAutospacing="0" w:line="276" w:lineRule="auto"/>
        <w:textAlignment w:val="baseline"/>
        <w:rPr>
          <w:rFonts w:hAnsi="宋体" w:cs="宋体"/>
          <w:sz w:val="28"/>
          <w:szCs w:val="28"/>
          <w:highlight w:val="none"/>
        </w:rPr>
      </w:pPr>
      <w:r>
        <w:rPr>
          <w:rStyle w:val="25"/>
          <w:rFonts w:hAnsi="宋体" w:cs="宋体"/>
          <w:bCs/>
          <w:sz w:val="28"/>
          <w:szCs w:val="28"/>
          <w:highlight w:val="none"/>
          <w:shd w:val="clear" w:color="auto" w:fill="FFFFFF"/>
        </w:rPr>
        <w:t>一、项目基本情况</w:t>
      </w:r>
    </w:p>
    <w:p>
      <w:pPr>
        <w:pStyle w:val="19"/>
        <w:shd w:val="clear" w:color="auto" w:fill="FFFFFF"/>
        <w:spacing w:before="0" w:beforeAutospacing="0" w:after="0" w:afterAutospacing="0" w:line="276" w:lineRule="auto"/>
        <w:textAlignment w:val="baseline"/>
        <w:rPr>
          <w:rFonts w:hint="default" w:hAnsi="宋体" w:eastAsia="宋体" w:cs="宋体"/>
          <w:sz w:val="28"/>
          <w:szCs w:val="28"/>
          <w:highlight w:val="none"/>
          <w:shd w:val="clear" w:color="auto" w:fill="FFFFFF"/>
          <w:lang w:val="en-US" w:eastAsia="zh-CN"/>
        </w:rPr>
      </w:pPr>
      <w:r>
        <w:rPr>
          <w:rFonts w:hAnsi="宋体" w:cs="宋体"/>
          <w:sz w:val="28"/>
          <w:szCs w:val="28"/>
          <w:highlight w:val="none"/>
          <w:shd w:val="clear" w:color="auto" w:fill="FFFFFF"/>
        </w:rPr>
        <w:t>项目编号：HLYZB02-20250</w:t>
      </w:r>
      <w:r>
        <w:rPr>
          <w:rFonts w:hint="eastAsia" w:hAnsi="宋体" w:cs="宋体"/>
          <w:sz w:val="28"/>
          <w:szCs w:val="28"/>
          <w:highlight w:val="none"/>
          <w:shd w:val="clear" w:color="auto" w:fill="FFFFFF"/>
          <w:lang w:val="en-US" w:eastAsia="zh-CN"/>
        </w:rPr>
        <w:t>15</w:t>
      </w:r>
    </w:p>
    <w:p>
      <w:pPr>
        <w:pStyle w:val="19"/>
        <w:shd w:val="clear" w:color="auto" w:fill="FFFFFF"/>
        <w:spacing w:before="0" w:beforeAutospacing="0" w:after="0" w:afterAutospacing="0" w:line="276" w:lineRule="auto"/>
        <w:textAlignment w:val="baseline"/>
        <w:rPr>
          <w:rFonts w:hAnsi="宋体" w:cs="宋体"/>
          <w:sz w:val="28"/>
          <w:szCs w:val="28"/>
          <w:highlight w:val="none"/>
          <w:shd w:val="clear" w:color="auto" w:fill="FFFFFF"/>
        </w:rPr>
      </w:pPr>
      <w:r>
        <w:rPr>
          <w:rFonts w:hAnsi="宋体" w:cs="宋体"/>
          <w:sz w:val="28"/>
          <w:szCs w:val="28"/>
          <w:highlight w:val="none"/>
          <w:shd w:val="clear" w:color="auto" w:fill="FFFFFF"/>
        </w:rPr>
        <w:t>项目名称：新疆农业大学附属中学体育设备采购项目</w:t>
      </w:r>
    </w:p>
    <w:p>
      <w:pPr>
        <w:pStyle w:val="19"/>
        <w:shd w:val="clear" w:color="auto" w:fill="FFFFFF"/>
        <w:spacing w:before="0" w:beforeAutospacing="0" w:after="0" w:afterAutospacing="0" w:line="276" w:lineRule="auto"/>
        <w:textAlignment w:val="baseline"/>
        <w:rPr>
          <w:rFonts w:hAnsi="宋体" w:cs="宋体"/>
          <w:sz w:val="28"/>
          <w:szCs w:val="28"/>
          <w:highlight w:val="none"/>
        </w:rPr>
      </w:pPr>
      <w:r>
        <w:rPr>
          <w:rFonts w:hAnsi="宋体" w:cs="宋体"/>
          <w:sz w:val="28"/>
          <w:szCs w:val="28"/>
          <w:highlight w:val="none"/>
          <w:shd w:val="clear" w:color="auto" w:fill="FFFFFF"/>
        </w:rPr>
        <w:t>预算金额：</w:t>
      </w:r>
      <w:r>
        <w:rPr>
          <w:rFonts w:hint="eastAsia" w:hAnsi="宋体" w:cs="宋体"/>
          <w:sz w:val="28"/>
          <w:szCs w:val="28"/>
          <w:highlight w:val="none"/>
          <w:shd w:val="clear" w:color="auto" w:fill="FFFFFF"/>
          <w:lang w:val="en-US" w:eastAsia="zh-CN"/>
        </w:rPr>
        <w:t>20</w:t>
      </w:r>
      <w:r>
        <w:rPr>
          <w:rFonts w:hAnsi="宋体" w:cs="宋体"/>
          <w:sz w:val="28"/>
          <w:szCs w:val="28"/>
          <w:highlight w:val="none"/>
          <w:shd w:val="clear" w:color="auto" w:fill="FFFFFF"/>
        </w:rPr>
        <w:t>万元（人民币）</w:t>
      </w:r>
    </w:p>
    <w:p>
      <w:pPr>
        <w:pStyle w:val="19"/>
        <w:shd w:val="clear" w:color="auto" w:fill="FFFFFF"/>
        <w:spacing w:before="0" w:beforeAutospacing="0" w:after="0" w:afterAutospacing="0" w:line="276" w:lineRule="auto"/>
        <w:textAlignment w:val="baseline"/>
        <w:rPr>
          <w:rFonts w:hAnsi="宋体" w:cs="宋体"/>
          <w:sz w:val="28"/>
          <w:szCs w:val="28"/>
          <w:highlight w:val="none"/>
        </w:rPr>
      </w:pPr>
      <w:r>
        <w:rPr>
          <w:rFonts w:hAnsi="宋体" w:cs="宋体"/>
          <w:sz w:val="28"/>
          <w:szCs w:val="28"/>
          <w:highlight w:val="none"/>
          <w:shd w:val="clear" w:color="auto" w:fill="FFFFFF"/>
        </w:rPr>
        <w:t>最高限价（如有）：</w:t>
      </w:r>
      <w:r>
        <w:rPr>
          <w:rFonts w:hint="eastAsia" w:hAnsi="宋体" w:cs="宋体"/>
          <w:sz w:val="28"/>
          <w:szCs w:val="28"/>
          <w:highlight w:val="none"/>
          <w:shd w:val="clear" w:color="auto" w:fill="FFFFFF"/>
          <w:lang w:val="en-US" w:eastAsia="zh-CN"/>
        </w:rPr>
        <w:t>20</w:t>
      </w:r>
      <w:r>
        <w:rPr>
          <w:rFonts w:hAnsi="宋体" w:cs="宋体"/>
          <w:sz w:val="28"/>
          <w:szCs w:val="28"/>
          <w:highlight w:val="none"/>
          <w:shd w:val="clear" w:color="auto" w:fill="FFFFFF"/>
        </w:rPr>
        <w:t>万元（人民币）</w:t>
      </w:r>
    </w:p>
    <w:p>
      <w:pPr>
        <w:pStyle w:val="19"/>
        <w:shd w:val="clear" w:color="auto" w:fill="FFFFFF"/>
        <w:spacing w:before="0" w:beforeAutospacing="0" w:after="0" w:afterAutospacing="0" w:line="276" w:lineRule="auto"/>
        <w:textAlignment w:val="baseline"/>
        <w:rPr>
          <w:rFonts w:hAnsi="宋体" w:cs="宋体"/>
          <w:sz w:val="28"/>
          <w:szCs w:val="28"/>
          <w:highlight w:val="none"/>
          <w:shd w:val="clear" w:color="auto" w:fill="FFFFFF"/>
        </w:rPr>
      </w:pPr>
      <w:r>
        <w:rPr>
          <w:rFonts w:hAnsi="宋体" w:cs="宋体"/>
          <w:sz w:val="28"/>
          <w:szCs w:val="28"/>
          <w:highlight w:val="none"/>
          <w:shd w:val="clear" w:color="auto" w:fill="FFFFFF"/>
        </w:rPr>
        <w:t>采购需求：采购中考体侧仪仪器设备。具体技术参数详见采购文件。</w:t>
      </w:r>
    </w:p>
    <w:p>
      <w:pPr>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合同履行期限：</w:t>
      </w:r>
      <w:r>
        <w:rPr>
          <w:rFonts w:hint="eastAsia" w:ascii="宋体" w:hAnsi="宋体" w:cs="宋体"/>
          <w:sz w:val="28"/>
          <w:szCs w:val="28"/>
          <w:highlight w:val="none"/>
          <w:shd w:val="clear" w:color="auto" w:fill="FFFFFF"/>
          <w:lang w:val="en-US" w:eastAsia="zh-CN"/>
        </w:rPr>
        <w:t>30</w:t>
      </w:r>
      <w:r>
        <w:rPr>
          <w:rFonts w:hint="eastAsia" w:ascii="宋体" w:hAnsi="宋体" w:cs="宋体"/>
          <w:sz w:val="28"/>
          <w:szCs w:val="28"/>
          <w:highlight w:val="none"/>
          <w:shd w:val="clear" w:color="auto" w:fill="FFFFFF"/>
        </w:rPr>
        <w:t>天，质保期3年。</w:t>
      </w:r>
    </w:p>
    <w:p>
      <w:pPr>
        <w:pStyle w:val="19"/>
        <w:shd w:val="clear" w:color="auto" w:fill="FFFFFF"/>
        <w:spacing w:before="0" w:beforeAutospacing="0" w:after="0" w:afterAutospacing="0" w:line="276" w:lineRule="auto"/>
        <w:textAlignment w:val="baseline"/>
        <w:rPr>
          <w:rFonts w:hAnsi="宋体" w:cs="宋体"/>
          <w:sz w:val="28"/>
          <w:szCs w:val="28"/>
          <w:highlight w:val="none"/>
        </w:rPr>
      </w:pPr>
      <w:r>
        <w:rPr>
          <w:rFonts w:hAnsi="宋体" w:cs="宋体"/>
          <w:sz w:val="28"/>
          <w:szCs w:val="28"/>
          <w:highlight w:val="none"/>
          <w:shd w:val="clear" w:color="auto" w:fill="FFFFFF"/>
        </w:rPr>
        <w:t>本项目( 不接受  )联合体投标。</w:t>
      </w:r>
    </w:p>
    <w:p>
      <w:pPr>
        <w:pStyle w:val="19"/>
        <w:shd w:val="clear" w:color="auto" w:fill="FFFFFF"/>
        <w:spacing w:before="0" w:beforeAutospacing="0" w:after="0" w:afterAutospacing="0" w:line="276" w:lineRule="auto"/>
        <w:textAlignment w:val="baseline"/>
        <w:rPr>
          <w:rFonts w:hAnsi="宋体" w:cs="宋体"/>
          <w:sz w:val="28"/>
          <w:szCs w:val="28"/>
          <w:highlight w:val="none"/>
        </w:rPr>
      </w:pPr>
      <w:r>
        <w:rPr>
          <w:rStyle w:val="25"/>
          <w:rFonts w:hAnsi="宋体" w:cs="宋体"/>
          <w:bCs/>
          <w:sz w:val="28"/>
          <w:szCs w:val="28"/>
          <w:highlight w:val="none"/>
          <w:shd w:val="clear" w:color="auto" w:fill="FFFFFF"/>
        </w:rPr>
        <w:t>二、申请人的资格要求：</w:t>
      </w:r>
    </w:p>
    <w:p>
      <w:pPr>
        <w:pStyle w:val="19"/>
        <w:shd w:val="clear" w:color="auto" w:fill="FFFFFF"/>
        <w:spacing w:before="0" w:beforeAutospacing="0" w:after="0" w:afterAutospacing="0" w:line="276" w:lineRule="auto"/>
        <w:textAlignment w:val="baseline"/>
        <w:rPr>
          <w:rFonts w:hAnsi="宋体" w:cs="宋体"/>
          <w:sz w:val="28"/>
          <w:szCs w:val="28"/>
          <w:highlight w:val="none"/>
        </w:rPr>
      </w:pPr>
      <w:r>
        <w:rPr>
          <w:rFonts w:hAnsi="宋体" w:cs="宋体"/>
          <w:sz w:val="28"/>
          <w:szCs w:val="28"/>
          <w:highlight w:val="none"/>
          <w:shd w:val="clear" w:color="auto" w:fill="FFFFFF"/>
        </w:rPr>
        <w:t>1.满足《中华人民共和国政府采购法》第二十二条规定；</w:t>
      </w:r>
    </w:p>
    <w:p>
      <w:pPr>
        <w:spacing w:line="440" w:lineRule="exact"/>
        <w:rPr>
          <w:rFonts w:hint="eastAsia" w:ascii="宋体" w:hAnsi="宋体" w:cs="宋体"/>
          <w:sz w:val="28"/>
          <w:szCs w:val="28"/>
          <w:highlight w:val="none"/>
        </w:rPr>
      </w:pPr>
      <w:r>
        <w:rPr>
          <w:rFonts w:hint="eastAsia" w:ascii="宋体" w:hAnsi="宋体" w:cs="宋体"/>
          <w:sz w:val="28"/>
          <w:szCs w:val="28"/>
          <w:highlight w:val="none"/>
        </w:rPr>
        <w:t>2.落实政府采购政策需满足的资格要求：本项目专门面向中小企业。</w:t>
      </w:r>
    </w:p>
    <w:p>
      <w:pPr>
        <w:spacing w:line="440" w:lineRule="exact"/>
        <w:rPr>
          <w:rFonts w:hint="eastAsia" w:ascii="宋体" w:hAnsi="宋体" w:cs="宋体"/>
          <w:sz w:val="28"/>
          <w:szCs w:val="28"/>
          <w:highlight w:val="none"/>
        </w:rPr>
      </w:pPr>
      <w:r>
        <w:rPr>
          <w:rFonts w:hint="eastAsia" w:ascii="宋体" w:hAnsi="宋体" w:cs="宋体"/>
          <w:sz w:val="28"/>
          <w:szCs w:val="28"/>
          <w:highlight w:val="none"/>
        </w:rPr>
        <w:t xml:space="preserve">2.1 中小企业政策 </w:t>
      </w:r>
    </w:p>
    <w:p>
      <w:pPr>
        <w:spacing w:line="440" w:lineRule="exact"/>
        <w:rPr>
          <w:rFonts w:hint="eastAsia" w:ascii="宋体" w:hAnsi="宋体" w:cs="宋体"/>
          <w:sz w:val="28"/>
          <w:szCs w:val="28"/>
          <w:highlight w:val="none"/>
        </w:rPr>
      </w:pPr>
      <w:r>
        <w:rPr>
          <w:rFonts w:hint="eastAsia" w:ascii="宋体" w:hAnsi="宋体" w:cs="宋体"/>
          <w:sz w:val="28"/>
          <w:szCs w:val="28"/>
          <w:highlight w:val="none"/>
        </w:rPr>
        <w:t xml:space="preserve">□本项目不专门面向中小企业预留采购份额。 </w:t>
      </w:r>
    </w:p>
    <w:p>
      <w:pPr>
        <w:spacing w:line="440" w:lineRule="exact"/>
        <w:rPr>
          <w:rFonts w:hint="eastAsia" w:ascii="宋体" w:hAnsi="宋体" w:cs="宋体"/>
          <w:sz w:val="28"/>
          <w:szCs w:val="28"/>
          <w:highlight w:val="none"/>
        </w:rPr>
      </w:pPr>
      <w:r>
        <w:rPr>
          <w:rFonts w:hint="eastAsia" w:ascii="宋体" w:hAnsi="宋体" w:cs="宋体"/>
          <w:sz w:val="28"/>
          <w:szCs w:val="28"/>
          <w:highlight w:val="none"/>
        </w:rPr>
        <w:sym w:font="Wingdings 2" w:char="0052"/>
      </w:r>
      <w:r>
        <w:rPr>
          <w:rFonts w:hint="eastAsia" w:ascii="宋体" w:hAnsi="宋体" w:cs="宋体"/>
          <w:sz w:val="28"/>
          <w:szCs w:val="28"/>
          <w:highlight w:val="none"/>
        </w:rPr>
        <w:t xml:space="preserve">本项目专门面向 </w:t>
      </w:r>
      <w:r>
        <w:rPr>
          <w:rFonts w:hint="eastAsia" w:ascii="宋体" w:hAnsi="宋体" w:cs="宋体"/>
          <w:sz w:val="28"/>
          <w:szCs w:val="28"/>
          <w:highlight w:val="none"/>
        </w:rPr>
        <w:sym w:font="Wingdings 2" w:char="0052"/>
      </w:r>
      <w:r>
        <w:rPr>
          <w:rFonts w:hint="eastAsia" w:ascii="宋体" w:hAnsi="宋体" w:cs="宋体"/>
          <w:sz w:val="28"/>
          <w:szCs w:val="28"/>
          <w:highlight w:val="none"/>
        </w:rPr>
        <w:t xml:space="preserve">中小 </w:t>
      </w:r>
      <w:r>
        <w:rPr>
          <w:rFonts w:hint="eastAsia" w:ascii="宋体" w:hAnsi="宋体" w:cs="宋体"/>
          <w:sz w:val="28"/>
          <w:szCs w:val="28"/>
          <w:highlight w:val="none"/>
        </w:rPr>
        <w:sym w:font="Wingdings 2" w:char="00A3"/>
      </w:r>
      <w:r>
        <w:rPr>
          <w:rFonts w:hint="eastAsia" w:ascii="宋体" w:hAnsi="宋体" w:cs="宋体"/>
          <w:sz w:val="28"/>
          <w:szCs w:val="28"/>
          <w:highlight w:val="none"/>
        </w:rPr>
        <w:t>小微企业  采购。即：提供的货物全部由符合政策要求的</w:t>
      </w:r>
      <w:r>
        <w:rPr>
          <w:rFonts w:hint="eastAsia" w:ascii="宋体" w:hAnsi="宋体" w:cs="宋体"/>
          <w:sz w:val="28"/>
          <w:szCs w:val="28"/>
          <w:highlight w:val="none"/>
          <w:lang w:eastAsia="zh-CN"/>
        </w:rPr>
        <w:t>中小</w:t>
      </w:r>
      <w:r>
        <w:rPr>
          <w:rFonts w:hint="eastAsia" w:ascii="宋体" w:hAnsi="宋体" w:cs="宋体"/>
          <w:sz w:val="28"/>
          <w:szCs w:val="28"/>
          <w:highlight w:val="none"/>
        </w:rPr>
        <w:t>企业制造、服务全部由符合政策要求的</w:t>
      </w:r>
      <w:r>
        <w:rPr>
          <w:rFonts w:hint="eastAsia" w:ascii="宋体" w:hAnsi="宋体" w:cs="宋体"/>
          <w:sz w:val="28"/>
          <w:szCs w:val="28"/>
          <w:highlight w:val="none"/>
          <w:lang w:eastAsia="zh-CN"/>
        </w:rPr>
        <w:t>中小</w:t>
      </w:r>
      <w:r>
        <w:rPr>
          <w:rFonts w:hint="eastAsia" w:ascii="宋体" w:hAnsi="宋体" w:cs="宋体"/>
          <w:sz w:val="28"/>
          <w:szCs w:val="28"/>
          <w:highlight w:val="none"/>
        </w:rPr>
        <w:t>企业承接。</w:t>
      </w:r>
    </w:p>
    <w:p>
      <w:pPr>
        <w:spacing w:line="440" w:lineRule="exact"/>
        <w:rPr>
          <w:rFonts w:hint="eastAsia" w:ascii="宋体" w:hAnsi="宋体" w:cs="宋体"/>
          <w:sz w:val="28"/>
          <w:szCs w:val="28"/>
          <w:highlight w:val="none"/>
        </w:rPr>
      </w:pPr>
      <w:r>
        <w:rPr>
          <w:rFonts w:hint="eastAsia" w:ascii="宋体" w:hAnsi="宋体" w:cs="宋体"/>
          <w:sz w:val="28"/>
          <w:szCs w:val="28"/>
          <w:highlight w:val="none"/>
        </w:rPr>
        <w:t xml:space="preserve">□本项目预留部分采购项目预算专门面向中小企业采购。对于预留份额，提供的货物由符合政策要求的中小企业制造、服务由符合政策要求的中小企业承接。预留份额通过以下措施进行：整体预留 。 </w:t>
      </w:r>
    </w:p>
    <w:p>
      <w:pPr>
        <w:spacing w:line="440" w:lineRule="exact"/>
        <w:rPr>
          <w:rFonts w:hint="eastAsia" w:ascii="宋体" w:hAnsi="宋体" w:cs="宋体"/>
          <w:sz w:val="28"/>
          <w:szCs w:val="28"/>
          <w:highlight w:val="none"/>
          <w:shd w:val="clear" w:color="auto" w:fill="FFFFFF"/>
        </w:rPr>
      </w:pPr>
      <w:r>
        <w:rPr>
          <w:rFonts w:hint="eastAsia" w:ascii="宋体" w:hAnsi="宋体" w:cs="宋体"/>
          <w:sz w:val="28"/>
          <w:szCs w:val="28"/>
          <w:highlight w:val="none"/>
        </w:rPr>
        <w:t>2.2 其它落实政府采购政策的资格要求（如有）： 本项目专门面向</w:t>
      </w:r>
      <w:r>
        <w:rPr>
          <w:rFonts w:hint="eastAsia" w:ascii="宋体" w:hAnsi="宋体" w:cs="宋体"/>
          <w:sz w:val="28"/>
          <w:szCs w:val="28"/>
          <w:highlight w:val="none"/>
          <w:lang w:val="en-US" w:eastAsia="zh-CN"/>
        </w:rPr>
        <w:t>中小</w:t>
      </w:r>
      <w:r>
        <w:rPr>
          <w:rFonts w:hint="eastAsia" w:ascii="宋体" w:hAnsi="宋体" w:cs="宋体"/>
          <w:sz w:val="28"/>
          <w:szCs w:val="28"/>
          <w:highlight w:val="none"/>
        </w:rPr>
        <w:t>企业采购，需提交相应的证明文件。中小企业划分标准所属行业为：</w:t>
      </w:r>
      <w:r>
        <w:rPr>
          <w:rFonts w:hint="eastAsia" w:ascii="宋体" w:hAnsi="宋体" w:cs="宋体"/>
          <w:sz w:val="28"/>
          <w:szCs w:val="28"/>
          <w:highlight w:val="none"/>
          <w:lang w:val="en-US" w:eastAsia="zh-CN"/>
        </w:rPr>
        <w:t>工业</w:t>
      </w:r>
      <w:r>
        <w:rPr>
          <w:rFonts w:hint="eastAsia" w:ascii="宋体" w:hAnsi="宋体" w:cs="宋体"/>
          <w:sz w:val="28"/>
          <w:szCs w:val="28"/>
          <w:highlight w:val="none"/>
        </w:rPr>
        <w:t>。</w:t>
      </w:r>
    </w:p>
    <w:p>
      <w:pPr>
        <w:pStyle w:val="19"/>
        <w:shd w:val="clear" w:color="auto" w:fill="FFFFFF"/>
        <w:spacing w:before="0" w:beforeAutospacing="0" w:after="0" w:afterAutospacing="0" w:line="276" w:lineRule="auto"/>
        <w:textAlignment w:val="baseline"/>
        <w:rPr>
          <w:rFonts w:hint="default" w:hAnsi="宋体" w:eastAsia="宋体" w:cs="宋体"/>
          <w:sz w:val="28"/>
          <w:szCs w:val="28"/>
          <w:highlight w:val="none"/>
          <w:shd w:val="clear" w:color="auto" w:fill="FFFFFF"/>
          <w:lang w:val="en-US" w:eastAsia="zh-CN"/>
        </w:rPr>
      </w:pPr>
      <w:r>
        <w:rPr>
          <w:rFonts w:hAnsi="宋体" w:cs="宋体"/>
          <w:sz w:val="28"/>
          <w:szCs w:val="28"/>
          <w:highlight w:val="none"/>
          <w:shd w:val="clear" w:color="auto" w:fill="FFFFFF"/>
        </w:rPr>
        <w:t>3.本项目的特定资格要求：</w:t>
      </w:r>
      <w:r>
        <w:rPr>
          <w:rFonts w:hint="eastAsia" w:hAnsi="宋体" w:cs="宋体"/>
          <w:sz w:val="28"/>
          <w:szCs w:val="28"/>
          <w:highlight w:val="none"/>
          <w:shd w:val="clear" w:color="auto" w:fill="FFFFFF"/>
          <w:lang w:val="en-US" w:eastAsia="zh-CN"/>
        </w:rPr>
        <w:t xml:space="preserve">   </w:t>
      </w:r>
    </w:p>
    <w:p>
      <w:pPr>
        <w:pStyle w:val="19"/>
        <w:numPr>
          <w:ilvl w:val="0"/>
          <w:numId w:val="1"/>
        </w:numPr>
        <w:shd w:val="clear" w:color="auto" w:fill="FFFFFF"/>
        <w:spacing w:before="0" w:beforeAutospacing="0" w:after="0" w:afterAutospacing="0" w:line="276" w:lineRule="auto"/>
        <w:textAlignment w:val="baseline"/>
        <w:rPr>
          <w:rFonts w:hAnsi="宋体" w:cs="宋体"/>
          <w:sz w:val="28"/>
          <w:szCs w:val="28"/>
          <w:highlight w:val="none"/>
          <w:shd w:val="clear" w:color="auto" w:fill="FFFFFF"/>
        </w:rPr>
      </w:pPr>
      <w:r>
        <w:rPr>
          <w:rFonts w:hAnsi="宋体" w:cs="宋体"/>
          <w:sz w:val="28"/>
          <w:szCs w:val="28"/>
          <w:highlight w:val="none"/>
          <w:shd w:val="clear" w:color="auto" w:fill="FFFFFF"/>
        </w:rPr>
        <w:t>供应商必须是在中华人民共和国境内注册具有有效的营业执照；有能力提供本项目所需货物及服务的投标人</w:t>
      </w:r>
    </w:p>
    <w:p>
      <w:pPr>
        <w:pStyle w:val="19"/>
        <w:numPr>
          <w:ilvl w:val="0"/>
          <w:numId w:val="1"/>
        </w:numPr>
        <w:shd w:val="clear" w:color="auto" w:fill="FFFFFF"/>
        <w:spacing w:before="0" w:beforeAutospacing="0" w:after="0" w:afterAutospacing="0" w:line="276" w:lineRule="auto"/>
        <w:textAlignment w:val="baseline"/>
        <w:rPr>
          <w:rFonts w:hAnsi="宋体" w:cs="宋体"/>
          <w:sz w:val="28"/>
          <w:szCs w:val="28"/>
          <w:highlight w:val="none"/>
          <w:shd w:val="clear" w:color="auto" w:fill="FFFFFF"/>
        </w:rPr>
      </w:pPr>
      <w:r>
        <w:rPr>
          <w:rFonts w:hAnsi="宋体" w:cs="宋体"/>
          <w:sz w:val="28"/>
          <w:szCs w:val="28"/>
          <w:highlight w:val="none"/>
          <w:shd w:val="clear" w:color="auto" w:fill="FFFFFF"/>
        </w:rPr>
        <w:t>供应商在“信用中国”（www.creditchina.gov.cn）未被列入重大税收违法案件当事人名单、“中国执行信息公开网”（http://zxgk.court.gov.cn/）未被列入失信被执行人；“中国政府采购网”（www.ccgp.gov.cn）网站上未被列入政府采购严重违法失信行为记录名单。 </w:t>
      </w:r>
    </w:p>
    <w:p>
      <w:pPr>
        <w:pStyle w:val="19"/>
        <w:numPr>
          <w:ilvl w:val="0"/>
          <w:numId w:val="1"/>
        </w:numPr>
        <w:shd w:val="clear" w:color="auto" w:fill="FFFFFF"/>
        <w:spacing w:before="0" w:beforeAutospacing="0" w:after="0" w:afterAutospacing="0" w:line="276" w:lineRule="auto"/>
        <w:textAlignment w:val="baseline"/>
        <w:rPr>
          <w:rFonts w:hAnsi="宋体" w:cs="宋体"/>
          <w:sz w:val="28"/>
          <w:szCs w:val="28"/>
          <w:highlight w:val="none"/>
        </w:rPr>
      </w:pPr>
      <w:r>
        <w:rPr>
          <w:rFonts w:hAnsi="宋体" w:cs="宋体"/>
          <w:sz w:val="28"/>
          <w:szCs w:val="28"/>
          <w:highlight w:val="none"/>
          <w:shd w:val="clear" w:color="auto" w:fill="FFFFFF"/>
        </w:rPr>
        <w:t>单位负责人为同一人或者存在直接控股、管理关系的不同供应商，不得参加同一合同下的政府采购活动；除单一来源采购项目外，为采购项目提供整体设计、规范编制等服务的供应商，不得再参加该采购项目的其他采购活动。 </w:t>
      </w:r>
    </w:p>
    <w:p>
      <w:pPr>
        <w:pStyle w:val="19"/>
        <w:shd w:val="clear" w:color="auto" w:fill="FFFFFF"/>
        <w:spacing w:before="0" w:beforeAutospacing="0" w:after="0" w:afterAutospacing="0" w:line="276" w:lineRule="auto"/>
        <w:ind w:firstLine="281" w:firstLineChars="100"/>
        <w:textAlignment w:val="baseline"/>
        <w:rPr>
          <w:rFonts w:hAnsi="宋体" w:cs="宋体"/>
          <w:sz w:val="28"/>
          <w:szCs w:val="28"/>
          <w:highlight w:val="none"/>
        </w:rPr>
      </w:pPr>
      <w:r>
        <w:rPr>
          <w:rStyle w:val="25"/>
          <w:rFonts w:hAnsi="宋体" w:cs="宋体"/>
          <w:bCs/>
          <w:sz w:val="28"/>
          <w:szCs w:val="28"/>
          <w:highlight w:val="none"/>
          <w:shd w:val="clear" w:color="auto" w:fill="FFFFFF"/>
        </w:rPr>
        <w:t>三、获取招标文件</w:t>
      </w:r>
    </w:p>
    <w:p>
      <w:pPr>
        <w:pStyle w:val="19"/>
        <w:shd w:val="clear" w:color="auto" w:fill="FFFFFF"/>
        <w:spacing w:before="0" w:beforeAutospacing="0" w:after="0" w:afterAutospacing="0" w:line="276" w:lineRule="auto"/>
        <w:jc w:val="both"/>
        <w:textAlignment w:val="baseline"/>
        <w:rPr>
          <w:rFonts w:hAnsi="宋体" w:cs="宋体"/>
          <w:sz w:val="28"/>
          <w:szCs w:val="28"/>
          <w:highlight w:val="none"/>
        </w:rPr>
      </w:pPr>
      <w:r>
        <w:rPr>
          <w:rFonts w:hAnsi="宋体" w:cs="宋体"/>
          <w:sz w:val="28"/>
          <w:szCs w:val="28"/>
          <w:highlight w:val="none"/>
          <w:shd w:val="clear" w:color="auto" w:fill="FFFFFF"/>
        </w:rPr>
        <w:t>时间：2025年0</w:t>
      </w:r>
      <w:r>
        <w:rPr>
          <w:rFonts w:hint="eastAsia" w:hAnsi="宋体" w:cs="宋体"/>
          <w:sz w:val="28"/>
          <w:szCs w:val="28"/>
          <w:highlight w:val="none"/>
          <w:shd w:val="clear" w:color="auto" w:fill="FFFFFF"/>
          <w:lang w:val="en-US" w:eastAsia="zh-CN"/>
        </w:rPr>
        <w:t>6</w:t>
      </w:r>
      <w:r>
        <w:rPr>
          <w:rFonts w:hAnsi="宋体" w:cs="宋体"/>
          <w:sz w:val="28"/>
          <w:szCs w:val="28"/>
          <w:highlight w:val="none"/>
          <w:shd w:val="clear" w:color="auto" w:fill="FFFFFF"/>
        </w:rPr>
        <w:t>月</w:t>
      </w:r>
      <w:r>
        <w:rPr>
          <w:rFonts w:hint="eastAsia" w:hAnsi="宋体" w:cs="宋体"/>
          <w:sz w:val="28"/>
          <w:szCs w:val="28"/>
          <w:highlight w:val="none"/>
          <w:shd w:val="clear" w:color="auto" w:fill="FFFFFF"/>
          <w:lang w:val="en-US" w:eastAsia="zh-CN"/>
        </w:rPr>
        <w:t>20</w:t>
      </w:r>
      <w:r>
        <w:rPr>
          <w:rFonts w:hAnsi="宋体" w:cs="宋体"/>
          <w:sz w:val="28"/>
          <w:szCs w:val="28"/>
          <w:highlight w:val="none"/>
          <w:shd w:val="clear" w:color="auto" w:fill="FFFFFF"/>
        </w:rPr>
        <w:t>日至2025年0</w:t>
      </w:r>
      <w:r>
        <w:rPr>
          <w:rFonts w:hint="eastAsia" w:hAnsi="宋体" w:cs="宋体"/>
          <w:sz w:val="28"/>
          <w:szCs w:val="28"/>
          <w:highlight w:val="none"/>
          <w:shd w:val="clear" w:color="auto" w:fill="FFFFFF"/>
          <w:lang w:val="en-US" w:eastAsia="zh-CN"/>
        </w:rPr>
        <w:t>6</w:t>
      </w:r>
      <w:r>
        <w:rPr>
          <w:rFonts w:hAnsi="宋体" w:cs="宋体"/>
          <w:sz w:val="28"/>
          <w:szCs w:val="28"/>
          <w:highlight w:val="none"/>
          <w:shd w:val="clear" w:color="auto" w:fill="FFFFFF"/>
        </w:rPr>
        <w:t>月</w:t>
      </w:r>
      <w:r>
        <w:rPr>
          <w:rFonts w:hint="eastAsia" w:hAnsi="宋体" w:cs="宋体"/>
          <w:sz w:val="28"/>
          <w:szCs w:val="28"/>
          <w:highlight w:val="none"/>
          <w:shd w:val="clear" w:color="auto" w:fill="FFFFFF"/>
          <w:lang w:val="en-US" w:eastAsia="zh-CN"/>
        </w:rPr>
        <w:t>27</w:t>
      </w:r>
      <w:r>
        <w:rPr>
          <w:rFonts w:hAnsi="宋体" w:cs="宋体"/>
          <w:sz w:val="28"/>
          <w:szCs w:val="28"/>
          <w:highlight w:val="none"/>
          <w:shd w:val="clear" w:color="auto" w:fill="FFFFFF"/>
        </w:rPr>
        <w:t>日 ，每天上午00:00至14:00，下午14:00至23:59。（北京时间，法定节假日除外）</w:t>
      </w:r>
    </w:p>
    <w:p>
      <w:pPr>
        <w:pStyle w:val="19"/>
        <w:shd w:val="clear" w:color="auto" w:fill="FFFFFF"/>
        <w:spacing w:before="0" w:beforeAutospacing="0" w:after="0" w:afterAutospacing="0" w:line="276" w:lineRule="auto"/>
        <w:textAlignment w:val="baseline"/>
        <w:rPr>
          <w:rStyle w:val="25"/>
          <w:rFonts w:hAnsi="宋体" w:cs="宋体"/>
          <w:b w:val="0"/>
          <w:sz w:val="28"/>
          <w:szCs w:val="28"/>
          <w:highlight w:val="none"/>
          <w:shd w:val="clear" w:color="auto" w:fill="FFFFFF"/>
        </w:rPr>
      </w:pPr>
      <w:r>
        <w:rPr>
          <w:rStyle w:val="25"/>
          <w:rFonts w:hAnsi="宋体" w:cs="宋体"/>
          <w:b w:val="0"/>
          <w:sz w:val="28"/>
          <w:szCs w:val="28"/>
          <w:highlight w:val="none"/>
          <w:shd w:val="clear" w:color="auto" w:fill="FFFFFF"/>
        </w:rPr>
        <w:t>地点：政采云平台</w:t>
      </w:r>
      <w:r>
        <w:rPr>
          <w:rFonts w:hAnsi="宋体" w:cs="宋体"/>
          <w:sz w:val="28"/>
          <w:szCs w:val="28"/>
          <w:highlight w:val="none"/>
        </w:rPr>
        <w:t>http://www.zcygov.cn/</w:t>
      </w:r>
      <w:r>
        <w:rPr>
          <w:rStyle w:val="25"/>
          <w:rFonts w:hAnsi="宋体" w:cs="宋体"/>
          <w:b w:val="0"/>
          <w:sz w:val="28"/>
          <w:szCs w:val="28"/>
          <w:highlight w:val="none"/>
          <w:shd w:val="clear" w:color="auto" w:fill="FFFFFF"/>
        </w:rPr>
        <w:t>线上获取</w:t>
      </w:r>
    </w:p>
    <w:p>
      <w:pPr>
        <w:pStyle w:val="19"/>
        <w:shd w:val="clear" w:color="auto" w:fill="FFFFFF"/>
        <w:spacing w:before="0" w:beforeAutospacing="0" w:after="0" w:afterAutospacing="0" w:line="276" w:lineRule="auto"/>
        <w:textAlignment w:val="baseline"/>
        <w:rPr>
          <w:rStyle w:val="25"/>
          <w:rFonts w:hAnsi="宋体" w:cs="宋体"/>
          <w:b w:val="0"/>
          <w:sz w:val="28"/>
          <w:szCs w:val="28"/>
          <w:highlight w:val="none"/>
          <w:shd w:val="clear" w:color="auto" w:fill="FFFFFF"/>
        </w:rPr>
      </w:pPr>
      <w:r>
        <w:rPr>
          <w:rStyle w:val="25"/>
          <w:rFonts w:hAnsi="宋体" w:cs="宋体"/>
          <w:b w:val="0"/>
          <w:sz w:val="28"/>
          <w:szCs w:val="28"/>
          <w:highlight w:val="none"/>
          <w:shd w:val="clear" w:color="auto" w:fill="FFFFFF"/>
        </w:rPr>
        <w:t xml:space="preserve">方式：线上获取。供应商登录政采云平台https://www.zcygov.cn/在线申请获取采购文件（进入“项目采购”应用，在获取采购文件菜单中选择项目，申请获取采购文件） </w:t>
      </w:r>
    </w:p>
    <w:p>
      <w:pPr>
        <w:pStyle w:val="19"/>
        <w:shd w:val="clear" w:color="auto" w:fill="FFFFFF"/>
        <w:spacing w:before="0" w:beforeAutospacing="0" w:after="0" w:afterAutospacing="0" w:line="276" w:lineRule="auto"/>
        <w:textAlignment w:val="baseline"/>
        <w:rPr>
          <w:rStyle w:val="25"/>
          <w:rFonts w:hAnsi="宋体" w:cs="宋体"/>
          <w:b w:val="0"/>
          <w:sz w:val="28"/>
          <w:szCs w:val="28"/>
          <w:highlight w:val="none"/>
          <w:shd w:val="clear" w:color="auto" w:fill="FFFFFF"/>
        </w:rPr>
      </w:pPr>
      <w:r>
        <w:rPr>
          <w:rStyle w:val="25"/>
          <w:rFonts w:hAnsi="宋体" w:cs="宋体"/>
          <w:b w:val="0"/>
          <w:sz w:val="28"/>
          <w:szCs w:val="28"/>
          <w:highlight w:val="none"/>
          <w:shd w:val="clear" w:color="auto" w:fill="FFFFFF"/>
        </w:rPr>
        <w:t>售价：0元/本</w:t>
      </w:r>
    </w:p>
    <w:p>
      <w:pPr>
        <w:pStyle w:val="19"/>
        <w:shd w:val="clear" w:color="auto" w:fill="FFFFFF"/>
        <w:spacing w:before="0" w:beforeAutospacing="0" w:after="0" w:afterAutospacing="0" w:line="276" w:lineRule="auto"/>
        <w:textAlignment w:val="baseline"/>
        <w:rPr>
          <w:rFonts w:hAnsi="宋体" w:cs="宋体"/>
          <w:sz w:val="28"/>
          <w:szCs w:val="28"/>
          <w:highlight w:val="none"/>
        </w:rPr>
      </w:pPr>
      <w:r>
        <w:rPr>
          <w:rStyle w:val="25"/>
          <w:rFonts w:hAnsi="宋体" w:cs="宋体"/>
          <w:bCs/>
          <w:sz w:val="28"/>
          <w:szCs w:val="28"/>
          <w:highlight w:val="none"/>
          <w:shd w:val="clear" w:color="auto" w:fill="FFFFFF"/>
        </w:rPr>
        <w:t>四、提交投标文件截止时间、开标时间和地点</w:t>
      </w:r>
    </w:p>
    <w:p>
      <w:pPr>
        <w:pStyle w:val="19"/>
        <w:shd w:val="clear" w:color="auto" w:fill="FFFFFF"/>
        <w:spacing w:before="0" w:beforeAutospacing="0" w:after="0" w:afterAutospacing="0" w:line="276" w:lineRule="auto"/>
        <w:textAlignment w:val="baseline"/>
        <w:rPr>
          <w:rFonts w:hAnsi="宋体" w:cs="宋体"/>
          <w:sz w:val="28"/>
          <w:szCs w:val="28"/>
          <w:highlight w:val="none"/>
        </w:rPr>
      </w:pPr>
      <w:r>
        <w:rPr>
          <w:rFonts w:hAnsi="宋体" w:cs="宋体"/>
          <w:sz w:val="28"/>
          <w:szCs w:val="28"/>
          <w:highlight w:val="none"/>
          <w:shd w:val="clear" w:color="auto" w:fill="FFFFFF"/>
        </w:rPr>
        <w:t>提交投标文件截止时间：2025年0</w:t>
      </w:r>
      <w:r>
        <w:rPr>
          <w:rFonts w:hint="eastAsia" w:hAnsi="宋体" w:cs="宋体"/>
          <w:sz w:val="28"/>
          <w:szCs w:val="28"/>
          <w:highlight w:val="none"/>
          <w:shd w:val="clear" w:color="auto" w:fill="FFFFFF"/>
          <w:lang w:val="en-US" w:eastAsia="zh-CN"/>
        </w:rPr>
        <w:t>7</w:t>
      </w:r>
      <w:r>
        <w:rPr>
          <w:rFonts w:hAnsi="宋体" w:cs="宋体"/>
          <w:sz w:val="28"/>
          <w:szCs w:val="28"/>
          <w:highlight w:val="none"/>
          <w:shd w:val="clear" w:color="auto" w:fill="FFFFFF"/>
        </w:rPr>
        <w:t>月</w:t>
      </w:r>
      <w:r>
        <w:rPr>
          <w:rFonts w:hint="eastAsia" w:hAnsi="宋体" w:cs="宋体"/>
          <w:sz w:val="28"/>
          <w:szCs w:val="28"/>
          <w:highlight w:val="none"/>
          <w:shd w:val="clear" w:color="auto" w:fill="FFFFFF"/>
          <w:lang w:val="en-US" w:eastAsia="zh-CN"/>
        </w:rPr>
        <w:t>11</w:t>
      </w:r>
      <w:r>
        <w:rPr>
          <w:rFonts w:hAnsi="宋体" w:cs="宋体"/>
          <w:sz w:val="28"/>
          <w:szCs w:val="28"/>
          <w:highlight w:val="none"/>
          <w:shd w:val="clear" w:color="auto" w:fill="FFFFFF"/>
        </w:rPr>
        <w:t>日  11点00分（北京时间）</w:t>
      </w:r>
    </w:p>
    <w:p>
      <w:pPr>
        <w:pStyle w:val="19"/>
        <w:shd w:val="clear" w:color="auto" w:fill="FFFFFF"/>
        <w:spacing w:before="0" w:beforeAutospacing="0" w:after="0" w:afterAutospacing="0" w:line="276" w:lineRule="auto"/>
        <w:textAlignment w:val="baseline"/>
        <w:rPr>
          <w:rFonts w:hAnsi="宋体" w:cs="宋体"/>
          <w:sz w:val="28"/>
          <w:szCs w:val="28"/>
          <w:highlight w:val="none"/>
        </w:rPr>
      </w:pPr>
      <w:r>
        <w:rPr>
          <w:rFonts w:hAnsi="宋体" w:cs="宋体"/>
          <w:sz w:val="28"/>
          <w:szCs w:val="28"/>
          <w:highlight w:val="none"/>
          <w:shd w:val="clear" w:color="auto" w:fill="FFFFFF"/>
        </w:rPr>
        <w:t>地点：请登录政采云投标客户端投标。供应商应在此之前将加密的投标文件上传至政采云平台对应位置 (逾期送达或不符合规定的投标文件将被拒绝接收)。</w:t>
      </w:r>
    </w:p>
    <w:p>
      <w:pPr>
        <w:pStyle w:val="19"/>
        <w:shd w:val="clear" w:color="auto" w:fill="FFFFFF"/>
        <w:spacing w:before="0" w:beforeAutospacing="0" w:after="0" w:afterAutospacing="0" w:line="276" w:lineRule="auto"/>
        <w:textAlignment w:val="baseline"/>
        <w:rPr>
          <w:rFonts w:hAnsi="宋体" w:cs="宋体"/>
          <w:sz w:val="28"/>
          <w:szCs w:val="28"/>
          <w:highlight w:val="none"/>
          <w:shd w:val="clear" w:color="auto" w:fill="FFFFFF"/>
        </w:rPr>
      </w:pPr>
      <w:r>
        <w:rPr>
          <w:rFonts w:hAnsi="宋体" w:cs="宋体"/>
          <w:sz w:val="28"/>
          <w:szCs w:val="28"/>
          <w:highlight w:val="none"/>
          <w:shd w:val="clear" w:color="auto" w:fill="FFFFFF"/>
        </w:rPr>
        <w:t>开标时间：2025年0</w:t>
      </w:r>
      <w:r>
        <w:rPr>
          <w:rFonts w:hint="eastAsia" w:hAnsi="宋体" w:cs="宋体"/>
          <w:sz w:val="28"/>
          <w:szCs w:val="28"/>
          <w:highlight w:val="none"/>
          <w:shd w:val="clear" w:color="auto" w:fill="FFFFFF"/>
          <w:lang w:val="en-US" w:eastAsia="zh-CN"/>
        </w:rPr>
        <w:t>7</w:t>
      </w:r>
      <w:r>
        <w:rPr>
          <w:rFonts w:hAnsi="宋体" w:cs="宋体"/>
          <w:sz w:val="28"/>
          <w:szCs w:val="28"/>
          <w:highlight w:val="none"/>
          <w:shd w:val="clear" w:color="auto" w:fill="FFFFFF"/>
        </w:rPr>
        <w:t>月</w:t>
      </w:r>
      <w:r>
        <w:rPr>
          <w:rFonts w:hint="eastAsia" w:hAnsi="宋体" w:cs="宋体"/>
          <w:sz w:val="28"/>
          <w:szCs w:val="28"/>
          <w:highlight w:val="none"/>
          <w:shd w:val="clear" w:color="auto" w:fill="FFFFFF"/>
          <w:lang w:val="en-US" w:eastAsia="zh-CN"/>
        </w:rPr>
        <w:t>11</w:t>
      </w:r>
      <w:r>
        <w:rPr>
          <w:rFonts w:hAnsi="宋体" w:cs="宋体"/>
          <w:sz w:val="28"/>
          <w:szCs w:val="28"/>
          <w:highlight w:val="none"/>
          <w:shd w:val="clear" w:color="auto" w:fill="FFFFFF"/>
        </w:rPr>
        <w:t>日  11点00分（北京时间）</w:t>
      </w:r>
    </w:p>
    <w:p>
      <w:pPr>
        <w:pStyle w:val="19"/>
        <w:shd w:val="clear" w:color="auto" w:fill="FFFFFF"/>
        <w:spacing w:before="0" w:beforeAutospacing="0" w:after="0" w:afterAutospacing="0" w:line="276" w:lineRule="auto"/>
        <w:textAlignment w:val="baseline"/>
        <w:rPr>
          <w:rFonts w:hAnsi="宋体" w:cs="宋体"/>
          <w:sz w:val="28"/>
          <w:szCs w:val="28"/>
          <w:highlight w:val="none"/>
        </w:rPr>
      </w:pPr>
      <w:r>
        <w:rPr>
          <w:rFonts w:hAnsi="宋体" w:cs="宋体"/>
          <w:sz w:val="28"/>
          <w:szCs w:val="28"/>
          <w:highlight w:val="none"/>
        </w:rPr>
        <w:t>开标地点：政采云平台https://www.zcygov.cn/ 。</w:t>
      </w:r>
    </w:p>
    <w:p>
      <w:pPr>
        <w:pStyle w:val="19"/>
        <w:shd w:val="clear" w:color="auto" w:fill="FFFFFF"/>
        <w:spacing w:before="0" w:beforeAutospacing="0" w:after="0" w:afterAutospacing="0" w:line="276" w:lineRule="auto"/>
        <w:textAlignment w:val="baseline"/>
        <w:rPr>
          <w:rFonts w:hAnsi="宋体" w:cs="宋体"/>
          <w:sz w:val="28"/>
          <w:szCs w:val="28"/>
          <w:highlight w:val="none"/>
        </w:rPr>
      </w:pPr>
      <w:r>
        <w:rPr>
          <w:rStyle w:val="25"/>
          <w:rFonts w:hAnsi="宋体" w:cs="宋体"/>
          <w:bCs/>
          <w:sz w:val="28"/>
          <w:szCs w:val="28"/>
          <w:highlight w:val="none"/>
          <w:shd w:val="clear" w:color="auto" w:fill="FFFFFF"/>
        </w:rPr>
        <w:t>五、公告期限</w:t>
      </w:r>
    </w:p>
    <w:p>
      <w:pPr>
        <w:pStyle w:val="19"/>
        <w:shd w:val="clear" w:color="auto" w:fill="FFFFFF"/>
        <w:spacing w:before="0" w:beforeAutospacing="0" w:after="0" w:afterAutospacing="0" w:line="276" w:lineRule="auto"/>
        <w:textAlignment w:val="baseline"/>
        <w:rPr>
          <w:rFonts w:hAnsi="宋体" w:cs="宋体"/>
          <w:sz w:val="28"/>
          <w:szCs w:val="28"/>
          <w:highlight w:val="none"/>
        </w:rPr>
      </w:pPr>
      <w:r>
        <w:rPr>
          <w:rFonts w:hAnsi="宋体" w:cs="宋体"/>
          <w:sz w:val="28"/>
          <w:szCs w:val="28"/>
          <w:highlight w:val="none"/>
          <w:shd w:val="clear" w:color="auto" w:fill="FFFFFF"/>
        </w:rPr>
        <w:t>自本公告发布之日起5个工作日。</w:t>
      </w:r>
    </w:p>
    <w:p>
      <w:pPr>
        <w:pStyle w:val="19"/>
        <w:numPr>
          <w:ilvl w:val="0"/>
          <w:numId w:val="2"/>
        </w:numPr>
        <w:shd w:val="clear" w:color="auto" w:fill="FFFFFF"/>
        <w:spacing w:before="0" w:beforeAutospacing="0" w:after="0" w:afterAutospacing="0" w:line="276" w:lineRule="auto"/>
        <w:textAlignment w:val="baseline"/>
        <w:rPr>
          <w:rStyle w:val="25"/>
          <w:rFonts w:hAnsi="宋体" w:cs="宋体"/>
          <w:bCs/>
          <w:sz w:val="28"/>
          <w:szCs w:val="28"/>
          <w:highlight w:val="none"/>
          <w:shd w:val="clear" w:color="auto" w:fill="FFFFFF"/>
        </w:rPr>
      </w:pPr>
      <w:r>
        <w:rPr>
          <w:rStyle w:val="25"/>
          <w:rFonts w:hAnsi="宋体" w:cs="宋体"/>
          <w:bCs/>
          <w:sz w:val="28"/>
          <w:szCs w:val="28"/>
          <w:highlight w:val="none"/>
          <w:shd w:val="clear" w:color="auto" w:fill="FFFFFF"/>
        </w:rPr>
        <w:t>其他补充事宜</w:t>
      </w:r>
    </w:p>
    <w:p>
      <w:pPr>
        <w:numPr>
          <w:ilvl w:val="0"/>
          <w:numId w:val="3"/>
        </w:numPr>
        <w:adjustRightInd w:val="0"/>
        <w:snapToGrid w:val="0"/>
        <w:spacing w:line="276" w:lineRule="auto"/>
        <w:ind w:left="142" w:firstLine="383"/>
        <w:rPr>
          <w:rFonts w:hint="eastAsia" w:ascii="宋体" w:hAnsi="宋体" w:cs="宋体"/>
          <w:sz w:val="28"/>
          <w:szCs w:val="28"/>
          <w:highlight w:val="none"/>
        </w:rPr>
      </w:pPr>
      <w:r>
        <w:rPr>
          <w:rFonts w:hint="eastAsia" w:ascii="宋体" w:hAnsi="宋体" w:cs="宋体"/>
          <w:sz w:val="28"/>
          <w:szCs w:val="28"/>
          <w:highlight w:val="none"/>
        </w:rPr>
        <w:t>本项目实行电子招投标，供应商须登录政采云平台申请获取采购文件，并需要使用CA锁，登录政采云电子投标客户端制作投标文件，若供应商参与投标,自行承担与投标有关的一切费用。</w:t>
      </w:r>
    </w:p>
    <w:p>
      <w:pPr>
        <w:numPr>
          <w:ilvl w:val="0"/>
          <w:numId w:val="3"/>
        </w:numPr>
        <w:adjustRightInd w:val="0"/>
        <w:snapToGrid w:val="0"/>
        <w:spacing w:line="276" w:lineRule="auto"/>
        <w:ind w:left="142" w:firstLine="383"/>
        <w:rPr>
          <w:rFonts w:hint="eastAsia" w:ascii="宋体" w:hAnsi="宋体" w:cs="宋体"/>
          <w:sz w:val="28"/>
          <w:szCs w:val="28"/>
          <w:highlight w:val="none"/>
        </w:rPr>
      </w:pPr>
      <w:r>
        <w:rPr>
          <w:rFonts w:hint="eastAsia" w:ascii="宋体" w:hAnsi="宋体" w:cs="宋体"/>
          <w:sz w:val="28"/>
          <w:szCs w:val="28"/>
          <w:highlight w:val="none"/>
        </w:rPr>
        <w:t>各供应商应在开标前确保是新疆维吾尔自治区政府采购网正式注册入库的供应商，并完成CA数字证书申领。因未注册入库、未办理CA数字证书等原因造成无法投标或投标失败等后果的由供应商自行承担</w:t>
      </w:r>
    </w:p>
    <w:p>
      <w:pPr>
        <w:numPr>
          <w:ilvl w:val="0"/>
          <w:numId w:val="3"/>
        </w:numPr>
        <w:adjustRightInd w:val="0"/>
        <w:snapToGrid w:val="0"/>
        <w:spacing w:line="276" w:lineRule="auto"/>
        <w:ind w:left="142" w:firstLine="383"/>
        <w:rPr>
          <w:rFonts w:hint="eastAsia" w:ascii="宋体" w:hAnsi="宋体" w:cs="宋体"/>
          <w:sz w:val="28"/>
          <w:szCs w:val="28"/>
          <w:highlight w:val="none"/>
        </w:rPr>
      </w:pPr>
      <w:r>
        <w:rPr>
          <w:rFonts w:hint="eastAsia" w:ascii="宋体" w:hAnsi="宋体" w:cs="宋体"/>
          <w:sz w:val="28"/>
          <w:szCs w:val="28"/>
          <w:highlight w:val="none"/>
        </w:rPr>
        <w:t>供应商可前往新疆政府采购网（http://www.ccgp-xinjiang.gov.cn/）下载专区，下载政采云电子投标客户端，安装完成后，可通过账号密码或CA登录客户端进行投标文件制作。</w:t>
      </w:r>
    </w:p>
    <w:p>
      <w:pPr>
        <w:numPr>
          <w:ilvl w:val="0"/>
          <w:numId w:val="3"/>
        </w:numPr>
        <w:adjustRightInd w:val="0"/>
        <w:snapToGrid w:val="0"/>
        <w:spacing w:line="276" w:lineRule="auto"/>
        <w:ind w:left="142" w:firstLine="383"/>
        <w:rPr>
          <w:rFonts w:hint="eastAsia" w:ascii="宋体" w:hAnsi="宋体" w:cs="宋体"/>
          <w:sz w:val="28"/>
          <w:szCs w:val="28"/>
          <w:highlight w:val="none"/>
        </w:rPr>
      </w:pPr>
      <w:r>
        <w:rPr>
          <w:rFonts w:hint="eastAsia" w:ascii="宋体" w:hAnsi="宋体" w:cs="宋体"/>
          <w:sz w:val="28"/>
          <w:szCs w:val="28"/>
          <w:highlight w:val="none"/>
        </w:rPr>
        <w:t>供应商在开标时须携带制作加密电子投标文件所使用的CA锁，电脑须提前配置好浏览器，以便开标时在线解密。</w:t>
      </w:r>
    </w:p>
    <w:p>
      <w:pPr>
        <w:numPr>
          <w:ilvl w:val="0"/>
          <w:numId w:val="3"/>
        </w:numPr>
        <w:adjustRightInd w:val="0"/>
        <w:snapToGrid w:val="0"/>
        <w:spacing w:line="276" w:lineRule="auto"/>
        <w:ind w:left="142" w:firstLine="383"/>
        <w:rPr>
          <w:rFonts w:hint="eastAsia" w:ascii="宋体" w:hAnsi="宋体" w:cs="宋体"/>
          <w:b/>
          <w:sz w:val="28"/>
          <w:szCs w:val="28"/>
          <w:highlight w:val="none"/>
        </w:rPr>
      </w:pPr>
      <w:r>
        <w:rPr>
          <w:rFonts w:hint="eastAsia" w:ascii="宋体" w:hAnsi="宋体" w:cs="宋体"/>
          <w:sz w:val="28"/>
          <w:szCs w:val="28"/>
          <w:highlight w:val="none"/>
        </w:rPr>
        <w:t>投标供应商应当在投标截止时间前，将生成的“电子加密投标文件”上传递交至“政府采购云平台”，投标截止时间以后上传递交的投标文件将被“政府采购云平台”拒收。</w:t>
      </w:r>
    </w:p>
    <w:p>
      <w:pPr>
        <w:pStyle w:val="19"/>
        <w:shd w:val="clear" w:color="auto" w:fill="FFFFFF"/>
        <w:spacing w:before="0" w:beforeAutospacing="0" w:after="0" w:afterAutospacing="0" w:line="276" w:lineRule="auto"/>
        <w:textAlignment w:val="baseline"/>
        <w:rPr>
          <w:rFonts w:hAnsi="宋体" w:cs="宋体"/>
          <w:sz w:val="28"/>
          <w:szCs w:val="28"/>
          <w:highlight w:val="none"/>
        </w:rPr>
      </w:pPr>
      <w:r>
        <w:rPr>
          <w:rStyle w:val="25"/>
          <w:rFonts w:hAnsi="宋体" w:cs="宋体"/>
          <w:bCs/>
          <w:sz w:val="28"/>
          <w:szCs w:val="28"/>
          <w:highlight w:val="none"/>
          <w:shd w:val="clear" w:color="auto" w:fill="FFFFFF"/>
        </w:rPr>
        <w:t>七、对本次招标提出询问，请按以下方式联系。</w:t>
      </w:r>
    </w:p>
    <w:p>
      <w:pPr>
        <w:pStyle w:val="19"/>
        <w:shd w:val="clear" w:color="auto" w:fill="FFFFFF"/>
        <w:spacing w:before="0" w:beforeAutospacing="0" w:after="0" w:afterAutospacing="0" w:line="276" w:lineRule="auto"/>
        <w:textAlignment w:val="baseline"/>
        <w:rPr>
          <w:rFonts w:hAnsi="宋体" w:cs="宋体"/>
          <w:sz w:val="28"/>
          <w:szCs w:val="28"/>
          <w:highlight w:val="none"/>
        </w:rPr>
      </w:pPr>
      <w:r>
        <w:rPr>
          <w:rFonts w:hAnsi="宋体" w:cs="宋体"/>
          <w:sz w:val="28"/>
          <w:szCs w:val="28"/>
          <w:highlight w:val="none"/>
          <w:shd w:val="clear" w:color="auto" w:fill="FFFFFF"/>
        </w:rPr>
        <w:t>1.采购人信息</w:t>
      </w:r>
    </w:p>
    <w:p>
      <w:pPr>
        <w:widowControl/>
        <w:jc w:val="left"/>
        <w:rPr>
          <w:rFonts w:hint="eastAsia" w:ascii="宋体" w:hAnsi="宋体" w:cs="宋体"/>
          <w:sz w:val="28"/>
          <w:szCs w:val="28"/>
          <w:highlight w:val="none"/>
        </w:rPr>
      </w:pPr>
      <w:r>
        <w:rPr>
          <w:rFonts w:hint="eastAsia" w:ascii="宋体" w:hAnsi="宋体" w:cs="宋体"/>
          <w:sz w:val="28"/>
          <w:szCs w:val="28"/>
          <w:highlight w:val="none"/>
          <w:shd w:val="clear" w:color="auto" w:fill="FFFFFF"/>
        </w:rPr>
        <w:t>名    称：</w:t>
      </w:r>
      <w:r>
        <w:rPr>
          <w:rFonts w:hint="eastAsia" w:ascii="宋体" w:hAnsi="宋体" w:cs="宋体"/>
          <w:kern w:val="0"/>
          <w:sz w:val="28"/>
          <w:szCs w:val="28"/>
          <w:highlight w:val="none"/>
          <w:shd w:val="clear" w:color="auto" w:fill="FFFFFF"/>
        </w:rPr>
        <w:t>新疆农业大学</w:t>
      </w:r>
      <w:r>
        <w:rPr>
          <w:rFonts w:hint="eastAsia" w:ascii="宋体" w:hAnsi="宋体" w:cs="宋体"/>
          <w:sz w:val="28"/>
          <w:szCs w:val="28"/>
          <w:highlight w:val="none"/>
          <w:shd w:val="clear" w:color="auto" w:fill="FFFFFF"/>
        </w:rPr>
        <w:t>　　　　</w:t>
      </w:r>
    </w:p>
    <w:p>
      <w:pPr>
        <w:widowControl/>
        <w:jc w:val="left"/>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地    址：</w:t>
      </w:r>
      <w:r>
        <w:rPr>
          <w:rFonts w:hint="eastAsia" w:ascii="宋体" w:hAnsi="宋体" w:cs="宋体"/>
          <w:sz w:val="28"/>
          <w:szCs w:val="28"/>
          <w:highlight w:val="none"/>
        </w:rPr>
        <w:t>乌鲁木齐市沙依巴克区农大东路311号</w:t>
      </w:r>
      <w:r>
        <w:rPr>
          <w:rFonts w:hint="eastAsia" w:ascii="宋体" w:hAnsi="宋体" w:cs="宋体"/>
          <w:sz w:val="28"/>
          <w:szCs w:val="28"/>
          <w:highlight w:val="none"/>
          <w:shd w:val="clear" w:color="auto" w:fill="FFFFFF"/>
        </w:rPr>
        <w:t>　　　　　　　　</w:t>
      </w:r>
    </w:p>
    <w:p>
      <w:pPr>
        <w:pStyle w:val="19"/>
        <w:shd w:val="clear" w:color="auto" w:fill="FFFFFF"/>
        <w:spacing w:before="0" w:beforeAutospacing="0" w:after="0" w:afterAutospacing="0" w:line="276" w:lineRule="auto"/>
        <w:textAlignment w:val="baseline"/>
        <w:rPr>
          <w:rFonts w:hint="default" w:ascii="宋体" w:hAnsi="宋体" w:eastAsia="宋体" w:cs="宋体"/>
          <w:kern w:val="2"/>
          <w:sz w:val="28"/>
          <w:szCs w:val="28"/>
          <w:highlight w:val="none"/>
          <w:lang w:val="en-US" w:eastAsia="zh-CN" w:bidi="ar-SA"/>
        </w:rPr>
      </w:pPr>
      <w:r>
        <w:rPr>
          <w:rFonts w:hAnsi="宋体" w:cs="宋体"/>
          <w:sz w:val="28"/>
          <w:szCs w:val="28"/>
          <w:highlight w:val="none"/>
          <w:shd w:val="clear" w:color="auto" w:fill="FFFFFF"/>
        </w:rPr>
        <w:t>联系方式：</w:t>
      </w:r>
      <w:r>
        <w:rPr>
          <w:rFonts w:hint="eastAsia" w:ascii="宋体" w:hAnsi="宋体" w:eastAsia="宋体" w:cs="宋体"/>
          <w:kern w:val="2"/>
          <w:sz w:val="28"/>
          <w:szCs w:val="28"/>
          <w:highlight w:val="none"/>
          <w:lang w:val="en-US" w:eastAsia="zh-CN" w:bidi="ar-SA"/>
        </w:rPr>
        <w:t xml:space="preserve">13899967763       </w:t>
      </w:r>
    </w:p>
    <w:p>
      <w:pPr>
        <w:pStyle w:val="19"/>
        <w:shd w:val="clear" w:color="auto" w:fill="FFFFFF"/>
        <w:spacing w:before="0" w:beforeAutospacing="0" w:after="0" w:afterAutospacing="0" w:line="276" w:lineRule="auto"/>
        <w:textAlignment w:val="baseline"/>
        <w:rPr>
          <w:rFonts w:hAnsi="宋体" w:cs="宋体"/>
          <w:sz w:val="28"/>
          <w:szCs w:val="28"/>
          <w:highlight w:val="none"/>
        </w:rPr>
      </w:pPr>
      <w:r>
        <w:rPr>
          <w:rFonts w:hAnsi="宋体" w:cs="宋体"/>
          <w:sz w:val="28"/>
          <w:szCs w:val="28"/>
          <w:highlight w:val="none"/>
          <w:shd w:val="clear" w:color="auto" w:fill="FFFFFF"/>
        </w:rPr>
        <w:t>2.采购代理机构信息</w:t>
      </w:r>
    </w:p>
    <w:p>
      <w:pPr>
        <w:pStyle w:val="19"/>
        <w:shd w:val="clear" w:color="auto" w:fill="FFFFFF"/>
        <w:spacing w:before="0" w:beforeAutospacing="0" w:after="0" w:afterAutospacing="0" w:line="276" w:lineRule="auto"/>
        <w:textAlignment w:val="baseline"/>
        <w:rPr>
          <w:rFonts w:hAnsi="宋体" w:cs="宋体"/>
          <w:sz w:val="28"/>
          <w:szCs w:val="28"/>
          <w:highlight w:val="none"/>
          <w:shd w:val="clear" w:color="auto" w:fill="FFFFFF"/>
        </w:rPr>
      </w:pPr>
      <w:r>
        <w:rPr>
          <w:rFonts w:hAnsi="宋体" w:cs="宋体"/>
          <w:sz w:val="28"/>
          <w:szCs w:val="28"/>
          <w:highlight w:val="none"/>
          <w:shd w:val="clear" w:color="auto" w:fill="FFFFFF"/>
        </w:rPr>
        <w:t>名     称：新疆宏力源工程项目管理有限公司　　　　　　　　　　　　</w:t>
      </w:r>
    </w:p>
    <w:p>
      <w:pPr>
        <w:pStyle w:val="19"/>
        <w:shd w:val="clear" w:color="auto" w:fill="FFFFFF"/>
        <w:spacing w:before="0" w:beforeAutospacing="0" w:after="0" w:afterAutospacing="0" w:line="276" w:lineRule="auto"/>
        <w:textAlignment w:val="baseline"/>
        <w:rPr>
          <w:rFonts w:hAnsi="宋体" w:cs="宋体"/>
          <w:sz w:val="28"/>
          <w:szCs w:val="28"/>
          <w:highlight w:val="none"/>
          <w:shd w:val="clear" w:color="auto" w:fill="FFFFFF"/>
        </w:rPr>
      </w:pPr>
      <w:r>
        <w:rPr>
          <w:rFonts w:hAnsi="宋体" w:cs="宋体"/>
          <w:sz w:val="28"/>
          <w:szCs w:val="28"/>
          <w:highlight w:val="none"/>
          <w:shd w:val="clear" w:color="auto" w:fill="FFFFFF"/>
        </w:rPr>
        <w:t>地   　址：新疆乌鲁木齐高新区（新市区）四平路266号科创花苑B3办公1501　　　　　　　　　　　　</w:t>
      </w:r>
    </w:p>
    <w:p>
      <w:pPr>
        <w:pStyle w:val="19"/>
        <w:shd w:val="clear" w:color="auto" w:fill="FFFFFF"/>
        <w:spacing w:before="0" w:beforeAutospacing="0" w:after="0" w:afterAutospacing="0" w:line="276" w:lineRule="auto"/>
        <w:textAlignment w:val="baseline"/>
        <w:rPr>
          <w:rFonts w:hAnsi="宋体" w:cs="宋体"/>
          <w:sz w:val="28"/>
          <w:szCs w:val="28"/>
          <w:highlight w:val="none"/>
          <w:shd w:val="clear" w:color="auto" w:fill="FFFFFF"/>
        </w:rPr>
      </w:pPr>
      <w:r>
        <w:rPr>
          <w:rFonts w:hAnsi="宋体" w:cs="宋体"/>
          <w:sz w:val="28"/>
          <w:szCs w:val="28"/>
          <w:highlight w:val="none"/>
          <w:shd w:val="clear" w:color="auto" w:fill="FFFFFF"/>
        </w:rPr>
        <w:t>联系方式：李工 13579862091　　　　　　　　　　　　</w:t>
      </w:r>
    </w:p>
    <w:p>
      <w:pPr>
        <w:pStyle w:val="19"/>
        <w:shd w:val="clear" w:color="auto" w:fill="FFFFFF"/>
        <w:spacing w:before="0" w:beforeAutospacing="0" w:after="0" w:afterAutospacing="0" w:line="276" w:lineRule="auto"/>
        <w:textAlignment w:val="baseline"/>
        <w:rPr>
          <w:rFonts w:hAnsi="宋体" w:cs="宋体"/>
          <w:sz w:val="28"/>
          <w:szCs w:val="28"/>
          <w:highlight w:val="none"/>
          <w:shd w:val="clear" w:color="auto" w:fill="FFFFFF"/>
        </w:rPr>
      </w:pPr>
    </w:p>
    <w:p>
      <w:pPr>
        <w:pStyle w:val="19"/>
        <w:shd w:val="clear" w:color="auto" w:fill="FFFFFF"/>
        <w:spacing w:before="0" w:beforeAutospacing="0" w:after="0" w:afterAutospacing="0" w:line="276" w:lineRule="auto"/>
        <w:textAlignment w:val="baseline"/>
        <w:rPr>
          <w:rFonts w:hAnsi="宋体" w:cs="宋体"/>
          <w:sz w:val="28"/>
          <w:szCs w:val="28"/>
          <w:highlight w:val="none"/>
          <w:shd w:val="clear" w:color="auto" w:fill="FFFFFF"/>
        </w:rPr>
      </w:pPr>
      <w:r>
        <w:rPr>
          <w:rFonts w:hAnsi="宋体" w:cs="宋体"/>
          <w:sz w:val="28"/>
          <w:szCs w:val="28"/>
          <w:highlight w:val="none"/>
          <w:shd w:val="clear" w:color="auto" w:fill="FFFFFF"/>
        </w:rPr>
        <w:t>3.项目联系方式</w:t>
      </w:r>
    </w:p>
    <w:p>
      <w:pPr>
        <w:pStyle w:val="19"/>
        <w:shd w:val="clear" w:color="auto" w:fill="FFFFFF"/>
        <w:spacing w:before="0" w:beforeAutospacing="0" w:after="0" w:afterAutospacing="0" w:line="276" w:lineRule="auto"/>
        <w:textAlignment w:val="baseline"/>
        <w:rPr>
          <w:rFonts w:hAnsi="宋体" w:cs="宋体"/>
          <w:sz w:val="28"/>
          <w:szCs w:val="28"/>
          <w:highlight w:val="none"/>
          <w:shd w:val="clear" w:color="auto" w:fill="FFFFFF"/>
        </w:rPr>
      </w:pPr>
      <w:r>
        <w:rPr>
          <w:rFonts w:hAnsi="宋体" w:cs="宋体"/>
          <w:sz w:val="28"/>
          <w:szCs w:val="28"/>
          <w:highlight w:val="none"/>
          <w:shd w:val="clear" w:color="auto" w:fill="FFFFFF"/>
        </w:rPr>
        <w:t>项目联系人：李工</w:t>
      </w:r>
    </w:p>
    <w:p>
      <w:pPr>
        <w:pStyle w:val="19"/>
        <w:shd w:val="clear" w:color="auto" w:fill="FFFFFF"/>
        <w:spacing w:before="0" w:beforeAutospacing="0" w:after="0" w:afterAutospacing="0" w:line="276" w:lineRule="auto"/>
        <w:textAlignment w:val="baseline"/>
        <w:rPr>
          <w:rFonts w:hAnsi="宋体" w:cs="宋体"/>
          <w:sz w:val="28"/>
          <w:szCs w:val="28"/>
          <w:highlight w:val="none"/>
          <w:shd w:val="clear" w:color="auto" w:fill="FFFFFF"/>
        </w:rPr>
      </w:pPr>
      <w:r>
        <w:rPr>
          <w:rFonts w:hAnsi="宋体" w:cs="宋体"/>
          <w:sz w:val="28"/>
          <w:szCs w:val="28"/>
          <w:highlight w:val="none"/>
          <w:shd w:val="clear" w:color="auto" w:fill="FFFFFF"/>
        </w:rPr>
        <w:t>电　    话：13579862091</w:t>
      </w:r>
    </w:p>
    <w:p>
      <w:pPr>
        <w:pStyle w:val="19"/>
        <w:shd w:val="clear" w:color="auto" w:fill="FFFFFF"/>
        <w:spacing w:before="0" w:beforeAutospacing="0" w:after="0" w:afterAutospacing="0" w:line="276" w:lineRule="auto"/>
        <w:textAlignment w:val="baseline"/>
        <w:rPr>
          <w:rFonts w:hAnsi="宋体" w:cs="宋体"/>
          <w:sz w:val="28"/>
          <w:szCs w:val="28"/>
          <w:highlight w:val="none"/>
          <w:shd w:val="clear" w:color="auto" w:fill="FFFFFF"/>
        </w:rPr>
      </w:pPr>
      <w:r>
        <w:rPr>
          <w:rFonts w:hAnsi="宋体" w:cs="宋体"/>
          <w:sz w:val="28"/>
          <w:szCs w:val="28"/>
          <w:highlight w:val="none"/>
          <w:shd w:val="clear" w:color="auto" w:fill="FFFFFF"/>
        </w:rPr>
        <w:t xml:space="preserve"> </w:t>
      </w:r>
    </w:p>
    <w:p>
      <w:pPr>
        <w:pStyle w:val="2"/>
        <w:rPr>
          <w:color w:val="000000" w:themeColor="text1"/>
          <w:szCs w:val="22"/>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br w:type="page"/>
      </w:r>
      <w:bookmarkStart w:id="17" w:name="_Toc169194752"/>
      <w:r>
        <w:rPr>
          <w:color w:val="000000" w:themeColor="text1"/>
          <w:highlight w:val="none"/>
          <w14:textFill>
            <w14:solidFill>
              <w14:schemeClr w14:val="tx1"/>
            </w14:solidFill>
          </w14:textFill>
        </w:rPr>
        <w:t>第二章  投标人须知前附表</w:t>
      </w:r>
      <w:bookmarkEnd w:id="14"/>
      <w:bookmarkEnd w:id="15"/>
      <w:bookmarkEnd w:id="16"/>
      <w:bookmarkEnd w:id="17"/>
    </w:p>
    <w:tbl>
      <w:tblPr>
        <w:tblStyle w:val="22"/>
        <w:tblpPr w:leftFromText="180" w:rightFromText="180" w:vertAnchor="text" w:horzAnchor="page" w:tblpX="1069" w:tblpY="154"/>
        <w:tblOverlap w:val="never"/>
        <w:tblW w:w="10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344"/>
        <w:gridCol w:w="8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blHeader/>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项号</w:t>
            </w:r>
          </w:p>
        </w:tc>
        <w:tc>
          <w:tcPr>
            <w:tcW w:w="1344"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w:t>
            </w:r>
          </w:p>
        </w:tc>
        <w:tc>
          <w:tcPr>
            <w:tcW w:w="8362" w:type="dxa"/>
            <w:vAlign w:val="center"/>
          </w:tcPr>
          <w:p>
            <w:pPr>
              <w:widowControl/>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SEQ 前附表 \* MERGEFORMAT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fldChar w:fldCharType="end"/>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8362"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新疆农业大学附属中学体育设备采购项目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SEQ 前附表 \* MERGEFORMAT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fldChar w:fldCharType="end"/>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质量要求</w:t>
            </w:r>
          </w:p>
        </w:tc>
        <w:tc>
          <w:tcPr>
            <w:tcW w:w="8362"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满足采购方规定的技术要求（详见第七章：货物技术规格、参数与要求，所有货物要求均以第七章内容为准）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SEQ 前附表 \* MERGEFORMAT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fldChar w:fldCharType="end"/>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采购内容</w:t>
            </w:r>
          </w:p>
        </w:tc>
        <w:tc>
          <w:tcPr>
            <w:tcW w:w="8362" w:type="dxa"/>
            <w:vAlign w:val="center"/>
          </w:tcPr>
          <w:p>
            <w:pP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采购中考体侧仪仪器设备。具体技术参数详见采购文件</w:t>
            </w:r>
            <w:r>
              <w:rPr>
                <w:rFonts w:hint="eastAsia" w:ascii="宋体" w:hAnsi="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SEQ 前附表 \* MERGEFORMAT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fldChar w:fldCharType="end"/>
            </w:r>
          </w:p>
        </w:tc>
        <w:tc>
          <w:tcPr>
            <w:tcW w:w="1344" w:type="dxa"/>
            <w:vAlign w:val="center"/>
          </w:tcPr>
          <w:p>
            <w:pPr>
              <w:rPr>
                <w:rFonts w:hint="eastAsia" w:ascii="宋体" w:hAnsi="宋体" w:cs="宋体"/>
                <w:color w:val="000000" w:themeColor="text1"/>
                <w:spacing w:val="-14"/>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采购金额</w:t>
            </w:r>
          </w:p>
        </w:tc>
        <w:tc>
          <w:tcPr>
            <w:tcW w:w="8362"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val="en-US" w:eastAsia="zh-CN"/>
                <w14:textFill>
                  <w14:solidFill>
                    <w14:schemeClr w14:val="tx1"/>
                  </w14:solidFill>
                </w14:textFill>
              </w:rPr>
              <w:t>20</w:t>
            </w:r>
            <w:r>
              <w:rPr>
                <w:rFonts w:hint="eastAsia" w:ascii="宋体" w:hAnsi="宋体" w:cs="宋体"/>
                <w:b/>
                <w:color w:val="000000" w:themeColor="text1"/>
                <w:kern w:val="0"/>
                <w:sz w:val="24"/>
                <w:szCs w:val="24"/>
                <w:highlight w:val="none"/>
                <w14:textFill>
                  <w14:solidFill>
                    <w14:schemeClr w14:val="tx1"/>
                  </w14:solidFill>
                </w14:textFill>
              </w:rPr>
              <w:t>万元</w:t>
            </w:r>
            <w:r>
              <w:rPr>
                <w:rFonts w:hint="eastAsia" w:ascii="宋体" w:hAnsi="宋体" w:cs="宋体"/>
                <w:color w:val="000000" w:themeColor="text1"/>
                <w:sz w:val="24"/>
                <w:szCs w:val="24"/>
                <w:highlight w:val="none"/>
                <w14:textFill>
                  <w14:solidFill>
                    <w14:schemeClr w14:val="tx1"/>
                  </w14:solidFill>
                </w14:textFill>
              </w:rPr>
              <w:t>（注：投标人总报价不得高于此金额，否则其投标文件作无效标处理。）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SEQ 前附表 \* MERGEFORMAT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fldChar w:fldCharType="end"/>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交货期及质保期</w:t>
            </w:r>
          </w:p>
        </w:tc>
        <w:tc>
          <w:tcPr>
            <w:tcW w:w="8362"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交货期：签订合同后</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天内完成本次招标设备的供货、安装、调试以及与之配套的辅助工作，交付采购人使用；</w:t>
            </w:r>
          </w:p>
          <w:p>
            <w:pPr>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质保期：从交付并验收合格之日起，质保期3年。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SEQ 前附表 \* MERGEFORMAT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fldChar w:fldCharType="end"/>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交货地点</w:t>
            </w:r>
          </w:p>
        </w:tc>
        <w:tc>
          <w:tcPr>
            <w:tcW w:w="8362"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新疆农业大学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采购方式</w:t>
            </w:r>
          </w:p>
        </w:tc>
        <w:tc>
          <w:tcPr>
            <w:tcW w:w="8362"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投标人必备资质</w:t>
            </w:r>
          </w:p>
        </w:tc>
        <w:tc>
          <w:tcPr>
            <w:tcW w:w="8362" w:type="dxa"/>
            <w:vAlign w:val="center"/>
          </w:tcPr>
          <w:p>
            <w:pPr>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1.满足《中华人民共和国政府采购法》第二十二条规定；</w:t>
            </w:r>
          </w:p>
          <w:p>
            <w:pPr>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2.落实政府采购政策需满足的资格要求：本项目专门面向中小企业。</w:t>
            </w:r>
          </w:p>
          <w:p>
            <w:pPr>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 xml:space="preserve">2.1 中小企业政策 </w:t>
            </w:r>
          </w:p>
          <w:p>
            <w:pPr>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 xml:space="preserve">□本项目不专门面向中小企业预留采购份额。 </w:t>
            </w:r>
          </w:p>
          <w:p>
            <w:pPr>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sym w:font="Wingdings 2" w:char="0052"/>
            </w:r>
            <w:r>
              <w:rPr>
                <w:rFonts w:hint="eastAsia" w:ascii="宋体" w:hAnsi="宋体" w:cs="宋体"/>
                <w:bCs/>
                <w:color w:val="000000" w:themeColor="text1"/>
                <w:kern w:val="0"/>
                <w:sz w:val="24"/>
                <w:szCs w:val="24"/>
                <w:highlight w:val="none"/>
                <w14:textFill>
                  <w14:solidFill>
                    <w14:schemeClr w14:val="tx1"/>
                  </w14:solidFill>
                </w14:textFill>
              </w:rPr>
              <w:t xml:space="preserve">本项目专门面向 </w:t>
            </w:r>
            <w:r>
              <w:rPr>
                <w:rFonts w:hint="eastAsia" w:ascii="宋体" w:hAnsi="宋体" w:cs="宋体"/>
                <w:bCs/>
                <w:color w:val="000000" w:themeColor="text1"/>
                <w:kern w:val="0"/>
                <w:sz w:val="24"/>
                <w:szCs w:val="24"/>
                <w:highlight w:val="none"/>
                <w14:textFill>
                  <w14:solidFill>
                    <w14:schemeClr w14:val="tx1"/>
                  </w14:solidFill>
                </w14:textFill>
              </w:rPr>
              <w:sym w:font="Wingdings 2" w:char="0052"/>
            </w:r>
            <w:r>
              <w:rPr>
                <w:rFonts w:hint="eastAsia" w:ascii="宋体" w:hAnsi="宋体" w:cs="宋体"/>
                <w:bCs/>
                <w:color w:val="000000" w:themeColor="text1"/>
                <w:kern w:val="0"/>
                <w:sz w:val="24"/>
                <w:szCs w:val="24"/>
                <w:highlight w:val="none"/>
                <w14:textFill>
                  <w14:solidFill>
                    <w14:schemeClr w14:val="tx1"/>
                  </w14:solidFill>
                </w14:textFill>
              </w:rPr>
              <w:t xml:space="preserve">中小 </w:t>
            </w:r>
            <w:r>
              <w:rPr>
                <w:rFonts w:hint="eastAsia" w:ascii="宋体" w:hAnsi="宋体" w:cs="宋体"/>
                <w:bCs/>
                <w:color w:val="000000" w:themeColor="text1"/>
                <w:kern w:val="0"/>
                <w:sz w:val="24"/>
                <w:szCs w:val="24"/>
                <w:highlight w:val="none"/>
                <w14:textFill>
                  <w14:solidFill>
                    <w14:schemeClr w14:val="tx1"/>
                  </w14:solidFill>
                </w14:textFill>
              </w:rPr>
              <w:sym w:font="Wingdings 2" w:char="00A3"/>
            </w:r>
            <w:r>
              <w:rPr>
                <w:rFonts w:hint="eastAsia" w:ascii="宋体" w:hAnsi="宋体" w:cs="宋体"/>
                <w:bCs/>
                <w:color w:val="000000" w:themeColor="text1"/>
                <w:kern w:val="0"/>
                <w:sz w:val="24"/>
                <w:szCs w:val="24"/>
                <w:highlight w:val="none"/>
                <w14:textFill>
                  <w14:solidFill>
                    <w14:schemeClr w14:val="tx1"/>
                  </w14:solidFill>
                </w14:textFill>
              </w:rPr>
              <w:t>小微企业  采购。即：提供的货物全部由符合政策要求的</w:t>
            </w:r>
            <w:r>
              <w:rPr>
                <w:rFonts w:hint="eastAsia" w:ascii="宋体" w:hAnsi="宋体" w:cs="宋体"/>
                <w:bCs/>
                <w:color w:val="000000" w:themeColor="text1"/>
                <w:kern w:val="0"/>
                <w:sz w:val="24"/>
                <w:szCs w:val="24"/>
                <w:highlight w:val="none"/>
                <w:lang w:val="en-US" w:eastAsia="zh-CN"/>
                <w14:textFill>
                  <w14:solidFill>
                    <w14:schemeClr w14:val="tx1"/>
                  </w14:solidFill>
                </w14:textFill>
              </w:rPr>
              <w:t>中小</w:t>
            </w:r>
            <w:r>
              <w:rPr>
                <w:rFonts w:hint="eastAsia" w:ascii="宋体" w:hAnsi="宋体" w:cs="宋体"/>
                <w:bCs/>
                <w:color w:val="000000" w:themeColor="text1"/>
                <w:kern w:val="0"/>
                <w:sz w:val="24"/>
                <w:szCs w:val="24"/>
                <w:highlight w:val="none"/>
                <w14:textFill>
                  <w14:solidFill>
                    <w14:schemeClr w14:val="tx1"/>
                  </w14:solidFill>
                </w14:textFill>
              </w:rPr>
              <w:t>企业制造、服务全部由符合政策要求的</w:t>
            </w:r>
            <w:r>
              <w:rPr>
                <w:rFonts w:hint="eastAsia" w:ascii="宋体" w:hAnsi="宋体" w:cs="宋体"/>
                <w:bCs/>
                <w:color w:val="000000" w:themeColor="text1"/>
                <w:kern w:val="0"/>
                <w:sz w:val="24"/>
                <w:szCs w:val="24"/>
                <w:highlight w:val="none"/>
                <w:lang w:val="en-US" w:eastAsia="zh-CN"/>
                <w14:textFill>
                  <w14:solidFill>
                    <w14:schemeClr w14:val="tx1"/>
                  </w14:solidFill>
                </w14:textFill>
              </w:rPr>
              <w:t>中小</w:t>
            </w:r>
            <w:r>
              <w:rPr>
                <w:rFonts w:hint="eastAsia" w:ascii="宋体" w:hAnsi="宋体" w:cs="宋体"/>
                <w:bCs/>
                <w:color w:val="000000" w:themeColor="text1"/>
                <w:kern w:val="0"/>
                <w:sz w:val="24"/>
                <w:szCs w:val="24"/>
                <w:highlight w:val="none"/>
                <w14:textFill>
                  <w14:solidFill>
                    <w14:schemeClr w14:val="tx1"/>
                  </w14:solidFill>
                </w14:textFill>
              </w:rPr>
              <w:t>企业承接。</w:t>
            </w:r>
          </w:p>
          <w:p>
            <w:pPr>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 xml:space="preserve">□本项目预留部分采购项目预算专门面向中小企业采购。对于预留份额，提供的货物由符合政策要求的中小企业制造、服务由符合政策要求的中小企业承接。预留份额通过以下措施进行：整体预留 。 </w:t>
            </w:r>
          </w:p>
          <w:p>
            <w:pPr>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2.2 其它落实政府采购政策的资格要求（如有）： 本项目专门面向小微企业采购，需提交相应的证明文件。中小企业划分标准所属行业为：</w:t>
            </w:r>
            <w:r>
              <w:rPr>
                <w:rFonts w:hint="eastAsia" w:ascii="宋体" w:hAnsi="宋体" w:cs="宋体"/>
                <w:bCs/>
                <w:color w:val="000000" w:themeColor="text1"/>
                <w:kern w:val="0"/>
                <w:sz w:val="24"/>
                <w:szCs w:val="24"/>
                <w:highlight w:val="none"/>
                <w:lang w:val="en-US" w:eastAsia="zh-CN"/>
                <w14:textFill>
                  <w14:solidFill>
                    <w14:schemeClr w14:val="tx1"/>
                  </w14:solidFill>
                </w14:textFill>
              </w:rPr>
              <w:t>工业</w:t>
            </w:r>
          </w:p>
          <w:p>
            <w:pPr>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3.本项目的特定资格要求：</w:t>
            </w:r>
          </w:p>
          <w:p>
            <w:pPr>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（1）供应商必须是在中华人民共和国境内注册具有有效的营业执照；有能力提供本项目所需货物及服务的投标人</w:t>
            </w:r>
          </w:p>
          <w:p>
            <w:pPr>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供应商在“信用中国”（www.creditchina.gov.cn）未被列入重大税收违法案件当事人名单、“中国执行信息公开网”（http://zxgk.court.gov.cn/）未被列入失信被执行人；“中国政府采购网”（www.ccgp.gov.cn）网站上未被列入政府采购严重违法失信行为记录名单。 </w:t>
            </w:r>
          </w:p>
          <w:p>
            <w:pP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3）单位负责人为同一人或者存在直接控股、管理关系的不同供应商，不得参加同一合同下的政府采购活动；除单一来源采购项目外，为采购项目提供整体设计、规范编制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1344" w:type="dxa"/>
            <w:vAlign w:val="center"/>
          </w:tcPr>
          <w:p>
            <w:pPr>
              <w:pStyle w:val="14"/>
              <w:ind w:left="38"/>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信用情况</w:t>
            </w:r>
          </w:p>
        </w:tc>
        <w:tc>
          <w:tcPr>
            <w:tcW w:w="8362" w:type="dxa"/>
            <w:vAlign w:val="center"/>
          </w:tcPr>
          <w:p>
            <w:pPr>
              <w:widowControl/>
              <w:jc w:val="left"/>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1、信用记录查询时间及方式：</w:t>
            </w:r>
          </w:p>
          <w:p>
            <w:pPr>
              <w:widowControl/>
              <w:jc w:val="left"/>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（1）查询时间：自招标公告发布日期起至开标日期止，超出此时间范围将被视为无效投标。</w:t>
            </w:r>
          </w:p>
          <w:p>
            <w:pPr>
              <w:widowControl/>
              <w:jc w:val="left"/>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（2）查询方式：投标人自行通过</w:t>
            </w:r>
            <w:r>
              <w:rPr>
                <w:rFonts w:hint="eastAsia" w:ascii="宋体" w:hAnsi="宋体" w:cs="宋体"/>
                <w:color w:val="000000" w:themeColor="text1"/>
                <w:kern w:val="0"/>
                <w:sz w:val="24"/>
                <w:szCs w:val="24"/>
                <w:highlight w:val="none"/>
                <w14:textFill>
                  <w14:solidFill>
                    <w14:schemeClr w14:val="tx1"/>
                  </w14:solidFill>
                </w14:textFill>
              </w:rPr>
              <w:t>中国裁判文书网、</w:t>
            </w:r>
            <w:r>
              <w:rPr>
                <w:rFonts w:hint="eastAsia" w:ascii="宋体" w:hAnsi="宋体" w:cs="宋体"/>
                <w:bCs/>
                <w:color w:val="000000" w:themeColor="text1"/>
                <w:kern w:val="0"/>
                <w:sz w:val="24"/>
                <w:szCs w:val="24"/>
                <w:highlight w:val="none"/>
                <w14:textFill>
                  <w14:solidFill>
                    <w14:schemeClr w14:val="tx1"/>
                  </w14:solidFill>
                </w14:textFill>
              </w:rPr>
              <w:t>“信用中国”及“中国政府采购网”查询，并按招标文件要求提供网页材料。被列入失信被执行人、重大税收违法案件当事人名单、政府采购严重违法失信行为记录名单及其他不符合《中华人民共和国政府采购法》第二十二条规定条件的投标人，其投标文件将被视为无效投标。</w:t>
            </w:r>
          </w:p>
          <w:p>
            <w:pPr>
              <w:widowControl/>
              <w:jc w:val="left"/>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（3）投标人参加政府采购活动时，应当就自己的诚信情况在响应性文件中进行承诺。</w:t>
            </w:r>
          </w:p>
          <w:p>
            <w:pPr>
              <w:widowControl/>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本项目不接受失信企业投标。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资格后审时间及地点</w:t>
            </w:r>
          </w:p>
        </w:tc>
        <w:tc>
          <w:tcPr>
            <w:tcW w:w="8362" w:type="dxa"/>
            <w:vAlign w:val="center"/>
          </w:tcPr>
          <w:p>
            <w:pP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时间：同开标</w:t>
            </w:r>
            <w:r>
              <w:rPr>
                <w:rFonts w:hint="eastAsia" w:ascii="宋体" w:hAnsi="宋体" w:cs="宋体"/>
                <w:bCs/>
                <w:color w:val="000000" w:themeColor="text1"/>
                <w:sz w:val="24"/>
                <w:szCs w:val="24"/>
                <w:highlight w:val="none"/>
                <w14:textFill>
                  <w14:solidFill>
                    <w14:schemeClr w14:val="tx1"/>
                  </w14:solidFill>
                </w14:textFill>
              </w:rPr>
              <w:t>时间</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地点</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同开标</w:t>
            </w:r>
            <w:r>
              <w:rPr>
                <w:rFonts w:hint="eastAsia" w:ascii="宋体" w:hAnsi="宋体" w:cs="宋体"/>
                <w:color w:val="000000" w:themeColor="text1"/>
                <w:kern w:val="0"/>
                <w:sz w:val="24"/>
                <w:szCs w:val="24"/>
                <w:highlight w:val="none"/>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资格审查形式</w:t>
            </w:r>
          </w:p>
        </w:tc>
        <w:tc>
          <w:tcPr>
            <w:tcW w:w="8362"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联合体协议</w:t>
            </w:r>
          </w:p>
        </w:tc>
        <w:tc>
          <w:tcPr>
            <w:tcW w:w="8362"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不接受联合体协议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w:t>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投标有效期</w:t>
            </w:r>
          </w:p>
        </w:tc>
        <w:tc>
          <w:tcPr>
            <w:tcW w:w="8362"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w:t>
            </w:r>
          </w:p>
        </w:tc>
        <w:tc>
          <w:tcPr>
            <w:tcW w:w="1344" w:type="dxa"/>
            <w:vAlign w:val="center"/>
          </w:tcPr>
          <w:p>
            <w:pPr>
              <w:rPr>
                <w:rFonts w:hint="eastAsia" w:ascii="宋体" w:hAnsi="宋体" w:cs="宋体"/>
                <w:color w:val="000000" w:themeColor="text1"/>
                <w:spacing w:val="-14"/>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投标保证金</w:t>
            </w:r>
          </w:p>
        </w:tc>
        <w:tc>
          <w:tcPr>
            <w:tcW w:w="8362" w:type="dxa"/>
            <w:vAlign w:val="center"/>
          </w:tcPr>
          <w:p>
            <w:pPr>
              <w:autoSpaceDE w:val="0"/>
              <w:autoSpaceDN w:val="0"/>
              <w:adjustRightInd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投标保证金金额为人民币：</w:t>
            </w:r>
            <w:r>
              <w:rPr>
                <w:rFonts w:hint="eastAsia" w:ascii="宋体" w:hAnsi="宋体" w:cs="宋体"/>
                <w:color w:val="000000" w:themeColor="text1"/>
                <w:sz w:val="24"/>
                <w:szCs w:val="24"/>
                <w:highlight w:val="none"/>
                <w:u w:val="single"/>
                <w:lang w:val="en-US" w:eastAsia="zh-CN"/>
                <w14:textFill>
                  <w14:solidFill>
                    <w14:schemeClr w14:val="tx1"/>
                  </w14:solidFill>
                </w14:textFill>
              </w:rPr>
              <w:t>4000</w:t>
            </w:r>
            <w:r>
              <w:rPr>
                <w:rFonts w:hint="eastAsia" w:ascii="宋体" w:hAnsi="宋体" w:cs="宋体"/>
                <w:color w:val="000000" w:themeColor="text1"/>
                <w:sz w:val="24"/>
                <w:szCs w:val="24"/>
                <w:highlight w:val="none"/>
                <w:u w:val="single"/>
                <w14:textFill>
                  <w14:solidFill>
                    <w14:schemeClr w14:val="tx1"/>
                  </w14:solidFill>
                </w14:textFill>
              </w:rPr>
              <w:t>.00元整</w:t>
            </w:r>
          </w:p>
          <w:p>
            <w:pPr>
              <w:pStyle w:val="49"/>
              <w:spacing w:line="240" w:lineRule="auto"/>
              <w:ind w:firstLine="0" w:firstLineChars="0"/>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投标保证金必须在开标之前，以支票、汇票、本票或者金融机构、担保机构出具的保函等非现金形式提交（推荐使用保函）。</w:t>
            </w:r>
          </w:p>
          <w:p>
            <w:pPr>
              <w:pStyle w:val="49"/>
              <w:spacing w:line="240" w:lineRule="auto"/>
              <w:ind w:firstLine="0" w:firstLineChars="0"/>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银行信息：</w:t>
            </w:r>
          </w:p>
          <w:p>
            <w:pPr>
              <w:pStyle w:val="49"/>
              <w:spacing w:line="240" w:lineRule="auto"/>
              <w:ind w:firstLine="0" w:firstLineChars="0"/>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账户名称：新疆宏力源工程项目管理有限公司</w:t>
            </w:r>
          </w:p>
          <w:p>
            <w:pPr>
              <w:pStyle w:val="49"/>
              <w:spacing w:line="240" w:lineRule="auto"/>
              <w:ind w:firstLine="0" w:firstLineChars="0"/>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开户行：农行乌鲁木齐经济技术开发区支行</w:t>
            </w:r>
          </w:p>
          <w:p>
            <w:pPr>
              <w:pStyle w:val="49"/>
              <w:spacing w:line="240" w:lineRule="auto"/>
              <w:ind w:firstLine="0" w:firstLineChars="0"/>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开户行行号：103881001085</w:t>
            </w:r>
          </w:p>
          <w:p>
            <w:pPr>
              <w:pStyle w:val="49"/>
              <w:spacing w:line="240" w:lineRule="auto"/>
              <w:ind w:firstLine="0" w:firstLineChars="0"/>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账号：30010801040011925</w:t>
            </w:r>
          </w:p>
          <w:p>
            <w:pPr>
              <w:pStyle w:val="49"/>
              <w:spacing w:line="240" w:lineRule="auto"/>
              <w:ind w:firstLine="0" w:firstLineChars="0"/>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备注：1、汇款时请备注项目简称、标段号及汇款事由</w:t>
            </w:r>
          </w:p>
          <w:p>
            <w:pPr>
              <w:pStyle w:val="49"/>
              <w:spacing w:line="240" w:lineRule="auto"/>
              <w:ind w:firstLine="0" w:firstLineChars="0"/>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投标保证金退还：除招标文件规定不予退还投标保证金情形外，投标人投标保证按以下流程退还：未中标投标人的投标保证金可在公示期结束后5个工作日内退还；中标人的投标保证金在中标人与采购人签订供货合同，并提交履约保证金（若需要）和支付招标代理服务费后，凭合同原件办理退还手续，提交资料（开户信息、汇款凭证及供货合同）后5个工作日内退还。所有退保证金的单位均需提供以下资料：</w:t>
            </w:r>
          </w:p>
          <w:p>
            <w:pPr>
              <w:pStyle w:val="49"/>
              <w:spacing w:line="240" w:lineRule="auto"/>
              <w:ind w:firstLine="0" w:firstLineChars="0"/>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1）打印并加盖供应商公章的账户信息：行名、行号、户名、账号；</w:t>
            </w:r>
          </w:p>
          <w:p>
            <w:pPr>
              <w:pStyle w:val="49"/>
              <w:spacing w:line="240" w:lineRule="auto"/>
              <w:ind w:firstLine="0" w:firstLineChars="0"/>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2）加盖投标人财务公章的第二联复写收据原件，收据中需写明项目名称及项目编号、金额等信息。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c>
          <w:tcPr>
            <w:tcW w:w="1344" w:type="dxa"/>
            <w:vAlign w:val="center"/>
          </w:tcPr>
          <w:p>
            <w:pPr>
              <w:rPr>
                <w:rFonts w:hint="eastAsia" w:ascii="宋体" w:hAnsi="宋体" w:cs="宋体"/>
                <w:color w:val="000000" w:themeColor="text1"/>
                <w:spacing w:val="-14"/>
                <w:sz w:val="24"/>
                <w:szCs w:val="24"/>
                <w:highlight w:val="none"/>
                <w14:textFill>
                  <w14:solidFill>
                    <w14:schemeClr w14:val="tx1"/>
                  </w14:solidFill>
                </w14:textFill>
              </w:rPr>
            </w:pPr>
            <w:r>
              <w:rPr>
                <w:rFonts w:hint="eastAsia" w:ascii="宋体" w:hAnsi="宋体" w:cs="宋体"/>
                <w:color w:val="000000" w:themeColor="text1"/>
                <w:spacing w:val="-14"/>
                <w:sz w:val="24"/>
                <w:szCs w:val="24"/>
                <w:highlight w:val="none"/>
                <w14:textFill>
                  <w14:solidFill>
                    <w14:schemeClr w14:val="tx1"/>
                  </w14:solidFill>
                </w14:textFill>
              </w:rPr>
              <w:t>招标文件发售时间及地点</w:t>
            </w:r>
          </w:p>
        </w:tc>
        <w:tc>
          <w:tcPr>
            <w:tcW w:w="8362" w:type="dxa"/>
            <w:vAlign w:val="center"/>
          </w:tcPr>
          <w:p>
            <w:pPr>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时间：2025年0</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cs="宋体"/>
                <w:color w:val="000000" w:themeColor="text1"/>
                <w:kern w:val="0"/>
                <w:sz w:val="24"/>
                <w:szCs w:val="24"/>
                <w:highlight w:val="none"/>
                <w14:textFill>
                  <w14:solidFill>
                    <w14:schemeClr w14:val="tx1"/>
                  </w14:solidFill>
                </w14:textFill>
              </w:rPr>
              <w:t>日 至2025年0</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27</w:t>
            </w:r>
            <w:r>
              <w:rPr>
                <w:rFonts w:hint="eastAsia" w:ascii="宋体" w:hAnsi="宋体" w:cs="宋体"/>
                <w:color w:val="000000" w:themeColor="text1"/>
                <w:kern w:val="0"/>
                <w:sz w:val="24"/>
                <w:szCs w:val="24"/>
                <w:highlight w:val="none"/>
                <w14:textFill>
                  <w14:solidFill>
                    <w14:schemeClr w14:val="tx1"/>
                  </w14:solidFill>
                </w14:textFill>
              </w:rPr>
              <w:t>日  （</w:t>
            </w:r>
            <w:r>
              <w:rPr>
                <w:rFonts w:hint="eastAsia" w:ascii="宋体" w:hAnsi="宋体" w:cs="宋体"/>
                <w:color w:val="000000" w:themeColor="text1"/>
                <w:sz w:val="24"/>
                <w:szCs w:val="24"/>
                <w:highlight w:val="none"/>
                <w:shd w:val="clear" w:color="auto" w:fill="FFFFFF"/>
                <w14:textFill>
                  <w14:solidFill>
                    <w14:schemeClr w14:val="tx1"/>
                  </w14:solidFill>
                </w14:textFill>
              </w:rPr>
              <w:t>每天上午00:00至14:00，下午14:00至23:59</w:t>
            </w:r>
            <w:r>
              <w:rPr>
                <w:rFonts w:hint="eastAsia" w:ascii="宋体" w:hAnsi="宋体" w:cs="宋体"/>
                <w:color w:val="000000" w:themeColor="text1"/>
                <w:kern w:val="0"/>
                <w:sz w:val="24"/>
                <w:szCs w:val="24"/>
                <w:highlight w:val="none"/>
                <w14:textFill>
                  <w14:solidFill>
                    <w14:schemeClr w14:val="tx1"/>
                  </w14:solidFill>
                </w14:textFill>
              </w:rPr>
              <w:t>）</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地点：网上获取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6"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w:t>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14"/>
                <w:sz w:val="24"/>
                <w:szCs w:val="24"/>
                <w:highlight w:val="none"/>
                <w14:textFill>
                  <w14:solidFill>
                    <w14:schemeClr w14:val="tx1"/>
                  </w14:solidFill>
                </w14:textFill>
              </w:rPr>
              <w:t>招标文件</w:t>
            </w:r>
            <w:r>
              <w:rPr>
                <w:rFonts w:hint="eastAsia" w:ascii="宋体" w:hAnsi="宋体" w:cs="宋体"/>
                <w:color w:val="000000" w:themeColor="text1"/>
                <w:sz w:val="24"/>
                <w:szCs w:val="24"/>
                <w:highlight w:val="none"/>
                <w14:textFill>
                  <w14:solidFill>
                    <w14:schemeClr w14:val="tx1"/>
                  </w14:solidFill>
                </w14:textFill>
              </w:rPr>
              <w:t>份数</w:t>
            </w:r>
          </w:p>
        </w:tc>
        <w:tc>
          <w:tcPr>
            <w:tcW w:w="8362" w:type="dxa"/>
            <w:vAlign w:val="center"/>
          </w:tcPr>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□采用见面开标（非电子标）：</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投标文件包括：</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1、投标文件包含：</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1.1.投标文件：正本一份、副本三份</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 xml:space="preserve">1.2.开标一览表一份（单独密封） </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 xml:space="preserve">1.3.投标保证金缴纳凭证（收据或网上银行汇款凭证）一份 </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1.4.投标文件电子文档（光碟、u 盘各一份，概不退还），电子文档要求为加盖公章的正本 PDF 格式扫描件。</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2、投标文件密封</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投标文件分为开标一览表信封、投标文件电子版信封和投标文件袋，密封内容必须包括下列内容：</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2.1.开标一览表信封(以包为单位分开制作)</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 开标一览表；</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 投标保证金支付的凭证(收据或网上银行汇款凭证)；</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2.2投标文件电子版信封（U盘、光盘各一份）</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（1）开标一览表电子版、明细报价表（Excel）</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（2）投标文件电子版（正本加盖公章后的扫描件PDF）</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2.3.投标文件袋（正、副本密封在一个密封袋中）</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2.4.投标文件及“开标一览表”按招标文件要求制作并密封提交。否则其投标被拒绝。</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☑采用不见面开标（电子标）：</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本项目采用不见面开标</w:t>
            </w:r>
          </w:p>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投标文件制作完成并生成加密标书，在开标前，供应商需将加密的投标文件上传至政采云平台,到达开标时间后,解密投标文件。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w:t>
            </w:r>
          </w:p>
        </w:tc>
        <w:tc>
          <w:tcPr>
            <w:tcW w:w="1344" w:type="dxa"/>
            <w:vAlign w:val="center"/>
          </w:tcPr>
          <w:p>
            <w:pPr>
              <w:rPr>
                <w:rFonts w:hint="eastAsia" w:ascii="宋体" w:hAnsi="宋体" w:cs="宋体"/>
                <w:color w:val="000000" w:themeColor="text1"/>
                <w:spacing w:val="-14"/>
                <w:sz w:val="24"/>
                <w:szCs w:val="24"/>
                <w:highlight w:val="none"/>
                <w14:textFill>
                  <w14:solidFill>
                    <w14:schemeClr w14:val="tx1"/>
                  </w14:solidFill>
                </w14:textFill>
              </w:rPr>
            </w:pPr>
            <w:r>
              <w:rPr>
                <w:rFonts w:hint="eastAsia" w:ascii="宋体" w:hAnsi="宋体" w:cs="宋体"/>
                <w:color w:val="000000" w:themeColor="text1"/>
                <w:spacing w:val="-14"/>
                <w:sz w:val="24"/>
                <w:szCs w:val="24"/>
                <w:highlight w:val="none"/>
                <w14:textFill>
                  <w14:solidFill>
                    <w14:schemeClr w14:val="tx1"/>
                  </w14:solidFill>
                </w14:textFill>
              </w:rPr>
              <w:t>答疑、澄清</w:t>
            </w:r>
          </w:p>
        </w:tc>
        <w:tc>
          <w:tcPr>
            <w:tcW w:w="8362" w:type="dxa"/>
            <w:vAlign w:val="center"/>
          </w:tcPr>
          <w:p>
            <w:pP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投标人如发现招标文件及其评标办法中存在含糊不清、相互矛盾、多种含义以及歧视性不公正条款或违法违规等有疑点要求澄清的，可以自收到采购文件之日（发售截止日之后收到采购文件的，以发售截止日为准）或者采购文件公告期限届满之日（即为招标公告发布后的第6个工作日）起7个工作日内18：00时前，以书面形式向采购人和采购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w:t>
            </w:r>
          </w:p>
        </w:tc>
        <w:tc>
          <w:tcPr>
            <w:tcW w:w="1344" w:type="dxa"/>
            <w:vAlign w:val="center"/>
          </w:tcPr>
          <w:p>
            <w:pPr>
              <w:rPr>
                <w:rFonts w:hint="eastAsia" w:ascii="宋体" w:hAnsi="宋体" w:cs="宋体"/>
                <w:color w:val="000000" w:themeColor="text1"/>
                <w:spacing w:val="-14"/>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关于样品</w:t>
            </w:r>
          </w:p>
        </w:tc>
        <w:tc>
          <w:tcPr>
            <w:tcW w:w="8362"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本项目无需提供样品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w:t>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关于进口产品的要求</w:t>
            </w:r>
          </w:p>
        </w:tc>
        <w:tc>
          <w:tcPr>
            <w:tcW w:w="8362"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是否允许采购进口产品：招标文件采购需求未明确标注采购进口产品的，拒绝进口产品参加。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w:t>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核心产品</w:t>
            </w:r>
          </w:p>
        </w:tc>
        <w:tc>
          <w:tcPr>
            <w:tcW w:w="8362" w:type="dxa"/>
            <w:vAlign w:val="center"/>
          </w:tcPr>
          <w:p>
            <w:pPr>
              <w:pStyle w:val="54"/>
              <w:spacing w:before="72" w:line="183"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中长跑跑步测试仪（20人测）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w:t>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投标文件密封及签署</w:t>
            </w:r>
          </w:p>
        </w:tc>
        <w:tc>
          <w:tcPr>
            <w:tcW w:w="8362"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□采用见面开标（非电子标）：</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1.投标文件的页面必须用印刷体打印。</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2.投标文件应清楚工整，一般不准修改。个别非实质性修改之处必须由投标人的法定代表人（负责人）或经其正式授权的代表在修改的每一页上签字或盖投标单位公章后才有效。</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3.投标文件应由法定代表人或法人授权代表在规定的签章处逐一签署或加盖单位公章或法人章，投标文件方为有效。</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4.投标文件正本需逐页加盖公章，在招标文件格式规定处签署，并编好始末页码,如不按要求签署编制的，其投标文件无效。</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☑采用不见面开标（电子标）：</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本项目采用电子标方式投标，投标人需在招标文件格式规定处签署电子章，并编好始末页码,否则投标文件将被视为无效标。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w:t>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投标文件递交截止时间及地点</w:t>
            </w:r>
          </w:p>
        </w:tc>
        <w:tc>
          <w:tcPr>
            <w:tcW w:w="8362" w:type="dxa"/>
            <w:vAlign w:val="center"/>
          </w:tcPr>
          <w:p>
            <w:pP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时间：2025年0</w:t>
            </w: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11</w:t>
            </w:r>
            <w:r>
              <w:rPr>
                <w:rFonts w:hint="eastAsia" w:ascii="宋体" w:hAnsi="宋体" w:cs="宋体"/>
                <w:bCs/>
                <w:color w:val="000000" w:themeColor="text1"/>
                <w:sz w:val="24"/>
                <w:szCs w:val="24"/>
                <w:highlight w:val="none"/>
                <w14:textFill>
                  <w14:solidFill>
                    <w14:schemeClr w14:val="tx1"/>
                  </w14:solidFill>
                </w14:textFill>
              </w:rPr>
              <w:t>日11点00分 （北京时间）</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地点：政采云平台https://www.zcygov.cn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w:t>
            </w:r>
          </w:p>
        </w:tc>
        <w:tc>
          <w:tcPr>
            <w:tcW w:w="1344" w:type="dxa"/>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开标时间及</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开标地点</w:t>
            </w:r>
          </w:p>
        </w:tc>
        <w:tc>
          <w:tcPr>
            <w:tcW w:w="8362" w:type="dxa"/>
            <w:vAlign w:val="center"/>
          </w:tcPr>
          <w:p>
            <w:pP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时间：202</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cs="宋体"/>
                <w:bCs/>
                <w:color w:val="000000" w:themeColor="text1"/>
                <w:sz w:val="24"/>
                <w:szCs w:val="24"/>
                <w:highlight w:val="none"/>
                <w14:textFill>
                  <w14:solidFill>
                    <w14:schemeClr w14:val="tx1"/>
                  </w14:solidFill>
                </w14:textFill>
              </w:rPr>
              <w:t>年0</w:t>
            </w: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11</w:t>
            </w:r>
            <w:r>
              <w:rPr>
                <w:rFonts w:hint="eastAsia" w:ascii="宋体" w:hAnsi="宋体" w:cs="宋体"/>
                <w:bCs/>
                <w:color w:val="000000" w:themeColor="text1"/>
                <w:sz w:val="24"/>
                <w:szCs w:val="24"/>
                <w:highlight w:val="none"/>
                <w14:textFill>
                  <w14:solidFill>
                    <w14:schemeClr w14:val="tx1"/>
                  </w14:solidFill>
                </w14:textFill>
              </w:rPr>
              <w:t>日11点00分 （北京时间）</w:t>
            </w:r>
          </w:p>
          <w:p>
            <w:pP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地点：政采云平台https://www.zcygov.cn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13"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w:t>
            </w:r>
          </w:p>
        </w:tc>
        <w:tc>
          <w:tcPr>
            <w:tcW w:w="13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评标方法</w:t>
            </w:r>
          </w:p>
        </w:tc>
        <w:tc>
          <w:tcPr>
            <w:tcW w:w="8362" w:type="dxa"/>
            <w:tcBorders>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13"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w:t>
            </w:r>
          </w:p>
        </w:tc>
        <w:tc>
          <w:tcPr>
            <w:tcW w:w="13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推荐中标候选投标人的数量</w:t>
            </w:r>
          </w:p>
        </w:tc>
        <w:tc>
          <w:tcPr>
            <w:tcW w:w="8362" w:type="dxa"/>
            <w:tcBorders>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13"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w:t>
            </w:r>
          </w:p>
        </w:tc>
        <w:tc>
          <w:tcPr>
            <w:tcW w:w="13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招标人是否委托评标委员会直接确定中标人</w:t>
            </w:r>
          </w:p>
        </w:tc>
        <w:tc>
          <w:tcPr>
            <w:tcW w:w="8362" w:type="dxa"/>
            <w:tcBorders>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w:t>
            </w:r>
          </w:p>
        </w:tc>
        <w:tc>
          <w:tcPr>
            <w:tcW w:w="13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履约担保金额</w:t>
            </w:r>
          </w:p>
        </w:tc>
        <w:tc>
          <w:tcPr>
            <w:tcW w:w="8362" w:type="dxa"/>
            <w:tcBorders>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合同总金额的10%。</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履约保证金形式：从货物价款中扣除，质保期满无质量问题，由采购人一次性退回。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w:t>
            </w:r>
          </w:p>
        </w:tc>
        <w:tc>
          <w:tcPr>
            <w:tcW w:w="13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pacing w:val="-14"/>
                <w:sz w:val="24"/>
                <w:szCs w:val="24"/>
                <w:highlight w:val="none"/>
                <w14:textFill>
                  <w14:solidFill>
                    <w14:schemeClr w14:val="tx1"/>
                  </w14:solidFill>
                </w14:textFill>
              </w:rPr>
            </w:pPr>
            <w:r>
              <w:rPr>
                <w:rFonts w:hint="eastAsia" w:ascii="宋体" w:hAnsi="宋体" w:cs="宋体"/>
                <w:color w:val="000000" w:themeColor="text1"/>
                <w:spacing w:val="-14"/>
                <w:sz w:val="24"/>
                <w:szCs w:val="24"/>
                <w:highlight w:val="none"/>
                <w14:textFill>
                  <w14:solidFill>
                    <w14:schemeClr w14:val="tx1"/>
                  </w14:solidFill>
                </w14:textFill>
              </w:rPr>
              <w:t>付款方式</w:t>
            </w:r>
          </w:p>
        </w:tc>
        <w:tc>
          <w:tcPr>
            <w:tcW w:w="83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合同签订后，所供货物到现场，安装调试完毕后支付至合同价款的90%，验收合格后支付至合同价款的97%，所供货物在验收合格之日起使用1年经验收无质量问题，移交所有验收资料后支付3%。</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（注：必须响应，否则视为无效标）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w:t>
            </w:r>
          </w:p>
          <w:p>
            <w:pPr>
              <w:jc w:val="center"/>
              <w:rPr>
                <w:rFonts w:hint="eastAsia" w:ascii="宋体" w:hAnsi="宋体" w:cs="宋体"/>
                <w:color w:val="000000" w:themeColor="text1"/>
                <w:sz w:val="24"/>
                <w:szCs w:val="24"/>
                <w:highlight w:val="none"/>
                <w14:textFill>
                  <w14:solidFill>
                    <w14:schemeClr w14:val="tx1"/>
                  </w14:solidFill>
                </w14:textFill>
              </w:rPr>
            </w:pPr>
          </w:p>
        </w:tc>
        <w:tc>
          <w:tcPr>
            <w:tcW w:w="13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联系方式</w:t>
            </w:r>
          </w:p>
        </w:tc>
        <w:tc>
          <w:tcPr>
            <w:tcW w:w="83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采购人：新疆农业大学</w:t>
            </w:r>
          </w:p>
          <w:p>
            <w:pPr>
              <w:widowControl/>
              <w:spacing w:line="300" w:lineRule="exact"/>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采购人地址：乌市农大东路311号</w:t>
            </w:r>
          </w:p>
          <w:p>
            <w:pPr>
              <w:widowControl/>
              <w:spacing w:line="300" w:lineRule="exact"/>
              <w:jc w:val="left"/>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联系人：</w:t>
            </w:r>
            <w:r>
              <w:rPr>
                <w:rFonts w:hint="eastAsia" w:ascii="宋体" w:hAnsi="宋体" w:cs="宋体"/>
                <w:color w:val="000000" w:themeColor="text1"/>
                <w:kern w:val="0"/>
                <w:sz w:val="24"/>
                <w:szCs w:val="24"/>
                <w:highlight w:val="none"/>
                <w:lang w:val="en-US" w:eastAsia="zh-CN"/>
                <w14:textFill>
                  <w14:solidFill>
                    <w14:schemeClr w14:val="tx1"/>
                  </w14:solidFill>
                </w14:textFill>
              </w:rPr>
              <w:t>张老师</w:t>
            </w:r>
            <w:r>
              <w:rPr>
                <w:rFonts w:hint="eastAsia" w:ascii="宋体" w:hAnsi="宋体" w:cs="宋体"/>
                <w:color w:val="000000" w:themeColor="text1"/>
                <w:kern w:val="0"/>
                <w:sz w:val="24"/>
                <w:szCs w:val="24"/>
                <w:highlight w:val="none"/>
                <w14:textFill>
                  <w14:solidFill>
                    <w14:schemeClr w14:val="tx1"/>
                  </w14:solidFill>
                </w14:textFill>
              </w:rPr>
              <w:t xml:space="preserve">    联系电话：</w:t>
            </w:r>
            <w:r>
              <w:rPr>
                <w:rFonts w:hint="eastAsia" w:ascii="宋体" w:hAnsi="宋体" w:cs="宋体"/>
                <w:color w:val="000000" w:themeColor="text1"/>
                <w:kern w:val="0"/>
                <w:sz w:val="24"/>
                <w:szCs w:val="24"/>
                <w:highlight w:val="none"/>
                <w:lang w:val="en-US" w:eastAsia="zh-CN"/>
                <w14:textFill>
                  <w14:solidFill>
                    <w14:schemeClr w14:val="tx1"/>
                  </w14:solidFill>
                </w14:textFill>
              </w:rPr>
              <w:t>13899967763</w:t>
            </w:r>
          </w:p>
          <w:p>
            <w:pPr>
              <w:widowControl/>
              <w:spacing w:line="300" w:lineRule="exact"/>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代理机构名称：新疆宏力源工程项目管理有限公司</w:t>
            </w:r>
          </w:p>
          <w:p>
            <w:pPr>
              <w:widowControl/>
              <w:spacing w:line="300" w:lineRule="exact"/>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单位地址：</w:t>
            </w:r>
            <w:r>
              <w:rPr>
                <w:rFonts w:hint="eastAsia" w:ascii="宋体" w:hAnsi="宋体" w:cs="宋体"/>
                <w:color w:val="000000" w:themeColor="text1"/>
                <w:sz w:val="24"/>
                <w:szCs w:val="24"/>
                <w:highlight w:val="none"/>
                <w14:textFill>
                  <w14:solidFill>
                    <w14:schemeClr w14:val="tx1"/>
                  </w14:solidFill>
                </w14:textFill>
              </w:rPr>
              <w:t>新疆乌鲁木齐高新区（新市区）四平路266号科创花苑B3办公1501</w:t>
            </w:r>
          </w:p>
          <w:p>
            <w:pPr>
              <w:widowControl/>
              <w:spacing w:line="300" w:lineRule="exact"/>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联系人： 李工        联系电话：13579862091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p>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30</w:t>
            </w:r>
          </w:p>
        </w:tc>
        <w:tc>
          <w:tcPr>
            <w:tcW w:w="13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招标代理服务费</w:t>
            </w:r>
          </w:p>
        </w:tc>
        <w:tc>
          <w:tcPr>
            <w:tcW w:w="83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参照原国家计委计价格【2002】1980 号文的计算方法收取，</w:t>
            </w:r>
            <w:bookmarkStart w:id="145" w:name="_GoBack"/>
            <w:bookmarkEnd w:id="145"/>
            <w:r>
              <w:rPr>
                <w:rFonts w:hint="eastAsia" w:ascii="宋体" w:hAnsi="宋体" w:cs="宋体"/>
                <w:color w:val="000000" w:themeColor="text1"/>
                <w:sz w:val="24"/>
                <w:szCs w:val="24"/>
                <w:highlight w:val="none"/>
                <w:lang w:val="en-US" w:eastAsia="zh-CN"/>
                <w14:textFill>
                  <w14:solidFill>
                    <w14:schemeClr w14:val="tx1"/>
                  </w14:solidFill>
                </w14:textFill>
              </w:rPr>
              <w:t>不足三千按三千计取</w:t>
            </w:r>
            <w:r>
              <w:rPr>
                <w:rFonts w:hint="eastAsia" w:ascii="宋体" w:hAnsi="宋体" w:cs="宋体"/>
                <w:color w:val="000000" w:themeColor="text1"/>
                <w:sz w:val="24"/>
                <w:szCs w:val="24"/>
                <w:highlight w:val="none"/>
                <w14:textFill>
                  <w14:solidFill>
                    <w14:schemeClr w14:val="tx1"/>
                  </w14:solidFill>
                </w14:textFill>
              </w:rPr>
              <w:t>由中标人在领取中标通知书前缴纳</w:t>
            </w:r>
            <w:r>
              <w:rPr>
                <w:rFonts w:hint="eastAsia" w:ascii="宋体" w:hAnsi="宋体" w:cs="宋体"/>
                <w:color w:val="000000" w:themeColor="text1"/>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13"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w:t>
            </w:r>
          </w:p>
        </w:tc>
        <w:tc>
          <w:tcPr>
            <w:tcW w:w="1344"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关于同一品牌</w:t>
            </w:r>
          </w:p>
        </w:tc>
        <w:tc>
          <w:tcPr>
            <w:tcW w:w="8362"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《政府采购货物和服务招标投标管理办法》第31条：</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使用综合评分法的采购项目，提供相同品牌产品且通过资格审查、符合性审查的不同投标人参加同一合同项下投标的，按一家投标人计算，评审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713"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344"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8362"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本项目规定：   </w:t>
            </w:r>
          </w:p>
          <w:p>
            <w:pPr>
              <w:spacing w:line="276"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若得分相同，按报价由低到高顺序排序；</w:t>
            </w:r>
          </w:p>
          <w:p>
            <w:pPr>
              <w:numPr>
                <w:ilvl w:val="0"/>
                <w:numId w:val="4"/>
              </w:numPr>
              <w:spacing w:line="276"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若得分相同、报价相同，按技术得分由高到低顺序排序；</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若得分相同、报价相同且技术得分相同，评委会全体成员进行投票，以少数服从多数的方法进行确定。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w:t>
            </w:r>
          </w:p>
        </w:tc>
        <w:tc>
          <w:tcPr>
            <w:tcW w:w="134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低于成本价不正当竞争预防措施</w:t>
            </w:r>
          </w:p>
        </w:tc>
        <w:tc>
          <w:tcPr>
            <w:tcW w:w="83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w:t>
            </w: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政府采购政策支持</w:t>
            </w:r>
          </w:p>
        </w:tc>
        <w:tc>
          <w:tcPr>
            <w:tcW w:w="8362"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非专门面向中小企业（含中型、小型、微型企业）采购项目，根据《关于落实好政府采购支持中小企业发展的通知》新财购【2022】22号文的相关规定，对小微企业报价给予10%的扣除，监狱企业、残疾人福利性单位视同为小微企业。</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落实其他政府采购政策条款：详见中华人民共和国财政部、中华人民共和国工业和信息化部《政府采购促进中小企业发展管理办法》（财库﹝2020﹞46号）文件、工业和信息化部、国家统计局、发展改革委、财政部《中小企业划型标准规定》（工信部联企业〔2011〕300号）、《关于落实好政府采购支持中小企业发展的通知》新财购【2022】22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w:t>
            </w:r>
          </w:p>
        </w:tc>
        <w:tc>
          <w:tcPr>
            <w:tcW w:w="13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所属行业</w:t>
            </w:r>
          </w:p>
        </w:tc>
        <w:tc>
          <w:tcPr>
            <w:tcW w:w="836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根据关于落实好政府采购支持中小企业发展的通知新财购【2022】22号文及《国民经济行业分类》的相关规定，本项目所属行业为</w:t>
            </w:r>
            <w:r>
              <w:rPr>
                <w:rFonts w:hint="eastAsia" w:ascii="宋体" w:hAnsi="宋体" w:cs="宋体"/>
                <w:color w:val="000000" w:themeColor="text1"/>
                <w:kern w:val="0"/>
                <w:sz w:val="24"/>
                <w:szCs w:val="24"/>
                <w:highlight w:val="none"/>
                <w:u w:val="single"/>
                <w14:textFill>
                  <w14:solidFill>
                    <w14:schemeClr w14:val="tx1"/>
                  </w14:solidFill>
                </w14:textFill>
              </w:rPr>
              <w:t>工业</w:t>
            </w:r>
            <w:r>
              <w:rPr>
                <w:rFonts w:hint="eastAsia" w:ascii="宋体" w:hAnsi="宋体" w:cs="宋体"/>
                <w:bCs/>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3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资格审查</w:t>
            </w:r>
          </w:p>
        </w:tc>
        <w:tc>
          <w:tcPr>
            <w:tcW w:w="836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资格证明材料资料扫描为原件扫描件，随投标文件一起上传。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1041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p>
            <w:pPr>
              <w:numPr>
                <w:ilvl w:val="0"/>
                <w:numId w:val="5"/>
              </w:numP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招标文件中部分加“*”、加粗、加下划线、废标、无效标、投标被拒绝字样的条款，为招标的实质性要求和条件，着重提醒各投标人注意，并认真查看招标文件中的每一个条款及要求，因误读招标文件而造成的后果，采购人概不负责。</w:t>
            </w:r>
          </w:p>
          <w:p>
            <w:pPr>
              <w:numPr>
                <w:ilvl w:val="0"/>
                <w:numId w:val="5"/>
              </w:numP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投标文件中有弄虚作假的内容，其投标文件作废。（如假证书、假业绩、隐瞒不良行为记录、夸大荣誉、使用非本单位在职员工的相关证件及不符合招标文件规定的条款等）；在签订合同之前，采购人如发现投标人的投标文件有弄虚作假内容，采购人可拒绝与其签订合同。并将其列入政府采购黑名单库，并追究其法律责任。</w:t>
            </w:r>
          </w:p>
          <w:p>
            <w:pPr>
              <w:numPr>
                <w:ilvl w:val="0"/>
                <w:numId w:val="5"/>
              </w:numP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pPr>
              <w:numPr>
                <w:ilvl w:val="0"/>
                <w:numId w:val="5"/>
              </w:numP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潜在投标人在开标前如不购买本项目招标文件，将不受理其投标文件。</w:t>
            </w:r>
          </w:p>
          <w:p>
            <w:pPr>
              <w:numPr>
                <w:ilvl w:val="0"/>
                <w:numId w:val="5"/>
              </w:numP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本表内容与招标文件其它内容不一致的，应当以本表内容为准。</w:t>
            </w:r>
          </w:p>
          <w:p>
            <w:pPr>
              <w:numPr>
                <w:ilvl w:val="0"/>
                <w:numId w:val="5"/>
              </w:num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3、本表中“</w:t>
            </w:r>
            <w:r>
              <w:rPr>
                <w:rFonts w:hint="eastAsia" w:ascii="宋体" w:hAnsi="宋体" w:cs="宋体"/>
                <w:b/>
                <w:color w:val="000000" w:themeColor="text1"/>
                <w:sz w:val="24"/>
                <w:szCs w:val="24"/>
                <w:highlight w:val="none"/>
                <w14:textFill>
                  <w14:solidFill>
                    <w14:schemeClr w14:val="tx1"/>
                  </w14:solidFill>
                </w14:textFill>
              </w:rPr>
              <w:fldChar w:fldCharType="begin"/>
            </w:r>
            <w:r>
              <w:rPr>
                <w:rFonts w:hint="eastAsia" w:ascii="宋体" w:hAnsi="宋体" w:cs="宋体"/>
                <w:b/>
                <w:color w:val="000000" w:themeColor="text1"/>
                <w:sz w:val="24"/>
                <w:szCs w:val="24"/>
                <w:highlight w:val="none"/>
                <w14:textFill>
                  <w14:solidFill>
                    <w14:schemeClr w14:val="tx1"/>
                  </w14:solidFill>
                </w14:textFill>
              </w:rPr>
              <w:instrText xml:space="preserve"> eq \o\ac(</w:instrText>
            </w:r>
            <w:r>
              <w:rPr>
                <w:rFonts w:hint="eastAsia" w:ascii="宋体" w:hAnsi="宋体" w:cs="宋体"/>
                <w:b/>
                <w:color w:val="000000" w:themeColor="text1"/>
                <w:position w:val="-4"/>
                <w:sz w:val="36"/>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fldChar w:fldCharType="end"/>
            </w:r>
            <w:r>
              <w:rPr>
                <w:rFonts w:hint="eastAsia" w:ascii="宋体" w:hAnsi="宋体" w:cs="宋体"/>
                <w:b/>
                <w:color w:val="000000" w:themeColor="text1"/>
                <w:sz w:val="24"/>
                <w:szCs w:val="24"/>
                <w:highlight w:val="none"/>
                <w14:textFill>
                  <w14:solidFill>
                    <w14:schemeClr w14:val="tx1"/>
                  </w14:solidFill>
                </w14:textFill>
              </w:rPr>
              <w:t>”标示选择使用该项，“□”标示不选择使用该项。</w:t>
            </w:r>
            <w:bookmarkStart w:id="18" w:name="EB61dc4c9ac9c04154b29a6c247670320a"/>
            <w:bookmarkEnd w:id="18"/>
          </w:p>
        </w:tc>
      </w:tr>
    </w:tbl>
    <w:p>
      <w:pPr>
        <w:ind w:firstLine="420" w:firstLineChars="175"/>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本表是对投标人须知正文内容的具体补充、提示和修改。</w:t>
      </w:r>
    </w:p>
    <w:p>
      <w:pPr>
        <w:jc w:val="left"/>
        <w:rPr>
          <w:color w:val="000000" w:themeColor="text1"/>
          <w:sz w:val="24"/>
          <w:szCs w:val="24"/>
          <w:highlight w:val="none"/>
          <w14:textFill>
            <w14:solidFill>
              <w14:schemeClr w14:val="tx1"/>
            </w14:solidFill>
          </w14:textFill>
        </w:rPr>
        <w:sectPr>
          <w:footerReference r:id="rId6" w:type="first"/>
          <w:footerReference r:id="rId5" w:type="default"/>
          <w:pgSz w:w="12240" w:h="15840"/>
          <w:pgMar w:top="1417" w:right="1020" w:bottom="1417" w:left="1191" w:header="964" w:footer="850" w:gutter="0"/>
          <w:pgNumType w:fmt="decimal" w:start="1"/>
          <w:cols w:space="720" w:num="1"/>
          <w:titlePg/>
          <w:docGrid w:linePitch="312" w:charSpace="0"/>
        </w:sectPr>
      </w:pPr>
      <w:r>
        <w:rPr>
          <w:color w:val="000000" w:themeColor="text1"/>
          <w:sz w:val="24"/>
          <w:highlight w:val="none"/>
          <w14:textFill>
            <w14:solidFill>
              <w14:schemeClr w14:val="tx1"/>
            </w14:solidFill>
          </w14:textFill>
        </w:rPr>
        <w:t>特别说明：为保证本项目产品质量，良好的售后服务，最低报价不作为成交的唯一依据。</w:t>
      </w:r>
    </w:p>
    <w:p>
      <w:pPr>
        <w:pStyle w:val="2"/>
        <w:rPr>
          <w:color w:val="000000" w:themeColor="text1"/>
          <w:szCs w:val="22"/>
          <w:highlight w:val="none"/>
          <w14:textFill>
            <w14:solidFill>
              <w14:schemeClr w14:val="tx1"/>
            </w14:solidFill>
          </w14:textFill>
        </w:rPr>
      </w:pPr>
      <w:bookmarkStart w:id="19" w:name="_Toc47415924"/>
      <w:bookmarkStart w:id="20" w:name="_Toc49019217"/>
      <w:bookmarkStart w:id="21" w:name="_Toc169194753"/>
      <w:bookmarkStart w:id="22" w:name="_Toc47416178"/>
      <w:r>
        <w:rPr>
          <w:color w:val="000000" w:themeColor="text1"/>
          <w:szCs w:val="22"/>
          <w:highlight w:val="none"/>
          <w14:textFill>
            <w14:solidFill>
              <w14:schemeClr w14:val="tx1"/>
            </w14:solidFill>
          </w14:textFill>
        </w:rPr>
        <w:t>第三章  投标人须知</w:t>
      </w:r>
      <w:bookmarkEnd w:id="19"/>
      <w:bookmarkEnd w:id="20"/>
      <w:bookmarkEnd w:id="21"/>
      <w:bookmarkEnd w:id="22"/>
      <w:bookmarkStart w:id="23" w:name="_Toc49019218"/>
      <w:bookmarkStart w:id="24" w:name="_Toc48995833"/>
      <w:bookmarkStart w:id="25" w:name="_Toc47261867"/>
      <w:bookmarkStart w:id="26" w:name="_Toc47261672"/>
      <w:bookmarkStart w:id="27" w:name="_Toc205342860"/>
      <w:bookmarkStart w:id="28" w:name="_Toc48791217"/>
      <w:bookmarkStart w:id="29" w:name="_Toc47261052"/>
      <w:bookmarkStart w:id="30" w:name="_Toc47418920"/>
      <w:bookmarkStart w:id="31" w:name="_Toc47418237"/>
      <w:bookmarkStart w:id="32" w:name="_Toc47262051"/>
      <w:bookmarkStart w:id="33" w:name="_Toc47418713"/>
    </w:p>
    <w:bookmarkEnd w:id="23"/>
    <w:bookmarkEnd w:id="24"/>
    <w:bookmarkEnd w:id="25"/>
    <w:bookmarkEnd w:id="26"/>
    <w:bookmarkEnd w:id="27"/>
    <w:bookmarkEnd w:id="28"/>
    <w:bookmarkEnd w:id="29"/>
    <w:bookmarkEnd w:id="30"/>
    <w:bookmarkEnd w:id="31"/>
    <w:bookmarkEnd w:id="32"/>
    <w:bookmarkEnd w:id="33"/>
    <w:p>
      <w:pPr>
        <w:spacing w:line="500" w:lineRule="exact"/>
        <w:ind w:firstLine="480" w:firstLineChars="200"/>
        <w:rPr>
          <w:color w:val="000000" w:themeColor="text1"/>
          <w:sz w:val="24"/>
          <w:szCs w:val="24"/>
          <w:highlight w:val="none"/>
          <w14:textFill>
            <w14:solidFill>
              <w14:schemeClr w14:val="tx1"/>
            </w14:solidFill>
          </w14:textFill>
        </w:rPr>
      </w:pPr>
      <w:bookmarkStart w:id="34" w:name="_Toc47262052"/>
      <w:bookmarkStart w:id="35" w:name="_Toc47418921"/>
      <w:bookmarkStart w:id="36" w:name="_Toc47261053"/>
      <w:bookmarkStart w:id="37" w:name="_Toc48791218"/>
      <w:bookmarkStart w:id="38" w:name="_Toc49019219"/>
      <w:bookmarkStart w:id="39" w:name="_Toc47418714"/>
      <w:bookmarkStart w:id="40" w:name="_Toc48995834"/>
      <w:bookmarkStart w:id="41" w:name="_Toc205342861"/>
      <w:bookmarkStart w:id="42" w:name="_Toc47261868"/>
      <w:bookmarkStart w:id="43" w:name="_Toc47261673"/>
      <w:bookmarkStart w:id="44" w:name="_Toc47418238"/>
      <w:r>
        <w:rPr>
          <w:color w:val="000000" w:themeColor="text1"/>
          <w:sz w:val="24"/>
          <w:szCs w:val="24"/>
          <w:highlight w:val="none"/>
          <w14:textFill>
            <w14:solidFill>
              <w14:schemeClr w14:val="tx1"/>
            </w14:solidFill>
          </w14:textFill>
        </w:rPr>
        <w:t>一、总则</w:t>
      </w:r>
    </w:p>
    <w:p>
      <w:pPr>
        <w:spacing w:line="500" w:lineRule="exact"/>
        <w:ind w:firstLine="480" w:firstLineChars="200"/>
        <w:rPr>
          <w:color w:val="000000" w:themeColor="text1"/>
          <w:sz w:val="24"/>
          <w:szCs w:val="24"/>
          <w:highlight w:val="none"/>
          <w14:textFill>
            <w14:solidFill>
              <w14:schemeClr w14:val="tx1"/>
            </w14:solidFill>
          </w14:textFill>
        </w:rPr>
      </w:pPr>
      <w:r>
        <w:rPr>
          <w:rFonts w:eastAsia="新宋体"/>
          <w:bCs/>
          <w:color w:val="000000" w:themeColor="text1"/>
          <w:sz w:val="24"/>
          <w:highlight w:val="none"/>
          <w14:textFill>
            <w14:solidFill>
              <w14:schemeClr w14:val="tx1"/>
            </w14:solidFill>
          </w14:textFill>
        </w:rPr>
        <w:t>本招标（采购）文件依据《中华人民共和国政府采购法》、《中华人民共和国政府采购法实施条例》及国家和自治区有关法律法规、规章制度编制。</w:t>
      </w:r>
      <w:r>
        <w:rPr>
          <w:color w:val="000000" w:themeColor="text1"/>
          <w:sz w:val="24"/>
          <w:szCs w:val="24"/>
          <w:highlight w:val="none"/>
          <w14:textFill>
            <w14:solidFill>
              <w14:schemeClr w14:val="tx1"/>
            </w14:solidFill>
          </w14:textFill>
        </w:rPr>
        <w:t>本招标文件是采购人在本项目采购过程中的规范性文件，仅适用于本次采购中所叙述项目的货物及服务采购等内容。和采购人组织的答疑纪要一起是各潜在投标人编制投标文件的依据，也是采购人与中标候选人签订合同的依据，并作为供货合同的附件之一，与供货合同具有同等的法律效力（除非合同另有约定的部分，以正式合同内容为准）。</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1、定义：</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1.1.1  “采购人”指</w:t>
      </w:r>
      <w:r>
        <w:rPr>
          <w:bCs/>
          <w:color w:val="000000" w:themeColor="text1"/>
          <w:kern w:val="0"/>
          <w:sz w:val="24"/>
          <w:highlight w:val="none"/>
          <w14:textFill>
            <w14:solidFill>
              <w14:schemeClr w14:val="tx1"/>
            </w14:solidFill>
          </w14:textFill>
        </w:rPr>
        <w:t>新疆农业大学</w:t>
      </w:r>
      <w:r>
        <w:rPr>
          <w:color w:val="000000" w:themeColor="text1"/>
          <w:sz w:val="24"/>
          <w:szCs w:val="24"/>
          <w:highlight w:val="none"/>
          <w14:textFill>
            <w14:solidFill>
              <w14:schemeClr w14:val="tx1"/>
            </w14:solidFill>
          </w14:textFill>
        </w:rPr>
        <w:t>。</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1.1.2  “</w:t>
      </w:r>
      <w:r>
        <w:rPr>
          <w:rFonts w:hint="eastAsia"/>
          <w:color w:val="000000" w:themeColor="text1"/>
          <w:sz w:val="24"/>
          <w:szCs w:val="24"/>
          <w:highlight w:val="none"/>
          <w14:textFill>
            <w14:solidFill>
              <w14:schemeClr w14:val="tx1"/>
            </w14:solidFill>
          </w14:textFill>
        </w:rPr>
        <w:t>采购（</w:t>
      </w:r>
      <w:r>
        <w:rPr>
          <w:color w:val="000000" w:themeColor="text1"/>
          <w:sz w:val="24"/>
          <w:szCs w:val="24"/>
          <w:highlight w:val="none"/>
          <w14:textFill>
            <w14:solidFill>
              <w14:schemeClr w14:val="tx1"/>
            </w14:solidFill>
          </w14:textFill>
        </w:rPr>
        <w:t>招标</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代理机构”指</w:t>
      </w:r>
      <w:r>
        <w:rPr>
          <w:rFonts w:hint="eastAsia"/>
          <w:color w:val="000000" w:themeColor="text1"/>
          <w:sz w:val="24"/>
          <w:szCs w:val="24"/>
          <w:highlight w:val="none"/>
          <w14:textFill>
            <w14:solidFill>
              <w14:schemeClr w14:val="tx1"/>
            </w14:solidFill>
          </w14:textFill>
        </w:rPr>
        <w:t>新疆宏力源工程项目管理有限公司</w:t>
      </w:r>
      <w:r>
        <w:rPr>
          <w:color w:val="000000" w:themeColor="text1"/>
          <w:sz w:val="24"/>
          <w:szCs w:val="24"/>
          <w:highlight w:val="none"/>
          <w14:textFill>
            <w14:solidFill>
              <w14:schemeClr w14:val="tx1"/>
            </w14:solidFill>
          </w14:textFill>
        </w:rPr>
        <w:t>。</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1.1.3  “货物及服务”指本招标文件中第七章所述所有内容及服务。</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1.1.4  “潜在投标人”指符合招标文件规定的合格投标人。</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1.1.5  “投标人”指符合本文件规定并参加招标的投标人。</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1.1.6  “质保期”是指：在一定期限内，除人为操作不当因素外，所有涉及产品的质量问题和产品故障由中标人负责修改或退换解决，采购人将不再为此支付任何费用</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1.1.7  “交货期”是指：从合同签订生效之日起直至所有货物交付完毕、验收合格并交付使用的期限。</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2、合格投标人、货物和服务的条件</w:t>
      </w:r>
    </w:p>
    <w:p>
      <w:pPr>
        <w:spacing w:line="500" w:lineRule="exact"/>
        <w:ind w:firstLine="480" w:firstLineChars="200"/>
        <w:rPr>
          <w:rFonts w:eastAsia="新宋体"/>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2.1合格投标人的条件：</w:t>
      </w:r>
      <w:r>
        <w:rPr>
          <w:rFonts w:eastAsia="新宋体"/>
          <w:color w:val="000000" w:themeColor="text1"/>
          <w:sz w:val="24"/>
          <w:highlight w:val="none"/>
          <w14:textFill>
            <w14:solidFill>
              <w14:schemeClr w14:val="tx1"/>
            </w14:solidFill>
          </w14:textFill>
        </w:rPr>
        <w:t>同招标公告中投标人资格要求。</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2.2合格的货物和服务</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2.2.1“货物”是指投标人制造或组织符合招标文件要求的货物等。招标文件中没有提及招标货物来源地的，根据《政府采购法》的相关规定均应是本国货物。投标的货物必须是其合法生产的符合国家有关标准要求的货物，并满足招标文件规定的规格、质量、价格、有效期、售后服务等要求。</w:t>
      </w:r>
    </w:p>
    <w:p>
      <w:pPr>
        <w:spacing w:line="5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如经财政主管部门批准可以采购进口产品，将在投标须知前附表中写明。但投标人应保证所投产品可履行合法报通关手续进入中国关境内。若投标须知前附表中未写明允许采购进口产品，如投标人所投产品为进口产品，其投标将作为无效投标被拒绝。</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2.2.2 “服务”是指除货物和工程以外的其他政府采购对象,其中包括：投标人须承担的运输、技术支持、设计、包装、仓储、以及招标文件规定的其它服务。</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2.2.3投标人所提供产品必须为符合国家相关法律规定的产品。所有产品均为合法正当渠道、包装完好的产品。</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2.2.4投标人应保证，在中华人民共和国境内使用投标产品、服务或其任何一部分时，不会产生涉及第三方的专利权、商标权或其它知识产权所引起的法律和经济纠纷。如投标人不拥有相应的专利权，则在投标报价中须包括合法获取该知识产权的相关费用。</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2.2.5投标人须拥有所投标的物的所有权或合法处分权，一切因标的物的所有权或合法处分权而引起的法律和经济纠纷由投标人自行负责，与本项目采购代理机构、采购人无关。</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3、招标费用</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3.1投标人自行承担响应招标、参加投标一切费用。不论投标的结果如何，采购人在任何情况下均无义务和责任承担因投标所发生的一切费用。</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3.2投标人应承担所有与准备和参加投标有关的费用。不论投标的结果如何，招标方均无义务和责任承担这些费用。</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3.3在招标活动中产生的其它相关费用不包含在服务费中，产生的费用由中标方承担。</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4、通知</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4.1 对与本项目有关的通知，招标代理机构将以书面（包括书面材料、信函、传真等，下同）的形式，送达所有与通知有关的已登记备案并领取了招标文件的潜在投标人，传真号码以潜在投标人的登记为准。潜在投标人应于收到通知的当日以书面方式予以回复确认。因登记有误或传真线路故障导致通知延迟送达或无法送达，招标代理机构不承担责任。</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二、招标文件</w:t>
      </w:r>
      <w:bookmarkEnd w:id="34"/>
      <w:bookmarkEnd w:id="35"/>
      <w:bookmarkEnd w:id="36"/>
      <w:bookmarkEnd w:id="37"/>
      <w:bookmarkEnd w:id="38"/>
      <w:bookmarkEnd w:id="39"/>
      <w:bookmarkEnd w:id="40"/>
      <w:bookmarkEnd w:id="41"/>
      <w:bookmarkEnd w:id="42"/>
      <w:bookmarkEnd w:id="43"/>
      <w:bookmarkEnd w:id="44"/>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5、招标文件构成</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5.1 招标文件包括下列内容：</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1）招标公告</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2)投标人须知前附表</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3)投标人须知</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4）合同</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5）附件（投标文件格式）</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6）评标标准</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7）货物技术规格、参数与要求</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5.2 除非有特殊要求，招标文件不单独提供采购货物使用地的自然环境、气候条件、公用设施等情况，响应投标人被视为熟悉上述与履行合同有关的一切情况。</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5.3</w:t>
      </w:r>
      <w:r>
        <w:rPr>
          <w:rFonts w:eastAsia="新宋体"/>
          <w:color w:val="000000" w:themeColor="text1"/>
          <w:kern w:val="0"/>
          <w:sz w:val="24"/>
          <w:szCs w:val="24"/>
          <w:highlight w:val="none"/>
          <w14:textFill>
            <w14:solidFill>
              <w14:schemeClr w14:val="tx1"/>
            </w14:solidFill>
          </w14:textFill>
        </w:rPr>
        <w:t>投标人</w:t>
      </w:r>
      <w:r>
        <w:rPr>
          <w:rFonts w:eastAsia="新宋体"/>
          <w:color w:val="000000" w:themeColor="text1"/>
          <w:sz w:val="24"/>
          <w:szCs w:val="24"/>
          <w:highlight w:val="none"/>
          <w14:textFill>
            <w14:solidFill>
              <w14:schemeClr w14:val="tx1"/>
            </w14:solidFill>
          </w14:textFill>
        </w:rPr>
        <w:t>应认真阅读采购文件中所有的事项、格式、条款和技术规格、参数及要求等，如果</w:t>
      </w:r>
      <w:r>
        <w:rPr>
          <w:rFonts w:eastAsia="新宋体"/>
          <w:color w:val="000000" w:themeColor="text1"/>
          <w:kern w:val="0"/>
          <w:sz w:val="24"/>
          <w:szCs w:val="24"/>
          <w:highlight w:val="none"/>
          <w14:textFill>
            <w14:solidFill>
              <w14:schemeClr w14:val="tx1"/>
            </w14:solidFill>
          </w14:textFill>
        </w:rPr>
        <w:t>投标人</w:t>
      </w:r>
      <w:r>
        <w:rPr>
          <w:rFonts w:eastAsia="新宋体"/>
          <w:color w:val="000000" w:themeColor="text1"/>
          <w:sz w:val="24"/>
          <w:szCs w:val="24"/>
          <w:highlight w:val="none"/>
          <w14:textFill>
            <w14:solidFill>
              <w14:schemeClr w14:val="tx1"/>
            </w14:solidFill>
          </w14:textFill>
        </w:rPr>
        <w:t>没有按照采购文件要求提交全部资料，或者投标没有对采购文件在各方面都做出实质性响应，其风险应由</w:t>
      </w:r>
      <w:r>
        <w:rPr>
          <w:rFonts w:eastAsia="新宋体"/>
          <w:color w:val="000000" w:themeColor="text1"/>
          <w:kern w:val="0"/>
          <w:sz w:val="24"/>
          <w:szCs w:val="24"/>
          <w:highlight w:val="none"/>
          <w14:textFill>
            <w14:solidFill>
              <w14:schemeClr w14:val="tx1"/>
            </w14:solidFill>
          </w14:textFill>
        </w:rPr>
        <w:t>投标人</w:t>
      </w:r>
      <w:r>
        <w:rPr>
          <w:rFonts w:eastAsia="新宋体"/>
          <w:color w:val="000000" w:themeColor="text1"/>
          <w:sz w:val="24"/>
          <w:szCs w:val="24"/>
          <w:highlight w:val="none"/>
          <w14:textFill>
            <w14:solidFill>
              <w14:schemeClr w14:val="tx1"/>
            </w14:solidFill>
          </w14:textFill>
        </w:rPr>
        <w:t>自行承担，并根据有关政策和条款规定，其投标有可能被否决，或被认定为无效投标。</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6、招标文件的澄清</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6.1 投标人对招标文件如有疑点要求澄清，应在投标截止时间</w:t>
      </w:r>
      <w:r>
        <w:rPr>
          <w:color w:val="000000" w:themeColor="text1"/>
          <w:sz w:val="24"/>
          <w:szCs w:val="24"/>
          <w:highlight w:val="none"/>
          <w:u w:val="single"/>
          <w14:textFill>
            <w14:solidFill>
              <w14:schemeClr w14:val="tx1"/>
            </w14:solidFill>
          </w14:textFill>
        </w:rPr>
        <w:t>10日历天</w:t>
      </w:r>
      <w:r>
        <w:rPr>
          <w:color w:val="000000" w:themeColor="text1"/>
          <w:sz w:val="24"/>
          <w:szCs w:val="24"/>
          <w:highlight w:val="none"/>
          <w14:textFill>
            <w14:solidFill>
              <w14:schemeClr w14:val="tx1"/>
            </w14:solidFill>
          </w14:textFill>
        </w:rPr>
        <w:t>以前以书面形式通知代理机构。代理机构对投标人的澄清要求均以书面形式予以答复，同时将书面答复发给每个购买招标文件的投标人（答复中不包括问题的来源）。</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7、招标文件的修改</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7.1 </w:t>
      </w:r>
      <w:r>
        <w:rPr>
          <w:rFonts w:eastAsia="新宋体"/>
          <w:color w:val="000000" w:themeColor="text1"/>
          <w:sz w:val="24"/>
          <w:szCs w:val="24"/>
          <w:highlight w:val="none"/>
          <w14:textFill>
            <w14:solidFill>
              <w14:schemeClr w14:val="tx1"/>
            </w14:solidFill>
          </w14:textFill>
        </w:rPr>
        <w:t>在投标截止时间十五日以前</w:t>
      </w:r>
      <w:r>
        <w:rPr>
          <w:color w:val="000000" w:themeColor="text1"/>
          <w:sz w:val="24"/>
          <w:szCs w:val="24"/>
          <w:highlight w:val="none"/>
          <w14:textFill>
            <w14:solidFill>
              <w14:schemeClr w14:val="tx1"/>
            </w14:solidFill>
          </w14:textFill>
        </w:rPr>
        <w:t>的任何时候，无论出于何种原因，</w:t>
      </w:r>
      <w:r>
        <w:rPr>
          <w:rFonts w:eastAsia="新宋体"/>
          <w:color w:val="000000" w:themeColor="text1"/>
          <w:sz w:val="24"/>
          <w:szCs w:val="24"/>
          <w:highlight w:val="none"/>
          <w14:textFill>
            <w14:solidFill>
              <w14:schemeClr w14:val="tx1"/>
            </w14:solidFill>
          </w14:textFill>
        </w:rPr>
        <w:t>采购代理机构或采购人可以主动地或在解答投标人提出的疑问时对采购文件进行修改</w:t>
      </w:r>
      <w:r>
        <w:rPr>
          <w:color w:val="000000" w:themeColor="text1"/>
          <w:sz w:val="24"/>
          <w:szCs w:val="24"/>
          <w:highlight w:val="none"/>
          <w14:textFill>
            <w14:solidFill>
              <w14:schemeClr w14:val="tx1"/>
            </w14:solidFill>
          </w14:textFill>
        </w:rPr>
        <w:t>，修改的内容为招标文件的组成部分。</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7.2 招标文件的修改将以书面形式通知所有购买招标文件的投标人，并对其具有约束力。投标人在收到上述通知后，应立即向代理机构回函确认。</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7.3 为使投标人准备招标时有充分时间对招标文件的修改部分进行研究，代理机构可适当延长招标截止期。并以书面形式通知所有购买招标文件的投标人。</w:t>
      </w:r>
    </w:p>
    <w:p>
      <w:pPr>
        <w:spacing w:line="500" w:lineRule="exact"/>
        <w:ind w:firstLine="480" w:firstLineChars="200"/>
        <w:rPr>
          <w:color w:val="000000" w:themeColor="text1"/>
          <w:sz w:val="24"/>
          <w:szCs w:val="24"/>
          <w:highlight w:val="none"/>
          <w14:textFill>
            <w14:solidFill>
              <w14:schemeClr w14:val="tx1"/>
            </w14:solidFill>
          </w14:textFill>
        </w:rPr>
      </w:pPr>
      <w:bookmarkStart w:id="45" w:name="_Toc47261054"/>
      <w:bookmarkStart w:id="46" w:name="_Toc49019220"/>
      <w:bookmarkStart w:id="47" w:name="_Toc205342862"/>
      <w:bookmarkStart w:id="48" w:name="_Toc47262053"/>
      <w:bookmarkStart w:id="49" w:name="_Toc48995835"/>
      <w:bookmarkStart w:id="50" w:name="_Toc47418715"/>
      <w:bookmarkStart w:id="51" w:name="_Toc48791219"/>
      <w:bookmarkStart w:id="52" w:name="_Toc47418239"/>
      <w:bookmarkStart w:id="53" w:name="_Toc47418922"/>
      <w:bookmarkStart w:id="54" w:name="_Toc47261869"/>
      <w:bookmarkStart w:id="55" w:name="_Toc47261674"/>
      <w:r>
        <w:rPr>
          <w:color w:val="000000" w:themeColor="text1"/>
          <w:sz w:val="24"/>
          <w:szCs w:val="24"/>
          <w:highlight w:val="none"/>
          <w14:textFill>
            <w14:solidFill>
              <w14:schemeClr w14:val="tx1"/>
            </w14:solidFill>
          </w14:textFill>
        </w:rPr>
        <w:t>8、投标文件的编制</w:t>
      </w:r>
      <w:bookmarkEnd w:id="45"/>
      <w:bookmarkEnd w:id="46"/>
      <w:bookmarkEnd w:id="47"/>
      <w:bookmarkEnd w:id="48"/>
      <w:bookmarkEnd w:id="49"/>
      <w:bookmarkEnd w:id="50"/>
      <w:bookmarkEnd w:id="51"/>
      <w:bookmarkEnd w:id="52"/>
      <w:bookmarkEnd w:id="53"/>
      <w:bookmarkEnd w:id="54"/>
      <w:bookmarkEnd w:id="55"/>
    </w:p>
    <w:p>
      <w:pPr>
        <w:spacing w:line="500" w:lineRule="exact"/>
        <w:ind w:firstLine="600" w:firstLineChars="2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8.1投标文件的书写要求</w:t>
      </w:r>
    </w:p>
    <w:p>
      <w:pPr>
        <w:spacing w:line="5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（1）投标文件必须用不褪色的墨水书写或打印。</w:t>
      </w:r>
    </w:p>
    <w:p>
      <w:pPr>
        <w:spacing w:line="5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（2）投标文件的书写应清楚工整，修改处应由投标人的法定代表人或其委托代理人签字或盖章盖章。</w:t>
      </w:r>
    </w:p>
    <w:p>
      <w:pPr>
        <w:spacing w:line="5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（3）字迹潦草、表达不清、未按要求填写而导致非唯一理解，造成非实质性响应招标文件的投标文件将会被认定为无效的投标。</w:t>
      </w:r>
    </w:p>
    <w:p>
      <w:pPr>
        <w:spacing w:line="5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（4）投标文件必须在凡规定盖章、签字或盖章处按要求逐一签字或盖章、盖章。</w:t>
      </w:r>
    </w:p>
    <w:p>
      <w:pPr>
        <w:spacing w:line="5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8.2投标文件合装订成一本，投标文件按下列顺序编制：</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投标人按照招标文件要求填写的“开标一览表”及“报价明细表”。 本次招标报价要求：</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（1）投标人的报价是投标人响应招标项目要求的全部工作内容的价格体现，包括投标人完成本项目所需的一切费用。</w:t>
      </w:r>
    </w:p>
    <w:p>
      <w:pPr>
        <w:spacing w:line="500" w:lineRule="exact"/>
        <w:ind w:left="2" w:firstLine="352" w:firstLineChars="147"/>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（2）投标人每种货物只允许有一个报价，并且在合同履行过程中是固定不变的，任何有选择或可调整的报价将不予接受，并按无效投标处理。</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3</w:t>
      </w:r>
      <w:r>
        <w:rPr>
          <w:color w:val="000000" w:themeColor="text1"/>
          <w:sz w:val="24"/>
          <w:szCs w:val="24"/>
          <w:highlight w:val="none"/>
          <w14:textFill>
            <w14:solidFill>
              <w14:schemeClr w14:val="tx1"/>
            </w14:solidFill>
          </w14:textFill>
        </w:rPr>
        <w:t>）投标人必须按要求如实、准确、完整的提供评估因素要求的各类文件资料。否则投标将不被接受。投标文件包括以下部分（但不局限于以下部分）：</w:t>
      </w:r>
    </w:p>
    <w:p>
      <w:pPr>
        <w:numPr>
          <w:ilvl w:val="0"/>
          <w:numId w:val="6"/>
        </w:numPr>
        <w:tabs>
          <w:tab w:val="left" w:pos="840"/>
          <w:tab w:val="left" w:pos="1050"/>
        </w:tabs>
        <w:spacing w:line="500" w:lineRule="exact"/>
        <w:ind w:firstLine="21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 标 函</w:t>
      </w:r>
    </w:p>
    <w:p>
      <w:pPr>
        <w:numPr>
          <w:ilvl w:val="0"/>
          <w:numId w:val="6"/>
        </w:numPr>
        <w:tabs>
          <w:tab w:val="left" w:pos="840"/>
          <w:tab w:val="left" w:pos="1050"/>
        </w:tabs>
        <w:spacing w:line="500" w:lineRule="exact"/>
        <w:ind w:firstLine="21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法定代表人身份证明书</w:t>
      </w:r>
    </w:p>
    <w:p>
      <w:pPr>
        <w:numPr>
          <w:ilvl w:val="0"/>
          <w:numId w:val="6"/>
        </w:numPr>
        <w:tabs>
          <w:tab w:val="left" w:pos="840"/>
          <w:tab w:val="left" w:pos="1050"/>
        </w:tabs>
        <w:spacing w:line="500" w:lineRule="exact"/>
        <w:ind w:firstLine="21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法定代表人授权书格式（单独提交1份）</w:t>
      </w:r>
    </w:p>
    <w:p>
      <w:pPr>
        <w:numPr>
          <w:ilvl w:val="0"/>
          <w:numId w:val="6"/>
        </w:numPr>
        <w:tabs>
          <w:tab w:val="left" w:pos="840"/>
          <w:tab w:val="left" w:pos="1050"/>
        </w:tabs>
        <w:spacing w:line="500" w:lineRule="exact"/>
        <w:ind w:firstLine="21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投标人资格声明格式</w:t>
      </w:r>
    </w:p>
    <w:p>
      <w:pPr>
        <w:numPr>
          <w:ilvl w:val="0"/>
          <w:numId w:val="6"/>
        </w:numPr>
        <w:tabs>
          <w:tab w:val="left" w:pos="840"/>
          <w:tab w:val="left" w:pos="1050"/>
        </w:tabs>
        <w:spacing w:line="500" w:lineRule="exact"/>
        <w:ind w:firstLine="21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开标一览表</w:t>
      </w:r>
    </w:p>
    <w:p>
      <w:pPr>
        <w:numPr>
          <w:ilvl w:val="0"/>
          <w:numId w:val="6"/>
        </w:numPr>
        <w:tabs>
          <w:tab w:val="left" w:pos="840"/>
          <w:tab w:val="left" w:pos="1050"/>
        </w:tabs>
        <w:spacing w:line="500" w:lineRule="exact"/>
        <w:ind w:firstLine="21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分项报价明细表</w:t>
      </w:r>
    </w:p>
    <w:p>
      <w:pPr>
        <w:numPr>
          <w:ilvl w:val="0"/>
          <w:numId w:val="6"/>
        </w:numPr>
        <w:tabs>
          <w:tab w:val="left" w:pos="840"/>
          <w:tab w:val="left" w:pos="1050"/>
        </w:tabs>
        <w:spacing w:line="500" w:lineRule="exact"/>
        <w:ind w:firstLine="21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资格证明材料</w:t>
      </w:r>
    </w:p>
    <w:p>
      <w:pPr>
        <w:numPr>
          <w:ilvl w:val="0"/>
          <w:numId w:val="6"/>
        </w:numPr>
        <w:tabs>
          <w:tab w:val="left" w:pos="840"/>
          <w:tab w:val="left" w:pos="1050"/>
        </w:tabs>
        <w:spacing w:line="500" w:lineRule="exact"/>
        <w:ind w:firstLine="21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投标投标人基本情况表</w:t>
      </w:r>
    </w:p>
    <w:p>
      <w:pPr>
        <w:numPr>
          <w:ilvl w:val="0"/>
          <w:numId w:val="6"/>
        </w:numPr>
        <w:tabs>
          <w:tab w:val="left" w:pos="840"/>
          <w:tab w:val="left" w:pos="1050"/>
        </w:tabs>
        <w:spacing w:line="500" w:lineRule="exact"/>
        <w:ind w:firstLine="21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投标人类似项目业绩一览表</w:t>
      </w:r>
    </w:p>
    <w:p>
      <w:pPr>
        <w:numPr>
          <w:ilvl w:val="0"/>
          <w:numId w:val="6"/>
        </w:numPr>
        <w:tabs>
          <w:tab w:val="left" w:pos="840"/>
          <w:tab w:val="left" w:pos="1050"/>
        </w:tabs>
        <w:spacing w:line="500" w:lineRule="exact"/>
        <w:ind w:firstLine="21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投标人本项目管理、技术、服务人员情况表</w:t>
      </w:r>
    </w:p>
    <w:p>
      <w:pPr>
        <w:numPr>
          <w:ilvl w:val="0"/>
          <w:numId w:val="6"/>
        </w:numPr>
        <w:tabs>
          <w:tab w:val="left" w:pos="840"/>
          <w:tab w:val="left" w:pos="1050"/>
        </w:tabs>
        <w:spacing w:line="500" w:lineRule="exact"/>
        <w:ind w:firstLine="21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技术／商务响应与偏离表技术资料</w:t>
      </w:r>
    </w:p>
    <w:p>
      <w:pPr>
        <w:numPr>
          <w:ilvl w:val="0"/>
          <w:numId w:val="6"/>
        </w:numPr>
        <w:tabs>
          <w:tab w:val="left" w:pos="840"/>
          <w:tab w:val="left" w:pos="1050"/>
        </w:tabs>
        <w:spacing w:line="500" w:lineRule="exact"/>
        <w:ind w:firstLine="21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技术资料</w:t>
      </w:r>
    </w:p>
    <w:p>
      <w:pPr>
        <w:numPr>
          <w:ilvl w:val="0"/>
          <w:numId w:val="6"/>
        </w:numPr>
        <w:tabs>
          <w:tab w:val="left" w:pos="840"/>
          <w:tab w:val="left" w:pos="1050"/>
        </w:tabs>
        <w:spacing w:line="500" w:lineRule="exact"/>
        <w:ind w:firstLine="21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供货单位承诺书</w:t>
      </w:r>
    </w:p>
    <w:p>
      <w:pPr>
        <w:numPr>
          <w:ilvl w:val="0"/>
          <w:numId w:val="6"/>
        </w:numPr>
        <w:tabs>
          <w:tab w:val="left" w:pos="840"/>
          <w:tab w:val="left" w:pos="1050"/>
        </w:tabs>
        <w:spacing w:line="500" w:lineRule="exact"/>
        <w:ind w:firstLine="21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投标人认为需提供的相关资料。</w:t>
      </w:r>
    </w:p>
    <w:p>
      <w:pPr>
        <w:spacing w:line="500" w:lineRule="exact"/>
        <w:ind w:left="437" w:leftChars="208"/>
        <w:rPr>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（6）</w:t>
      </w:r>
      <w:r>
        <w:rPr>
          <w:color w:val="000000" w:themeColor="text1"/>
          <w:sz w:val="24"/>
          <w:szCs w:val="24"/>
          <w:highlight w:val="none"/>
          <w14:textFill>
            <w14:solidFill>
              <w14:schemeClr w14:val="tx1"/>
            </w14:solidFill>
          </w14:textFill>
        </w:rPr>
        <w:t>证明投标货物的合格性和投标人资格符合招标文件规定的证明文件；</w:t>
      </w:r>
    </w:p>
    <w:p>
      <w:pPr>
        <w:spacing w:line="500" w:lineRule="exact"/>
        <w:ind w:left="437" w:leftChars="20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投标人承诺给予招标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p>
    <w:p>
      <w:pPr>
        <w:spacing w:line="500" w:lineRule="exact"/>
        <w:ind w:left="437" w:leftChars="20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（8）其他要求：投标人应根据招标文件要求的技术规格及投标文件格式，在投标文件中详细说明所提供产品的技术规格、加工工艺等。</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投标人应按招标文件中提供的投标文件格式编制投标文件，但可以同样格式扩展。</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本合同的招标文件还包括采购人发出的补充通知、澄清及答疑电子邮件或书面文件。</w:t>
      </w:r>
    </w:p>
    <w:p>
      <w:pPr>
        <w:spacing w:line="500" w:lineRule="exact"/>
        <w:ind w:firstLine="480" w:firstLineChars="200"/>
        <w:rPr>
          <w:color w:val="000000" w:themeColor="text1"/>
          <w:sz w:val="24"/>
          <w:szCs w:val="24"/>
          <w:highlight w:val="none"/>
          <w14:textFill>
            <w14:solidFill>
              <w14:schemeClr w14:val="tx1"/>
            </w14:solidFill>
          </w14:textFill>
        </w:rPr>
      </w:pP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8.3. 对于给定格式的必须按照给定的格式进行填报；没有给定格式的，投标人可以自行设计。</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8.4. 投标人在装订投标文件时，应严格按照顺序进行装订。</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9、投标文件格式：</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9.1 投标人应按招标文件的内容与要求和提供的格式编写其投标文件，投标人不得缺少或留空任何招标文件要求填写的表格或提交的资料。</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9.2投标人应将投标文件按规定的顺序编排、并应编制目录、逐页标注连续页码，并装定成册。（不允许漏页）</w:t>
      </w:r>
    </w:p>
    <w:p>
      <w:pPr>
        <w:pStyle w:val="12"/>
        <w:adjustRightInd w:val="0"/>
        <w:snapToGrid w:val="0"/>
        <w:spacing w:line="500" w:lineRule="exact"/>
        <w:ind w:firstLine="480" w:firstLineChars="200"/>
        <w:rPr>
          <w:rFonts w:ascii="Times New Roman" w:eastAsia="新宋体"/>
          <w:color w:val="000000" w:themeColor="text1"/>
          <w:sz w:val="24"/>
          <w:szCs w:val="24"/>
          <w:highlight w:val="none"/>
          <w14:textFill>
            <w14:solidFill>
              <w14:schemeClr w14:val="tx1"/>
            </w14:solidFill>
          </w14:textFill>
        </w:rPr>
      </w:pPr>
      <w:r>
        <w:rPr>
          <w:rFonts w:ascii="Times New Roman" w:eastAsia="新宋体"/>
          <w:color w:val="000000" w:themeColor="text1"/>
          <w:sz w:val="24"/>
          <w:szCs w:val="24"/>
          <w:highlight w:val="none"/>
          <w14:textFill>
            <w14:solidFill>
              <w14:schemeClr w14:val="tx1"/>
            </w14:solidFill>
          </w14:textFill>
        </w:rPr>
        <w:t>9.3 投标人提交的投标文件以及投标人与或采购人就有关投标的所有来往函电均应使用简体中文。投标人提交的支持文件或印刷的文献可以用另一种语言，但相应内容应附有简体中文翻译本，在解释投标文件的修改内容时以简体中文翻译本为准。</w:t>
      </w:r>
    </w:p>
    <w:p>
      <w:pPr>
        <w:spacing w:line="50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9.4 除采购文件另有规定外，投标文件所使用的度量衡单位均应采用公制。</w:t>
      </w:r>
    </w:p>
    <w:p>
      <w:pPr>
        <w:spacing w:line="500" w:lineRule="exact"/>
        <w:ind w:firstLine="480" w:firstLineChars="200"/>
        <w:rPr>
          <w:color w:val="000000" w:themeColor="text1"/>
          <w:sz w:val="24"/>
          <w:szCs w:val="24"/>
          <w:highlight w:val="none"/>
          <w14:textFill>
            <w14:solidFill>
              <w14:schemeClr w14:val="tx1"/>
            </w14:solidFill>
          </w14:textFill>
        </w:rPr>
      </w:pP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10、招标报价</w:t>
      </w:r>
    </w:p>
    <w:p>
      <w:pPr>
        <w:adjustRightInd w:val="0"/>
        <w:snapToGrid w:val="0"/>
        <w:spacing w:line="5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10.1 招标报价应包括投标设备（含备品备件、专用工具）、技术资料、技术服务、人员培训及支付的各种税费、运费、装卸费、仓储费、保险费、安装、调试等有关费用。</w:t>
      </w:r>
    </w:p>
    <w:p>
      <w:pPr>
        <w:adjustRightInd w:val="0"/>
        <w:snapToGrid w:val="0"/>
        <w:spacing w:line="500" w:lineRule="exact"/>
        <w:ind w:firstLine="480" w:firstLineChars="200"/>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10.2所有税费均计入总报价</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10.3 投标人应在投标分项报价表上标明拟提供货物的单价、合价和总价。</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所有根据合同或其它原因应由投标人支付的税款和其它应交纳的费用都要包括在投标人提交的招标报价中。</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10.4 投标人根据本须知的规定将投标价分成几部分，只是为了方便采购方对投标文件进行比较，并不限制采购人以上述任何条件订立合同的权力。</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10.5 投标人所报的投标价在合同执行过程中是固定不变的，不得以任何理由予以变更。任何包含价格调整要求的投标，将被认为是非响应性投标而予以拒绝。</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10.6 采购人不接受投标人对任何未办理正常进口手续的非中华人民共和国境内生产的货物的招标报价。</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10.7 投标人不得以低于成本的报价竞标，否则将做废标处理。</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11、投标货币</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11.1 投标人提供的货物和服务一律用人民币报价。任何非人民币币种的招标报价将被拒绝。</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12、证明投标人合格和有资格投标的文件</w:t>
      </w:r>
    </w:p>
    <w:p>
      <w:pPr>
        <w:spacing w:line="500" w:lineRule="exact"/>
        <w:ind w:firstLine="480" w:firstLineChars="200"/>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t>12.1 投标人应提交证明其有资格参加投标和中标后有能力履行合同的文件，并作为其投标文件的</w:t>
      </w:r>
      <w:r>
        <w:rPr>
          <w:color w:val="000000" w:themeColor="text1"/>
          <w:highlight w:val="none"/>
          <w14:textFill>
            <w14:solidFill>
              <w14:schemeClr w14:val="tx1"/>
            </w14:solidFill>
          </w14:textFill>
        </w:rPr>
        <w:t>一部分。</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12.2 投标人提交的合格性证明文件应使采购方满意，投标人在招标时应符合本须知的规定。</w:t>
      </w:r>
      <w:r>
        <w:rPr>
          <w:rFonts w:hint="eastAsia"/>
          <w:color w:val="000000" w:themeColor="text1"/>
          <w:sz w:val="24"/>
          <w:szCs w:val="24"/>
          <w:highlight w:val="none"/>
          <w14:textFill>
            <w14:solidFill>
              <w14:schemeClr w14:val="tx1"/>
            </w14:solidFill>
          </w14:textFill>
        </w:rPr>
        <w:t xml:space="preserve"> </w:t>
      </w:r>
    </w:p>
    <w:p>
      <w:pPr>
        <w:widowControl/>
        <w:spacing w:line="500" w:lineRule="exact"/>
        <w:ind w:firstLine="480" w:firstLineChars="200"/>
        <w:rPr>
          <w:color w:val="000000" w:themeColor="text1"/>
          <w:kern w:val="0"/>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12.3 投标人提交的证明其中标后能履行合同的资格证明文件应使采购方满意，即:</w:t>
      </w:r>
      <w:r>
        <w:rPr>
          <w:color w:val="000000" w:themeColor="text1"/>
          <w:kern w:val="0"/>
          <w:sz w:val="24"/>
          <w:highlight w:val="none"/>
          <w14:textFill>
            <w14:solidFill>
              <w14:schemeClr w14:val="tx1"/>
            </w14:solidFill>
          </w14:textFill>
        </w:rPr>
        <w:t>若投标人提供的设备不是投标人制造或供应的，则投标人须</w:t>
      </w:r>
      <w:r>
        <w:rPr>
          <w:rFonts w:hint="eastAsia"/>
          <w:color w:val="000000" w:themeColor="text1"/>
          <w:kern w:val="0"/>
          <w:sz w:val="24"/>
          <w:highlight w:val="none"/>
          <w14:textFill>
            <w14:solidFill>
              <w14:schemeClr w14:val="tx1"/>
            </w14:solidFill>
          </w14:textFill>
        </w:rPr>
        <w:t>提供可</w:t>
      </w:r>
      <w:r>
        <w:rPr>
          <w:color w:val="000000" w:themeColor="text1"/>
          <w:kern w:val="0"/>
          <w:sz w:val="24"/>
          <w:highlight w:val="none"/>
          <w14:textFill>
            <w14:solidFill>
              <w14:schemeClr w14:val="tx1"/>
            </w14:solidFill>
          </w14:textFill>
        </w:rPr>
        <w:t>得到设备的充分授权</w:t>
      </w:r>
      <w:r>
        <w:rPr>
          <w:rFonts w:hint="eastAsia"/>
          <w:color w:val="000000" w:themeColor="text1"/>
          <w:kern w:val="0"/>
          <w:sz w:val="24"/>
          <w:highlight w:val="none"/>
          <w14:textFill>
            <w14:solidFill>
              <w14:schemeClr w14:val="tx1"/>
            </w14:solidFill>
          </w14:textFill>
        </w:rPr>
        <w:t>的承诺</w:t>
      </w:r>
      <w:r>
        <w:rPr>
          <w:color w:val="000000" w:themeColor="text1"/>
          <w:kern w:val="0"/>
          <w:sz w:val="24"/>
          <w:highlight w:val="none"/>
          <w14:textFill>
            <w14:solidFill>
              <w14:schemeClr w14:val="tx1"/>
            </w14:solidFill>
          </w14:textFill>
        </w:rPr>
        <w:t>。</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投标人已具备履行合同所需的财务、技术和生产能力；</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投标人满足“投标人须知前附表”中列出的资格标准及业绩要求。</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13、证明货物的合格性和符合招标文件规定的文件</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13.1 投标人应提交证明文件证明其拟投标的货物的合格性符合招标文件规定。该证明文件作为投标文件的一部分。</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13.2 证明货物和服务与招标文件的要求一致的文件，可以是文字资料、图纸和数据，它包括：</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货物主要技术指标和性能的详细说明。</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货物从采购人开始使用至“投标人须知前附表”中规定的周期内正常、连续地使用所必须的备品备件和专用工具清单，包括备品备件和专用工具的供货来源及现行价格。</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13.3 投标人在阐述上述时应注意招标文件 “货物技术规格、参数与要求” 中指出的工艺、材料和设备的标准以及参照的牌号或分类号仅起说明作用，并没有任何限制性。投标人在响应中可以选用替代标准、牌号或分类号，但这些替代要实质上相当于技术规格的要求，并且使采购方满意。</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14、投标保证金</w:t>
      </w:r>
    </w:p>
    <w:p>
      <w:pPr>
        <w:spacing w:line="5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14.1 投标保证金是为了保护采购人免遭因响应投标人的行为而蒙受损失。采购人在因响应投标人的行为受到损害时可根据本须知的规定没收响应投标人的招标保证金。</w:t>
      </w:r>
    </w:p>
    <w:p>
      <w:pPr>
        <w:spacing w:line="5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14.2 投标保证金的货币为人民币，并采用电汇，支票等非现金的形式，如电汇产生的一切费用由响应投标人自行承担。(电汇、支票均须在递交投标保证金截止时间前确认到账)</w:t>
      </w:r>
    </w:p>
    <w:p>
      <w:pPr>
        <w:spacing w:line="500" w:lineRule="exact"/>
        <w:ind w:firstLine="360" w:firstLineChars="1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（1）、招标保证金额：详见《投标人须知前附表》第14项；</w:t>
      </w:r>
    </w:p>
    <w:p>
      <w:pPr>
        <w:spacing w:line="500" w:lineRule="exact"/>
        <w:ind w:firstLine="360" w:firstLineChars="1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（2）、递交招标保证金截止时间：</w:t>
      </w:r>
      <w:r>
        <w:rPr>
          <w:bCs/>
          <w:color w:val="000000" w:themeColor="text1"/>
          <w:kern w:val="0"/>
          <w:sz w:val="24"/>
          <w:szCs w:val="24"/>
          <w:highlight w:val="none"/>
          <w14:textFill>
            <w14:solidFill>
              <w14:schemeClr w14:val="tx1"/>
            </w14:solidFill>
          </w14:textFill>
        </w:rPr>
        <w:t>投标保证金须在</w:t>
      </w:r>
      <w:r>
        <w:rPr>
          <w:color w:val="000000" w:themeColor="text1"/>
          <w:sz w:val="24"/>
          <w:highlight w:val="none"/>
          <w14:textFill>
            <w14:solidFill>
              <w14:schemeClr w14:val="tx1"/>
            </w14:solidFill>
          </w14:textFill>
        </w:rPr>
        <w:t>《投标人须知前附表》第14项规定</w:t>
      </w:r>
      <w:r>
        <w:rPr>
          <w:bCs/>
          <w:color w:val="000000" w:themeColor="text1"/>
          <w:kern w:val="0"/>
          <w:sz w:val="24"/>
          <w:szCs w:val="24"/>
          <w:highlight w:val="none"/>
          <w14:textFill>
            <w14:solidFill>
              <w14:schemeClr w14:val="tx1"/>
            </w14:solidFill>
          </w14:textFill>
        </w:rPr>
        <w:t>时间前确认到账。</w:t>
      </w:r>
      <w:r>
        <w:rPr>
          <w:color w:val="000000" w:themeColor="text1"/>
          <w:sz w:val="24"/>
          <w:highlight w:val="none"/>
          <w14:textFill>
            <w14:solidFill>
              <w14:schemeClr w14:val="tx1"/>
            </w14:solidFill>
          </w14:textFill>
        </w:rPr>
        <w:t>凡未提交投标保证金的响应，将视为非实质性响应而被拒绝</w:t>
      </w:r>
    </w:p>
    <w:p>
      <w:pPr>
        <w:spacing w:line="5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14.3 凡没有根据本须知的规定随附投标保证金的响应，将被视为非响应性予以拒绝。</w:t>
      </w:r>
    </w:p>
    <w:p>
      <w:pPr>
        <w:spacing w:line="5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14.4 </w:t>
      </w:r>
      <w:r>
        <w:rPr>
          <w:rFonts w:eastAsia="新宋体"/>
          <w:color w:val="000000" w:themeColor="text1"/>
          <w:sz w:val="24"/>
          <w:highlight w:val="none"/>
          <w14:textFill>
            <w14:solidFill>
              <w14:schemeClr w14:val="tx1"/>
            </w14:solidFill>
          </w14:textFill>
        </w:rPr>
        <w:t>未中标的投标人，其投标保证金在中标通知书发出后五个工作日内退还；中标人的投标保证金在合同签订后五个工作日内退还。</w:t>
      </w:r>
    </w:p>
    <w:p>
      <w:pPr>
        <w:spacing w:line="500" w:lineRule="exact"/>
        <w:ind w:firstLine="480" w:firstLineChars="200"/>
        <w:rPr>
          <w:color w:val="000000" w:themeColor="text1"/>
          <w:sz w:val="24"/>
          <w:szCs w:val="22"/>
          <w:highlight w:val="none"/>
          <w14:textFill>
            <w14:solidFill>
              <w14:schemeClr w14:val="tx1"/>
            </w14:solidFill>
          </w14:textFill>
        </w:rPr>
      </w:pPr>
      <w:r>
        <w:rPr>
          <w:color w:val="000000" w:themeColor="text1"/>
          <w:sz w:val="24"/>
          <w:szCs w:val="22"/>
          <w:highlight w:val="none"/>
          <w14:textFill>
            <w14:solidFill>
              <w14:schemeClr w14:val="tx1"/>
            </w14:solidFill>
          </w14:textFill>
        </w:rPr>
        <w:t xml:space="preserve">14.5 </w:t>
      </w:r>
      <w:r>
        <w:rPr>
          <w:b/>
          <w:bCs/>
          <w:color w:val="000000" w:themeColor="text1"/>
          <w:sz w:val="24"/>
          <w:szCs w:val="22"/>
          <w:highlight w:val="none"/>
          <w14:textFill>
            <w14:solidFill>
              <w14:schemeClr w14:val="tx1"/>
            </w14:solidFill>
          </w14:textFill>
        </w:rPr>
        <w:t>退投标保证金程序：</w:t>
      </w:r>
    </w:p>
    <w:p>
      <w:pPr>
        <w:numPr>
          <w:ilvl w:val="0"/>
          <w:numId w:val="7"/>
        </w:numPr>
        <w:autoSpaceDE w:val="0"/>
        <w:autoSpaceDN w:val="0"/>
        <w:adjustRightInd w:val="0"/>
        <w:spacing w:line="500" w:lineRule="exact"/>
        <w:ind w:left="5" w:firstLine="415"/>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退还保证金的投标单位需对开收据、提供公司开户许可证复印件并盖章（复印件上写明行号、联系人、电话）。全部以电汇方式退款。</w:t>
      </w:r>
    </w:p>
    <w:p>
      <w:pPr>
        <w:numPr>
          <w:ilvl w:val="0"/>
          <w:numId w:val="7"/>
        </w:numPr>
        <w:autoSpaceDE w:val="0"/>
        <w:autoSpaceDN w:val="0"/>
        <w:adjustRightInd w:val="0"/>
        <w:spacing w:line="500" w:lineRule="exact"/>
        <w:ind w:left="5" w:firstLine="415"/>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办理退投标保证金业务的人员，需持法定代表人授权委托书。</w:t>
      </w:r>
    </w:p>
    <w:p>
      <w:pPr>
        <w:numPr>
          <w:ilvl w:val="0"/>
          <w:numId w:val="7"/>
        </w:numPr>
        <w:autoSpaceDE w:val="0"/>
        <w:autoSpaceDN w:val="0"/>
        <w:adjustRightInd w:val="0"/>
        <w:spacing w:line="500" w:lineRule="exact"/>
        <w:ind w:left="5" w:firstLine="415"/>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退还投标保证金时间：中标公示期满后，未中标单位可携带以上资料到财务室办理退款；中标单位在合同签订后，须带以上资料和合同原件及复印件各1份找项目负责人办理退款。</w:t>
      </w:r>
    </w:p>
    <w:p>
      <w:pPr>
        <w:spacing w:line="5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14.6下列任何情况发生时，投标保证金将被没收。</w:t>
      </w:r>
    </w:p>
    <w:p>
      <w:pPr>
        <w:spacing w:line="5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1、响应投标人在招标文件规定的招标有效期内撤回其响应的；</w:t>
      </w:r>
    </w:p>
    <w:p>
      <w:pPr>
        <w:spacing w:line="5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2、成交方在规定期限内未能按规定与采购人签订合同的。</w:t>
      </w:r>
    </w:p>
    <w:p>
      <w:pPr>
        <w:spacing w:line="5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3、中标候选人在规定期限内未能提交履约保证金。</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15、招标有效期</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15.1 响应应自本须知规定的开标日起，并在“投标人须知前附表”中所述招标有效期内保持有效。招标有效期不足的将被视为非响应性而予以拒绝。</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15.2特殊情况下，在原投标有效期截止之前，（采购代理机构）或采购人可要求投标人延长投标有效期。这种要求与答复均应以书面形式提交。投标人可拒绝采购代理机构或采购人的这种要求，其投标保证金将不会被没收，但其投标在原投标有效期期满后将不再有效。同意延长投标有效期的投标人将不会被要求和允许修正其投标，而只会被要求相应地延长其投标保证金的有效期。在这种情况下，本须知有关投标保证金的退还和不于退还的规定将在延长了的有效期内继续有效。</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16、投标文件的制作和签署</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16.1 投标人应编制投标文件，其份数见投标人须知前附表，投标文件的副本可采用正本的复印件。每套投标文件须清楚地标明“正本”、“副本”。若副本与正本不符，以正本为准。</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16.2 投标文件的正本需打印，</w:t>
      </w:r>
      <w:r>
        <w:rPr>
          <w:rFonts w:eastAsia="新宋体"/>
          <w:color w:val="000000" w:themeColor="text1"/>
          <w:kern w:val="0"/>
          <w:sz w:val="24"/>
          <w:highlight w:val="none"/>
          <w14:textFill>
            <w14:solidFill>
              <w14:schemeClr w14:val="tx1"/>
            </w14:solidFill>
          </w14:textFill>
        </w:rPr>
        <w:t>并加盖公章和由法定代表人或经其正式授权的代表签字或盖章</w:t>
      </w:r>
      <w:r>
        <w:rPr>
          <w:color w:val="000000" w:themeColor="text1"/>
          <w:sz w:val="24"/>
          <w:szCs w:val="24"/>
          <w:highlight w:val="none"/>
          <w14:textFill>
            <w14:solidFill>
              <w14:schemeClr w14:val="tx1"/>
            </w14:solidFill>
          </w14:textFill>
        </w:rPr>
        <w:t>。</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16.3 任何行间插字、涂改或增删，必须重新加盖公章。</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17、投标文件的密封和标记及递交</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17.1 为方便开标唱标，投标人应将开标一览表单独密封一份，并在信封上标明“开标一览表”字样。</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17.2 投标人应将投标文件正本单独密封，并标明“投标文件正本”字样。</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17.3投标人应将投标文件所有的副本密封装在一起，且标明 “副本”字样。均应按《投标人须知前附表》要求密封：</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17.4 如果未按本须知要求加写标记、签字或盖章和密封的，其响应将被拒绝。</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18、招标截止期</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18.1 投标人应在不迟于“投标人须知前附表”中规定的截止日期和时间将投标文件递交至代理机构，递交地点应是“投标人须知前附表”中指明的地址。</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18.2 代理机构可以按本须知规定，通知修改招标文件适当延长招标截止期。在此情况下，代理机构、采购人和投标人受招标截止期制约的所有权利和义务均应延长至新的截止期。</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19、迟交的投标文件</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19.1 代理机构将拒绝接收在本须知规定的截止期后送达的任何投标文件。</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投标文件的修改与撤回</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19.1 投标人在递交投标文件后，可以修改或撤回其响应，但投标人必须在规定的招标截止期之前将修改或撤回的书面通知递交到代理机构。</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19.2 投标人的修改或撤回通知应按本须知规定编制、密封、标记和递交。</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19.3 在招标截止期之后，投标人不得对其响应做任何修改。</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19.4 从招标截止期至投标人在投标文件格式中确定的招标有效期期满这段时间内，投标人不得撤回，否则其招标保证金将按照本须知的规定被没收。</w:t>
      </w:r>
    </w:p>
    <w:p>
      <w:pPr>
        <w:spacing w:line="500" w:lineRule="exact"/>
        <w:ind w:firstLine="480" w:firstLineChars="200"/>
        <w:rPr>
          <w:color w:val="000000" w:themeColor="text1"/>
          <w:sz w:val="24"/>
          <w:szCs w:val="24"/>
          <w:highlight w:val="none"/>
          <w14:textFill>
            <w14:solidFill>
              <w14:schemeClr w14:val="tx1"/>
            </w14:solidFill>
          </w14:textFill>
        </w:rPr>
      </w:pPr>
      <w:bookmarkStart w:id="56" w:name="_Toc205342864"/>
      <w:bookmarkStart w:id="57" w:name="_Toc47418717"/>
      <w:bookmarkStart w:id="58" w:name="_Toc47418241"/>
      <w:bookmarkStart w:id="59" w:name="_Toc48995837"/>
      <w:bookmarkStart w:id="60" w:name="_Toc47261056"/>
      <w:bookmarkStart w:id="61" w:name="_Toc47262055"/>
      <w:bookmarkStart w:id="62" w:name="_Toc47261871"/>
      <w:bookmarkStart w:id="63" w:name="_Toc47261676"/>
      <w:bookmarkStart w:id="64" w:name="_Toc48791221"/>
      <w:bookmarkStart w:id="65" w:name="_Toc49019222"/>
      <w:bookmarkStart w:id="66" w:name="_Toc47418924"/>
      <w:r>
        <w:rPr>
          <w:color w:val="000000" w:themeColor="text1"/>
          <w:sz w:val="24"/>
          <w:szCs w:val="24"/>
          <w:highlight w:val="none"/>
          <w14:textFill>
            <w14:solidFill>
              <w14:schemeClr w14:val="tx1"/>
            </w14:solidFill>
          </w14:textFill>
        </w:rPr>
        <w:t>五、开标与评标</w:t>
      </w:r>
      <w:bookmarkEnd w:id="56"/>
      <w:bookmarkEnd w:id="57"/>
      <w:bookmarkEnd w:id="58"/>
      <w:bookmarkEnd w:id="59"/>
      <w:bookmarkEnd w:id="60"/>
      <w:bookmarkEnd w:id="61"/>
      <w:bookmarkEnd w:id="62"/>
      <w:bookmarkEnd w:id="63"/>
      <w:bookmarkEnd w:id="64"/>
      <w:bookmarkEnd w:id="65"/>
      <w:bookmarkEnd w:id="66"/>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20、开标</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20.1 代理机构在</w:t>
      </w:r>
      <w:r>
        <w:rPr>
          <w:color w:val="000000" w:themeColor="text1"/>
          <w:sz w:val="24"/>
          <w:highlight w:val="none"/>
          <w14:textFill>
            <w14:solidFill>
              <w14:schemeClr w14:val="tx1"/>
            </w14:solidFill>
          </w14:textFill>
        </w:rPr>
        <w:t>《投标人须知前附表》规定的时间、地点</w:t>
      </w:r>
      <w:r>
        <w:rPr>
          <w:color w:val="000000" w:themeColor="text1"/>
          <w:sz w:val="24"/>
          <w:szCs w:val="24"/>
          <w:highlight w:val="none"/>
          <w14:textFill>
            <w14:solidFill>
              <w14:schemeClr w14:val="tx1"/>
            </w14:solidFill>
          </w14:textFill>
        </w:rPr>
        <w:t>组织开标。邀请</w:t>
      </w:r>
      <w:r>
        <w:rPr>
          <w:rFonts w:eastAsia="新宋体"/>
          <w:color w:val="000000" w:themeColor="text1"/>
          <w:sz w:val="24"/>
          <w:highlight w:val="none"/>
          <w14:textFill>
            <w14:solidFill>
              <w14:schemeClr w14:val="tx1"/>
            </w14:solidFill>
          </w14:textFill>
        </w:rPr>
        <w:t>采购人和</w:t>
      </w:r>
      <w:r>
        <w:rPr>
          <w:color w:val="000000" w:themeColor="text1"/>
          <w:sz w:val="24"/>
          <w:szCs w:val="24"/>
          <w:highlight w:val="none"/>
          <w14:textFill>
            <w14:solidFill>
              <w14:schemeClr w14:val="tx1"/>
            </w14:solidFill>
          </w14:textFill>
        </w:rPr>
        <w:t>所有投标人授权代表参加</w:t>
      </w:r>
      <w:r>
        <w:rPr>
          <w:rFonts w:eastAsia="新宋体"/>
          <w:color w:val="000000" w:themeColor="text1"/>
          <w:sz w:val="24"/>
          <w:highlight w:val="none"/>
          <w14:textFill>
            <w14:solidFill>
              <w14:schemeClr w14:val="tx1"/>
            </w14:solidFill>
          </w14:textFill>
        </w:rPr>
        <w:t>，并邀请政府采购政府监督管理部门、监察等有关单位代表参加。</w:t>
      </w:r>
      <w:r>
        <w:rPr>
          <w:color w:val="000000" w:themeColor="text1"/>
          <w:sz w:val="24"/>
          <w:szCs w:val="24"/>
          <w:highlight w:val="none"/>
          <w14:textFill>
            <w14:solidFill>
              <w14:schemeClr w14:val="tx1"/>
            </w14:solidFill>
          </w14:textFill>
        </w:rPr>
        <w:t>参加开标的代表应签名报到以证明其出席。</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20.2 </w:t>
      </w:r>
      <w:r>
        <w:rPr>
          <w:rFonts w:eastAsia="新宋体"/>
          <w:color w:val="000000" w:themeColor="text1"/>
          <w:sz w:val="24"/>
          <w:szCs w:val="24"/>
          <w:highlight w:val="none"/>
          <w14:textFill>
            <w14:solidFill>
              <w14:schemeClr w14:val="tx1"/>
            </w14:solidFill>
          </w14:textFill>
        </w:rPr>
        <w:t>开标时，由投标人或其推选的代表检查投标文件的密封情况，也可以由采购人委托的公证机构检查并公证，经确认无误后由</w:t>
      </w:r>
      <w:r>
        <w:rPr>
          <w:color w:val="000000" w:themeColor="text1"/>
          <w:sz w:val="24"/>
          <w:szCs w:val="24"/>
          <w:highlight w:val="none"/>
          <w14:textFill>
            <w14:solidFill>
              <w14:schemeClr w14:val="tx1"/>
            </w14:solidFill>
          </w14:textFill>
        </w:rPr>
        <w:t>代理机构当众宣读投标人名称、项目编号（包号）、投标报价、</w:t>
      </w:r>
      <w:r>
        <w:rPr>
          <w:rFonts w:eastAsia="新宋体"/>
          <w:color w:val="000000" w:themeColor="text1"/>
          <w:sz w:val="24"/>
          <w:szCs w:val="24"/>
          <w:highlight w:val="none"/>
          <w14:textFill>
            <w14:solidFill>
              <w14:schemeClr w14:val="tx1"/>
            </w14:solidFill>
          </w14:textFill>
        </w:rPr>
        <w:t>价格折扣、采购文件允许提供的备选投标方案和投标文件的其他主要内容</w:t>
      </w:r>
      <w:r>
        <w:rPr>
          <w:color w:val="000000" w:themeColor="text1"/>
          <w:sz w:val="24"/>
          <w:szCs w:val="24"/>
          <w:highlight w:val="none"/>
          <w14:textFill>
            <w14:solidFill>
              <w14:schemeClr w14:val="tx1"/>
            </w14:solidFill>
          </w14:textFill>
        </w:rPr>
        <w:t>，以及代理机构认为合适的其他内容。除了按照本须知的规定原封退回迟到的响应之外，开标时将不得拒绝任何准时到达的响应。</w:t>
      </w:r>
    </w:p>
    <w:p>
      <w:pPr>
        <w:spacing w:line="500" w:lineRule="exact"/>
        <w:ind w:firstLine="480" w:firstLineChars="200"/>
        <w:rPr>
          <w:rFonts w:eastAsia="新宋体"/>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20.3 </w:t>
      </w:r>
      <w:r>
        <w:rPr>
          <w:rFonts w:eastAsia="新宋体"/>
          <w:color w:val="000000" w:themeColor="text1"/>
          <w:sz w:val="24"/>
          <w:szCs w:val="24"/>
          <w:highlight w:val="none"/>
          <w14:textFill>
            <w14:solidFill>
              <w14:schemeClr w14:val="tx1"/>
            </w14:solidFill>
          </w14:textFill>
        </w:rPr>
        <w:t>采购代理机构</w:t>
      </w:r>
      <w:r>
        <w:rPr>
          <w:rFonts w:eastAsia="新宋体"/>
          <w:color w:val="000000" w:themeColor="text1"/>
          <w:kern w:val="0"/>
          <w:sz w:val="24"/>
          <w:szCs w:val="24"/>
          <w:highlight w:val="none"/>
          <w14:textFill>
            <w14:solidFill>
              <w14:schemeClr w14:val="tx1"/>
            </w14:solidFill>
          </w14:textFill>
        </w:rPr>
        <w:t>做好开标记录，开标记录由</w:t>
      </w:r>
      <w:r>
        <w:rPr>
          <w:rFonts w:eastAsia="新宋体"/>
          <w:color w:val="000000" w:themeColor="text1"/>
          <w:sz w:val="24"/>
          <w:szCs w:val="24"/>
          <w:highlight w:val="none"/>
          <w14:textFill>
            <w14:solidFill>
              <w14:schemeClr w14:val="tx1"/>
            </w14:solidFill>
          </w14:textFill>
        </w:rPr>
        <w:t>各投标人签字确认</w:t>
      </w:r>
      <w:r>
        <w:rPr>
          <w:rFonts w:eastAsia="新宋体"/>
          <w:color w:val="000000" w:themeColor="text1"/>
          <w:kern w:val="0"/>
          <w:sz w:val="24"/>
          <w:szCs w:val="24"/>
          <w:highlight w:val="none"/>
          <w14:textFill>
            <w14:solidFill>
              <w14:schemeClr w14:val="tx1"/>
            </w14:solidFill>
          </w14:textFill>
        </w:rPr>
        <w:t>。</w:t>
      </w:r>
    </w:p>
    <w:p>
      <w:pPr>
        <w:spacing w:line="500" w:lineRule="exact"/>
        <w:ind w:firstLine="482" w:firstLineChars="200"/>
        <w:rPr>
          <w:rFonts w:eastAsia="新宋体"/>
          <w:b/>
          <w:bCs/>
          <w:color w:val="000000" w:themeColor="text1"/>
          <w:kern w:val="0"/>
          <w:sz w:val="24"/>
          <w:szCs w:val="24"/>
          <w:highlight w:val="none"/>
          <w14:textFill>
            <w14:solidFill>
              <w14:schemeClr w14:val="tx1"/>
            </w14:solidFill>
          </w14:textFill>
        </w:rPr>
      </w:pPr>
      <w:r>
        <w:rPr>
          <w:rFonts w:eastAsia="新宋体"/>
          <w:b/>
          <w:bCs/>
          <w:color w:val="000000" w:themeColor="text1"/>
          <w:kern w:val="0"/>
          <w:sz w:val="24"/>
          <w:szCs w:val="24"/>
          <w:highlight w:val="none"/>
          <w14:textFill>
            <w14:solidFill>
              <w14:schemeClr w14:val="tx1"/>
            </w14:solidFill>
          </w14:textFill>
        </w:rPr>
        <w:t>20.4 如果资格审查合格的投标人不足3家，将不进行评标，采购人将依法重新组织招标或采用其它采购方式采购。</w:t>
      </w:r>
    </w:p>
    <w:p>
      <w:pPr>
        <w:spacing w:line="500" w:lineRule="exact"/>
        <w:ind w:firstLine="480" w:firstLineChars="200"/>
        <w:rPr>
          <w:rFonts w:eastAsia="新宋体"/>
          <w:color w:val="000000" w:themeColor="text1"/>
          <w:kern w:val="0"/>
          <w:sz w:val="24"/>
          <w:szCs w:val="24"/>
          <w:highlight w:val="none"/>
          <w14:textFill>
            <w14:solidFill>
              <w14:schemeClr w14:val="tx1"/>
            </w14:solidFill>
          </w14:textFill>
        </w:rPr>
      </w:pPr>
      <w:r>
        <w:rPr>
          <w:rFonts w:eastAsia="新宋体"/>
          <w:color w:val="000000" w:themeColor="text1"/>
          <w:kern w:val="0"/>
          <w:sz w:val="24"/>
          <w:szCs w:val="24"/>
          <w:highlight w:val="none"/>
          <w14:textFill>
            <w14:solidFill>
              <w14:schemeClr w14:val="tx1"/>
            </w14:solidFill>
          </w14:textFill>
        </w:rPr>
        <w:t>20.5投标人应当遵循公平竞争的原则，不得恶意串通，不得妨碍其他投标人的竞争行为，不得损害采购人或者其他投标人的合法权益。</w:t>
      </w:r>
    </w:p>
    <w:p>
      <w:pPr>
        <w:spacing w:line="500" w:lineRule="exact"/>
        <w:ind w:firstLine="480" w:firstLineChars="200"/>
        <w:rPr>
          <w:rFonts w:eastAsia="新宋体"/>
          <w:color w:val="000000" w:themeColor="text1"/>
          <w:kern w:val="0"/>
          <w:sz w:val="24"/>
          <w:szCs w:val="24"/>
          <w:highlight w:val="none"/>
          <w14:textFill>
            <w14:solidFill>
              <w14:schemeClr w14:val="tx1"/>
            </w14:solidFill>
          </w14:textFill>
        </w:rPr>
      </w:pPr>
      <w:r>
        <w:rPr>
          <w:rFonts w:eastAsia="新宋体"/>
          <w:color w:val="000000" w:themeColor="text1"/>
          <w:kern w:val="0"/>
          <w:sz w:val="24"/>
          <w:szCs w:val="24"/>
          <w:highlight w:val="none"/>
          <w14:textFill>
            <w14:solidFill>
              <w14:schemeClr w14:val="tx1"/>
            </w14:solidFill>
          </w14:textFill>
        </w:rPr>
        <w:t>在评标过程中发现投标人有上述情形的，评标委员会应当</w:t>
      </w:r>
      <w:r>
        <w:rPr>
          <w:rFonts w:eastAsia="新宋体"/>
          <w:b/>
          <w:bCs/>
          <w:color w:val="000000" w:themeColor="text1"/>
          <w:kern w:val="0"/>
          <w:sz w:val="24"/>
          <w:szCs w:val="24"/>
          <w:highlight w:val="none"/>
          <w14:textFill>
            <w14:solidFill>
              <w14:schemeClr w14:val="tx1"/>
            </w14:solidFill>
          </w14:textFill>
        </w:rPr>
        <w:t>认定其投标无效</w:t>
      </w:r>
      <w:r>
        <w:rPr>
          <w:rFonts w:eastAsia="新宋体"/>
          <w:color w:val="000000" w:themeColor="text1"/>
          <w:kern w:val="0"/>
          <w:sz w:val="24"/>
          <w:szCs w:val="24"/>
          <w:highlight w:val="none"/>
          <w14:textFill>
            <w14:solidFill>
              <w14:schemeClr w14:val="tx1"/>
            </w14:solidFill>
          </w14:textFill>
        </w:rPr>
        <w:t>， 并书面报告本级财政部门。</w:t>
      </w:r>
    </w:p>
    <w:p>
      <w:pPr>
        <w:spacing w:line="500" w:lineRule="exact"/>
        <w:ind w:firstLine="480" w:firstLineChars="200"/>
        <w:rPr>
          <w:rFonts w:eastAsia="新宋体"/>
          <w:color w:val="000000" w:themeColor="text1"/>
          <w:kern w:val="0"/>
          <w:sz w:val="24"/>
          <w:szCs w:val="24"/>
          <w:highlight w:val="none"/>
          <w14:textFill>
            <w14:solidFill>
              <w14:schemeClr w14:val="tx1"/>
            </w14:solidFill>
          </w14:textFill>
        </w:rPr>
      </w:pPr>
      <w:r>
        <w:rPr>
          <w:rFonts w:eastAsia="新宋体"/>
          <w:color w:val="000000" w:themeColor="text1"/>
          <w:kern w:val="0"/>
          <w:sz w:val="24"/>
          <w:szCs w:val="24"/>
          <w:highlight w:val="none"/>
          <w14:textFill>
            <w14:solidFill>
              <w14:schemeClr w14:val="tx1"/>
            </w14:solidFill>
          </w14:textFill>
        </w:rPr>
        <w:t>20.6有下列情形之一的，视为投标人串通投标，其投标无效,并对投标人依照《政府采购法》第七十七条的规定追究法律责任：</w:t>
      </w:r>
    </w:p>
    <w:p>
      <w:pPr>
        <w:pStyle w:val="29"/>
        <w:numPr>
          <w:ilvl w:val="0"/>
          <w:numId w:val="8"/>
        </w:numPr>
        <w:spacing w:line="500" w:lineRule="exact"/>
        <w:ind w:left="220" w:firstLine="420" w:firstLineChars="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不同投标人的投标文件由同一单位或者个人编制；</w:t>
      </w:r>
    </w:p>
    <w:p>
      <w:pPr>
        <w:pStyle w:val="29"/>
        <w:numPr>
          <w:ilvl w:val="0"/>
          <w:numId w:val="8"/>
        </w:numPr>
        <w:spacing w:line="500" w:lineRule="exact"/>
        <w:ind w:left="220" w:firstLine="420" w:firstLineChars="0"/>
        <w:rPr>
          <w:color w:val="000000" w:themeColor="text1"/>
          <w:spacing w:val="-2"/>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不同投标人委托同一单位或者个人办理投标事宜；</w:t>
      </w:r>
    </w:p>
    <w:p>
      <w:pPr>
        <w:pStyle w:val="29"/>
        <w:numPr>
          <w:ilvl w:val="0"/>
          <w:numId w:val="8"/>
        </w:numPr>
        <w:spacing w:line="500" w:lineRule="exact"/>
        <w:ind w:left="220" w:firstLine="420" w:firstLineChars="0"/>
        <w:rPr>
          <w:color w:val="000000" w:themeColor="text1"/>
          <w:spacing w:val="-2"/>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不同投标人的投标文件载明的项目管理成员或者联系人员为同一人；</w:t>
      </w:r>
    </w:p>
    <w:p>
      <w:pPr>
        <w:pStyle w:val="29"/>
        <w:numPr>
          <w:ilvl w:val="0"/>
          <w:numId w:val="8"/>
        </w:numPr>
        <w:spacing w:line="500" w:lineRule="exact"/>
        <w:ind w:left="220" w:firstLine="420" w:firstLineChars="0"/>
        <w:rPr>
          <w:color w:val="000000" w:themeColor="text1"/>
          <w:spacing w:val="-2"/>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不同投标人的投标文件异常一致或者投标报价呈规律性差异；</w:t>
      </w:r>
    </w:p>
    <w:p>
      <w:pPr>
        <w:pStyle w:val="29"/>
        <w:numPr>
          <w:ilvl w:val="0"/>
          <w:numId w:val="8"/>
        </w:numPr>
        <w:spacing w:line="500" w:lineRule="exact"/>
        <w:ind w:left="220" w:firstLine="420" w:firstLineChars="0"/>
        <w:rPr>
          <w:color w:val="000000" w:themeColor="text1"/>
          <w:spacing w:val="-2"/>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不同投标人的投标文件相互混装；</w:t>
      </w:r>
    </w:p>
    <w:p>
      <w:pPr>
        <w:pStyle w:val="29"/>
        <w:numPr>
          <w:ilvl w:val="0"/>
          <w:numId w:val="8"/>
        </w:numPr>
        <w:spacing w:line="500" w:lineRule="exact"/>
        <w:ind w:left="220" w:firstLine="420" w:firstLineChars="0"/>
        <w:rPr>
          <w:color w:val="000000" w:themeColor="text1"/>
          <w:spacing w:val="-2"/>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不同投标人的投标保证金从同一单位或者个人的账户转出。</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  评标</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21.1 评标委员会</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21.1.1 代理机构将按照“中华人民共和国招标投标法”及有关规定组建评标委员会。</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评标委员会由采购人代表和评标专家组成，成员人数应当为 5 人</w:t>
      </w:r>
      <w:r>
        <w:rPr>
          <w:rFonts w:hint="eastAsia"/>
          <w:color w:val="000000" w:themeColor="text1"/>
          <w:sz w:val="24"/>
          <w:szCs w:val="24"/>
          <w:highlight w:val="none"/>
          <w14:textFill>
            <w14:solidFill>
              <w14:schemeClr w14:val="tx1"/>
            </w14:solidFill>
          </w14:textFill>
        </w:rPr>
        <w:t>及</w:t>
      </w:r>
      <w:r>
        <w:rPr>
          <w:color w:val="000000" w:themeColor="text1"/>
          <w:sz w:val="24"/>
          <w:szCs w:val="24"/>
          <w:highlight w:val="none"/>
          <w14:textFill>
            <w14:solidFill>
              <w14:schemeClr w14:val="tx1"/>
            </w14:solidFill>
          </w14:textFill>
        </w:rPr>
        <w:t>以上单数，其中评标专家不得少于成员总数的三分之二。评标委员会成员与投标人存在利害关系的，应当回避。</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21.1.2 采购项目符合下列情形之一的，评标委员会成员人数应当为 7 人以上单数：</w:t>
      </w:r>
    </w:p>
    <w:p>
      <w:pPr>
        <w:pStyle w:val="29"/>
        <w:numPr>
          <w:ilvl w:val="0"/>
          <w:numId w:val="9"/>
        </w:numPr>
        <w:tabs>
          <w:tab w:val="left" w:pos="840"/>
        </w:tabs>
        <w:spacing w:line="500" w:lineRule="exact"/>
        <w:ind w:left="0" w:firstLine="640" w:firstLineChars="0"/>
        <w:rPr>
          <w:color w:val="000000" w:themeColor="text1"/>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 xml:space="preserve">采购预算金额在 </w:t>
      </w:r>
      <w:r>
        <w:rPr>
          <w:color w:val="000000" w:themeColor="text1"/>
          <w:sz w:val="24"/>
          <w:highlight w:val="none"/>
          <w14:textFill>
            <w14:solidFill>
              <w14:schemeClr w14:val="tx1"/>
            </w14:solidFill>
          </w14:textFill>
        </w:rPr>
        <w:t>1000</w:t>
      </w:r>
      <w:r>
        <w:rPr>
          <w:color w:val="000000" w:themeColor="text1"/>
          <w:spacing w:val="-10"/>
          <w:sz w:val="24"/>
          <w:highlight w:val="none"/>
          <w14:textFill>
            <w14:solidFill>
              <w14:schemeClr w14:val="tx1"/>
            </w14:solidFill>
          </w14:textFill>
        </w:rPr>
        <w:t xml:space="preserve"> 万元以上；</w:t>
      </w:r>
    </w:p>
    <w:p>
      <w:pPr>
        <w:pStyle w:val="29"/>
        <w:numPr>
          <w:ilvl w:val="0"/>
          <w:numId w:val="9"/>
        </w:numPr>
        <w:tabs>
          <w:tab w:val="left" w:pos="840"/>
        </w:tabs>
        <w:spacing w:line="500" w:lineRule="exact"/>
        <w:ind w:left="0" w:firstLine="640" w:firstLineChars="0"/>
        <w:rPr>
          <w:color w:val="000000" w:themeColor="text1"/>
          <w:spacing w:val="-8"/>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技术复杂；</w:t>
      </w:r>
    </w:p>
    <w:p>
      <w:pPr>
        <w:pStyle w:val="29"/>
        <w:numPr>
          <w:ilvl w:val="0"/>
          <w:numId w:val="9"/>
        </w:numPr>
        <w:tabs>
          <w:tab w:val="left" w:pos="840"/>
        </w:tabs>
        <w:spacing w:line="500" w:lineRule="exact"/>
        <w:ind w:left="0" w:firstLine="640" w:firstLineChars="0"/>
        <w:rPr>
          <w:color w:val="000000" w:themeColor="text1"/>
          <w:spacing w:val="-8"/>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社会影响较大。</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21.1.3 评标委员会由采购人代表及有关经济、技术等方面的专家组成。</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21.1.4评标委员会负责评标工作，对投标文件进行审查和评估向采购方提交书面评标报告。</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21.1.5评审委员会将按照采购文件确定的评审方法和评审标准进行评审。评审委员会对投标文件的评审分为资格性审查、符合性检查、商务评议、技术评议和价格评议。</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24.1.7本次评审方法：综合评分法，是指投标文件满足采购文件全部实质性要求且按照评审因素的量化指标评审得分最高的投标人为中标候选人的评标方法。</w:t>
      </w:r>
    </w:p>
    <w:p>
      <w:pPr>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21.2投标文件的澄清</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21.2.1评审期间，评标委员会有权要求投标人对其投标文件中含义不明确、同类问题表述不一致或者有明显文字和计算错误的内容等作必要的澄清、说明或者补正。投标人必须按照评审委员会要求的澄清内容和时间做出澄清。除按本采购文件须知规定的改正算术错误外，投标人对投标文件的澄清不得超出投标文件的范围或者改变投标文件的实质性内容。有关澄清的答复均应由投标人的法定代表人或授权代表签字的书面形式作出并加盖投标人的公章。</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21.2.2投标人的澄清文件是其投标文件的组成部分。</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21.3  投标文件的初审（详见第六章评标标准—评标标准及办法）</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21.4  投标文件的详细评审（详见第六章评标标准—评标标准及办法）</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   与代理机构、采购人和评标委员会的接触</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22.1 除本须知的规定外，从开标之日起至授予合同期间，投标人不得就与其响应有关的事项与代理机构、采购人以及评标委员会成员接触。</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22.2 投标人试图对代理机构、采购人和评标委员会的评标、比较或授予合同的决定进行影响，都可能导致其投标被拒绝。</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23. 定标</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23.1 评审委员会按照采购文件确定的评标方法、步骤、标准，对投标文件进行评审，提出书面评审报告，按照综合得分由高到低的顺序推荐中标候选人名单。</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23.2 采购人按照评审委员会推荐中标候选人顺序确定中标投标人。</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23.3 中标投标人因不可抗力或者自身原因不能履行政府采购合同的，采购人可以与排位在中标投标人之后第一位的中标候选投标人签订政府采购合同，以此类推。</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23.4 中标投标人确定后，采购代理机构将在政府采购政府监督管理部门指定的媒体上发布中标结果公告，公告期满无异议后，向中标投标人和采购人发出《中标通知书》。《中标通知书》是合同的组成部分,对中标投标人和采购人具有同等法律效力。</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23.5 在评审期间，投标人不得非法干预、影响评审过程。</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24. 授标时更改采购货物数量的权力</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24.1 采购方在授予合同时有权在“投标人须知前附表”规定的幅度内对招标文件规定的货物数量和服务予以增加或减少，但不得对单价或其它的条款和条件做任何改变。</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25公告、质疑</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25.1采购代理机构将在政府采购监督管理部门指定媒体上发布招标公告、更正公告、通知、中标结果公告等政府采购的信息。</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25.2如果投标人对此次采购活动有疑问，可依据《中华人民共和国政府采购法》等相关规定，向采购人或采购代理机构提出质疑。</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25.3公告期内如有质疑，采购人或采购代理机构将依法给与答复，并将结果告知所有当事人。</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26废标条款</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26.1在招标采购中，出现下列情形之一的，应予废标：</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1)符合专业条件的投标人或者对采购文件作实质响应的投标人不足三家的（经政府采购监督管理部门同意变更采购方式的除外）；</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2)出现影响采购公正的违法、违规行为的；</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3)投标人的报价均超过了采购预算，采购人不能支付的；</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4)因重大变故，采购任务取消的。</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八、终止招标</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终止招标的，采购或采购代理机构在发布招标公告、资格预审公司或者发出投标邀请书后，除因重大变故采购任务取消情况外，不得擅自终止招标活动。</w:t>
      </w:r>
    </w:p>
    <w:p>
      <w:pPr>
        <w:spacing w:line="480" w:lineRule="exact"/>
        <w:ind w:firstLine="480" w:firstLineChars="200"/>
        <w:rPr>
          <w:rFonts w:eastAsia="新宋体"/>
          <w:color w:val="000000" w:themeColor="text1"/>
          <w:sz w:val="24"/>
          <w:szCs w:val="24"/>
          <w:highlight w:val="none"/>
          <w14:textFill>
            <w14:solidFill>
              <w14:schemeClr w14:val="tx1"/>
            </w14:solidFill>
          </w14:textFill>
        </w:rPr>
      </w:pPr>
      <w:r>
        <w:rPr>
          <w:rFonts w:eastAsia="新宋体"/>
          <w:color w:val="000000" w:themeColor="text1"/>
          <w:sz w:val="24"/>
          <w:szCs w:val="24"/>
          <w:highlight w:val="none"/>
          <w14:textFill>
            <w14:solidFill>
              <w14:schemeClr w14:val="tx1"/>
            </w14:solidFill>
          </w14:textFill>
        </w:rPr>
        <w:t>终止招标的，采购人或者采购代理机构应当及时在原公告发布媒体上发布终止公敌，以书面形式通知已经获取招标文件、资格预审文件或者被邀请的潜在投标人，并将项目实施情况和采购任务取消原因报告本级财政部门。已经收到招标文件费用或者投标保证金的，采购人或者采购代理机构应当在终止采购活动后5个工作日内，退还所收取的招标文件费用和所收取的投标保证金。</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27. 中标通知书 </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27.1 中标候选人确定后，代理机构将向中标候选人发出中标通知书。</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27.2 中标通知书 是合同的一个组成部分。</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28. 签订合同</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28.1中标候选人在收到代理机构的中标通知书后三十（30）天内，应按招标文件的要求与采购人签订</w:t>
      </w:r>
      <w:r>
        <w:rPr>
          <w:rFonts w:hint="eastAsia"/>
          <w:color w:val="000000" w:themeColor="text1"/>
          <w:sz w:val="24"/>
          <w:szCs w:val="24"/>
          <w:highlight w:val="none"/>
          <w14:textFill>
            <w14:solidFill>
              <w14:schemeClr w14:val="tx1"/>
            </w14:solidFill>
          </w14:textFill>
        </w:rPr>
        <w:t>，否则将视为放弃中标资格。</w:t>
      </w:r>
    </w:p>
    <w:p>
      <w:pPr>
        <w:spacing w:line="48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29.服务费收费标准依据</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29.1、中标人必须在确定中标之日起3日内向代理机构支付服务费。</w:t>
      </w:r>
    </w:p>
    <w:p>
      <w:pPr>
        <w:spacing w:line="48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29.2、服务费收费标准依据国家发展计划委员会文件（计价格[2002]1980号文）和（发改办价格[2003]857号文件）执行，由中标人支付</w:t>
      </w:r>
    </w:p>
    <w:p>
      <w:pPr>
        <w:spacing w:line="3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pPr>
        <w:jc w:val="center"/>
        <w:rPr>
          <w:color w:val="000000" w:themeColor="text1"/>
          <w:sz w:val="24"/>
          <w:highlight w:val="none"/>
          <w14:textFill>
            <w14:solidFill>
              <w14:schemeClr w14:val="tx1"/>
            </w14:solidFill>
          </w14:textFill>
        </w:rPr>
      </w:pPr>
    </w:p>
    <w:p>
      <w:pPr>
        <w:jc w:val="center"/>
        <w:rPr>
          <w:color w:val="000000" w:themeColor="text1"/>
          <w:sz w:val="24"/>
          <w:highlight w:val="none"/>
          <w14:textFill>
            <w14:solidFill>
              <w14:schemeClr w14:val="tx1"/>
            </w14:solidFill>
          </w14:textFill>
        </w:rPr>
      </w:pPr>
    </w:p>
    <w:p>
      <w:pPr>
        <w:pStyle w:val="2"/>
        <w:rPr>
          <w:color w:val="000000" w:themeColor="text1"/>
          <w:szCs w:val="22"/>
          <w:highlight w:val="none"/>
          <w14:textFill>
            <w14:solidFill>
              <w14:schemeClr w14:val="tx1"/>
            </w14:solidFill>
          </w14:textFill>
        </w:rPr>
      </w:pPr>
    </w:p>
    <w:p>
      <w:pPr>
        <w:pStyle w:val="2"/>
        <w:ind w:firstLine="442" w:firstLineChars="100"/>
        <w:jc w:val="both"/>
        <w:rPr>
          <w:color w:val="000000" w:themeColor="text1"/>
          <w:szCs w:val="22"/>
          <w:highlight w:val="none"/>
          <w14:textFill>
            <w14:solidFill>
              <w14:schemeClr w14:val="tx1"/>
            </w14:solidFill>
          </w14:textFill>
        </w:rPr>
      </w:pPr>
    </w:p>
    <w:p>
      <w:pPr>
        <w:pStyle w:val="2"/>
        <w:ind w:firstLine="2209" w:firstLineChars="500"/>
        <w:jc w:val="left"/>
        <w:rPr>
          <w:color w:val="000000" w:themeColor="text1"/>
          <w:szCs w:val="22"/>
          <w:highlight w:val="none"/>
          <w14:textFill>
            <w14:solidFill>
              <w14:schemeClr w14:val="tx1"/>
            </w14:solidFill>
          </w14:textFill>
        </w:rPr>
      </w:pPr>
      <w:bookmarkStart w:id="67" w:name="_Toc169194754"/>
      <w:r>
        <w:rPr>
          <w:color w:val="000000" w:themeColor="text1"/>
          <w:szCs w:val="22"/>
          <w:highlight w:val="none"/>
          <w14:textFill>
            <w14:solidFill>
              <w14:schemeClr w14:val="tx1"/>
            </w14:solidFill>
          </w14:textFill>
        </w:rPr>
        <w:t>第四章   合   同</w:t>
      </w:r>
      <w:bookmarkEnd w:id="67"/>
    </w:p>
    <w:p>
      <w:pPr>
        <w:spacing w:line="520" w:lineRule="exact"/>
        <w:jc w:val="center"/>
        <w:rPr>
          <w:rFonts w:eastAsia="新宋体"/>
          <w:b/>
          <w:color w:val="000000" w:themeColor="text1"/>
          <w:sz w:val="24"/>
          <w:highlight w:val="none"/>
          <w14:textFill>
            <w14:solidFill>
              <w14:schemeClr w14:val="tx1"/>
            </w14:solidFill>
          </w14:textFill>
        </w:rPr>
      </w:pPr>
    </w:p>
    <w:p>
      <w:pPr>
        <w:spacing w:line="520" w:lineRule="exact"/>
        <w:jc w:val="center"/>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（政府采购代理机构名称）</w:t>
      </w:r>
    </w:p>
    <w:p>
      <w:pPr>
        <w:spacing w:line="520" w:lineRule="exact"/>
        <w:jc w:val="center"/>
        <w:rPr>
          <w:rFonts w:eastAsia="新宋体"/>
          <w:color w:val="000000" w:themeColor="text1"/>
          <w:sz w:val="24"/>
          <w:highlight w:val="none"/>
          <w14:textFill>
            <w14:solidFill>
              <w14:schemeClr w14:val="tx1"/>
            </w14:solidFill>
          </w14:textFill>
        </w:rPr>
      </w:pPr>
    </w:p>
    <w:p>
      <w:pPr>
        <w:spacing w:line="520" w:lineRule="exact"/>
        <w:ind w:firstLine="2640" w:firstLineChars="11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政府采购合同</w:t>
      </w:r>
    </w:p>
    <w:p>
      <w:pPr>
        <w:spacing w:line="520" w:lineRule="exact"/>
        <w:jc w:val="center"/>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 xml:space="preserve"> （   ）类</w:t>
      </w:r>
    </w:p>
    <w:p>
      <w:pPr>
        <w:spacing w:line="520" w:lineRule="exact"/>
        <w:jc w:val="center"/>
        <w:rPr>
          <w:rFonts w:eastAsia="新宋体"/>
          <w:color w:val="000000" w:themeColor="text1"/>
          <w:sz w:val="24"/>
          <w:highlight w:val="none"/>
          <w14:textFill>
            <w14:solidFill>
              <w14:schemeClr w14:val="tx1"/>
            </w14:solidFill>
          </w14:textFill>
        </w:rPr>
      </w:pPr>
    </w:p>
    <w:p>
      <w:pPr>
        <w:spacing w:line="520" w:lineRule="exact"/>
        <w:jc w:val="center"/>
        <w:rPr>
          <w:rFonts w:eastAsia="新宋体"/>
          <w:b/>
          <w:color w:val="000000" w:themeColor="text1"/>
          <w:sz w:val="24"/>
          <w:highlight w:val="none"/>
          <w14:textFill>
            <w14:solidFill>
              <w14:schemeClr w14:val="tx1"/>
            </w14:solidFill>
          </w14:textFill>
        </w:rPr>
      </w:pPr>
    </w:p>
    <w:p>
      <w:pPr>
        <w:spacing w:line="520" w:lineRule="exact"/>
        <w:rPr>
          <w:rFonts w:eastAsia="新宋体"/>
          <w:color w:val="000000" w:themeColor="text1"/>
          <w:sz w:val="24"/>
          <w:highlight w:val="none"/>
          <w14:textFill>
            <w14:solidFill>
              <w14:schemeClr w14:val="tx1"/>
            </w14:solidFill>
          </w14:textFill>
        </w:rPr>
      </w:pPr>
    </w:p>
    <w:p>
      <w:pPr>
        <w:spacing w:line="520" w:lineRule="exact"/>
        <w:ind w:firstLine="480" w:firstLineChars="200"/>
        <w:rPr>
          <w:rFonts w:eastAsia="新宋体"/>
          <w:bCs/>
          <w:color w:val="000000" w:themeColor="text1"/>
          <w:sz w:val="24"/>
          <w:highlight w:val="none"/>
          <w:u w:val="single"/>
          <w14:textFill>
            <w14:solidFill>
              <w14:schemeClr w14:val="tx1"/>
            </w14:solidFill>
          </w14:textFill>
        </w:rPr>
      </w:pPr>
      <w:r>
        <w:rPr>
          <w:rFonts w:eastAsia="新宋体"/>
          <w:color w:val="000000" w:themeColor="text1"/>
          <w:sz w:val="24"/>
          <w:highlight w:val="none"/>
          <w14:textFill>
            <w14:solidFill>
              <w14:schemeClr w14:val="tx1"/>
            </w14:solidFill>
          </w14:textFill>
        </w:rPr>
        <w:t>项目名称</w:t>
      </w:r>
      <w:r>
        <w:rPr>
          <w:rFonts w:eastAsia="新宋体"/>
          <w:bCs/>
          <w:color w:val="000000" w:themeColor="text1"/>
          <w:sz w:val="24"/>
          <w:highlight w:val="none"/>
          <w14:textFill>
            <w14:solidFill>
              <w14:schemeClr w14:val="tx1"/>
            </w14:solidFill>
          </w14:textFill>
        </w:rPr>
        <w:t xml:space="preserve">: </w:t>
      </w:r>
      <w:r>
        <w:rPr>
          <w:rFonts w:eastAsia="新宋体"/>
          <w:color w:val="000000" w:themeColor="text1"/>
          <w:sz w:val="24"/>
          <w:highlight w:val="none"/>
          <w:u w:val="single"/>
          <w14:textFill>
            <w14:solidFill>
              <w14:schemeClr w14:val="tx1"/>
            </w14:solidFill>
          </w14:textFill>
        </w:rPr>
        <w:t xml:space="preserve">                      </w:t>
      </w:r>
    </w:p>
    <w:p>
      <w:pPr>
        <w:spacing w:line="520" w:lineRule="exact"/>
        <w:ind w:firstLine="470" w:firstLineChars="196"/>
        <w:rPr>
          <w:rFonts w:eastAsia="新宋体"/>
          <w:color w:val="000000" w:themeColor="text1"/>
          <w:sz w:val="24"/>
          <w:highlight w:val="none"/>
          <w14:textFill>
            <w14:solidFill>
              <w14:schemeClr w14:val="tx1"/>
            </w14:solidFill>
          </w14:textFill>
        </w:rPr>
      </w:pPr>
      <w:r>
        <w:rPr>
          <w:rFonts w:eastAsia="新宋体"/>
          <w:bCs/>
          <w:color w:val="000000" w:themeColor="text1"/>
          <w:sz w:val="24"/>
          <w:highlight w:val="none"/>
          <w14:textFill>
            <w14:solidFill>
              <w14:schemeClr w14:val="tx1"/>
            </w14:solidFill>
          </w14:textFill>
        </w:rPr>
        <w:t>批准文号：</w:t>
      </w:r>
      <w:r>
        <w:rPr>
          <w:rFonts w:eastAsia="新宋体"/>
          <w:color w:val="000000" w:themeColor="text1"/>
          <w:sz w:val="24"/>
          <w:highlight w:val="none"/>
          <w:u w:val="single"/>
          <w14:textFill>
            <w14:solidFill>
              <w14:schemeClr w14:val="tx1"/>
            </w14:solidFill>
          </w14:textFill>
        </w:rPr>
        <w:t xml:space="preserve">                      </w:t>
      </w:r>
      <w:r>
        <w:rPr>
          <w:rFonts w:eastAsia="新宋体"/>
          <w:bCs/>
          <w:color w:val="000000" w:themeColor="text1"/>
          <w:sz w:val="24"/>
          <w:highlight w:val="none"/>
          <w14:textFill>
            <w14:solidFill>
              <w14:schemeClr w14:val="tx1"/>
            </w14:solidFill>
          </w14:textFill>
        </w:rPr>
        <w:t xml:space="preserve">   </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合同编号：</w:t>
      </w:r>
      <w:r>
        <w:rPr>
          <w:rFonts w:eastAsia="新宋体"/>
          <w:color w:val="000000" w:themeColor="text1"/>
          <w:sz w:val="24"/>
          <w:highlight w:val="none"/>
          <w:u w:val="single"/>
          <w14:textFill>
            <w14:solidFill>
              <w14:schemeClr w14:val="tx1"/>
            </w14:solidFill>
          </w14:textFill>
        </w:rPr>
        <w:t xml:space="preserve">            </w:t>
      </w:r>
      <w:r>
        <w:rPr>
          <w:rFonts w:eastAsia="新宋体"/>
          <w:color w:val="000000" w:themeColor="text1"/>
          <w:sz w:val="24"/>
          <w:highlight w:val="none"/>
          <w14:textFill>
            <w14:solidFill>
              <w14:schemeClr w14:val="tx1"/>
            </w14:solidFill>
          </w14:textFill>
        </w:rPr>
        <w:t>（第</w:t>
      </w:r>
      <w:r>
        <w:rPr>
          <w:rFonts w:eastAsia="新宋体"/>
          <w:color w:val="000000" w:themeColor="text1"/>
          <w:sz w:val="24"/>
          <w:highlight w:val="none"/>
          <w:u w:val="single"/>
          <w14:textFill>
            <w14:solidFill>
              <w14:schemeClr w14:val="tx1"/>
            </w14:solidFill>
          </w14:textFill>
        </w:rPr>
        <w:t xml:space="preserve">  </w:t>
      </w:r>
      <w:r>
        <w:rPr>
          <w:rFonts w:eastAsia="新宋体"/>
          <w:color w:val="000000" w:themeColor="text1"/>
          <w:sz w:val="24"/>
          <w:highlight w:val="none"/>
          <w14:textFill>
            <w14:solidFill>
              <w14:schemeClr w14:val="tx1"/>
            </w14:solidFill>
          </w14:textFill>
        </w:rPr>
        <w:t xml:space="preserve">包）      </w:t>
      </w:r>
    </w:p>
    <w:p>
      <w:pPr>
        <w:spacing w:line="520" w:lineRule="exact"/>
        <w:ind w:firstLine="480" w:firstLineChars="200"/>
        <w:rPr>
          <w:rFonts w:eastAsia="新宋体"/>
          <w:color w:val="000000" w:themeColor="text1"/>
          <w:sz w:val="24"/>
          <w:highlight w:val="none"/>
          <w:u w:val="single"/>
          <w14:textFill>
            <w14:solidFill>
              <w14:schemeClr w14:val="tx1"/>
            </w14:solidFill>
          </w14:textFill>
        </w:rPr>
      </w:pPr>
      <w:r>
        <w:rPr>
          <w:rFonts w:eastAsia="新宋体"/>
          <w:color w:val="000000" w:themeColor="text1"/>
          <w:sz w:val="24"/>
          <w:highlight w:val="none"/>
          <w14:textFill>
            <w14:solidFill>
              <w14:schemeClr w14:val="tx1"/>
            </w14:solidFill>
          </w14:textFill>
        </w:rPr>
        <w:t>采购代理机构：</w:t>
      </w:r>
      <w:r>
        <w:rPr>
          <w:rFonts w:eastAsia="新宋体"/>
          <w:color w:val="000000" w:themeColor="text1"/>
          <w:sz w:val="24"/>
          <w:highlight w:val="none"/>
          <w:u w:val="single"/>
          <w14:textFill>
            <w14:solidFill>
              <w14:schemeClr w14:val="tx1"/>
            </w14:solidFill>
          </w14:textFill>
        </w:rPr>
        <w:t xml:space="preserve">                </w:t>
      </w:r>
    </w:p>
    <w:p>
      <w:pPr>
        <w:spacing w:line="520" w:lineRule="exact"/>
        <w:ind w:firstLine="480" w:firstLineChars="200"/>
        <w:rPr>
          <w:rFonts w:eastAsia="新宋体"/>
          <w:color w:val="000000" w:themeColor="text1"/>
          <w:sz w:val="24"/>
          <w:highlight w:val="none"/>
          <w:u w:val="single"/>
          <w14:textFill>
            <w14:solidFill>
              <w14:schemeClr w14:val="tx1"/>
            </w14:solidFill>
          </w14:textFill>
        </w:rPr>
      </w:pPr>
      <w:r>
        <w:rPr>
          <w:rFonts w:eastAsia="新宋体"/>
          <w:color w:val="000000" w:themeColor="text1"/>
          <w:sz w:val="24"/>
          <w:highlight w:val="none"/>
          <w14:textFill>
            <w14:solidFill>
              <w14:schemeClr w14:val="tx1"/>
            </w14:solidFill>
          </w14:textFill>
        </w:rPr>
        <w:t xml:space="preserve">买方： </w:t>
      </w:r>
      <w:r>
        <w:rPr>
          <w:rFonts w:eastAsia="新宋体"/>
          <w:color w:val="000000" w:themeColor="text1"/>
          <w:sz w:val="24"/>
          <w:highlight w:val="none"/>
          <w:u w:val="single"/>
          <w14:textFill>
            <w14:solidFill>
              <w14:schemeClr w14:val="tx1"/>
            </w14:solidFill>
          </w14:textFill>
        </w:rPr>
        <w:t>（采购人名称）</w:t>
      </w:r>
    </w:p>
    <w:p>
      <w:pPr>
        <w:spacing w:line="520" w:lineRule="exact"/>
        <w:ind w:firstLine="480" w:firstLineChars="200"/>
        <w:rPr>
          <w:rFonts w:eastAsia="新宋体"/>
          <w:color w:val="000000" w:themeColor="text1"/>
          <w:sz w:val="24"/>
          <w:highlight w:val="none"/>
          <w:u w:val="single"/>
          <w14:textFill>
            <w14:solidFill>
              <w14:schemeClr w14:val="tx1"/>
            </w14:solidFill>
          </w14:textFill>
        </w:rPr>
      </w:pPr>
      <w:r>
        <w:rPr>
          <w:rFonts w:eastAsia="新宋体"/>
          <w:color w:val="000000" w:themeColor="text1"/>
          <w:sz w:val="24"/>
          <w:highlight w:val="none"/>
          <w14:textFill>
            <w14:solidFill>
              <w14:schemeClr w14:val="tx1"/>
            </w14:solidFill>
          </w14:textFill>
        </w:rPr>
        <w:t xml:space="preserve">卖方： </w:t>
      </w:r>
      <w:r>
        <w:rPr>
          <w:rFonts w:eastAsia="新宋体"/>
          <w:color w:val="000000" w:themeColor="text1"/>
          <w:sz w:val="24"/>
          <w:highlight w:val="none"/>
          <w:u w:val="single"/>
          <w14:textFill>
            <w14:solidFill>
              <w14:schemeClr w14:val="tx1"/>
            </w14:solidFill>
          </w14:textFill>
        </w:rPr>
        <w:t>（投标人名称）</w:t>
      </w:r>
    </w:p>
    <w:p>
      <w:pPr>
        <w:spacing w:line="520" w:lineRule="exact"/>
        <w:rPr>
          <w:rFonts w:eastAsia="新宋体"/>
          <w:color w:val="000000" w:themeColor="text1"/>
          <w:sz w:val="24"/>
          <w:highlight w:val="none"/>
          <w14:textFill>
            <w14:solidFill>
              <w14:schemeClr w14:val="tx1"/>
            </w14:solidFill>
          </w14:textFill>
        </w:rPr>
      </w:pPr>
    </w:p>
    <w:p>
      <w:pPr>
        <w:spacing w:line="520" w:lineRule="exact"/>
        <w:rPr>
          <w:rFonts w:eastAsia="新宋体"/>
          <w:color w:val="000000" w:themeColor="text1"/>
          <w:sz w:val="24"/>
          <w:highlight w:val="none"/>
          <w14:textFill>
            <w14:solidFill>
              <w14:schemeClr w14:val="tx1"/>
            </w14:solidFill>
          </w14:textFill>
        </w:rPr>
      </w:pPr>
    </w:p>
    <w:p>
      <w:pPr>
        <w:spacing w:line="520" w:lineRule="exact"/>
        <w:rPr>
          <w:rFonts w:eastAsia="新宋体"/>
          <w:color w:val="000000" w:themeColor="text1"/>
          <w:sz w:val="24"/>
          <w:highlight w:val="none"/>
          <w14:textFill>
            <w14:solidFill>
              <w14:schemeClr w14:val="tx1"/>
            </w14:solidFill>
          </w14:textFill>
        </w:rPr>
      </w:pPr>
    </w:p>
    <w:p>
      <w:pPr>
        <w:spacing w:line="520" w:lineRule="exact"/>
        <w:ind w:firstLine="711" w:firstLineChars="295"/>
        <w:rPr>
          <w:rFonts w:eastAsia="新宋体"/>
          <w:bCs/>
          <w:color w:val="000000" w:themeColor="text1"/>
          <w:sz w:val="24"/>
          <w:highlight w:val="none"/>
          <w:u w:val="single"/>
          <w14:textFill>
            <w14:solidFill>
              <w14:schemeClr w14:val="tx1"/>
            </w14:solidFill>
          </w14:textFill>
        </w:rPr>
      </w:pPr>
      <w:r>
        <w:rPr>
          <w:rFonts w:eastAsia="新宋体"/>
          <w:b/>
          <w:bCs/>
          <w:color w:val="000000" w:themeColor="text1"/>
          <w:sz w:val="24"/>
          <w:highlight w:val="none"/>
          <w14:textFill>
            <w14:solidFill>
              <w14:schemeClr w14:val="tx1"/>
            </w14:solidFill>
          </w14:textFill>
        </w:rPr>
        <w:t>签订地点：</w:t>
      </w:r>
      <w:r>
        <w:rPr>
          <w:rFonts w:eastAsia="新宋体"/>
          <w:bCs/>
          <w:color w:val="000000" w:themeColor="text1"/>
          <w:sz w:val="24"/>
          <w:highlight w:val="none"/>
          <w:u w:val="single"/>
          <w14:textFill>
            <w14:solidFill>
              <w14:schemeClr w14:val="tx1"/>
            </w14:solidFill>
          </w14:textFill>
        </w:rPr>
        <w:t xml:space="preserve">                         </w:t>
      </w:r>
    </w:p>
    <w:p>
      <w:pPr>
        <w:spacing w:line="520" w:lineRule="exact"/>
        <w:ind w:firstLine="711" w:firstLineChars="295"/>
        <w:rPr>
          <w:rFonts w:eastAsia="新宋体"/>
          <w:color w:val="000000" w:themeColor="text1"/>
          <w:sz w:val="24"/>
          <w:highlight w:val="none"/>
          <w14:textFill>
            <w14:solidFill>
              <w14:schemeClr w14:val="tx1"/>
            </w14:solidFill>
          </w14:textFill>
        </w:rPr>
      </w:pPr>
      <w:r>
        <w:rPr>
          <w:rFonts w:eastAsia="新宋体"/>
          <w:b/>
          <w:bCs/>
          <w:color w:val="000000" w:themeColor="text1"/>
          <w:sz w:val="24"/>
          <w:highlight w:val="none"/>
          <w14:textFill>
            <w14:solidFill>
              <w14:schemeClr w14:val="tx1"/>
            </w14:solidFill>
          </w14:textFill>
        </w:rPr>
        <w:t>签订日期：</w:t>
      </w:r>
      <w:r>
        <w:rPr>
          <w:rFonts w:eastAsia="新宋体"/>
          <w:color w:val="000000" w:themeColor="text1"/>
          <w:sz w:val="24"/>
          <w:highlight w:val="none"/>
          <w:u w:val="single"/>
          <w14:textFill>
            <w14:solidFill>
              <w14:schemeClr w14:val="tx1"/>
            </w14:solidFill>
          </w14:textFill>
        </w:rPr>
        <w:t xml:space="preserve">         </w:t>
      </w:r>
      <w:r>
        <w:rPr>
          <w:rFonts w:eastAsia="新宋体"/>
          <w:color w:val="000000" w:themeColor="text1"/>
          <w:sz w:val="24"/>
          <w:highlight w:val="none"/>
          <w14:textFill>
            <w14:solidFill>
              <w14:schemeClr w14:val="tx1"/>
            </w14:solidFill>
          </w14:textFill>
        </w:rPr>
        <w:t>年</w:t>
      </w:r>
      <w:r>
        <w:rPr>
          <w:rFonts w:eastAsia="新宋体"/>
          <w:color w:val="000000" w:themeColor="text1"/>
          <w:sz w:val="24"/>
          <w:highlight w:val="none"/>
          <w:u w:val="single"/>
          <w14:textFill>
            <w14:solidFill>
              <w14:schemeClr w14:val="tx1"/>
            </w14:solidFill>
          </w14:textFill>
        </w:rPr>
        <w:t xml:space="preserve">    </w:t>
      </w:r>
      <w:r>
        <w:rPr>
          <w:rFonts w:eastAsia="新宋体"/>
          <w:color w:val="000000" w:themeColor="text1"/>
          <w:sz w:val="24"/>
          <w:highlight w:val="none"/>
          <w14:textFill>
            <w14:solidFill>
              <w14:schemeClr w14:val="tx1"/>
            </w14:solidFill>
          </w14:textFill>
        </w:rPr>
        <w:t>月</w:t>
      </w:r>
      <w:r>
        <w:rPr>
          <w:rFonts w:eastAsia="新宋体"/>
          <w:color w:val="000000" w:themeColor="text1"/>
          <w:sz w:val="24"/>
          <w:highlight w:val="none"/>
          <w:u w:val="single"/>
          <w14:textFill>
            <w14:solidFill>
              <w14:schemeClr w14:val="tx1"/>
            </w14:solidFill>
          </w14:textFill>
        </w:rPr>
        <w:t xml:space="preserve">     </w:t>
      </w:r>
      <w:r>
        <w:rPr>
          <w:rFonts w:eastAsia="新宋体"/>
          <w:color w:val="000000" w:themeColor="text1"/>
          <w:sz w:val="24"/>
          <w:highlight w:val="none"/>
          <w14:textFill>
            <w14:solidFill>
              <w14:schemeClr w14:val="tx1"/>
            </w14:solidFill>
          </w14:textFill>
        </w:rPr>
        <w:t>日</w:t>
      </w:r>
    </w:p>
    <w:p>
      <w:pPr>
        <w:spacing w:line="520" w:lineRule="exact"/>
        <w:rPr>
          <w:rFonts w:eastAsia="新宋体"/>
          <w:color w:val="000000" w:themeColor="text1"/>
          <w:sz w:val="24"/>
          <w:highlight w:val="none"/>
          <w14:textFill>
            <w14:solidFill>
              <w14:schemeClr w14:val="tx1"/>
            </w14:solidFill>
          </w14:textFill>
        </w:rPr>
      </w:pPr>
    </w:p>
    <w:p>
      <w:pPr>
        <w:spacing w:line="520" w:lineRule="exact"/>
        <w:rPr>
          <w:rFonts w:eastAsia="新宋体"/>
          <w:color w:val="000000" w:themeColor="text1"/>
          <w:sz w:val="24"/>
          <w:highlight w:val="none"/>
          <w14:textFill>
            <w14:solidFill>
              <w14:schemeClr w14:val="tx1"/>
            </w14:solidFill>
          </w14:textFill>
        </w:rPr>
      </w:pPr>
    </w:p>
    <w:p>
      <w:pPr>
        <w:spacing w:line="520" w:lineRule="exact"/>
        <w:jc w:val="center"/>
        <w:rPr>
          <w:rFonts w:eastAsia="新宋体"/>
          <w:b/>
          <w:color w:val="000000" w:themeColor="text1"/>
          <w:sz w:val="32"/>
          <w:szCs w:val="32"/>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br w:type="page"/>
      </w:r>
      <w:r>
        <w:rPr>
          <w:rFonts w:eastAsia="新宋体"/>
          <w:b/>
          <w:color w:val="000000" w:themeColor="text1"/>
          <w:sz w:val="32"/>
          <w:szCs w:val="32"/>
          <w:highlight w:val="none"/>
          <w14:textFill>
            <w14:solidFill>
              <w14:schemeClr w14:val="tx1"/>
            </w14:solidFill>
          </w14:textFill>
        </w:rPr>
        <w:t>政府采购合同</w:t>
      </w:r>
    </w:p>
    <w:p>
      <w:pPr>
        <w:spacing w:line="520" w:lineRule="exact"/>
        <w:ind w:right="600"/>
        <w:jc w:val="center"/>
        <w:rPr>
          <w:rFonts w:eastAsia="新宋体"/>
          <w:color w:val="000000" w:themeColor="text1"/>
          <w:sz w:val="24"/>
          <w:highlight w:val="none"/>
          <w14:textFill>
            <w14:solidFill>
              <w14:schemeClr w14:val="tx1"/>
            </w14:solidFill>
          </w14:textFill>
        </w:rPr>
      </w:pPr>
    </w:p>
    <w:p>
      <w:pPr>
        <w:spacing w:line="520" w:lineRule="exact"/>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 xml:space="preserve">项 目 名 称： </w:t>
      </w:r>
    </w:p>
    <w:p>
      <w:pPr>
        <w:spacing w:line="520" w:lineRule="exact"/>
        <w:rPr>
          <w:rFonts w:eastAsia="新宋体"/>
          <w:b/>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合 同 编 号：</w:t>
      </w:r>
    </w:p>
    <w:p>
      <w:pPr>
        <w:spacing w:line="520" w:lineRule="exact"/>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采购代理机构名称：</w:t>
      </w:r>
    </w:p>
    <w:p>
      <w:pPr>
        <w:spacing w:line="520" w:lineRule="exact"/>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 xml:space="preserve">买方：（采购人名称） </w:t>
      </w:r>
    </w:p>
    <w:p>
      <w:pPr>
        <w:spacing w:line="520" w:lineRule="exact"/>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 xml:space="preserve">卖方：（投标人名称） </w:t>
      </w:r>
    </w:p>
    <w:p>
      <w:pPr>
        <w:spacing w:line="520" w:lineRule="exact"/>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合同签订地点：</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经（同级财政单位名称）批准（项目批准书文号），（采购代理机构名称）受（采购人名称）委托，采用（采购方式），已完成（------）项目的采购活动。</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根据《中华人民共和国政府采购法》和《中华人民共和国合同法》等相关法律法规，遵循本项目招标（采购）文件（编号：）的各项规定和中标人投标文件的相关约定，为保护供需双方合法权益，</w:t>
      </w:r>
      <w:r>
        <w:rPr>
          <w:rFonts w:eastAsia="新宋体"/>
          <w:color w:val="000000" w:themeColor="text1"/>
          <w:spacing w:val="-10"/>
          <w:sz w:val="24"/>
          <w:highlight w:val="none"/>
          <w14:textFill>
            <w14:solidFill>
              <w14:schemeClr w14:val="tx1"/>
            </w14:solidFill>
          </w14:textFill>
        </w:rPr>
        <w:t>按照平等、自愿的原则，经</w:t>
      </w:r>
      <w:r>
        <w:rPr>
          <w:rFonts w:eastAsia="新宋体"/>
          <w:color w:val="000000" w:themeColor="text1"/>
          <w:sz w:val="24"/>
          <w:highlight w:val="none"/>
          <w14:textFill>
            <w14:solidFill>
              <w14:schemeClr w14:val="tx1"/>
            </w14:solidFill>
          </w14:textFill>
        </w:rPr>
        <w:t>采购代理机构</w:t>
      </w:r>
      <w:r>
        <w:rPr>
          <w:rFonts w:eastAsia="新宋体"/>
          <w:color w:val="000000" w:themeColor="text1"/>
          <w:spacing w:val="-10"/>
          <w:sz w:val="24"/>
          <w:highlight w:val="none"/>
          <w14:textFill>
            <w14:solidFill>
              <w14:schemeClr w14:val="tx1"/>
            </w14:solidFill>
          </w14:textFill>
        </w:rPr>
        <w:t>、采购人</w:t>
      </w:r>
      <w:r>
        <w:rPr>
          <w:rFonts w:eastAsia="新宋体"/>
          <w:color w:val="000000" w:themeColor="text1"/>
          <w:sz w:val="24"/>
          <w:highlight w:val="none"/>
          <w14:textFill>
            <w14:solidFill>
              <w14:schemeClr w14:val="tx1"/>
            </w14:solidFill>
          </w14:textFill>
        </w:rPr>
        <w:t>和投标人</w:t>
      </w:r>
      <w:r>
        <w:rPr>
          <w:rFonts w:eastAsia="新宋体"/>
          <w:color w:val="000000" w:themeColor="text1"/>
          <w:spacing w:val="-10"/>
          <w:sz w:val="24"/>
          <w:highlight w:val="none"/>
          <w14:textFill>
            <w14:solidFill>
              <w14:schemeClr w14:val="tx1"/>
            </w14:solidFill>
          </w14:textFill>
        </w:rPr>
        <w:t>共同审核，三方一致同意</w:t>
      </w:r>
      <w:r>
        <w:rPr>
          <w:rFonts w:eastAsia="新宋体"/>
          <w:color w:val="000000" w:themeColor="text1"/>
          <w:sz w:val="24"/>
          <w:highlight w:val="none"/>
          <w14:textFill>
            <w14:solidFill>
              <w14:schemeClr w14:val="tx1"/>
            </w14:solidFill>
          </w14:textFill>
        </w:rPr>
        <w:t>签订本政府采购合同，并承诺共同遵守。</w:t>
      </w:r>
    </w:p>
    <w:p>
      <w:pPr>
        <w:spacing w:line="520" w:lineRule="exact"/>
        <w:ind w:firstLine="482" w:firstLineChars="200"/>
        <w:rPr>
          <w:rFonts w:eastAsia="新宋体"/>
          <w:b/>
          <w:color w:val="000000" w:themeColor="text1"/>
          <w:sz w:val="24"/>
          <w:highlight w:val="none"/>
          <w14:textFill>
            <w14:solidFill>
              <w14:schemeClr w14:val="tx1"/>
            </w14:solidFill>
          </w14:textFill>
        </w:rPr>
      </w:pPr>
      <w:r>
        <w:rPr>
          <w:rFonts w:eastAsia="新宋体"/>
          <w:b/>
          <w:color w:val="000000" w:themeColor="text1"/>
          <w:sz w:val="24"/>
          <w:highlight w:val="none"/>
          <w14:textFill>
            <w14:solidFill>
              <w14:schemeClr w14:val="tx1"/>
            </w14:solidFill>
          </w14:textFill>
        </w:rPr>
        <w:t>一、合同文件</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下列文件、资料是构成本合同不可分割的部分：</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1.采购文件规定的各项条款；</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2.投标人提交的全部投标文件；</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3.在采购活动中，评委会与中标人或采购人与中标人议定的各项以文字记述的补充条款或承诺；</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4.中标通知书。</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5.履约保证金；</w:t>
      </w:r>
    </w:p>
    <w:p>
      <w:pPr>
        <w:spacing w:line="520" w:lineRule="exact"/>
        <w:ind w:firstLine="482" w:firstLineChars="200"/>
        <w:rPr>
          <w:rFonts w:eastAsia="新宋体"/>
          <w:b/>
          <w:color w:val="000000" w:themeColor="text1"/>
          <w:sz w:val="24"/>
          <w:highlight w:val="none"/>
          <w14:textFill>
            <w14:solidFill>
              <w14:schemeClr w14:val="tx1"/>
            </w14:solidFill>
          </w14:textFill>
        </w:rPr>
      </w:pPr>
      <w:r>
        <w:rPr>
          <w:rFonts w:eastAsia="新宋体"/>
          <w:b/>
          <w:color w:val="000000" w:themeColor="text1"/>
          <w:sz w:val="24"/>
          <w:highlight w:val="none"/>
          <w14:textFill>
            <w14:solidFill>
              <w14:schemeClr w14:val="tx1"/>
            </w14:solidFill>
          </w14:textFill>
        </w:rPr>
        <w:t>二、合同范围和条件</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本合同的范围和条件应与上述合同文件的规定内容相一致。</w:t>
      </w:r>
    </w:p>
    <w:p>
      <w:pPr>
        <w:spacing w:line="520" w:lineRule="exact"/>
        <w:ind w:firstLine="482" w:firstLineChars="200"/>
        <w:rPr>
          <w:rFonts w:eastAsia="新宋体"/>
          <w:b/>
          <w:color w:val="000000" w:themeColor="text1"/>
          <w:sz w:val="24"/>
          <w:highlight w:val="none"/>
          <w14:textFill>
            <w14:solidFill>
              <w14:schemeClr w14:val="tx1"/>
            </w14:solidFill>
          </w14:textFill>
        </w:rPr>
      </w:pPr>
      <w:r>
        <w:rPr>
          <w:rFonts w:eastAsia="新宋体"/>
          <w:b/>
          <w:color w:val="000000" w:themeColor="text1"/>
          <w:sz w:val="24"/>
          <w:highlight w:val="none"/>
          <w14:textFill>
            <w14:solidFill>
              <w14:schemeClr w14:val="tx1"/>
            </w14:solidFill>
          </w14:textFill>
        </w:rPr>
        <w:t>三、采购货物、服务有关信息</w:t>
      </w:r>
    </w:p>
    <w:p>
      <w:pPr>
        <w:spacing w:line="520" w:lineRule="exact"/>
        <w:ind w:firstLine="482" w:firstLineChars="200"/>
        <w:rPr>
          <w:rFonts w:eastAsia="新宋体"/>
          <w:b/>
          <w:color w:val="000000" w:themeColor="text1"/>
          <w:sz w:val="24"/>
          <w:highlight w:val="none"/>
          <w14:textFill>
            <w14:solidFill>
              <w14:schemeClr w14:val="tx1"/>
            </w14:solidFill>
          </w14:textFill>
        </w:rPr>
      </w:pPr>
      <w:r>
        <w:rPr>
          <w:rFonts w:eastAsia="新宋体"/>
          <w:b/>
          <w:color w:val="000000" w:themeColor="text1"/>
          <w:sz w:val="24"/>
          <w:highlight w:val="none"/>
          <w14:textFill>
            <w14:solidFill>
              <w14:schemeClr w14:val="tx1"/>
            </w14:solidFill>
          </w14:textFill>
        </w:rPr>
        <w:t>表1、采购货物、服务信息一览表</w:t>
      </w:r>
    </w:p>
    <w:tbl>
      <w:tblPr>
        <w:tblStyle w:val="22"/>
        <w:tblW w:w="9375" w:type="dxa"/>
        <w:tblInd w:w="-637"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55"/>
        <w:gridCol w:w="1268"/>
        <w:gridCol w:w="742"/>
        <w:gridCol w:w="816"/>
        <w:gridCol w:w="931"/>
        <w:gridCol w:w="586"/>
        <w:gridCol w:w="1172"/>
        <w:gridCol w:w="517"/>
        <w:gridCol w:w="517"/>
        <w:gridCol w:w="844"/>
        <w:gridCol w:w="793"/>
        <w:gridCol w:w="53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28" w:hRule="atLeast"/>
        </w:trPr>
        <w:tc>
          <w:tcPr>
            <w:tcW w:w="655" w:type="dxa"/>
            <w:tcMar>
              <w:left w:w="0" w:type="dxa"/>
              <w:right w:w="0" w:type="dxa"/>
            </w:tcMar>
            <w:vAlign w:val="center"/>
          </w:tcPr>
          <w:p>
            <w:pPr>
              <w:spacing w:line="300" w:lineRule="exact"/>
              <w:jc w:val="center"/>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编</w:t>
            </w:r>
          </w:p>
          <w:p>
            <w:pPr>
              <w:spacing w:line="300" w:lineRule="exact"/>
              <w:jc w:val="center"/>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号</w:t>
            </w:r>
          </w:p>
        </w:tc>
        <w:tc>
          <w:tcPr>
            <w:tcW w:w="1268" w:type="dxa"/>
            <w:tcMar>
              <w:left w:w="0" w:type="dxa"/>
              <w:right w:w="0" w:type="dxa"/>
            </w:tcMar>
            <w:vAlign w:val="center"/>
          </w:tcPr>
          <w:p>
            <w:pPr>
              <w:spacing w:line="300" w:lineRule="exact"/>
              <w:jc w:val="center"/>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货物、服务品目名称</w:t>
            </w:r>
          </w:p>
        </w:tc>
        <w:tc>
          <w:tcPr>
            <w:tcW w:w="742" w:type="dxa"/>
            <w:tcBorders>
              <w:right w:val="single" w:color="auto" w:sz="4" w:space="0"/>
            </w:tcBorders>
            <w:tcMar>
              <w:left w:w="0" w:type="dxa"/>
              <w:right w:w="0" w:type="dxa"/>
            </w:tcMar>
            <w:vAlign w:val="center"/>
          </w:tcPr>
          <w:p>
            <w:pPr>
              <w:spacing w:line="300" w:lineRule="exact"/>
              <w:jc w:val="center"/>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品牌</w:t>
            </w:r>
          </w:p>
        </w:tc>
        <w:tc>
          <w:tcPr>
            <w:tcW w:w="816" w:type="dxa"/>
            <w:tcBorders>
              <w:right w:val="single" w:color="auto" w:sz="4" w:space="0"/>
            </w:tcBorders>
            <w:tcMar>
              <w:left w:w="0" w:type="dxa"/>
              <w:right w:w="0" w:type="dxa"/>
            </w:tcMar>
            <w:vAlign w:val="center"/>
          </w:tcPr>
          <w:p>
            <w:pPr>
              <w:spacing w:line="300" w:lineRule="exact"/>
              <w:jc w:val="center"/>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生产</w:t>
            </w:r>
          </w:p>
          <w:p>
            <w:pPr>
              <w:spacing w:line="300" w:lineRule="exact"/>
              <w:jc w:val="center"/>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厂家</w:t>
            </w:r>
          </w:p>
          <w:p>
            <w:pPr>
              <w:spacing w:line="300" w:lineRule="exact"/>
              <w:jc w:val="center"/>
              <w:rPr>
                <w:rFonts w:eastAsia="新宋体"/>
                <w:color w:val="000000" w:themeColor="text1"/>
                <w:sz w:val="24"/>
                <w:highlight w:val="none"/>
                <w14:textFill>
                  <w14:solidFill>
                    <w14:schemeClr w14:val="tx1"/>
                  </w14:solidFill>
                </w14:textFill>
              </w:rPr>
            </w:pPr>
          </w:p>
        </w:tc>
        <w:tc>
          <w:tcPr>
            <w:tcW w:w="931" w:type="dxa"/>
            <w:tcBorders>
              <w:left w:val="single" w:color="auto" w:sz="4" w:space="0"/>
            </w:tcBorders>
            <w:tcMar>
              <w:left w:w="0" w:type="dxa"/>
              <w:right w:w="0" w:type="dxa"/>
            </w:tcMar>
            <w:vAlign w:val="center"/>
          </w:tcPr>
          <w:p>
            <w:pPr>
              <w:spacing w:line="300" w:lineRule="exact"/>
              <w:jc w:val="center"/>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产品类型（进口/国产）</w:t>
            </w:r>
          </w:p>
        </w:tc>
        <w:tc>
          <w:tcPr>
            <w:tcW w:w="586" w:type="dxa"/>
            <w:tcBorders>
              <w:left w:val="single" w:color="auto" w:sz="4" w:space="0"/>
            </w:tcBorders>
            <w:tcMar>
              <w:left w:w="0" w:type="dxa"/>
              <w:right w:w="0" w:type="dxa"/>
            </w:tcMar>
            <w:vAlign w:val="center"/>
          </w:tcPr>
          <w:p>
            <w:pPr>
              <w:spacing w:line="300" w:lineRule="exact"/>
              <w:jc w:val="center"/>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规格型号</w:t>
            </w:r>
          </w:p>
        </w:tc>
        <w:tc>
          <w:tcPr>
            <w:tcW w:w="1172" w:type="dxa"/>
            <w:tcBorders>
              <w:left w:val="single" w:color="auto" w:sz="4" w:space="0"/>
            </w:tcBorders>
            <w:tcMar>
              <w:left w:w="0" w:type="dxa"/>
              <w:right w:w="0" w:type="dxa"/>
            </w:tcMar>
            <w:vAlign w:val="center"/>
          </w:tcPr>
          <w:p>
            <w:pPr>
              <w:spacing w:line="300" w:lineRule="exact"/>
              <w:jc w:val="center"/>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技术参数、性能指标和主要配置</w:t>
            </w:r>
          </w:p>
        </w:tc>
        <w:tc>
          <w:tcPr>
            <w:tcW w:w="517" w:type="dxa"/>
            <w:tcMar>
              <w:left w:w="0" w:type="dxa"/>
              <w:right w:w="0" w:type="dxa"/>
            </w:tcMar>
            <w:vAlign w:val="center"/>
          </w:tcPr>
          <w:p>
            <w:pPr>
              <w:spacing w:line="300" w:lineRule="exact"/>
              <w:jc w:val="center"/>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数量</w:t>
            </w:r>
          </w:p>
        </w:tc>
        <w:tc>
          <w:tcPr>
            <w:tcW w:w="517" w:type="dxa"/>
            <w:tcBorders>
              <w:right w:val="single" w:color="auto" w:sz="4" w:space="0"/>
            </w:tcBorders>
            <w:tcMar>
              <w:left w:w="0" w:type="dxa"/>
              <w:right w:w="0" w:type="dxa"/>
            </w:tcMar>
            <w:vAlign w:val="center"/>
          </w:tcPr>
          <w:p>
            <w:pPr>
              <w:spacing w:line="300" w:lineRule="exact"/>
              <w:jc w:val="center"/>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单位</w:t>
            </w:r>
          </w:p>
        </w:tc>
        <w:tc>
          <w:tcPr>
            <w:tcW w:w="844" w:type="dxa"/>
            <w:tcBorders>
              <w:left w:val="single" w:color="auto" w:sz="4" w:space="0"/>
            </w:tcBorders>
            <w:vAlign w:val="center"/>
          </w:tcPr>
          <w:p>
            <w:pPr>
              <w:spacing w:line="300" w:lineRule="exact"/>
              <w:jc w:val="center"/>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单价</w:t>
            </w:r>
            <w:r>
              <w:rPr>
                <w:rFonts w:eastAsia="新宋体"/>
                <w:color w:val="000000" w:themeColor="text1"/>
                <w:spacing w:val="-20"/>
                <w:sz w:val="24"/>
                <w:highlight w:val="none"/>
                <w14:textFill>
                  <w14:solidFill>
                    <w14:schemeClr w14:val="tx1"/>
                  </w14:solidFill>
                </w14:textFill>
              </w:rPr>
              <w:t>（元）</w:t>
            </w:r>
          </w:p>
        </w:tc>
        <w:tc>
          <w:tcPr>
            <w:tcW w:w="793" w:type="dxa"/>
            <w:tcBorders>
              <w:left w:val="single" w:color="auto" w:sz="4" w:space="0"/>
            </w:tcBorders>
            <w:vAlign w:val="center"/>
          </w:tcPr>
          <w:p>
            <w:pPr>
              <w:spacing w:line="300" w:lineRule="exact"/>
              <w:jc w:val="center"/>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合计</w:t>
            </w:r>
            <w:r>
              <w:rPr>
                <w:rFonts w:eastAsia="新宋体"/>
                <w:color w:val="000000" w:themeColor="text1"/>
                <w:spacing w:val="-20"/>
                <w:sz w:val="24"/>
                <w:highlight w:val="none"/>
                <w14:textFill>
                  <w14:solidFill>
                    <w14:schemeClr w14:val="tx1"/>
                  </w14:solidFill>
                </w14:textFill>
              </w:rPr>
              <w:t>（元）</w:t>
            </w:r>
          </w:p>
        </w:tc>
        <w:tc>
          <w:tcPr>
            <w:tcW w:w="534" w:type="dxa"/>
            <w:tcBorders>
              <w:left w:val="single" w:color="auto" w:sz="4" w:space="0"/>
            </w:tcBorders>
            <w:vAlign w:val="center"/>
          </w:tcPr>
          <w:p>
            <w:pPr>
              <w:spacing w:line="300" w:lineRule="exact"/>
              <w:jc w:val="center"/>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质保期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08" w:hRule="atLeast"/>
        </w:trPr>
        <w:tc>
          <w:tcPr>
            <w:tcW w:w="655" w:type="dxa"/>
            <w:tcBorders>
              <w:bottom w:val="single" w:color="auto" w:sz="4" w:space="0"/>
            </w:tcBorders>
            <w:shd w:val="clear" w:color="auto" w:fill="FFFFFF"/>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1268" w:type="dxa"/>
            <w:tcBorders>
              <w:bottom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742" w:type="dxa"/>
            <w:tcBorders>
              <w:bottom w:val="single" w:color="auto" w:sz="4" w:space="0"/>
              <w:right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816" w:type="dxa"/>
            <w:tcBorders>
              <w:bottom w:val="single" w:color="auto" w:sz="4" w:space="0"/>
              <w:right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931" w:type="dxa"/>
            <w:tcBorders>
              <w:left w:val="single" w:color="auto" w:sz="4" w:space="0"/>
              <w:bottom w:val="single" w:color="auto" w:sz="4" w:space="0"/>
            </w:tcBorders>
            <w:vAlign w:val="center"/>
          </w:tcPr>
          <w:p>
            <w:pPr>
              <w:spacing w:line="520" w:lineRule="exact"/>
              <w:ind w:firstLine="120" w:firstLineChars="50"/>
              <w:rPr>
                <w:rFonts w:eastAsia="新宋体"/>
                <w:color w:val="000000" w:themeColor="text1"/>
                <w:sz w:val="24"/>
                <w:highlight w:val="none"/>
                <w14:textFill>
                  <w14:solidFill>
                    <w14:schemeClr w14:val="tx1"/>
                  </w14:solidFill>
                </w14:textFill>
              </w:rPr>
            </w:pPr>
          </w:p>
        </w:tc>
        <w:tc>
          <w:tcPr>
            <w:tcW w:w="586" w:type="dxa"/>
            <w:tcBorders>
              <w:left w:val="single" w:color="auto" w:sz="4" w:space="0"/>
              <w:bottom w:val="single" w:color="auto" w:sz="4" w:space="0"/>
            </w:tcBorders>
            <w:vAlign w:val="center"/>
          </w:tcPr>
          <w:p>
            <w:pPr>
              <w:spacing w:line="520" w:lineRule="exact"/>
              <w:ind w:firstLine="120" w:firstLineChars="50"/>
              <w:rPr>
                <w:rFonts w:eastAsia="新宋体"/>
                <w:color w:val="000000" w:themeColor="text1"/>
                <w:sz w:val="24"/>
                <w:highlight w:val="none"/>
                <w14:textFill>
                  <w14:solidFill>
                    <w14:schemeClr w14:val="tx1"/>
                  </w14:solidFill>
                </w14:textFill>
              </w:rPr>
            </w:pPr>
          </w:p>
        </w:tc>
        <w:tc>
          <w:tcPr>
            <w:tcW w:w="1172" w:type="dxa"/>
            <w:tcBorders>
              <w:left w:val="single" w:color="auto" w:sz="4" w:space="0"/>
              <w:bottom w:val="single" w:color="auto" w:sz="4" w:space="0"/>
            </w:tcBorders>
            <w:vAlign w:val="center"/>
          </w:tcPr>
          <w:p>
            <w:pPr>
              <w:spacing w:line="520" w:lineRule="exact"/>
              <w:rPr>
                <w:rFonts w:eastAsia="新宋体"/>
                <w:color w:val="000000" w:themeColor="text1"/>
                <w:spacing w:val="-8"/>
                <w:sz w:val="24"/>
                <w:highlight w:val="none"/>
                <w14:textFill>
                  <w14:solidFill>
                    <w14:schemeClr w14:val="tx1"/>
                  </w14:solidFill>
                </w14:textFill>
              </w:rPr>
            </w:pPr>
          </w:p>
        </w:tc>
        <w:tc>
          <w:tcPr>
            <w:tcW w:w="517" w:type="dxa"/>
            <w:tcBorders>
              <w:bottom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517" w:type="dxa"/>
            <w:tcBorders>
              <w:bottom w:val="single" w:color="auto" w:sz="4" w:space="0"/>
              <w:right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844" w:type="dxa"/>
            <w:tcBorders>
              <w:left w:val="single" w:color="auto" w:sz="4" w:space="0"/>
              <w:bottom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793" w:type="dxa"/>
            <w:tcBorders>
              <w:left w:val="single" w:color="auto" w:sz="4" w:space="0"/>
              <w:bottom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534" w:type="dxa"/>
            <w:tcBorders>
              <w:left w:val="single" w:color="auto" w:sz="4" w:space="0"/>
              <w:bottom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2" w:hRule="atLeast"/>
        </w:trPr>
        <w:tc>
          <w:tcPr>
            <w:tcW w:w="655" w:type="dxa"/>
            <w:tcBorders>
              <w:top w:val="single" w:color="auto" w:sz="4" w:space="0"/>
              <w:bottom w:val="single" w:color="auto" w:sz="4" w:space="0"/>
            </w:tcBorders>
            <w:shd w:val="clear" w:color="auto" w:fill="FFFFFF"/>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1268" w:type="dxa"/>
            <w:tcBorders>
              <w:top w:val="single" w:color="auto" w:sz="4" w:space="0"/>
              <w:bottom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742"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816"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931" w:type="dxa"/>
            <w:tcBorders>
              <w:top w:val="single" w:color="auto" w:sz="4" w:space="0"/>
              <w:left w:val="single" w:color="auto" w:sz="4" w:space="0"/>
              <w:bottom w:val="single" w:color="auto" w:sz="4" w:space="0"/>
            </w:tcBorders>
            <w:vAlign w:val="center"/>
          </w:tcPr>
          <w:p>
            <w:pPr>
              <w:spacing w:line="520" w:lineRule="exact"/>
              <w:ind w:firstLine="120" w:firstLineChars="50"/>
              <w:rPr>
                <w:rFonts w:eastAsia="新宋体"/>
                <w:color w:val="000000" w:themeColor="text1"/>
                <w:sz w:val="24"/>
                <w:highlight w:val="none"/>
                <w14:textFill>
                  <w14:solidFill>
                    <w14:schemeClr w14:val="tx1"/>
                  </w14:solidFill>
                </w14:textFill>
              </w:rPr>
            </w:pPr>
          </w:p>
        </w:tc>
        <w:tc>
          <w:tcPr>
            <w:tcW w:w="586" w:type="dxa"/>
            <w:tcBorders>
              <w:top w:val="single" w:color="auto" w:sz="4" w:space="0"/>
              <w:left w:val="single" w:color="auto" w:sz="4" w:space="0"/>
              <w:bottom w:val="single" w:color="auto" w:sz="4" w:space="0"/>
            </w:tcBorders>
            <w:vAlign w:val="center"/>
          </w:tcPr>
          <w:p>
            <w:pPr>
              <w:spacing w:line="520" w:lineRule="exact"/>
              <w:ind w:firstLine="120" w:firstLineChars="50"/>
              <w:rPr>
                <w:rFonts w:eastAsia="新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tcBorders>
            <w:vAlign w:val="center"/>
          </w:tcPr>
          <w:p>
            <w:pPr>
              <w:spacing w:line="520" w:lineRule="exact"/>
              <w:ind w:firstLine="120" w:firstLineChars="50"/>
              <w:rPr>
                <w:rFonts w:eastAsia="新宋体"/>
                <w:color w:val="000000" w:themeColor="text1"/>
                <w:sz w:val="24"/>
                <w:highlight w:val="none"/>
                <w14:textFill>
                  <w14:solidFill>
                    <w14:schemeClr w14:val="tx1"/>
                  </w14:solidFill>
                </w14:textFill>
              </w:rPr>
            </w:pPr>
          </w:p>
        </w:tc>
        <w:tc>
          <w:tcPr>
            <w:tcW w:w="517" w:type="dxa"/>
            <w:tcBorders>
              <w:top w:val="single" w:color="auto" w:sz="4" w:space="0"/>
              <w:bottom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517"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844"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793"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534"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2" w:hRule="atLeast"/>
        </w:trPr>
        <w:tc>
          <w:tcPr>
            <w:tcW w:w="655" w:type="dxa"/>
            <w:tcBorders>
              <w:top w:val="single" w:color="auto" w:sz="4" w:space="0"/>
              <w:bottom w:val="single" w:color="auto" w:sz="4" w:space="0"/>
            </w:tcBorders>
            <w:shd w:val="clear" w:color="auto" w:fill="FFFFFF"/>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1268" w:type="dxa"/>
            <w:tcBorders>
              <w:top w:val="single" w:color="auto" w:sz="4" w:space="0"/>
              <w:bottom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742"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816"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931" w:type="dxa"/>
            <w:tcBorders>
              <w:top w:val="single" w:color="auto" w:sz="4" w:space="0"/>
              <w:left w:val="single" w:color="auto" w:sz="4" w:space="0"/>
              <w:bottom w:val="single" w:color="auto" w:sz="4" w:space="0"/>
            </w:tcBorders>
            <w:vAlign w:val="center"/>
          </w:tcPr>
          <w:p>
            <w:pPr>
              <w:spacing w:line="520" w:lineRule="exact"/>
              <w:rPr>
                <w:rFonts w:eastAsia="新宋体"/>
                <w:color w:val="000000" w:themeColor="text1"/>
                <w:sz w:val="24"/>
                <w:highlight w:val="none"/>
                <w14:textFill>
                  <w14:solidFill>
                    <w14:schemeClr w14:val="tx1"/>
                  </w14:solidFill>
                </w14:textFill>
              </w:rPr>
            </w:pPr>
          </w:p>
        </w:tc>
        <w:tc>
          <w:tcPr>
            <w:tcW w:w="586" w:type="dxa"/>
            <w:tcBorders>
              <w:top w:val="single" w:color="auto" w:sz="4" w:space="0"/>
              <w:left w:val="single" w:color="auto" w:sz="4" w:space="0"/>
              <w:bottom w:val="single" w:color="auto" w:sz="4" w:space="0"/>
            </w:tcBorders>
            <w:vAlign w:val="center"/>
          </w:tcPr>
          <w:p>
            <w:pPr>
              <w:spacing w:line="520" w:lineRule="exact"/>
              <w:rPr>
                <w:rFonts w:eastAsia="新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bottom w:val="single" w:color="auto" w:sz="4" w:space="0"/>
            </w:tcBorders>
            <w:vAlign w:val="center"/>
          </w:tcPr>
          <w:p>
            <w:pPr>
              <w:spacing w:line="520" w:lineRule="exact"/>
              <w:rPr>
                <w:rFonts w:eastAsia="新宋体"/>
                <w:color w:val="000000" w:themeColor="text1"/>
                <w:sz w:val="24"/>
                <w:highlight w:val="none"/>
                <w14:textFill>
                  <w14:solidFill>
                    <w14:schemeClr w14:val="tx1"/>
                  </w14:solidFill>
                </w14:textFill>
              </w:rPr>
            </w:pPr>
          </w:p>
        </w:tc>
        <w:tc>
          <w:tcPr>
            <w:tcW w:w="517" w:type="dxa"/>
            <w:tcBorders>
              <w:top w:val="single" w:color="auto" w:sz="4" w:space="0"/>
              <w:bottom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517"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844"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793"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534"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2" w:hRule="atLeast"/>
        </w:trPr>
        <w:tc>
          <w:tcPr>
            <w:tcW w:w="655" w:type="dxa"/>
            <w:tcBorders>
              <w:top w:val="single" w:color="auto" w:sz="4" w:space="0"/>
              <w:bottom w:val="single" w:color="auto" w:sz="4" w:space="0"/>
            </w:tcBorders>
            <w:shd w:val="clear" w:color="auto" w:fill="FFFFFF"/>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1268" w:type="dxa"/>
            <w:tcBorders>
              <w:top w:val="single" w:color="auto" w:sz="4" w:space="0"/>
              <w:bottom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742" w:type="dxa"/>
            <w:tcBorders>
              <w:top w:val="single" w:color="auto" w:sz="4" w:space="0"/>
              <w:right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816" w:type="dxa"/>
            <w:tcBorders>
              <w:top w:val="single" w:color="auto" w:sz="4" w:space="0"/>
              <w:right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931" w:type="dxa"/>
            <w:tcBorders>
              <w:top w:val="single" w:color="auto" w:sz="4" w:space="0"/>
              <w:left w:val="single" w:color="auto" w:sz="4" w:space="0"/>
            </w:tcBorders>
            <w:vAlign w:val="center"/>
          </w:tcPr>
          <w:p>
            <w:pPr>
              <w:spacing w:line="520" w:lineRule="exact"/>
              <w:rPr>
                <w:rFonts w:eastAsia="新宋体"/>
                <w:color w:val="000000" w:themeColor="text1"/>
                <w:sz w:val="24"/>
                <w:highlight w:val="none"/>
                <w14:textFill>
                  <w14:solidFill>
                    <w14:schemeClr w14:val="tx1"/>
                  </w14:solidFill>
                </w14:textFill>
              </w:rPr>
            </w:pPr>
          </w:p>
        </w:tc>
        <w:tc>
          <w:tcPr>
            <w:tcW w:w="586" w:type="dxa"/>
            <w:tcBorders>
              <w:top w:val="single" w:color="auto" w:sz="4" w:space="0"/>
              <w:left w:val="single" w:color="auto" w:sz="4" w:space="0"/>
            </w:tcBorders>
            <w:vAlign w:val="center"/>
          </w:tcPr>
          <w:p>
            <w:pPr>
              <w:spacing w:line="520" w:lineRule="exact"/>
              <w:rPr>
                <w:rFonts w:eastAsia="新宋体"/>
                <w:color w:val="000000" w:themeColor="text1"/>
                <w:sz w:val="24"/>
                <w:highlight w:val="none"/>
                <w14:textFill>
                  <w14:solidFill>
                    <w14:schemeClr w14:val="tx1"/>
                  </w14:solidFill>
                </w14:textFill>
              </w:rPr>
            </w:pPr>
          </w:p>
        </w:tc>
        <w:tc>
          <w:tcPr>
            <w:tcW w:w="1172" w:type="dxa"/>
            <w:tcBorders>
              <w:top w:val="single" w:color="auto" w:sz="4" w:space="0"/>
              <w:left w:val="single" w:color="auto" w:sz="4" w:space="0"/>
            </w:tcBorders>
            <w:vAlign w:val="center"/>
          </w:tcPr>
          <w:p>
            <w:pPr>
              <w:spacing w:line="520" w:lineRule="exact"/>
              <w:rPr>
                <w:rFonts w:eastAsia="新宋体"/>
                <w:color w:val="000000" w:themeColor="text1"/>
                <w:sz w:val="24"/>
                <w:highlight w:val="none"/>
                <w14:textFill>
                  <w14:solidFill>
                    <w14:schemeClr w14:val="tx1"/>
                  </w14:solidFill>
                </w14:textFill>
              </w:rPr>
            </w:pPr>
          </w:p>
        </w:tc>
        <w:tc>
          <w:tcPr>
            <w:tcW w:w="517" w:type="dxa"/>
            <w:tcBorders>
              <w:top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517" w:type="dxa"/>
            <w:tcBorders>
              <w:top w:val="single" w:color="auto" w:sz="4" w:space="0"/>
              <w:right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844" w:type="dxa"/>
            <w:tcBorders>
              <w:top w:val="single" w:color="auto" w:sz="4" w:space="0"/>
              <w:left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793" w:type="dxa"/>
            <w:tcBorders>
              <w:top w:val="single" w:color="auto" w:sz="4" w:space="0"/>
              <w:left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c>
          <w:tcPr>
            <w:tcW w:w="534" w:type="dxa"/>
            <w:tcBorders>
              <w:top w:val="single" w:color="auto" w:sz="4" w:space="0"/>
              <w:left w:val="single" w:color="auto" w:sz="4" w:space="0"/>
            </w:tcBorders>
            <w:vAlign w:val="center"/>
          </w:tcPr>
          <w:p>
            <w:pPr>
              <w:spacing w:line="520" w:lineRule="exact"/>
              <w:ind w:firstLine="480" w:firstLineChars="200"/>
              <w:rPr>
                <w:rFonts w:eastAsia="新宋体"/>
                <w:color w:val="000000" w:themeColor="text1"/>
                <w:sz w:val="24"/>
                <w:highlight w:val="none"/>
                <w14:textFill>
                  <w14:solidFill>
                    <w14:schemeClr w14:val="tx1"/>
                  </w14:solidFill>
                </w14:textFill>
              </w:rPr>
            </w:pPr>
          </w:p>
        </w:tc>
      </w:tr>
    </w:tbl>
    <w:p>
      <w:pPr>
        <w:spacing w:line="520" w:lineRule="exact"/>
        <w:ind w:firstLine="482" w:firstLineChars="200"/>
        <w:rPr>
          <w:rFonts w:eastAsia="新宋体"/>
          <w:color w:val="000000" w:themeColor="text1"/>
          <w:sz w:val="24"/>
          <w:highlight w:val="none"/>
          <w14:textFill>
            <w14:solidFill>
              <w14:schemeClr w14:val="tx1"/>
            </w14:solidFill>
          </w14:textFill>
        </w:rPr>
      </w:pPr>
      <w:r>
        <w:rPr>
          <w:rFonts w:eastAsia="新宋体"/>
          <w:b/>
          <w:color w:val="000000" w:themeColor="text1"/>
          <w:sz w:val="24"/>
          <w:highlight w:val="none"/>
          <w14:textFill>
            <w14:solidFill>
              <w14:schemeClr w14:val="tx1"/>
            </w14:solidFill>
          </w14:textFill>
        </w:rPr>
        <w:t>说明</w:t>
      </w:r>
      <w:r>
        <w:rPr>
          <w:rFonts w:eastAsia="新宋体"/>
          <w:color w:val="000000" w:themeColor="text1"/>
          <w:sz w:val="24"/>
          <w:highlight w:val="none"/>
          <w14:textFill>
            <w14:solidFill>
              <w14:schemeClr w14:val="tx1"/>
            </w14:solidFill>
          </w14:textFill>
        </w:rPr>
        <w:t>：1.采购货物、服务信息一览表内容按照财政部政府采购信息与计划系统要求填写。</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2.此表应按照分包情况，每包编制一份； 对每包货物应按照招标（采购）文件的规定，在表2中分别列出技术参数、性能指标和配置情况。</w:t>
      </w:r>
    </w:p>
    <w:p>
      <w:pPr>
        <w:spacing w:line="520" w:lineRule="exact"/>
        <w:ind w:firstLine="482" w:firstLineChars="200"/>
        <w:rPr>
          <w:rFonts w:eastAsia="新宋体"/>
          <w:b/>
          <w:color w:val="000000" w:themeColor="text1"/>
          <w:sz w:val="24"/>
          <w:highlight w:val="none"/>
          <w14:textFill>
            <w14:solidFill>
              <w14:schemeClr w14:val="tx1"/>
            </w14:solidFill>
          </w14:textFill>
        </w:rPr>
      </w:pPr>
      <w:r>
        <w:rPr>
          <w:rFonts w:eastAsia="新宋体"/>
          <w:b/>
          <w:color w:val="000000" w:themeColor="text1"/>
          <w:sz w:val="24"/>
          <w:highlight w:val="none"/>
          <w14:textFill>
            <w14:solidFill>
              <w14:schemeClr w14:val="tx1"/>
            </w14:solidFill>
          </w14:textFill>
        </w:rPr>
        <w:t>表2、采购货物、服务的技术参数、性能指标和配置情况</w:t>
      </w:r>
    </w:p>
    <w:tbl>
      <w:tblPr>
        <w:tblStyle w:val="22"/>
        <w:tblW w:w="0" w:type="auto"/>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977"/>
        <w:gridCol w:w="2633"/>
        <w:gridCol w:w="297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5" w:type="dxa"/>
            <w:vMerge w:val="restart"/>
            <w:vAlign w:val="center"/>
          </w:tcPr>
          <w:p>
            <w:pPr>
              <w:widowControl/>
              <w:spacing w:line="520" w:lineRule="exact"/>
              <w:jc w:val="center"/>
              <w:rPr>
                <w:rFonts w:eastAsia="新宋体"/>
                <w:b/>
                <w:bCs/>
                <w:color w:val="000000" w:themeColor="text1"/>
                <w:kern w:val="0"/>
                <w:sz w:val="24"/>
                <w:highlight w:val="none"/>
                <w14:textFill>
                  <w14:solidFill>
                    <w14:schemeClr w14:val="tx1"/>
                  </w14:solidFill>
                </w14:textFill>
              </w:rPr>
            </w:pPr>
            <w:r>
              <w:rPr>
                <w:rFonts w:eastAsia="新宋体"/>
                <w:b/>
                <w:bCs/>
                <w:color w:val="000000" w:themeColor="text1"/>
                <w:kern w:val="0"/>
                <w:sz w:val="24"/>
                <w:highlight w:val="none"/>
                <w14:textFill>
                  <w14:solidFill>
                    <w14:schemeClr w14:val="tx1"/>
                  </w14:solidFill>
                </w14:textFill>
              </w:rPr>
              <w:t>货</w:t>
            </w:r>
          </w:p>
          <w:p>
            <w:pPr>
              <w:widowControl/>
              <w:spacing w:line="520" w:lineRule="exact"/>
              <w:jc w:val="center"/>
              <w:rPr>
                <w:rFonts w:eastAsia="新宋体"/>
                <w:b/>
                <w:bCs/>
                <w:color w:val="000000" w:themeColor="text1"/>
                <w:kern w:val="0"/>
                <w:sz w:val="24"/>
                <w:highlight w:val="none"/>
                <w14:textFill>
                  <w14:solidFill>
                    <w14:schemeClr w14:val="tx1"/>
                  </w14:solidFill>
                </w14:textFill>
              </w:rPr>
            </w:pPr>
            <w:r>
              <w:rPr>
                <w:rFonts w:eastAsia="新宋体"/>
                <w:b/>
                <w:bCs/>
                <w:color w:val="000000" w:themeColor="text1"/>
                <w:kern w:val="0"/>
                <w:sz w:val="24"/>
                <w:highlight w:val="none"/>
                <w14:textFill>
                  <w14:solidFill>
                    <w14:schemeClr w14:val="tx1"/>
                  </w14:solidFill>
                </w14:textFill>
              </w:rPr>
              <w:t>物</w:t>
            </w:r>
          </w:p>
          <w:p>
            <w:pPr>
              <w:widowControl/>
              <w:spacing w:line="520" w:lineRule="exact"/>
              <w:jc w:val="center"/>
              <w:rPr>
                <w:rFonts w:eastAsia="新宋体"/>
                <w:b/>
                <w:bCs/>
                <w:color w:val="000000" w:themeColor="text1"/>
                <w:kern w:val="0"/>
                <w:sz w:val="24"/>
                <w:highlight w:val="none"/>
                <w14:textFill>
                  <w14:solidFill>
                    <w14:schemeClr w14:val="tx1"/>
                  </w14:solidFill>
                </w14:textFill>
              </w:rPr>
            </w:pPr>
            <w:r>
              <w:rPr>
                <w:rFonts w:eastAsia="新宋体"/>
                <w:b/>
                <w:bCs/>
                <w:color w:val="000000" w:themeColor="text1"/>
                <w:kern w:val="0"/>
                <w:sz w:val="24"/>
                <w:highlight w:val="none"/>
                <w14:textFill>
                  <w14:solidFill>
                    <w14:schemeClr w14:val="tx1"/>
                  </w14:solidFill>
                </w14:textFill>
              </w:rPr>
              <w:t>名</w:t>
            </w:r>
          </w:p>
          <w:p>
            <w:pPr>
              <w:widowControl/>
              <w:spacing w:line="520" w:lineRule="exact"/>
              <w:jc w:val="center"/>
              <w:rPr>
                <w:rFonts w:eastAsia="新宋体"/>
                <w:b/>
                <w:bCs/>
                <w:color w:val="000000" w:themeColor="text1"/>
                <w:kern w:val="0"/>
                <w:sz w:val="24"/>
                <w:highlight w:val="none"/>
                <w14:textFill>
                  <w14:solidFill>
                    <w14:schemeClr w14:val="tx1"/>
                  </w14:solidFill>
                </w14:textFill>
              </w:rPr>
            </w:pPr>
            <w:r>
              <w:rPr>
                <w:rFonts w:eastAsia="新宋体"/>
                <w:b/>
                <w:bCs/>
                <w:color w:val="000000" w:themeColor="text1"/>
                <w:kern w:val="0"/>
                <w:sz w:val="24"/>
                <w:highlight w:val="none"/>
                <w14:textFill>
                  <w14:solidFill>
                    <w14:schemeClr w14:val="tx1"/>
                  </w14:solidFill>
                </w14:textFill>
              </w:rPr>
              <w:t>称</w:t>
            </w:r>
          </w:p>
        </w:tc>
        <w:tc>
          <w:tcPr>
            <w:tcW w:w="977" w:type="dxa"/>
            <w:vAlign w:val="center"/>
          </w:tcPr>
          <w:p>
            <w:pPr>
              <w:widowControl/>
              <w:spacing w:line="520" w:lineRule="exact"/>
              <w:jc w:val="center"/>
              <w:rPr>
                <w:rFonts w:eastAsia="新宋体"/>
                <w:b/>
                <w:bCs/>
                <w:color w:val="000000" w:themeColor="text1"/>
                <w:kern w:val="0"/>
                <w:sz w:val="24"/>
                <w:highlight w:val="none"/>
                <w14:textFill>
                  <w14:solidFill>
                    <w14:schemeClr w14:val="tx1"/>
                  </w14:solidFill>
                </w14:textFill>
              </w:rPr>
            </w:pPr>
            <w:r>
              <w:rPr>
                <w:rFonts w:eastAsia="新宋体"/>
                <w:b/>
                <w:bCs/>
                <w:color w:val="000000" w:themeColor="text1"/>
                <w:kern w:val="0"/>
                <w:sz w:val="24"/>
                <w:highlight w:val="none"/>
                <w14:textFill>
                  <w14:solidFill>
                    <w14:schemeClr w14:val="tx1"/>
                  </w14:solidFill>
                </w14:textFill>
              </w:rPr>
              <w:t>编号</w:t>
            </w:r>
          </w:p>
        </w:tc>
        <w:tc>
          <w:tcPr>
            <w:tcW w:w="2633" w:type="dxa"/>
            <w:vAlign w:val="center"/>
          </w:tcPr>
          <w:p>
            <w:pPr>
              <w:widowControl/>
              <w:spacing w:line="520" w:lineRule="exact"/>
              <w:jc w:val="center"/>
              <w:rPr>
                <w:rFonts w:eastAsia="新宋体"/>
                <w:b/>
                <w:bCs/>
                <w:color w:val="000000" w:themeColor="text1"/>
                <w:kern w:val="0"/>
                <w:sz w:val="24"/>
                <w:highlight w:val="none"/>
                <w14:textFill>
                  <w14:solidFill>
                    <w14:schemeClr w14:val="tx1"/>
                  </w14:solidFill>
                </w14:textFill>
              </w:rPr>
            </w:pPr>
            <w:r>
              <w:rPr>
                <w:rFonts w:eastAsia="新宋体"/>
                <w:b/>
                <w:bCs/>
                <w:color w:val="000000" w:themeColor="text1"/>
                <w:kern w:val="0"/>
                <w:sz w:val="24"/>
                <w:highlight w:val="none"/>
                <w14:textFill>
                  <w14:solidFill>
                    <w14:schemeClr w14:val="tx1"/>
                  </w14:solidFill>
                </w14:textFill>
              </w:rPr>
              <w:t>技术指标名称</w:t>
            </w:r>
          </w:p>
        </w:tc>
        <w:tc>
          <w:tcPr>
            <w:tcW w:w="2976" w:type="dxa"/>
            <w:vAlign w:val="center"/>
          </w:tcPr>
          <w:p>
            <w:pPr>
              <w:widowControl/>
              <w:spacing w:line="520" w:lineRule="exact"/>
              <w:jc w:val="center"/>
              <w:rPr>
                <w:rFonts w:eastAsia="新宋体"/>
                <w:b/>
                <w:bCs/>
                <w:color w:val="000000" w:themeColor="text1"/>
                <w:kern w:val="0"/>
                <w:sz w:val="24"/>
                <w:highlight w:val="none"/>
                <w14:textFill>
                  <w14:solidFill>
                    <w14:schemeClr w14:val="tx1"/>
                  </w14:solidFill>
                </w14:textFill>
              </w:rPr>
            </w:pPr>
            <w:r>
              <w:rPr>
                <w:rFonts w:eastAsia="新宋体"/>
                <w:b/>
                <w:bCs/>
                <w:color w:val="000000" w:themeColor="text1"/>
                <w:kern w:val="0"/>
                <w:sz w:val="24"/>
                <w:highlight w:val="none"/>
                <w14:textFill>
                  <w14:solidFill>
                    <w14:schemeClr w14:val="tx1"/>
                  </w14:solidFill>
                </w14:textFill>
              </w:rPr>
              <w:t>技术</w:t>
            </w:r>
            <w:r>
              <w:rPr>
                <w:rFonts w:eastAsia="新宋体"/>
                <w:b/>
                <w:bCs/>
                <w:color w:val="000000" w:themeColor="text1"/>
                <w:sz w:val="24"/>
                <w:highlight w:val="none"/>
                <w14:textFill>
                  <w14:solidFill>
                    <w14:schemeClr w14:val="tx1"/>
                  </w14:solidFill>
                </w14:textFill>
              </w:rPr>
              <w:t>参数和性能</w:t>
            </w:r>
            <w:r>
              <w:rPr>
                <w:rFonts w:eastAsia="新宋体"/>
                <w:b/>
                <w:bCs/>
                <w:color w:val="000000" w:themeColor="text1"/>
                <w:kern w:val="0"/>
                <w:sz w:val="24"/>
                <w:highlight w:val="none"/>
                <w14:textFill>
                  <w14:solidFill>
                    <w14:schemeClr w14:val="tx1"/>
                  </w14:solidFill>
                </w14:textFill>
              </w:rPr>
              <w:t>指标</w:t>
            </w:r>
          </w:p>
        </w:tc>
        <w:tc>
          <w:tcPr>
            <w:tcW w:w="2132" w:type="dxa"/>
            <w:vAlign w:val="center"/>
          </w:tcPr>
          <w:p>
            <w:pPr>
              <w:spacing w:line="520" w:lineRule="exact"/>
              <w:jc w:val="center"/>
              <w:rPr>
                <w:rFonts w:eastAsia="新宋体"/>
                <w:b/>
                <w:bCs/>
                <w:color w:val="000000" w:themeColor="text1"/>
                <w:kern w:val="0"/>
                <w:sz w:val="24"/>
                <w:highlight w:val="none"/>
                <w14:textFill>
                  <w14:solidFill>
                    <w14:schemeClr w14:val="tx1"/>
                  </w14:solidFill>
                </w14:textFill>
              </w:rPr>
            </w:pPr>
            <w:r>
              <w:rPr>
                <w:rFonts w:eastAsia="新宋体"/>
                <w:b/>
                <w:color w:val="000000" w:themeColor="text1"/>
                <w:sz w:val="24"/>
                <w:highlight w:val="none"/>
                <w14:textFill>
                  <w14:solidFill>
                    <w14:schemeClr w14:val="tx1"/>
                  </w14:solidFill>
                </w14:textFill>
              </w:rPr>
              <w:t>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5" w:type="dxa"/>
            <w:vMerge w:val="continue"/>
          </w:tcPr>
          <w:p>
            <w:pPr>
              <w:widowControl/>
              <w:spacing w:line="520" w:lineRule="exact"/>
              <w:rPr>
                <w:rFonts w:eastAsia="新宋体"/>
                <w:color w:val="000000" w:themeColor="text1"/>
                <w:kern w:val="0"/>
                <w:sz w:val="24"/>
                <w:highlight w:val="none"/>
                <w14:textFill>
                  <w14:solidFill>
                    <w14:schemeClr w14:val="tx1"/>
                  </w14:solidFill>
                </w14:textFill>
              </w:rPr>
            </w:pPr>
          </w:p>
        </w:tc>
        <w:tc>
          <w:tcPr>
            <w:tcW w:w="977"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r>
              <w:rPr>
                <w:rFonts w:eastAsia="新宋体"/>
                <w:color w:val="000000" w:themeColor="text1"/>
                <w:kern w:val="0"/>
                <w:sz w:val="24"/>
                <w:highlight w:val="none"/>
                <w14:textFill>
                  <w14:solidFill>
                    <w14:schemeClr w14:val="tx1"/>
                  </w14:solidFill>
                </w14:textFill>
              </w:rPr>
              <w:t>1</w:t>
            </w:r>
          </w:p>
        </w:tc>
        <w:tc>
          <w:tcPr>
            <w:tcW w:w="2633"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c>
          <w:tcPr>
            <w:tcW w:w="2976"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c>
          <w:tcPr>
            <w:tcW w:w="2132"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25" w:type="dxa"/>
            <w:vMerge w:val="continue"/>
          </w:tcPr>
          <w:p>
            <w:pPr>
              <w:widowControl/>
              <w:spacing w:line="520" w:lineRule="exact"/>
              <w:rPr>
                <w:rFonts w:eastAsia="新宋体"/>
                <w:color w:val="000000" w:themeColor="text1"/>
                <w:kern w:val="0"/>
                <w:sz w:val="24"/>
                <w:highlight w:val="none"/>
                <w14:textFill>
                  <w14:solidFill>
                    <w14:schemeClr w14:val="tx1"/>
                  </w14:solidFill>
                </w14:textFill>
              </w:rPr>
            </w:pPr>
          </w:p>
        </w:tc>
        <w:tc>
          <w:tcPr>
            <w:tcW w:w="977"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r>
              <w:rPr>
                <w:rFonts w:eastAsia="新宋体"/>
                <w:color w:val="000000" w:themeColor="text1"/>
                <w:kern w:val="0"/>
                <w:sz w:val="24"/>
                <w:highlight w:val="none"/>
                <w14:textFill>
                  <w14:solidFill>
                    <w14:schemeClr w14:val="tx1"/>
                  </w14:solidFill>
                </w14:textFill>
              </w:rPr>
              <w:t>2</w:t>
            </w:r>
          </w:p>
        </w:tc>
        <w:tc>
          <w:tcPr>
            <w:tcW w:w="2633"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c>
          <w:tcPr>
            <w:tcW w:w="2976"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c>
          <w:tcPr>
            <w:tcW w:w="2132"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25" w:type="dxa"/>
            <w:vMerge w:val="continue"/>
          </w:tcPr>
          <w:p>
            <w:pPr>
              <w:widowControl/>
              <w:spacing w:line="520" w:lineRule="exact"/>
              <w:rPr>
                <w:rFonts w:eastAsia="新宋体"/>
                <w:color w:val="000000" w:themeColor="text1"/>
                <w:kern w:val="0"/>
                <w:sz w:val="24"/>
                <w:highlight w:val="none"/>
                <w14:textFill>
                  <w14:solidFill>
                    <w14:schemeClr w14:val="tx1"/>
                  </w14:solidFill>
                </w14:textFill>
              </w:rPr>
            </w:pPr>
          </w:p>
        </w:tc>
        <w:tc>
          <w:tcPr>
            <w:tcW w:w="977"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r>
              <w:rPr>
                <w:rFonts w:eastAsia="新宋体"/>
                <w:color w:val="000000" w:themeColor="text1"/>
                <w:kern w:val="0"/>
                <w:sz w:val="24"/>
                <w:highlight w:val="none"/>
                <w14:textFill>
                  <w14:solidFill>
                    <w14:schemeClr w14:val="tx1"/>
                  </w14:solidFill>
                </w14:textFill>
              </w:rPr>
              <w:t>3</w:t>
            </w:r>
          </w:p>
        </w:tc>
        <w:tc>
          <w:tcPr>
            <w:tcW w:w="2633"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c>
          <w:tcPr>
            <w:tcW w:w="2976"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c>
          <w:tcPr>
            <w:tcW w:w="2132"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25" w:type="dxa"/>
            <w:vMerge w:val="continue"/>
          </w:tcPr>
          <w:p>
            <w:pPr>
              <w:widowControl/>
              <w:spacing w:line="520" w:lineRule="exact"/>
              <w:rPr>
                <w:rFonts w:eastAsia="新宋体"/>
                <w:bCs/>
                <w:color w:val="000000" w:themeColor="text1"/>
                <w:kern w:val="0"/>
                <w:sz w:val="24"/>
                <w:highlight w:val="none"/>
                <w14:textFill>
                  <w14:solidFill>
                    <w14:schemeClr w14:val="tx1"/>
                  </w14:solidFill>
                </w14:textFill>
              </w:rPr>
            </w:pPr>
          </w:p>
        </w:tc>
        <w:tc>
          <w:tcPr>
            <w:tcW w:w="977" w:type="dxa"/>
            <w:vAlign w:val="center"/>
          </w:tcPr>
          <w:p>
            <w:pPr>
              <w:widowControl/>
              <w:spacing w:line="520" w:lineRule="exact"/>
              <w:jc w:val="center"/>
              <w:rPr>
                <w:rFonts w:eastAsia="新宋体"/>
                <w:bCs/>
                <w:color w:val="000000" w:themeColor="text1"/>
                <w:kern w:val="0"/>
                <w:sz w:val="24"/>
                <w:highlight w:val="none"/>
                <w14:textFill>
                  <w14:solidFill>
                    <w14:schemeClr w14:val="tx1"/>
                  </w14:solidFill>
                </w14:textFill>
              </w:rPr>
            </w:pPr>
            <w:r>
              <w:rPr>
                <w:rFonts w:eastAsia="新宋体"/>
                <w:bCs/>
                <w:color w:val="000000" w:themeColor="text1"/>
                <w:kern w:val="0"/>
                <w:sz w:val="24"/>
                <w:highlight w:val="none"/>
                <w14:textFill>
                  <w14:solidFill>
                    <w14:schemeClr w14:val="tx1"/>
                  </w14:solidFill>
                </w14:textFill>
              </w:rPr>
              <w:t>4</w:t>
            </w:r>
          </w:p>
        </w:tc>
        <w:tc>
          <w:tcPr>
            <w:tcW w:w="2633" w:type="dxa"/>
            <w:vAlign w:val="center"/>
          </w:tcPr>
          <w:p>
            <w:pPr>
              <w:widowControl/>
              <w:spacing w:line="520" w:lineRule="exact"/>
              <w:jc w:val="center"/>
              <w:rPr>
                <w:rFonts w:eastAsia="新宋体"/>
                <w:b/>
                <w:bCs/>
                <w:color w:val="000000" w:themeColor="text1"/>
                <w:kern w:val="0"/>
                <w:sz w:val="24"/>
                <w:highlight w:val="none"/>
                <w14:textFill>
                  <w14:solidFill>
                    <w14:schemeClr w14:val="tx1"/>
                  </w14:solidFill>
                </w14:textFill>
              </w:rPr>
            </w:pPr>
          </w:p>
        </w:tc>
        <w:tc>
          <w:tcPr>
            <w:tcW w:w="2976"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c>
          <w:tcPr>
            <w:tcW w:w="2132"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25" w:type="dxa"/>
            <w:vMerge w:val="continue"/>
          </w:tcPr>
          <w:p>
            <w:pPr>
              <w:widowControl/>
              <w:spacing w:line="520" w:lineRule="exact"/>
              <w:rPr>
                <w:rFonts w:eastAsia="新宋体"/>
                <w:color w:val="000000" w:themeColor="text1"/>
                <w:kern w:val="0"/>
                <w:sz w:val="24"/>
                <w:highlight w:val="none"/>
                <w14:textFill>
                  <w14:solidFill>
                    <w14:schemeClr w14:val="tx1"/>
                  </w14:solidFill>
                </w14:textFill>
              </w:rPr>
            </w:pPr>
          </w:p>
        </w:tc>
        <w:tc>
          <w:tcPr>
            <w:tcW w:w="977"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r>
              <w:rPr>
                <w:rFonts w:eastAsia="新宋体"/>
                <w:color w:val="000000" w:themeColor="text1"/>
                <w:kern w:val="0"/>
                <w:sz w:val="24"/>
                <w:highlight w:val="none"/>
                <w14:textFill>
                  <w14:solidFill>
                    <w14:schemeClr w14:val="tx1"/>
                  </w14:solidFill>
                </w14:textFill>
              </w:rPr>
              <w:t>5</w:t>
            </w:r>
          </w:p>
        </w:tc>
        <w:tc>
          <w:tcPr>
            <w:tcW w:w="2633"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c>
          <w:tcPr>
            <w:tcW w:w="2976"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c>
          <w:tcPr>
            <w:tcW w:w="2132"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25" w:type="dxa"/>
            <w:vMerge w:val="continue"/>
          </w:tcPr>
          <w:p>
            <w:pPr>
              <w:widowControl/>
              <w:spacing w:line="520" w:lineRule="exact"/>
              <w:rPr>
                <w:rFonts w:eastAsia="新宋体"/>
                <w:color w:val="000000" w:themeColor="text1"/>
                <w:kern w:val="0"/>
                <w:sz w:val="24"/>
                <w:highlight w:val="none"/>
                <w14:textFill>
                  <w14:solidFill>
                    <w14:schemeClr w14:val="tx1"/>
                  </w14:solidFill>
                </w14:textFill>
              </w:rPr>
            </w:pPr>
          </w:p>
        </w:tc>
        <w:tc>
          <w:tcPr>
            <w:tcW w:w="977"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r>
              <w:rPr>
                <w:rFonts w:eastAsia="新宋体"/>
                <w:color w:val="000000" w:themeColor="text1"/>
                <w:kern w:val="0"/>
                <w:sz w:val="24"/>
                <w:highlight w:val="none"/>
                <w14:textFill>
                  <w14:solidFill>
                    <w14:schemeClr w14:val="tx1"/>
                  </w14:solidFill>
                </w14:textFill>
              </w:rPr>
              <w:t>6</w:t>
            </w:r>
          </w:p>
        </w:tc>
        <w:tc>
          <w:tcPr>
            <w:tcW w:w="2633"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c>
          <w:tcPr>
            <w:tcW w:w="2976"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c>
          <w:tcPr>
            <w:tcW w:w="2132"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25" w:type="dxa"/>
            <w:vMerge w:val="continue"/>
          </w:tcPr>
          <w:p>
            <w:pPr>
              <w:widowControl/>
              <w:spacing w:line="520" w:lineRule="exact"/>
              <w:rPr>
                <w:rFonts w:eastAsia="新宋体"/>
                <w:color w:val="000000" w:themeColor="text1"/>
                <w:kern w:val="0"/>
                <w:sz w:val="24"/>
                <w:highlight w:val="none"/>
                <w14:textFill>
                  <w14:solidFill>
                    <w14:schemeClr w14:val="tx1"/>
                  </w14:solidFill>
                </w14:textFill>
              </w:rPr>
            </w:pPr>
          </w:p>
        </w:tc>
        <w:tc>
          <w:tcPr>
            <w:tcW w:w="977"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r>
              <w:rPr>
                <w:rFonts w:eastAsia="新宋体"/>
                <w:color w:val="000000" w:themeColor="text1"/>
                <w:kern w:val="0"/>
                <w:sz w:val="24"/>
                <w:highlight w:val="none"/>
                <w14:textFill>
                  <w14:solidFill>
                    <w14:schemeClr w14:val="tx1"/>
                  </w14:solidFill>
                </w14:textFill>
              </w:rPr>
              <w:t>7</w:t>
            </w:r>
          </w:p>
        </w:tc>
        <w:tc>
          <w:tcPr>
            <w:tcW w:w="2633"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c>
          <w:tcPr>
            <w:tcW w:w="2976"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c>
          <w:tcPr>
            <w:tcW w:w="2132"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25" w:type="dxa"/>
            <w:vMerge w:val="continue"/>
          </w:tcPr>
          <w:p>
            <w:pPr>
              <w:widowControl/>
              <w:spacing w:line="520" w:lineRule="exact"/>
              <w:rPr>
                <w:rFonts w:eastAsia="新宋体"/>
                <w:bCs/>
                <w:color w:val="000000" w:themeColor="text1"/>
                <w:kern w:val="0"/>
                <w:sz w:val="24"/>
                <w:highlight w:val="none"/>
                <w14:textFill>
                  <w14:solidFill>
                    <w14:schemeClr w14:val="tx1"/>
                  </w14:solidFill>
                </w14:textFill>
              </w:rPr>
            </w:pPr>
          </w:p>
        </w:tc>
        <w:tc>
          <w:tcPr>
            <w:tcW w:w="977" w:type="dxa"/>
            <w:vAlign w:val="center"/>
          </w:tcPr>
          <w:p>
            <w:pPr>
              <w:widowControl/>
              <w:spacing w:line="520" w:lineRule="exact"/>
              <w:jc w:val="center"/>
              <w:rPr>
                <w:rFonts w:eastAsia="新宋体"/>
                <w:bCs/>
                <w:color w:val="000000" w:themeColor="text1"/>
                <w:kern w:val="0"/>
                <w:sz w:val="24"/>
                <w:highlight w:val="none"/>
                <w14:textFill>
                  <w14:solidFill>
                    <w14:schemeClr w14:val="tx1"/>
                  </w14:solidFill>
                </w14:textFill>
              </w:rPr>
            </w:pPr>
            <w:r>
              <w:rPr>
                <w:rFonts w:eastAsia="新宋体"/>
                <w:bCs/>
                <w:color w:val="000000" w:themeColor="text1"/>
                <w:kern w:val="0"/>
                <w:sz w:val="24"/>
                <w:highlight w:val="none"/>
                <w14:textFill>
                  <w14:solidFill>
                    <w14:schemeClr w14:val="tx1"/>
                  </w14:solidFill>
                </w14:textFill>
              </w:rPr>
              <w:t>8</w:t>
            </w:r>
          </w:p>
        </w:tc>
        <w:tc>
          <w:tcPr>
            <w:tcW w:w="2633" w:type="dxa"/>
            <w:vAlign w:val="center"/>
          </w:tcPr>
          <w:p>
            <w:pPr>
              <w:widowControl/>
              <w:spacing w:line="520" w:lineRule="exact"/>
              <w:jc w:val="center"/>
              <w:rPr>
                <w:rFonts w:eastAsia="新宋体"/>
                <w:b/>
                <w:color w:val="000000" w:themeColor="text1"/>
                <w:kern w:val="0"/>
                <w:sz w:val="24"/>
                <w:highlight w:val="none"/>
                <w14:textFill>
                  <w14:solidFill>
                    <w14:schemeClr w14:val="tx1"/>
                  </w14:solidFill>
                </w14:textFill>
              </w:rPr>
            </w:pPr>
          </w:p>
        </w:tc>
        <w:tc>
          <w:tcPr>
            <w:tcW w:w="2976"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c>
          <w:tcPr>
            <w:tcW w:w="2132"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5" w:type="dxa"/>
            <w:vMerge w:val="continue"/>
          </w:tcPr>
          <w:p>
            <w:pPr>
              <w:widowControl/>
              <w:spacing w:line="520" w:lineRule="exact"/>
              <w:rPr>
                <w:rFonts w:eastAsia="新宋体"/>
                <w:bCs/>
                <w:color w:val="000000" w:themeColor="text1"/>
                <w:kern w:val="0"/>
                <w:sz w:val="24"/>
                <w:highlight w:val="none"/>
                <w14:textFill>
                  <w14:solidFill>
                    <w14:schemeClr w14:val="tx1"/>
                  </w14:solidFill>
                </w14:textFill>
              </w:rPr>
            </w:pPr>
          </w:p>
        </w:tc>
        <w:tc>
          <w:tcPr>
            <w:tcW w:w="977" w:type="dxa"/>
            <w:vAlign w:val="center"/>
          </w:tcPr>
          <w:p>
            <w:pPr>
              <w:widowControl/>
              <w:spacing w:line="520" w:lineRule="exact"/>
              <w:jc w:val="center"/>
              <w:rPr>
                <w:rFonts w:eastAsia="新宋体"/>
                <w:bCs/>
                <w:color w:val="000000" w:themeColor="text1"/>
                <w:kern w:val="0"/>
                <w:sz w:val="24"/>
                <w:highlight w:val="none"/>
                <w14:textFill>
                  <w14:solidFill>
                    <w14:schemeClr w14:val="tx1"/>
                  </w14:solidFill>
                </w14:textFill>
              </w:rPr>
            </w:pPr>
            <w:r>
              <w:rPr>
                <w:rFonts w:eastAsia="新宋体"/>
                <w:bCs/>
                <w:color w:val="000000" w:themeColor="text1"/>
                <w:kern w:val="0"/>
                <w:sz w:val="24"/>
                <w:highlight w:val="none"/>
                <w14:textFill>
                  <w14:solidFill>
                    <w14:schemeClr w14:val="tx1"/>
                  </w14:solidFill>
                </w14:textFill>
              </w:rPr>
              <w:t>9</w:t>
            </w:r>
          </w:p>
        </w:tc>
        <w:tc>
          <w:tcPr>
            <w:tcW w:w="2633"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c>
          <w:tcPr>
            <w:tcW w:w="2976"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c>
          <w:tcPr>
            <w:tcW w:w="2132" w:type="dxa"/>
            <w:vAlign w:val="center"/>
          </w:tcPr>
          <w:p>
            <w:pPr>
              <w:widowControl/>
              <w:spacing w:line="520" w:lineRule="exact"/>
              <w:jc w:val="center"/>
              <w:rPr>
                <w:rFonts w:eastAsia="新宋体"/>
                <w:color w:val="000000" w:themeColor="text1"/>
                <w:kern w:val="0"/>
                <w:sz w:val="24"/>
                <w:highlight w:val="none"/>
                <w14:textFill>
                  <w14:solidFill>
                    <w14:schemeClr w14:val="tx1"/>
                  </w14:solidFill>
                </w14:textFill>
              </w:rPr>
            </w:pPr>
          </w:p>
        </w:tc>
      </w:tr>
    </w:tbl>
    <w:p>
      <w:pPr>
        <w:spacing w:line="520" w:lineRule="exact"/>
        <w:ind w:firstLine="482" w:firstLineChars="200"/>
        <w:rPr>
          <w:rFonts w:eastAsia="新宋体"/>
          <w:b/>
          <w:color w:val="000000" w:themeColor="text1"/>
          <w:sz w:val="24"/>
          <w:highlight w:val="none"/>
          <w14:textFill>
            <w14:solidFill>
              <w14:schemeClr w14:val="tx1"/>
            </w14:solidFill>
          </w14:textFill>
        </w:rPr>
      </w:pPr>
      <w:r>
        <w:rPr>
          <w:rFonts w:eastAsia="新宋体"/>
          <w:b/>
          <w:color w:val="000000" w:themeColor="text1"/>
          <w:sz w:val="24"/>
          <w:highlight w:val="none"/>
          <w14:textFill>
            <w14:solidFill>
              <w14:schemeClr w14:val="tx1"/>
            </w14:solidFill>
          </w14:textFill>
        </w:rPr>
        <w:t>说明：</w:t>
      </w:r>
      <w:r>
        <w:rPr>
          <w:rFonts w:eastAsia="新宋体"/>
          <w:color w:val="000000" w:themeColor="text1"/>
          <w:sz w:val="24"/>
          <w:highlight w:val="none"/>
          <w14:textFill>
            <w14:solidFill>
              <w14:schemeClr w14:val="tx1"/>
            </w14:solidFill>
          </w14:textFill>
        </w:rPr>
        <w:t>此表应按采购文件的规定，对每一种货物要单独制作一份。</w:t>
      </w:r>
    </w:p>
    <w:p>
      <w:pPr>
        <w:spacing w:line="520" w:lineRule="exact"/>
        <w:ind w:firstLine="482" w:firstLineChars="200"/>
        <w:rPr>
          <w:rFonts w:eastAsia="新宋体"/>
          <w:b/>
          <w:color w:val="000000" w:themeColor="text1"/>
          <w:sz w:val="24"/>
          <w:highlight w:val="none"/>
          <w14:textFill>
            <w14:solidFill>
              <w14:schemeClr w14:val="tx1"/>
            </w14:solidFill>
          </w14:textFill>
        </w:rPr>
      </w:pPr>
      <w:r>
        <w:rPr>
          <w:rFonts w:eastAsia="新宋体"/>
          <w:b/>
          <w:color w:val="000000" w:themeColor="text1"/>
          <w:sz w:val="24"/>
          <w:highlight w:val="none"/>
          <w14:textFill>
            <w14:solidFill>
              <w14:schemeClr w14:val="tx1"/>
            </w14:solidFill>
          </w14:textFill>
        </w:rPr>
        <w:t>四、合同总价</w:t>
      </w:r>
    </w:p>
    <w:p>
      <w:pPr>
        <w:spacing w:line="520" w:lineRule="exact"/>
        <w:ind w:firstLine="480" w:firstLineChars="200"/>
        <w:rPr>
          <w:rFonts w:eastAsia="新宋体"/>
          <w:b/>
          <w:color w:val="000000" w:themeColor="text1"/>
          <w:sz w:val="24"/>
          <w:highlight w:val="none"/>
          <w14:textFill>
            <w14:solidFill>
              <w14:schemeClr w14:val="tx1"/>
            </w14:solidFill>
          </w14:textFill>
        </w:rPr>
      </w:pPr>
      <w:r>
        <w:rPr>
          <w:rFonts w:eastAsia="新宋体"/>
          <w:bCs/>
          <w:color w:val="000000" w:themeColor="text1"/>
          <w:sz w:val="24"/>
          <w:highlight w:val="none"/>
          <w14:textFill>
            <w14:solidFill>
              <w14:schemeClr w14:val="tx1"/>
            </w14:solidFill>
          </w14:textFill>
        </w:rPr>
        <w:t>根据中标通知书的内容，</w:t>
      </w:r>
      <w:r>
        <w:rPr>
          <w:rFonts w:eastAsia="新宋体"/>
          <w:color w:val="000000" w:themeColor="text1"/>
          <w:sz w:val="24"/>
          <w:highlight w:val="none"/>
          <w14:textFill>
            <w14:solidFill>
              <w14:schemeClr w14:val="tx1"/>
            </w14:solidFill>
          </w14:textFill>
        </w:rPr>
        <w:t>合同总价金额为：大写</w:t>
      </w:r>
      <w:r>
        <w:rPr>
          <w:rFonts w:eastAsia="新宋体"/>
          <w:color w:val="000000" w:themeColor="text1"/>
          <w:sz w:val="24"/>
          <w:highlight w:val="none"/>
          <w:u w:val="single"/>
          <w14:textFill>
            <w14:solidFill>
              <w14:schemeClr w14:val="tx1"/>
            </w14:solidFill>
          </w14:textFill>
        </w:rPr>
        <w:t xml:space="preserve">        </w:t>
      </w:r>
      <w:r>
        <w:rPr>
          <w:rFonts w:eastAsia="新宋体"/>
          <w:color w:val="000000" w:themeColor="text1"/>
          <w:sz w:val="24"/>
          <w:highlight w:val="none"/>
          <w14:textFill>
            <w14:solidFill>
              <w14:schemeClr w14:val="tx1"/>
            </w14:solidFill>
          </w14:textFill>
        </w:rPr>
        <w:t xml:space="preserve">元整;小写 </w:t>
      </w:r>
      <w:r>
        <w:rPr>
          <w:rFonts w:eastAsia="新宋体"/>
          <w:color w:val="000000" w:themeColor="text1"/>
          <w:sz w:val="24"/>
          <w:highlight w:val="none"/>
          <w:u w:val="single"/>
          <w14:textFill>
            <w14:solidFill>
              <w14:schemeClr w14:val="tx1"/>
            </w14:solidFill>
          </w14:textFill>
        </w:rPr>
        <w:t xml:space="preserve">￥              </w:t>
      </w:r>
      <w:r>
        <w:rPr>
          <w:rFonts w:eastAsia="新宋体"/>
          <w:color w:val="000000" w:themeColor="text1"/>
          <w:sz w:val="24"/>
          <w:highlight w:val="none"/>
          <w14:textFill>
            <w14:solidFill>
              <w14:schemeClr w14:val="tx1"/>
            </w14:solidFill>
          </w14:textFill>
        </w:rPr>
        <w:t>元(人民币)。</w:t>
      </w:r>
    </w:p>
    <w:p>
      <w:pPr>
        <w:spacing w:line="520" w:lineRule="exact"/>
        <w:ind w:firstLine="482" w:firstLineChars="200"/>
        <w:rPr>
          <w:rFonts w:eastAsia="新宋体"/>
          <w:b/>
          <w:color w:val="000000" w:themeColor="text1"/>
          <w:sz w:val="24"/>
          <w:highlight w:val="none"/>
          <w14:textFill>
            <w14:solidFill>
              <w14:schemeClr w14:val="tx1"/>
            </w14:solidFill>
          </w14:textFill>
        </w:rPr>
      </w:pPr>
      <w:r>
        <w:rPr>
          <w:rFonts w:eastAsia="新宋体"/>
          <w:b/>
          <w:color w:val="000000" w:themeColor="text1"/>
          <w:sz w:val="24"/>
          <w:highlight w:val="none"/>
          <w14:textFill>
            <w14:solidFill>
              <w14:schemeClr w14:val="tx1"/>
            </w14:solidFill>
          </w14:textFill>
        </w:rPr>
        <w:t>五、付款方式</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1.国库集中支付（   ），采购人支付（    ）。</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2.待项目完成并通过采购人验收合格后，支付合同金额的</w:t>
      </w:r>
      <w:r>
        <w:rPr>
          <w:rFonts w:eastAsia="新宋体"/>
          <w:color w:val="000000" w:themeColor="text1"/>
          <w:sz w:val="24"/>
          <w:highlight w:val="none"/>
          <w:u w:val="single"/>
          <w14:textFill>
            <w14:solidFill>
              <w14:schemeClr w14:val="tx1"/>
            </w14:solidFill>
          </w14:textFill>
        </w:rPr>
        <w:t xml:space="preserve"> </w:t>
      </w:r>
      <w:r>
        <w:rPr>
          <w:rFonts w:eastAsia="新宋体"/>
          <w:color w:val="000000" w:themeColor="text1"/>
          <w:sz w:val="24"/>
          <w:highlight w:val="none"/>
          <w14:textFill>
            <w14:solidFill>
              <w14:schemeClr w14:val="tx1"/>
            </w14:solidFill>
          </w14:textFill>
        </w:rPr>
        <w:t>％，其余部分</w:t>
      </w:r>
      <w:r>
        <w:rPr>
          <w:rFonts w:eastAsia="新宋体"/>
          <w:color w:val="000000" w:themeColor="text1"/>
          <w:sz w:val="24"/>
          <w:highlight w:val="none"/>
          <w:u w:val="single"/>
          <w14:textFill>
            <w14:solidFill>
              <w14:schemeClr w14:val="tx1"/>
            </w14:solidFill>
          </w14:textFill>
        </w:rPr>
        <w:t xml:space="preserve">       </w:t>
      </w:r>
      <w:r>
        <w:rPr>
          <w:rFonts w:eastAsia="新宋体"/>
          <w:color w:val="000000" w:themeColor="text1"/>
          <w:sz w:val="24"/>
          <w:highlight w:val="none"/>
          <w14:textFill>
            <w14:solidFill>
              <w14:schemeClr w14:val="tx1"/>
            </w14:solidFill>
          </w14:textFill>
        </w:rPr>
        <w:t>时间内一次性支付。</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3.采购人使用人民币支付货款。</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4.投标人收取货款开户行名称、帐号等信息。</w:t>
      </w:r>
    </w:p>
    <w:p>
      <w:pPr>
        <w:spacing w:line="520" w:lineRule="exact"/>
        <w:ind w:firstLine="482" w:firstLineChars="200"/>
        <w:rPr>
          <w:rFonts w:eastAsia="新宋体"/>
          <w:b/>
          <w:color w:val="000000" w:themeColor="text1"/>
          <w:sz w:val="24"/>
          <w:highlight w:val="none"/>
          <w14:textFill>
            <w14:solidFill>
              <w14:schemeClr w14:val="tx1"/>
            </w14:solidFill>
          </w14:textFill>
        </w:rPr>
      </w:pPr>
      <w:r>
        <w:rPr>
          <w:rFonts w:eastAsia="新宋体"/>
          <w:b/>
          <w:color w:val="000000" w:themeColor="text1"/>
          <w:sz w:val="24"/>
          <w:highlight w:val="none"/>
          <w14:textFill>
            <w14:solidFill>
              <w14:schemeClr w14:val="tx1"/>
            </w14:solidFill>
          </w14:textFill>
        </w:rPr>
        <w:t>六、交货时间、地点及相关要求</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1.交货时间：投标人接到中标通知书后</w:t>
      </w:r>
      <w:r>
        <w:rPr>
          <w:rFonts w:eastAsia="新宋体"/>
          <w:color w:val="000000" w:themeColor="text1"/>
          <w:sz w:val="24"/>
          <w:highlight w:val="none"/>
          <w:u w:val="single"/>
          <w14:textFill>
            <w14:solidFill>
              <w14:schemeClr w14:val="tx1"/>
            </w14:solidFill>
          </w14:textFill>
        </w:rPr>
        <w:t xml:space="preserve">   </w:t>
      </w:r>
      <w:r>
        <w:rPr>
          <w:rFonts w:eastAsia="新宋体"/>
          <w:color w:val="000000" w:themeColor="text1"/>
          <w:sz w:val="24"/>
          <w:highlight w:val="none"/>
          <w14:textFill>
            <w14:solidFill>
              <w14:schemeClr w14:val="tx1"/>
            </w14:solidFill>
          </w14:textFill>
        </w:rPr>
        <w:t>日内一次全部交清。</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2.交货地点：</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3.相关要求：</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（1）投标人应在交货前向用户提供交货计划；</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（2）运输、保险和装卸费用，以及安装、调试和培训的费用由投标人承担。</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（3）投标人提供货物与合同规定的货物名称、规格型号、技术指标、数量等不相符时，采购人应不予接收。</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（4）采购人应督促投标人及时供货，投标人未能按时供货，按照采购文件相关条款作相应处理。</w:t>
      </w:r>
    </w:p>
    <w:p>
      <w:pPr>
        <w:spacing w:line="520" w:lineRule="exact"/>
        <w:ind w:firstLine="482" w:firstLineChars="200"/>
        <w:rPr>
          <w:rFonts w:eastAsia="新宋体"/>
          <w:b/>
          <w:bCs/>
          <w:color w:val="000000" w:themeColor="text1"/>
          <w:sz w:val="24"/>
          <w:highlight w:val="none"/>
          <w14:textFill>
            <w14:solidFill>
              <w14:schemeClr w14:val="tx1"/>
            </w14:solidFill>
          </w14:textFill>
        </w:rPr>
      </w:pPr>
      <w:r>
        <w:rPr>
          <w:rFonts w:eastAsia="新宋体"/>
          <w:b/>
          <w:color w:val="000000" w:themeColor="text1"/>
          <w:sz w:val="24"/>
          <w:highlight w:val="none"/>
          <w14:textFill>
            <w14:solidFill>
              <w14:schemeClr w14:val="tx1"/>
            </w14:solidFill>
          </w14:textFill>
        </w:rPr>
        <w:t>七、售后服务承诺</w:t>
      </w:r>
      <w:r>
        <w:rPr>
          <w:rFonts w:eastAsia="新宋体"/>
          <w:b/>
          <w:bCs/>
          <w:color w:val="000000" w:themeColor="text1"/>
          <w:sz w:val="24"/>
          <w:highlight w:val="none"/>
          <w14:textFill>
            <w14:solidFill>
              <w14:schemeClr w14:val="tx1"/>
            </w14:solidFill>
          </w14:textFill>
        </w:rPr>
        <w:t xml:space="preserve"> </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投标人对所提供货物的售后服务作如下承诺：</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1.保证所提供的货物为原装正品，是全新的、未使用过的，并完全符合强制性的国家技术、质量规范和合同规定的质量、规格、性能和技术规范要求。</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3.保修期及保修服务的内容严格遵守国家法律及合同文件规定，保证在货物验收后保修期内免费保修。</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4.保证用户对售后服务要求的及时响应，对需上门服务的情况，用户所在地之内的应在</w:t>
      </w:r>
      <w:r>
        <w:rPr>
          <w:rFonts w:eastAsia="新宋体"/>
          <w:color w:val="000000" w:themeColor="text1"/>
          <w:sz w:val="24"/>
          <w:highlight w:val="none"/>
          <w:u w:val="single"/>
          <w14:textFill>
            <w14:solidFill>
              <w14:schemeClr w14:val="tx1"/>
            </w14:solidFill>
          </w14:textFill>
        </w:rPr>
        <w:t xml:space="preserve">    </w:t>
      </w:r>
      <w:r>
        <w:rPr>
          <w:rFonts w:eastAsia="新宋体"/>
          <w:color w:val="000000" w:themeColor="text1"/>
          <w:sz w:val="24"/>
          <w:highlight w:val="none"/>
          <w14:textFill>
            <w14:solidFill>
              <w14:schemeClr w14:val="tx1"/>
            </w14:solidFill>
          </w14:textFill>
        </w:rPr>
        <w:t>小时内派技术人员赶到现场；用户所在地之外或需外地厂家协助的，应在</w:t>
      </w:r>
      <w:r>
        <w:rPr>
          <w:rFonts w:eastAsia="新宋体"/>
          <w:color w:val="000000" w:themeColor="text1"/>
          <w:sz w:val="24"/>
          <w:highlight w:val="none"/>
          <w:u w:val="single"/>
          <w14:textFill>
            <w14:solidFill>
              <w14:schemeClr w14:val="tx1"/>
            </w14:solidFill>
          </w14:textFill>
        </w:rPr>
        <w:t xml:space="preserve">    </w:t>
      </w:r>
      <w:r>
        <w:rPr>
          <w:rFonts w:eastAsia="新宋体"/>
          <w:color w:val="000000" w:themeColor="text1"/>
          <w:sz w:val="24"/>
          <w:highlight w:val="none"/>
          <w14:textFill>
            <w14:solidFill>
              <w14:schemeClr w14:val="tx1"/>
            </w14:solidFill>
          </w14:textFill>
        </w:rPr>
        <w:t>小时内派技术人员赶到现场；若需返回厂家修理，应提供备用设备或提供保证不耽误工作的服务。</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5.对厂家提供的货物的硬件或软件的升级改进服务，有及时告知用户的义务,在用户同意接受这些服务的情况下提供便利条件。</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6.生产厂家到最终用户现场安装、调试合格后验收，现场为用户提供货物使用、维护等方面的技术培训。</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7.严格遵守投标文件中售后服务承诺以及双方议定的售后服务承诺。</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（上述为共性条款，以下针对货物情况可填写具体售后服务承诺条款）</w:t>
      </w:r>
    </w:p>
    <w:p>
      <w:pPr>
        <w:spacing w:line="520" w:lineRule="exact"/>
        <w:ind w:firstLine="482" w:firstLineChars="200"/>
        <w:rPr>
          <w:rFonts w:eastAsia="新宋体"/>
          <w:b/>
          <w:color w:val="000000" w:themeColor="text1"/>
          <w:sz w:val="24"/>
          <w:highlight w:val="none"/>
          <w14:textFill>
            <w14:solidFill>
              <w14:schemeClr w14:val="tx1"/>
            </w14:solidFill>
          </w14:textFill>
        </w:rPr>
      </w:pPr>
      <w:r>
        <w:rPr>
          <w:rFonts w:eastAsia="新宋体"/>
          <w:b/>
          <w:color w:val="000000" w:themeColor="text1"/>
          <w:sz w:val="24"/>
          <w:highlight w:val="none"/>
          <w14:textFill>
            <w14:solidFill>
              <w14:schemeClr w14:val="tx1"/>
            </w14:solidFill>
          </w14:textFill>
        </w:rPr>
        <w:t xml:space="preserve">八、验收办法及要求： </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1.外观检查</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（1）检查仪器设备内外包装是否完好，有无破损、碰伤、浸湿、受潮、变形等情况。</w:t>
      </w:r>
    </w:p>
    <w:p>
      <w:pPr>
        <w:spacing w:line="520" w:lineRule="exact"/>
        <w:ind w:firstLine="6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（2）检查仪器设备及附件外表有无残损、锈蚀、碰伤等。</w:t>
      </w:r>
    </w:p>
    <w:p>
      <w:pPr>
        <w:spacing w:line="520" w:lineRule="exact"/>
        <w:ind w:firstLine="6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（3）如发现上述问题，应做详细记录，并拍照留据。</w:t>
      </w:r>
    </w:p>
    <w:p>
      <w:pPr>
        <w:spacing w:line="520" w:lineRule="exact"/>
        <w:ind w:firstLine="6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（4）特殊仪器设备要依据设备的特性和合同要求及相关国家、行业（当行业标准高于国家标准时）、企业标准（当企业标准高于国家和行业标准时）进行外观检查。</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2.数量验收</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（1）以供货合同和装箱单为依据，检查主机、辅机、附件、配件、备件及工具的规格、型号、配置及数量，并逐件清查核对。</w:t>
      </w:r>
    </w:p>
    <w:p>
      <w:pPr>
        <w:spacing w:line="520" w:lineRule="exact"/>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 xml:space="preserve">    （2）与仪器设备配套使用的软件系统的名称、软件系统介质形式、数量等。</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（3）认真检查随机资料是否齐全，如仪器说明书、操作规程、检修手册、产品检验合格证书等。</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（4）做好数量验收记录，写明验收地点、时间、参加人员、箱号、品名、应到和实到数量。</w:t>
      </w:r>
    </w:p>
    <w:p>
      <w:pPr>
        <w:spacing w:line="520" w:lineRule="exact"/>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 xml:space="preserve">    3.质量验收</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（1）要严格按照合同条款、仪器使用说明书、操作手册的规定和程序，进行安装、试机。</w:t>
      </w:r>
    </w:p>
    <w:p>
      <w:pPr>
        <w:spacing w:line="520" w:lineRule="exact"/>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 xml:space="preserve">    （2）对照合同技术参数指标条款、仪器说明书，认真进行各种技术参数测试，检查仪器的技术指标和性能是否达到要求(出具验收数据单)。</w:t>
      </w:r>
    </w:p>
    <w:p>
      <w:pPr>
        <w:spacing w:line="520" w:lineRule="exact"/>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 xml:space="preserve">    （3）质量验收时要认真做好记录。若仪器出现质量问题，应将详细情况书面通知供货单位，视情况决定是否退货、更换或要求厂商派员检修。</w:t>
      </w:r>
    </w:p>
    <w:p>
      <w:pPr>
        <w:spacing w:line="520" w:lineRule="exact"/>
        <w:ind w:firstLine="6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（4）进口仪器设备的验收按工商质检部门的有关规定进行。合同规定由外商安装调试的，必须由外商派员来现场共同开箱验收、安装、测试，安装调试合格后方可签署验收文件。</w:t>
      </w:r>
    </w:p>
    <w:p>
      <w:pPr>
        <w:spacing w:line="520" w:lineRule="exact"/>
        <w:ind w:firstLine="6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（5）关于仪器设备使用人员培训，必须保证使用人员能正确操作、能进行基本养护、处理一般问题。</w:t>
      </w:r>
    </w:p>
    <w:p>
      <w:pPr>
        <w:spacing w:line="520" w:lineRule="exact"/>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 xml:space="preserve">    （6）软件系统功能项目、容量、节点数、使用时间、知识产权的使用等。</w:t>
      </w:r>
    </w:p>
    <w:p>
      <w:pPr>
        <w:spacing w:line="520" w:lineRule="exact"/>
        <w:ind w:firstLine="480" w:firstLineChars="200"/>
        <w:rPr>
          <w:rFonts w:eastAsia="新宋体"/>
          <w:bCs/>
          <w:color w:val="000000" w:themeColor="text1"/>
          <w:sz w:val="24"/>
          <w:highlight w:val="none"/>
          <w14:textFill>
            <w14:solidFill>
              <w14:schemeClr w14:val="tx1"/>
            </w14:solidFill>
          </w14:textFill>
        </w:rPr>
      </w:pPr>
      <w:r>
        <w:rPr>
          <w:rFonts w:eastAsia="新宋体"/>
          <w:bCs/>
          <w:color w:val="000000" w:themeColor="text1"/>
          <w:sz w:val="24"/>
          <w:highlight w:val="none"/>
          <w14:textFill>
            <w14:solidFill>
              <w14:schemeClr w14:val="tx1"/>
            </w14:solidFill>
          </w14:textFill>
        </w:rPr>
        <w:t>（7）特殊、特种仪器设备根据国家相关规定进行验收。</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4.验收确认</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货到安装调试、培训完成及预验收后，采购人安排货物最终验收时间，由</w:t>
      </w:r>
      <w:r>
        <w:rPr>
          <w:rFonts w:eastAsia="新宋体"/>
          <w:bCs/>
          <w:color w:val="000000" w:themeColor="text1"/>
          <w:sz w:val="24"/>
          <w:highlight w:val="none"/>
          <w14:textFill>
            <w14:solidFill>
              <w14:schemeClr w14:val="tx1"/>
            </w14:solidFill>
          </w14:textFill>
        </w:rPr>
        <w:t>采购人</w:t>
      </w:r>
      <w:r>
        <w:rPr>
          <w:rFonts w:eastAsia="新宋体"/>
          <w:color w:val="000000" w:themeColor="text1"/>
          <w:sz w:val="24"/>
          <w:highlight w:val="none"/>
          <w14:textFill>
            <w14:solidFill>
              <w14:schemeClr w14:val="tx1"/>
            </w14:solidFill>
          </w14:textFill>
        </w:rPr>
        <w:t>负责组织货物验收工作小组进行货物最终验收及上报审批工作。验收不合格，终止合同，后果投标人自负。验收合格并最终签字即为完成交货，本合同货物验收责任人是采购人。</w:t>
      </w:r>
    </w:p>
    <w:p>
      <w:pPr>
        <w:spacing w:line="520" w:lineRule="exact"/>
        <w:ind w:firstLine="482" w:firstLineChars="200"/>
        <w:rPr>
          <w:rFonts w:eastAsia="新宋体"/>
          <w:b/>
          <w:color w:val="000000" w:themeColor="text1"/>
          <w:sz w:val="24"/>
          <w:highlight w:val="none"/>
          <w14:textFill>
            <w14:solidFill>
              <w14:schemeClr w14:val="tx1"/>
            </w14:solidFill>
          </w14:textFill>
        </w:rPr>
      </w:pPr>
      <w:r>
        <w:rPr>
          <w:rFonts w:eastAsia="新宋体"/>
          <w:b/>
          <w:color w:val="000000" w:themeColor="text1"/>
          <w:sz w:val="24"/>
          <w:highlight w:val="none"/>
          <w14:textFill>
            <w14:solidFill>
              <w14:schemeClr w14:val="tx1"/>
            </w14:solidFill>
          </w14:textFill>
        </w:rPr>
        <w:t>九、履约保证金</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投标人在收到中标通知书后需向采购人交纳履约保证金，履约保证金交纳数额为中标总金额的 0%，分期付款的项目，经双方商定，可以不预收履约保证金。待完成验收后</w:t>
      </w:r>
      <w:r>
        <w:rPr>
          <w:rFonts w:eastAsia="新宋体"/>
          <w:color w:val="000000" w:themeColor="text1"/>
          <w:sz w:val="24"/>
          <w:highlight w:val="none"/>
          <w:u w:val="single"/>
          <w14:textFill>
            <w14:solidFill>
              <w14:schemeClr w14:val="tx1"/>
            </w14:solidFill>
          </w14:textFill>
        </w:rPr>
        <w:t xml:space="preserve">    </w:t>
      </w:r>
      <w:r>
        <w:rPr>
          <w:rFonts w:eastAsia="新宋体"/>
          <w:color w:val="000000" w:themeColor="text1"/>
          <w:sz w:val="24"/>
          <w:highlight w:val="none"/>
          <w14:textFill>
            <w14:solidFill>
              <w14:schemeClr w14:val="tx1"/>
            </w14:solidFill>
          </w14:textFill>
        </w:rPr>
        <w:t>内，采购人无息一次性退还履约保证金。</w:t>
      </w:r>
    </w:p>
    <w:p>
      <w:pPr>
        <w:spacing w:line="520" w:lineRule="exact"/>
        <w:ind w:firstLine="472" w:firstLineChars="196"/>
        <w:rPr>
          <w:rFonts w:eastAsia="新宋体"/>
          <w:b/>
          <w:color w:val="000000" w:themeColor="text1"/>
          <w:sz w:val="24"/>
          <w:highlight w:val="none"/>
          <w14:textFill>
            <w14:solidFill>
              <w14:schemeClr w14:val="tx1"/>
            </w14:solidFill>
          </w14:textFill>
        </w:rPr>
      </w:pPr>
      <w:r>
        <w:rPr>
          <w:rFonts w:eastAsia="新宋体"/>
          <w:b/>
          <w:color w:val="000000" w:themeColor="text1"/>
          <w:sz w:val="24"/>
          <w:highlight w:val="none"/>
          <w14:textFill>
            <w14:solidFill>
              <w14:schemeClr w14:val="tx1"/>
            </w14:solidFill>
          </w14:textFill>
        </w:rPr>
        <w:t>十、合同生效及其它</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1.本合同一式三份，经采购人、采购代理机构、投标人法人代表（或授权人）签字并加盖公章后生效。</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2.本合同由采购人、采购代理机构、投标人各执一份。</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3.合同内容如遇国家法律、法规及政策另有规定的，从其规定。</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4.本合同未尽事宜，双方协商解决。</w:t>
      </w:r>
    </w:p>
    <w:p>
      <w:pPr>
        <w:spacing w:line="520" w:lineRule="exact"/>
        <w:ind w:firstLine="480" w:firstLineChars="20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5.附件：（1）中标通知书。</w:t>
      </w:r>
    </w:p>
    <w:p>
      <w:pPr>
        <w:spacing w:line="520" w:lineRule="exact"/>
        <w:ind w:firstLine="1320" w:firstLineChars="55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（2）投标人法人代表授权书原件（如果委托授权的话）。</w:t>
      </w:r>
    </w:p>
    <w:p>
      <w:pPr>
        <w:spacing w:line="520" w:lineRule="exact"/>
        <w:rPr>
          <w:rFonts w:eastAsia="新宋体"/>
          <w:color w:val="000000" w:themeColor="text1"/>
          <w:sz w:val="24"/>
          <w:highlight w:val="none"/>
          <w14:textFill>
            <w14:solidFill>
              <w14:schemeClr w14:val="tx1"/>
            </w14:solidFill>
          </w14:textFill>
        </w:rPr>
      </w:pPr>
    </w:p>
    <w:p>
      <w:pPr>
        <w:spacing w:line="520" w:lineRule="exact"/>
        <w:ind w:right="-462" w:rightChars="-22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买方：采购人名称（加盖公章）：</w:t>
      </w:r>
    </w:p>
    <w:p>
      <w:pPr>
        <w:spacing w:line="520" w:lineRule="exact"/>
        <w:ind w:right="-462" w:rightChars="-22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地址：</w:t>
      </w:r>
    </w:p>
    <w:p>
      <w:pPr>
        <w:spacing w:line="520" w:lineRule="exact"/>
        <w:ind w:right="-462" w:rightChars="-22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邮编：             电话：           传真：</w:t>
      </w:r>
    </w:p>
    <w:p>
      <w:pPr>
        <w:spacing w:line="520" w:lineRule="exact"/>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 xml:space="preserve">买方：采购人法人代表（或授权人）（签字）：                      </w:t>
      </w:r>
    </w:p>
    <w:p>
      <w:pPr>
        <w:spacing w:line="520" w:lineRule="exact"/>
        <w:ind w:firstLine="4920" w:firstLineChars="205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年    月   日</w:t>
      </w:r>
    </w:p>
    <w:p>
      <w:pPr>
        <w:spacing w:line="520" w:lineRule="exact"/>
        <w:rPr>
          <w:rFonts w:eastAsia="新宋体"/>
          <w:color w:val="000000" w:themeColor="text1"/>
          <w:sz w:val="24"/>
          <w:highlight w:val="none"/>
          <w14:textFill>
            <w14:solidFill>
              <w14:schemeClr w14:val="tx1"/>
            </w14:solidFill>
          </w14:textFill>
        </w:rPr>
      </w:pPr>
    </w:p>
    <w:p>
      <w:pPr>
        <w:spacing w:line="520" w:lineRule="exact"/>
        <w:rPr>
          <w:rFonts w:eastAsia="新宋体"/>
          <w:color w:val="000000" w:themeColor="text1"/>
          <w:sz w:val="24"/>
          <w:highlight w:val="none"/>
          <w14:textFill>
            <w14:solidFill>
              <w14:schemeClr w14:val="tx1"/>
            </w14:solidFill>
          </w14:textFill>
        </w:rPr>
      </w:pPr>
    </w:p>
    <w:p>
      <w:pPr>
        <w:spacing w:line="520" w:lineRule="exact"/>
        <w:rPr>
          <w:rFonts w:eastAsia="新宋体"/>
          <w:color w:val="000000" w:themeColor="text1"/>
          <w:sz w:val="24"/>
          <w:highlight w:val="none"/>
          <w14:textFill>
            <w14:solidFill>
              <w14:schemeClr w14:val="tx1"/>
            </w14:solidFill>
          </w14:textFill>
        </w:rPr>
      </w:pPr>
    </w:p>
    <w:p>
      <w:pPr>
        <w:spacing w:line="520" w:lineRule="exact"/>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卖方：投标人名称（加盖公章）：</w:t>
      </w:r>
    </w:p>
    <w:p>
      <w:pPr>
        <w:spacing w:line="520" w:lineRule="exact"/>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地址：</w:t>
      </w:r>
    </w:p>
    <w:p>
      <w:pPr>
        <w:spacing w:line="520" w:lineRule="exact"/>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邮编：             电话：            传真：</w:t>
      </w:r>
    </w:p>
    <w:p>
      <w:pPr>
        <w:spacing w:line="520" w:lineRule="exact"/>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 xml:space="preserve">卖方：投标人法人代表（或授权人）（签字）：  </w:t>
      </w:r>
    </w:p>
    <w:p>
      <w:pPr>
        <w:spacing w:line="520" w:lineRule="exact"/>
        <w:ind w:firstLine="4920" w:firstLineChars="2050"/>
        <w:rPr>
          <w:rFonts w:eastAsia="新宋体"/>
          <w:color w:val="000000" w:themeColor="text1"/>
          <w:sz w:val="24"/>
          <w:highlight w:val="none"/>
          <w14:textFill>
            <w14:solidFill>
              <w14:schemeClr w14:val="tx1"/>
            </w14:solidFill>
          </w14:textFill>
        </w:rPr>
      </w:pPr>
      <w:r>
        <w:rPr>
          <w:rFonts w:eastAsia="新宋体"/>
          <w:color w:val="000000" w:themeColor="text1"/>
          <w:sz w:val="24"/>
          <w:highlight w:val="none"/>
          <w14:textFill>
            <w14:solidFill>
              <w14:schemeClr w14:val="tx1"/>
            </w14:solidFill>
          </w14:textFill>
        </w:rPr>
        <w:t>年    月   日</w:t>
      </w:r>
    </w:p>
    <w:p>
      <w:pPr>
        <w:spacing w:line="240" w:lineRule="exact"/>
        <w:rPr>
          <w:b/>
          <w:color w:val="000000" w:themeColor="text1"/>
          <w:sz w:val="24"/>
          <w:highlight w:val="none"/>
          <w14:textFill>
            <w14:solidFill>
              <w14:schemeClr w14:val="tx1"/>
            </w14:solidFill>
          </w14:textFill>
        </w:rPr>
      </w:pPr>
    </w:p>
    <w:p>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7、最终内容以中标方和买方单位签订的合同为主。</w:t>
      </w:r>
    </w:p>
    <w:p>
      <w:pPr>
        <w:ind w:left="-141" w:leftChars="-67" w:right="-176" w:rightChars="-84" w:firstLine="120" w:firstLineChars="50"/>
        <w:rPr>
          <w:color w:val="000000" w:themeColor="text1"/>
          <w:sz w:val="24"/>
          <w:highlight w:val="none"/>
          <w14:textFill>
            <w14:solidFill>
              <w14:schemeClr w14:val="tx1"/>
            </w14:solidFill>
          </w14:textFill>
        </w:rPr>
      </w:pPr>
    </w:p>
    <w:p>
      <w:pPr>
        <w:ind w:left="-141" w:leftChars="-67" w:right="-176" w:rightChars="-84" w:firstLine="120" w:firstLineChars="50"/>
        <w:rPr>
          <w:color w:val="000000" w:themeColor="text1"/>
          <w:sz w:val="24"/>
          <w:highlight w:val="none"/>
          <w14:textFill>
            <w14:solidFill>
              <w14:schemeClr w14:val="tx1"/>
            </w14:solidFill>
          </w14:textFill>
        </w:rPr>
      </w:pPr>
    </w:p>
    <w:p>
      <w:pPr>
        <w:rPr>
          <w:b/>
          <w:color w:val="000000" w:themeColor="text1"/>
          <w:sz w:val="30"/>
          <w:szCs w:val="30"/>
          <w:highlight w:val="none"/>
          <w14:textFill>
            <w14:solidFill>
              <w14:schemeClr w14:val="tx1"/>
            </w14:solidFill>
          </w14:textFill>
        </w:rPr>
      </w:pPr>
      <w:bookmarkStart w:id="68" w:name="_Toc47416189"/>
      <w:bookmarkStart w:id="69" w:name="_Toc49019228"/>
    </w:p>
    <w:p>
      <w:pPr>
        <w:rPr>
          <w:b/>
          <w:color w:val="000000" w:themeColor="text1"/>
          <w:sz w:val="30"/>
          <w:szCs w:val="30"/>
          <w:highlight w:val="none"/>
          <w14:textFill>
            <w14:solidFill>
              <w14:schemeClr w14:val="tx1"/>
            </w14:solidFill>
          </w14:textFill>
        </w:rPr>
      </w:pPr>
    </w:p>
    <w:p>
      <w:pPr>
        <w:rPr>
          <w:b/>
          <w:color w:val="000000" w:themeColor="text1"/>
          <w:sz w:val="30"/>
          <w:szCs w:val="30"/>
          <w:highlight w:val="none"/>
          <w14:textFill>
            <w14:solidFill>
              <w14:schemeClr w14:val="tx1"/>
            </w14:solidFill>
          </w14:textFill>
        </w:rPr>
      </w:pPr>
    </w:p>
    <w:p>
      <w:pPr>
        <w:rPr>
          <w:b/>
          <w:color w:val="000000" w:themeColor="text1"/>
          <w:sz w:val="30"/>
          <w:szCs w:val="30"/>
          <w:highlight w:val="none"/>
          <w14:textFill>
            <w14:solidFill>
              <w14:schemeClr w14:val="tx1"/>
            </w14:solidFill>
          </w14:textFill>
        </w:rPr>
      </w:pPr>
    </w:p>
    <w:p>
      <w:pPr>
        <w:rPr>
          <w:b/>
          <w:color w:val="000000" w:themeColor="text1"/>
          <w:sz w:val="30"/>
          <w:szCs w:val="30"/>
          <w:highlight w:val="none"/>
          <w14:textFill>
            <w14:solidFill>
              <w14:schemeClr w14:val="tx1"/>
            </w14:solidFill>
          </w14:textFill>
        </w:rPr>
      </w:pPr>
    </w:p>
    <w:p>
      <w:pPr>
        <w:rPr>
          <w:b/>
          <w:color w:val="000000" w:themeColor="text1"/>
          <w:sz w:val="30"/>
          <w:szCs w:val="30"/>
          <w:highlight w:val="none"/>
          <w14:textFill>
            <w14:solidFill>
              <w14:schemeClr w14:val="tx1"/>
            </w14:solidFill>
          </w14:textFill>
        </w:rPr>
      </w:pPr>
    </w:p>
    <w:p>
      <w:pPr>
        <w:rPr>
          <w:b/>
          <w:color w:val="000000" w:themeColor="text1"/>
          <w:sz w:val="30"/>
          <w:szCs w:val="30"/>
          <w:highlight w:val="none"/>
          <w14:textFill>
            <w14:solidFill>
              <w14:schemeClr w14:val="tx1"/>
            </w14:solidFill>
          </w14:textFill>
        </w:rPr>
      </w:pPr>
    </w:p>
    <w:p>
      <w:pPr>
        <w:rPr>
          <w:b/>
          <w:color w:val="000000" w:themeColor="text1"/>
          <w:sz w:val="30"/>
          <w:szCs w:val="30"/>
          <w:highlight w:val="none"/>
          <w14:textFill>
            <w14:solidFill>
              <w14:schemeClr w14:val="tx1"/>
            </w14:solidFill>
          </w14:textFill>
        </w:rPr>
      </w:pPr>
    </w:p>
    <w:p>
      <w:pPr>
        <w:rPr>
          <w:b/>
          <w:color w:val="000000" w:themeColor="text1"/>
          <w:sz w:val="30"/>
          <w:szCs w:val="30"/>
          <w:highlight w:val="none"/>
          <w14:textFill>
            <w14:solidFill>
              <w14:schemeClr w14:val="tx1"/>
            </w14:solidFill>
          </w14:textFill>
        </w:rPr>
      </w:pPr>
    </w:p>
    <w:p>
      <w:pPr>
        <w:jc w:val="center"/>
        <w:rPr>
          <w:b/>
          <w:color w:val="000000" w:themeColor="text1"/>
          <w:sz w:val="30"/>
          <w:szCs w:val="30"/>
          <w:highlight w:val="none"/>
          <w14:textFill>
            <w14:solidFill>
              <w14:schemeClr w14:val="tx1"/>
            </w14:solidFill>
          </w14:textFill>
        </w:rPr>
      </w:pPr>
    </w:p>
    <w:p>
      <w:pPr>
        <w:pStyle w:val="2"/>
        <w:rPr>
          <w:color w:val="000000" w:themeColor="text1"/>
          <w:szCs w:val="22"/>
          <w:highlight w:val="none"/>
          <w14:textFill>
            <w14:solidFill>
              <w14:schemeClr w14:val="tx1"/>
            </w14:solidFill>
          </w14:textFill>
        </w:rPr>
      </w:pPr>
      <w:bookmarkStart w:id="70" w:name="_Toc169194755"/>
      <w:r>
        <w:rPr>
          <w:color w:val="000000" w:themeColor="text1"/>
          <w:szCs w:val="22"/>
          <w:highlight w:val="none"/>
          <w14:textFill>
            <w14:solidFill>
              <w14:schemeClr w14:val="tx1"/>
            </w14:solidFill>
          </w14:textFill>
        </w:rPr>
        <w:t>第</w:t>
      </w:r>
      <w:r>
        <w:rPr>
          <w:rFonts w:hint="eastAsia"/>
          <w:color w:val="000000" w:themeColor="text1"/>
          <w:szCs w:val="22"/>
          <w:highlight w:val="none"/>
          <w14:textFill>
            <w14:solidFill>
              <w14:schemeClr w14:val="tx1"/>
            </w14:solidFill>
          </w14:textFill>
        </w:rPr>
        <w:t>五</w:t>
      </w:r>
      <w:r>
        <w:rPr>
          <w:color w:val="000000" w:themeColor="text1"/>
          <w:szCs w:val="22"/>
          <w:highlight w:val="none"/>
          <w14:textFill>
            <w14:solidFill>
              <w14:schemeClr w14:val="tx1"/>
            </w14:solidFill>
          </w14:textFill>
        </w:rPr>
        <w:t>章 附件（投标文件格式）</w:t>
      </w:r>
      <w:bookmarkEnd w:id="70"/>
    </w:p>
    <w:p>
      <w:pPr>
        <w:spacing w:line="500" w:lineRule="exact"/>
        <w:ind w:left="140" w:hanging="140" w:hangingChars="50"/>
        <w:rPr>
          <w:color w:val="000000" w:themeColor="text1"/>
          <w:sz w:val="28"/>
          <w:highlight w:val="none"/>
          <w:u w:val="single"/>
          <w14:textFill>
            <w14:solidFill>
              <w14:schemeClr w14:val="tx1"/>
            </w14:solidFill>
          </w14:textFill>
        </w:rPr>
      </w:pPr>
    </w:p>
    <w:p>
      <w:pPr>
        <w:spacing w:line="500" w:lineRule="exact"/>
        <w:ind w:left="140" w:hanging="140" w:hangingChars="50"/>
        <w:rPr>
          <w:color w:val="000000" w:themeColor="text1"/>
          <w:sz w:val="28"/>
          <w:highlight w:val="none"/>
          <w:u w:val="single"/>
          <w14:textFill>
            <w14:solidFill>
              <w14:schemeClr w14:val="tx1"/>
            </w14:solidFill>
          </w14:textFill>
        </w:rPr>
      </w:pPr>
      <w:r>
        <w:rPr>
          <w:color w:val="000000" w:themeColor="text1"/>
          <w:sz w:val="28"/>
          <w:highlight w:val="none"/>
          <w:u w:val="single"/>
          <w14:textFill>
            <w14:solidFill>
              <w14:schemeClr w14:val="tx1"/>
            </w14:solidFill>
          </w14:textFill>
        </w:rPr>
        <w:t>投标文件封面示例</w:t>
      </w:r>
    </w:p>
    <w:p>
      <w:pPr>
        <w:spacing w:line="360" w:lineRule="auto"/>
        <w:jc w:val="center"/>
        <w:rPr>
          <w:b/>
          <w:color w:val="000000" w:themeColor="text1"/>
          <w:sz w:val="28"/>
          <w:szCs w:val="28"/>
          <w:highlight w:val="none"/>
          <w14:textFill>
            <w14:solidFill>
              <w14:schemeClr w14:val="tx1"/>
            </w14:solidFill>
          </w14:textFill>
        </w:rPr>
      </w:pPr>
    </w:p>
    <w:p>
      <w:pPr>
        <w:spacing w:line="360" w:lineRule="auto"/>
        <w:jc w:val="right"/>
        <w:rPr>
          <w:b/>
          <w:bCs/>
          <w:color w:val="000000" w:themeColor="text1"/>
          <w:sz w:val="44"/>
          <w:szCs w:val="44"/>
          <w:highlight w:val="none"/>
          <w:bdr w:val="single" w:color="auto" w:sz="4" w:space="0"/>
          <w14:textFill>
            <w14:solidFill>
              <w14:schemeClr w14:val="tx1"/>
            </w14:solidFill>
          </w14:textFill>
        </w:rPr>
      </w:pPr>
      <w:r>
        <w:rPr>
          <w:b/>
          <w:bCs/>
          <w:color w:val="000000" w:themeColor="text1"/>
          <w:sz w:val="44"/>
          <w:szCs w:val="44"/>
          <w:highlight w:val="none"/>
          <w:bdr w:val="single" w:color="auto" w:sz="4" w:space="0"/>
          <w14:textFill>
            <w14:solidFill>
              <w14:schemeClr w14:val="tx1"/>
            </w14:solidFill>
          </w14:textFill>
        </w:rPr>
        <w:t>正（副）本</w:t>
      </w:r>
    </w:p>
    <w:p>
      <w:pPr>
        <w:spacing w:line="360" w:lineRule="auto"/>
        <w:jc w:val="center"/>
        <w:rPr>
          <w:color w:val="000000" w:themeColor="text1"/>
          <w:sz w:val="52"/>
          <w:szCs w:val="52"/>
          <w:highlight w:val="none"/>
          <w:lang w:val="zh-CN"/>
          <w14:textFill>
            <w14:solidFill>
              <w14:schemeClr w14:val="tx1"/>
            </w14:solidFill>
          </w14:textFill>
        </w:rPr>
      </w:pPr>
    </w:p>
    <w:p>
      <w:pPr>
        <w:spacing w:line="360" w:lineRule="auto"/>
        <w:jc w:val="center"/>
        <w:rPr>
          <w:rFonts w:eastAsia="黑体"/>
          <w:b/>
          <w:bCs/>
          <w:color w:val="000000" w:themeColor="text1"/>
          <w:sz w:val="72"/>
          <w:szCs w:val="72"/>
          <w:highlight w:val="none"/>
          <w:lang w:val="zh-CN"/>
          <w14:textFill>
            <w14:solidFill>
              <w14:schemeClr w14:val="tx1"/>
            </w14:solidFill>
          </w14:textFill>
        </w:rPr>
      </w:pPr>
      <w:r>
        <w:rPr>
          <w:rFonts w:eastAsia="黑体"/>
          <w:b/>
          <w:bCs/>
          <w:color w:val="000000" w:themeColor="text1"/>
          <w:sz w:val="72"/>
          <w:szCs w:val="72"/>
          <w:highlight w:val="none"/>
          <w:lang w:val="zh-CN"/>
          <w14:textFill>
            <w14:solidFill>
              <w14:schemeClr w14:val="tx1"/>
            </w14:solidFill>
          </w14:textFill>
        </w:rPr>
        <w:t>投</w:t>
      </w:r>
      <w:r>
        <w:rPr>
          <w:rFonts w:eastAsia="黑体"/>
          <w:b/>
          <w:bCs/>
          <w:color w:val="000000" w:themeColor="text1"/>
          <w:sz w:val="72"/>
          <w:szCs w:val="72"/>
          <w:highlight w:val="none"/>
          <w14:textFill>
            <w14:solidFill>
              <w14:schemeClr w14:val="tx1"/>
            </w14:solidFill>
          </w14:textFill>
        </w:rPr>
        <w:t xml:space="preserve">  </w:t>
      </w:r>
      <w:r>
        <w:rPr>
          <w:rFonts w:eastAsia="黑体"/>
          <w:b/>
          <w:bCs/>
          <w:color w:val="000000" w:themeColor="text1"/>
          <w:sz w:val="72"/>
          <w:szCs w:val="72"/>
          <w:highlight w:val="none"/>
          <w:lang w:val="zh-CN"/>
          <w14:textFill>
            <w14:solidFill>
              <w14:schemeClr w14:val="tx1"/>
            </w14:solidFill>
          </w14:textFill>
        </w:rPr>
        <w:t>标</w:t>
      </w:r>
      <w:r>
        <w:rPr>
          <w:rFonts w:eastAsia="黑体"/>
          <w:b/>
          <w:bCs/>
          <w:color w:val="000000" w:themeColor="text1"/>
          <w:sz w:val="72"/>
          <w:szCs w:val="72"/>
          <w:highlight w:val="none"/>
          <w14:textFill>
            <w14:solidFill>
              <w14:schemeClr w14:val="tx1"/>
            </w14:solidFill>
          </w14:textFill>
        </w:rPr>
        <w:t xml:space="preserve">  </w:t>
      </w:r>
      <w:r>
        <w:rPr>
          <w:rFonts w:eastAsia="黑体"/>
          <w:b/>
          <w:bCs/>
          <w:color w:val="000000" w:themeColor="text1"/>
          <w:sz w:val="72"/>
          <w:szCs w:val="72"/>
          <w:highlight w:val="none"/>
          <w:lang w:val="zh-CN"/>
          <w14:textFill>
            <w14:solidFill>
              <w14:schemeClr w14:val="tx1"/>
            </w14:solidFill>
          </w14:textFill>
        </w:rPr>
        <w:t>文</w:t>
      </w:r>
      <w:r>
        <w:rPr>
          <w:rFonts w:eastAsia="黑体"/>
          <w:b/>
          <w:bCs/>
          <w:color w:val="000000" w:themeColor="text1"/>
          <w:sz w:val="72"/>
          <w:szCs w:val="72"/>
          <w:highlight w:val="none"/>
          <w14:textFill>
            <w14:solidFill>
              <w14:schemeClr w14:val="tx1"/>
            </w14:solidFill>
          </w14:textFill>
        </w:rPr>
        <w:t xml:space="preserve">  </w:t>
      </w:r>
      <w:r>
        <w:rPr>
          <w:rFonts w:eastAsia="黑体"/>
          <w:b/>
          <w:bCs/>
          <w:color w:val="000000" w:themeColor="text1"/>
          <w:sz w:val="72"/>
          <w:szCs w:val="72"/>
          <w:highlight w:val="none"/>
          <w:lang w:val="zh-CN"/>
          <w14:textFill>
            <w14:solidFill>
              <w14:schemeClr w14:val="tx1"/>
            </w14:solidFill>
          </w14:textFill>
        </w:rPr>
        <w:t>件</w:t>
      </w:r>
    </w:p>
    <w:p>
      <w:pPr>
        <w:spacing w:line="360" w:lineRule="auto"/>
        <w:jc w:val="center"/>
        <w:rPr>
          <w:color w:val="000000" w:themeColor="text1"/>
          <w:sz w:val="52"/>
          <w:szCs w:val="52"/>
          <w:highlight w:val="none"/>
          <w:lang w:val="zh-CN"/>
          <w14:textFill>
            <w14:solidFill>
              <w14:schemeClr w14:val="tx1"/>
            </w14:solidFill>
          </w14:textFill>
        </w:rPr>
      </w:pPr>
    </w:p>
    <w:p>
      <w:pPr>
        <w:spacing w:line="360" w:lineRule="auto"/>
        <w:jc w:val="center"/>
        <w:rPr>
          <w:color w:val="000000" w:themeColor="text1"/>
          <w:sz w:val="52"/>
          <w:szCs w:val="52"/>
          <w:highlight w:val="none"/>
          <w:lang w:val="zh-CN"/>
          <w14:textFill>
            <w14:solidFill>
              <w14:schemeClr w14:val="tx1"/>
            </w14:solidFill>
          </w14:textFill>
        </w:rPr>
      </w:pPr>
    </w:p>
    <w:p>
      <w:pPr>
        <w:spacing w:line="360" w:lineRule="auto"/>
        <w:rPr>
          <w:color w:val="000000" w:themeColor="text1"/>
          <w:sz w:val="24"/>
          <w:szCs w:val="24"/>
          <w:highlight w:val="none"/>
          <w:lang w:val="zh-CN"/>
          <w14:textFill>
            <w14:solidFill>
              <w14:schemeClr w14:val="tx1"/>
            </w14:solidFill>
          </w14:textFill>
        </w:rPr>
      </w:pPr>
    </w:p>
    <w:p>
      <w:pPr>
        <w:spacing w:line="360" w:lineRule="auto"/>
        <w:rPr>
          <w:color w:val="000000" w:themeColor="text1"/>
          <w:sz w:val="24"/>
          <w:szCs w:val="24"/>
          <w:highlight w:val="none"/>
          <w:lang w:val="zh-CN"/>
          <w14:textFill>
            <w14:solidFill>
              <w14:schemeClr w14:val="tx1"/>
            </w14:solidFill>
          </w14:textFill>
        </w:rPr>
      </w:pPr>
      <w:r>
        <w:rPr>
          <w:color w:val="000000" w:themeColor="text1"/>
          <w:sz w:val="24"/>
          <w:szCs w:val="24"/>
          <w:highlight w:val="none"/>
          <w:lang w:val="zh-CN"/>
          <w14:textFill>
            <w14:solidFill>
              <w14:schemeClr w14:val="tx1"/>
            </w14:solidFill>
          </w14:textFill>
        </w:rPr>
        <w:t xml:space="preserve">项目名称: </w:t>
      </w:r>
      <w:r>
        <w:rPr>
          <w:rFonts w:hint="eastAsia"/>
          <w:color w:val="000000" w:themeColor="text1"/>
          <w:sz w:val="24"/>
          <w:szCs w:val="24"/>
          <w:highlight w:val="none"/>
          <w:lang w:val="zh-CN"/>
          <w14:textFill>
            <w14:solidFill>
              <w14:schemeClr w14:val="tx1"/>
            </w14:solidFill>
          </w14:textFill>
        </w:rPr>
        <w:t>新疆农业大学附属中学体育设备采购项目</w:t>
      </w:r>
    </w:p>
    <w:p>
      <w:pPr>
        <w:spacing w:line="360" w:lineRule="auto"/>
        <w:rPr>
          <w:rFonts w:hint="default" w:eastAsia="宋体"/>
          <w:color w:val="000000" w:themeColor="text1"/>
          <w:sz w:val="24"/>
          <w:szCs w:val="24"/>
          <w:highlight w:val="none"/>
          <w:lang w:val="en-US" w:eastAsia="zh-CN"/>
          <w14:textFill>
            <w14:solidFill>
              <w14:schemeClr w14:val="tx1"/>
            </w14:solidFill>
          </w14:textFill>
        </w:rPr>
      </w:pPr>
      <w:r>
        <w:rPr>
          <w:color w:val="000000" w:themeColor="text1"/>
          <w:sz w:val="24"/>
          <w:szCs w:val="24"/>
          <w:highlight w:val="none"/>
          <w:lang w:val="zh-CN"/>
          <w14:textFill>
            <w14:solidFill>
              <w14:schemeClr w14:val="tx1"/>
            </w14:solidFill>
          </w14:textFill>
        </w:rPr>
        <w:t xml:space="preserve">项目编号: </w:t>
      </w:r>
      <w:r>
        <w:rPr>
          <w:rFonts w:hint="eastAsia"/>
          <w:color w:val="000000" w:themeColor="text1"/>
          <w:sz w:val="24"/>
          <w:szCs w:val="24"/>
          <w:highlight w:val="none"/>
          <w:lang w:val="zh-CN"/>
          <w14:textFill>
            <w14:solidFill>
              <w14:schemeClr w14:val="tx1"/>
            </w14:solidFill>
          </w14:textFill>
        </w:rPr>
        <w:t>HLYZB02-202</w:t>
      </w:r>
      <w:r>
        <w:rPr>
          <w:rFonts w:hint="eastAsia"/>
          <w:color w:val="000000" w:themeColor="text1"/>
          <w:sz w:val="24"/>
          <w:szCs w:val="24"/>
          <w:highlight w:val="none"/>
          <w14:textFill>
            <w14:solidFill>
              <w14:schemeClr w14:val="tx1"/>
            </w14:solidFill>
          </w14:textFill>
        </w:rPr>
        <w:t>5</w:t>
      </w:r>
      <w:r>
        <w:rPr>
          <w:rFonts w:hint="eastAsia"/>
          <w:color w:val="000000" w:themeColor="text1"/>
          <w:sz w:val="24"/>
          <w:szCs w:val="24"/>
          <w:highlight w:val="none"/>
          <w:lang w:val="zh-CN"/>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15</w:t>
      </w:r>
    </w:p>
    <w:p>
      <w:pPr>
        <w:spacing w:line="360" w:lineRule="auto"/>
        <w:rPr>
          <w:color w:val="000000" w:themeColor="text1"/>
          <w:sz w:val="24"/>
          <w:szCs w:val="24"/>
          <w:highlight w:val="none"/>
          <w:lang w:val="zh-CN"/>
          <w14:textFill>
            <w14:solidFill>
              <w14:schemeClr w14:val="tx1"/>
            </w14:solidFill>
          </w14:textFill>
        </w:rPr>
      </w:pPr>
      <w:r>
        <w:rPr>
          <w:color w:val="000000" w:themeColor="text1"/>
          <w:sz w:val="24"/>
          <w:szCs w:val="24"/>
          <w:highlight w:val="none"/>
          <w:lang w:val="zh-CN"/>
          <w14:textFill>
            <w14:solidFill>
              <w14:schemeClr w14:val="tx1"/>
            </w14:solidFill>
          </w14:textFill>
        </w:rPr>
        <w:t>投标人全称:(盖章)</w:t>
      </w:r>
    </w:p>
    <w:p>
      <w:pPr>
        <w:spacing w:line="360" w:lineRule="auto"/>
        <w:rPr>
          <w:color w:val="000000" w:themeColor="text1"/>
          <w:sz w:val="24"/>
          <w:szCs w:val="24"/>
          <w:highlight w:val="none"/>
          <w:lang w:val="zh-CN"/>
          <w14:textFill>
            <w14:solidFill>
              <w14:schemeClr w14:val="tx1"/>
            </w14:solidFill>
          </w14:textFill>
        </w:rPr>
      </w:pPr>
      <w:r>
        <w:rPr>
          <w:color w:val="000000" w:themeColor="text1"/>
          <w:sz w:val="24"/>
          <w:szCs w:val="24"/>
          <w:highlight w:val="none"/>
          <w:lang w:val="zh-CN"/>
          <w14:textFill>
            <w14:solidFill>
              <w14:schemeClr w14:val="tx1"/>
            </w14:solidFill>
          </w14:textFill>
        </w:rPr>
        <w:t>法定代表人或授权代表: (签字或盖章)</w:t>
      </w:r>
    </w:p>
    <w:p>
      <w:pPr>
        <w:spacing w:line="360" w:lineRule="auto"/>
        <w:rPr>
          <w:color w:val="000000" w:themeColor="text1"/>
          <w:sz w:val="24"/>
          <w:szCs w:val="24"/>
          <w:highlight w:val="none"/>
          <w:lang w:val="zh-CN"/>
          <w14:textFill>
            <w14:solidFill>
              <w14:schemeClr w14:val="tx1"/>
            </w14:solidFill>
          </w14:textFill>
        </w:rPr>
      </w:pPr>
      <w:r>
        <w:rPr>
          <w:color w:val="000000" w:themeColor="text1"/>
          <w:sz w:val="24"/>
          <w:szCs w:val="24"/>
          <w:highlight w:val="none"/>
          <w:lang w:val="zh-CN"/>
          <w14:textFill>
            <w14:solidFill>
              <w14:schemeClr w14:val="tx1"/>
            </w14:solidFill>
          </w14:textFill>
        </w:rPr>
        <w:t>联系地址：</w:t>
      </w:r>
    </w:p>
    <w:p>
      <w:pPr>
        <w:spacing w:line="360" w:lineRule="auto"/>
        <w:rPr>
          <w:color w:val="000000" w:themeColor="text1"/>
          <w:sz w:val="24"/>
          <w:szCs w:val="24"/>
          <w:highlight w:val="none"/>
          <w:lang w:val="zh-CN"/>
          <w14:textFill>
            <w14:solidFill>
              <w14:schemeClr w14:val="tx1"/>
            </w14:solidFill>
          </w14:textFill>
        </w:rPr>
      </w:pPr>
      <w:r>
        <w:rPr>
          <w:color w:val="000000" w:themeColor="text1"/>
          <w:sz w:val="24"/>
          <w:szCs w:val="24"/>
          <w:highlight w:val="none"/>
          <w:lang w:val="zh-CN"/>
          <w14:textFill>
            <w14:solidFill>
              <w14:schemeClr w14:val="tx1"/>
            </w14:solidFill>
          </w14:textFill>
        </w:rPr>
        <w:t>联系电话：</w:t>
      </w:r>
    </w:p>
    <w:p>
      <w:pPr>
        <w:spacing w:line="360" w:lineRule="auto"/>
        <w:rPr>
          <w:color w:val="000000" w:themeColor="text1"/>
          <w:sz w:val="24"/>
          <w:szCs w:val="24"/>
          <w:highlight w:val="none"/>
          <w:lang w:val="zh-CN"/>
          <w14:textFill>
            <w14:solidFill>
              <w14:schemeClr w14:val="tx1"/>
            </w14:solidFill>
          </w14:textFill>
        </w:rPr>
      </w:pPr>
      <w:r>
        <w:rPr>
          <w:color w:val="000000" w:themeColor="text1"/>
          <w:sz w:val="24"/>
          <w:szCs w:val="24"/>
          <w:highlight w:val="none"/>
          <w:lang w:val="zh-CN"/>
          <w14:textFill>
            <w14:solidFill>
              <w14:schemeClr w14:val="tx1"/>
            </w14:solidFill>
          </w14:textFill>
        </w:rPr>
        <w:t>编制时间:    年   月   日</w:t>
      </w:r>
    </w:p>
    <w:p>
      <w:pPr>
        <w:spacing w:line="360" w:lineRule="auto"/>
        <w:rPr>
          <w:color w:val="000000" w:themeColor="text1"/>
          <w:sz w:val="32"/>
          <w:szCs w:val="32"/>
          <w:highlight w:val="none"/>
          <w:lang w:val="zh-CN"/>
          <w14:textFill>
            <w14:solidFill>
              <w14:schemeClr w14:val="tx1"/>
            </w14:solidFill>
          </w14:textFill>
        </w:rPr>
      </w:pPr>
    </w:p>
    <w:p>
      <w:pPr>
        <w:spacing w:line="360" w:lineRule="auto"/>
        <w:rPr>
          <w:color w:val="000000" w:themeColor="text1"/>
          <w:sz w:val="32"/>
          <w:szCs w:val="32"/>
          <w:highlight w:val="none"/>
          <w:lang w:val="zh-CN"/>
          <w14:textFill>
            <w14:solidFill>
              <w14:schemeClr w14:val="tx1"/>
            </w14:solidFill>
          </w14:textFill>
        </w:rPr>
      </w:pPr>
    </w:p>
    <w:p>
      <w:pPr>
        <w:pStyle w:val="21"/>
        <w:rPr>
          <w:highlight w:val="none"/>
          <w:lang w:val="zh-CN"/>
        </w:rPr>
      </w:pPr>
    </w:p>
    <w:p>
      <w:pPr>
        <w:spacing w:line="360" w:lineRule="auto"/>
        <w:rPr>
          <w:color w:val="000000" w:themeColor="text1"/>
          <w:sz w:val="32"/>
          <w:szCs w:val="32"/>
          <w:highlight w:val="none"/>
          <w:lang w:val="zh-CN"/>
          <w14:textFill>
            <w14:solidFill>
              <w14:schemeClr w14:val="tx1"/>
            </w14:solidFill>
          </w14:textFill>
        </w:rPr>
      </w:pPr>
    </w:p>
    <w:p>
      <w:pPr>
        <w:jc w:val="center"/>
        <w:rPr>
          <w:b/>
          <w:bCs/>
          <w:color w:val="000000" w:themeColor="text1"/>
          <w:sz w:val="32"/>
          <w:szCs w:val="32"/>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jc w:val="center"/>
        <w:rPr>
          <w:b/>
          <w:bCs/>
          <w:color w:val="000000" w:themeColor="text1"/>
          <w:sz w:val="32"/>
          <w:szCs w:val="32"/>
          <w:highlight w:val="none"/>
          <w14:textFill>
            <w14:solidFill>
              <w14:schemeClr w14:val="tx1"/>
            </w14:solidFill>
          </w14:textFill>
        </w:rPr>
      </w:pPr>
    </w:p>
    <w:p>
      <w:pPr>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投标文件目录</w:t>
      </w:r>
    </w:p>
    <w:p>
      <w:pPr>
        <w:jc w:val="center"/>
        <w:rPr>
          <w:b/>
          <w:bCs/>
          <w:color w:val="000000" w:themeColor="text1"/>
          <w:sz w:val="32"/>
          <w:szCs w:val="32"/>
          <w:highlight w:val="none"/>
          <w14:textFill>
            <w14:solidFill>
              <w14:schemeClr w14:val="tx1"/>
            </w14:solidFill>
          </w14:textFill>
        </w:rPr>
      </w:pPr>
    </w:p>
    <w:p>
      <w:pPr>
        <w:jc w:val="center"/>
        <w:rPr>
          <w:b/>
          <w:bCs/>
          <w:color w:val="000000" w:themeColor="text1"/>
          <w:sz w:val="32"/>
          <w:szCs w:val="32"/>
          <w:highlight w:val="none"/>
          <w14:textFill>
            <w14:solidFill>
              <w14:schemeClr w14:val="tx1"/>
            </w14:solidFill>
          </w14:textFill>
        </w:rPr>
      </w:pPr>
    </w:p>
    <w:p>
      <w:pPr>
        <w:pStyle w:val="29"/>
        <w:numPr>
          <w:ilvl w:val="0"/>
          <w:numId w:val="10"/>
        </w:numPr>
        <w:adjustRightInd w:val="0"/>
        <w:spacing w:line="360" w:lineRule="auto"/>
        <w:ind w:firstLineChars="0"/>
        <w:textAlignment w:val="baseline"/>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投 标 函</w:t>
      </w:r>
    </w:p>
    <w:p>
      <w:pPr>
        <w:pStyle w:val="29"/>
        <w:numPr>
          <w:ilvl w:val="0"/>
          <w:numId w:val="10"/>
        </w:numPr>
        <w:adjustRightInd w:val="0"/>
        <w:spacing w:line="360" w:lineRule="auto"/>
        <w:ind w:firstLineChars="0"/>
        <w:textAlignment w:val="baseline"/>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法定代表人身份证明书</w:t>
      </w:r>
    </w:p>
    <w:p>
      <w:pPr>
        <w:pStyle w:val="29"/>
        <w:numPr>
          <w:ilvl w:val="0"/>
          <w:numId w:val="10"/>
        </w:numPr>
        <w:adjustRightInd w:val="0"/>
        <w:spacing w:line="360" w:lineRule="auto"/>
        <w:ind w:firstLineChars="0"/>
        <w:textAlignment w:val="baseline"/>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法定代表人授权书格式（单独提交1份）</w:t>
      </w:r>
    </w:p>
    <w:p>
      <w:pPr>
        <w:pStyle w:val="29"/>
        <w:numPr>
          <w:ilvl w:val="0"/>
          <w:numId w:val="10"/>
        </w:numPr>
        <w:adjustRightInd w:val="0"/>
        <w:spacing w:line="360" w:lineRule="auto"/>
        <w:ind w:firstLineChars="0"/>
        <w:textAlignment w:val="baseline"/>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投标人资格声明格式</w:t>
      </w:r>
    </w:p>
    <w:p>
      <w:pPr>
        <w:pStyle w:val="29"/>
        <w:numPr>
          <w:ilvl w:val="0"/>
          <w:numId w:val="10"/>
        </w:numPr>
        <w:adjustRightInd w:val="0"/>
        <w:spacing w:line="360" w:lineRule="auto"/>
        <w:ind w:firstLineChars="0"/>
        <w:textAlignment w:val="baseline"/>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开标一览表</w:t>
      </w:r>
    </w:p>
    <w:p>
      <w:pPr>
        <w:pStyle w:val="29"/>
        <w:numPr>
          <w:ilvl w:val="0"/>
          <w:numId w:val="10"/>
        </w:numPr>
        <w:adjustRightInd w:val="0"/>
        <w:spacing w:line="360" w:lineRule="auto"/>
        <w:ind w:firstLineChars="0"/>
        <w:textAlignment w:val="baseline"/>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分项报价明细表</w:t>
      </w:r>
    </w:p>
    <w:p>
      <w:pPr>
        <w:pStyle w:val="29"/>
        <w:numPr>
          <w:ilvl w:val="0"/>
          <w:numId w:val="10"/>
        </w:numPr>
        <w:adjustRightInd w:val="0"/>
        <w:spacing w:line="360" w:lineRule="auto"/>
        <w:ind w:firstLineChars="0"/>
        <w:textAlignment w:val="baseline"/>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资格证明材料</w:t>
      </w:r>
    </w:p>
    <w:p>
      <w:pPr>
        <w:pStyle w:val="29"/>
        <w:numPr>
          <w:ilvl w:val="0"/>
          <w:numId w:val="10"/>
        </w:numPr>
        <w:adjustRightInd w:val="0"/>
        <w:spacing w:line="360" w:lineRule="auto"/>
        <w:ind w:firstLineChars="0"/>
        <w:textAlignment w:val="baseline"/>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投标投标人基本情况表</w:t>
      </w:r>
    </w:p>
    <w:p>
      <w:pPr>
        <w:pStyle w:val="29"/>
        <w:numPr>
          <w:ilvl w:val="0"/>
          <w:numId w:val="10"/>
        </w:numPr>
        <w:adjustRightInd w:val="0"/>
        <w:spacing w:line="360" w:lineRule="auto"/>
        <w:ind w:firstLineChars="0"/>
        <w:textAlignment w:val="baseline"/>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投标人类似项目业绩一览表</w:t>
      </w:r>
    </w:p>
    <w:p>
      <w:pPr>
        <w:pStyle w:val="29"/>
        <w:numPr>
          <w:ilvl w:val="0"/>
          <w:numId w:val="10"/>
        </w:numPr>
        <w:adjustRightInd w:val="0"/>
        <w:spacing w:line="360" w:lineRule="auto"/>
        <w:ind w:firstLineChars="0"/>
        <w:textAlignment w:val="baseline"/>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投标人本项目管理、技术、服务人员情况表</w:t>
      </w:r>
    </w:p>
    <w:p>
      <w:pPr>
        <w:pStyle w:val="29"/>
        <w:numPr>
          <w:ilvl w:val="0"/>
          <w:numId w:val="10"/>
        </w:numPr>
        <w:tabs>
          <w:tab w:val="left" w:pos="1050"/>
        </w:tabs>
        <w:adjustRightInd w:val="0"/>
        <w:spacing w:line="360" w:lineRule="auto"/>
        <w:ind w:firstLineChars="0"/>
        <w:textAlignment w:val="baseline"/>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技术／商务响应与偏离表技术资料</w:t>
      </w:r>
    </w:p>
    <w:p>
      <w:pPr>
        <w:pStyle w:val="29"/>
        <w:numPr>
          <w:ilvl w:val="0"/>
          <w:numId w:val="10"/>
        </w:numPr>
        <w:tabs>
          <w:tab w:val="left" w:pos="1050"/>
        </w:tabs>
        <w:adjustRightInd w:val="0"/>
        <w:spacing w:line="360" w:lineRule="auto"/>
        <w:ind w:firstLineChars="0"/>
        <w:textAlignment w:val="baseline"/>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技术资料</w:t>
      </w:r>
    </w:p>
    <w:p>
      <w:pPr>
        <w:pStyle w:val="29"/>
        <w:numPr>
          <w:ilvl w:val="0"/>
          <w:numId w:val="10"/>
        </w:numPr>
        <w:tabs>
          <w:tab w:val="left" w:pos="1050"/>
        </w:tabs>
        <w:adjustRightInd w:val="0"/>
        <w:spacing w:line="360" w:lineRule="auto"/>
        <w:ind w:firstLineChars="0"/>
        <w:textAlignment w:val="baseline"/>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供货单位承诺书</w:t>
      </w:r>
    </w:p>
    <w:p>
      <w:pPr>
        <w:pStyle w:val="29"/>
        <w:numPr>
          <w:ilvl w:val="0"/>
          <w:numId w:val="10"/>
        </w:numPr>
        <w:tabs>
          <w:tab w:val="left" w:pos="1050"/>
        </w:tabs>
        <w:adjustRightInd w:val="0"/>
        <w:spacing w:line="360" w:lineRule="auto"/>
        <w:ind w:firstLineChars="0"/>
        <w:textAlignment w:val="baseline"/>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投标人认为需提供的相关资料</w:t>
      </w:r>
    </w:p>
    <w:bookmarkEnd w:id="68"/>
    <w:bookmarkEnd w:id="69"/>
    <w:p>
      <w:pPr>
        <w:numPr>
          <w:ilvl w:val="0"/>
          <w:numId w:val="11"/>
        </w:numPr>
        <w:jc w:val="center"/>
        <w:rPr>
          <w:rFonts w:hint="eastAsia" w:ascii="宋体" w:hAnsi="宋体" w:cs="宋体"/>
          <w:b/>
          <w:bCs/>
          <w:color w:val="000000" w:themeColor="text1"/>
          <w:sz w:val="30"/>
          <w:szCs w:val="30"/>
          <w:highlight w:val="none"/>
          <w14:textFill>
            <w14:solidFill>
              <w14:schemeClr w14:val="tx1"/>
            </w14:solidFill>
          </w14:textFill>
        </w:rPr>
      </w:pPr>
      <w:bookmarkStart w:id="71" w:name="_Toc275971567"/>
      <w:bookmarkStart w:id="72" w:name="_Toc275974113"/>
      <w:bookmarkStart w:id="73" w:name="_Toc275974184"/>
      <w:bookmarkStart w:id="74" w:name="_Toc273554653"/>
      <w:bookmarkStart w:id="75" w:name="_Toc275974236"/>
      <w:bookmarkStart w:id="76" w:name="_Toc11730"/>
      <w:bookmarkStart w:id="77" w:name="_Toc10940"/>
      <w:bookmarkStart w:id="78" w:name="_Toc86202635"/>
      <w:bookmarkStart w:id="79" w:name="_Toc171913692"/>
      <w:bookmarkStart w:id="80" w:name="_Toc110403960"/>
      <w:r>
        <w:rPr>
          <w:b/>
          <w:bCs/>
          <w:color w:val="000000" w:themeColor="text1"/>
          <w:sz w:val="30"/>
          <w:szCs w:val="30"/>
          <w:highlight w:val="none"/>
          <w14:textFill>
            <w14:solidFill>
              <w14:schemeClr w14:val="tx1"/>
            </w14:solidFill>
          </w14:textFill>
        </w:rPr>
        <w:br w:type="page"/>
      </w:r>
      <w:r>
        <w:rPr>
          <w:rFonts w:hint="eastAsia" w:ascii="宋体" w:hAnsi="宋体" w:cs="宋体"/>
          <w:b/>
          <w:bCs/>
          <w:color w:val="000000" w:themeColor="text1"/>
          <w:sz w:val="30"/>
          <w:szCs w:val="30"/>
          <w:highlight w:val="none"/>
          <w14:textFill>
            <w14:solidFill>
              <w14:schemeClr w14:val="tx1"/>
            </w14:solidFill>
          </w14:textFill>
        </w:rPr>
        <w:t xml:space="preserve">投 标 </w:t>
      </w:r>
      <w:bookmarkEnd w:id="71"/>
      <w:bookmarkEnd w:id="72"/>
      <w:bookmarkEnd w:id="73"/>
      <w:bookmarkEnd w:id="74"/>
      <w:bookmarkEnd w:id="75"/>
      <w:r>
        <w:rPr>
          <w:rFonts w:hint="eastAsia" w:ascii="宋体" w:hAnsi="宋体" w:cs="宋体"/>
          <w:b/>
          <w:bCs/>
          <w:color w:val="000000" w:themeColor="text1"/>
          <w:sz w:val="30"/>
          <w:szCs w:val="30"/>
          <w:highlight w:val="none"/>
          <w14:textFill>
            <w14:solidFill>
              <w14:schemeClr w14:val="tx1"/>
            </w14:solidFill>
          </w14:textFill>
        </w:rPr>
        <w:t>函</w:t>
      </w:r>
      <w:bookmarkEnd w:id="76"/>
      <w:bookmarkEnd w:id="77"/>
    </w:p>
    <w:bookmarkEnd w:id="78"/>
    <w:bookmarkEnd w:id="79"/>
    <w:p>
      <w:pPr>
        <w:spacing w:line="360" w:lineRule="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14:textFill>
            <w14:solidFill>
              <w14:schemeClr w14:val="tx1"/>
            </w14:solidFill>
          </w14:textFill>
        </w:rPr>
        <w:t xml:space="preserve">  （采购人）               </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根据贵方为</w:t>
      </w: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项目招标的编制的招标文件</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（招标编号），授权</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（全名、职务）代表投标人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（投标人名称、地址）提交投标文件正本壹份和副本叁份。</w:t>
      </w:r>
    </w:p>
    <w:p>
      <w:pPr>
        <w:spacing w:line="360" w:lineRule="auto"/>
        <w:rPr>
          <w:rFonts w:hint="eastAsia" w:ascii="宋体" w:hAnsi="宋体" w:cs="宋体"/>
          <w:color w:val="000000" w:themeColor="text1"/>
          <w:sz w:val="24"/>
          <w:szCs w:val="24"/>
          <w:highlight w:val="none"/>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据此函，签字或盖章代表宣布同意如下：</w:t>
      </w:r>
    </w:p>
    <w:p>
      <w:pPr>
        <w:spacing w:line="360" w:lineRule="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1、所附投标报价表中规定的应提交和交付货物投标总价为</w:t>
      </w: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注明币种），即</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（文字表述）；</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2、投标人将按招标文件的规定履行合同责任和义务，并接受招标文件中包括付款方式等商务条款的约定；</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3、投标人已详细阅读全部招标文件，包括修改文件（如有的话）以及全部参考资料和有关附件。我们完全理解并同意放弃对这方面不明及误解权利。</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4、其投标自开标日起有效期为</w:t>
      </w:r>
      <w:r>
        <w:rPr>
          <w:rFonts w:hint="eastAsia" w:ascii="宋体" w:hAnsi="宋体" w:cs="宋体"/>
          <w:color w:val="000000" w:themeColor="text1"/>
          <w:sz w:val="24"/>
          <w:szCs w:val="24"/>
          <w:highlight w:val="none"/>
          <w:u w:val="single"/>
          <w14:textFill>
            <w14:solidFill>
              <w14:schemeClr w14:val="tx1"/>
            </w14:solidFill>
          </w14:textFill>
        </w:rPr>
        <w:t>90</w:t>
      </w:r>
      <w:r>
        <w:rPr>
          <w:rFonts w:hint="eastAsia" w:ascii="宋体" w:hAnsi="宋体" w:cs="宋体"/>
          <w:color w:val="000000" w:themeColor="text1"/>
          <w:sz w:val="24"/>
          <w:szCs w:val="24"/>
          <w:highlight w:val="none"/>
          <w14:textFill>
            <w14:solidFill>
              <w14:schemeClr w14:val="tx1"/>
            </w14:solidFill>
          </w14:textFill>
        </w:rPr>
        <w:t>日历日。</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5、如果在规定的开标时间后，投标人在投标有效期内撤回投标，其投标保证金将被贵方没收。</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6、投标人同意提供按照贵方可能要求的与其投标有关的一切数据或资料，完全理解贵方不一定要接受最低价的投标或收到的任何投标。</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7、与本投标有关的一切正式往来通讯请寄：</w:t>
      </w:r>
    </w:p>
    <w:p>
      <w:pPr>
        <w:spacing w:line="360" w:lineRule="auto"/>
        <w:rPr>
          <w:rFonts w:hint="eastAsia" w:ascii="宋体" w:hAnsi="宋体" w:cs="宋体"/>
          <w:color w:val="000000" w:themeColor="text1"/>
          <w:sz w:val="24"/>
          <w:szCs w:val="24"/>
          <w:highlight w:val="none"/>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p>
    <w:p>
      <w:pPr>
        <w:spacing w:line="360" w:lineRule="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邮编：</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传真：</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投标人代表姓名、职务（签字或盖章）：</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（盖公章）</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pPr>
        <w:spacing w:line="360" w:lineRule="auto"/>
        <w:rPr>
          <w:color w:val="000000" w:themeColor="text1"/>
          <w:sz w:val="24"/>
          <w:szCs w:val="24"/>
          <w:highlight w:val="none"/>
          <w14:textFill>
            <w14:solidFill>
              <w14:schemeClr w14:val="tx1"/>
            </w14:solidFill>
          </w14:textFill>
        </w:rPr>
      </w:pPr>
    </w:p>
    <w:p>
      <w:pPr>
        <w:pStyle w:val="6"/>
        <w:spacing w:line="400" w:lineRule="exact"/>
        <w:ind w:firstLine="525"/>
        <w:rPr>
          <w:color w:val="000000" w:themeColor="text1"/>
          <w:sz w:val="24"/>
          <w:szCs w:val="24"/>
          <w:highlight w:val="none"/>
          <w14:textFill>
            <w14:solidFill>
              <w14:schemeClr w14:val="tx1"/>
            </w14:solidFill>
          </w14:textFill>
        </w:rPr>
      </w:pPr>
      <w:bookmarkStart w:id="81" w:name="_Toc217446083"/>
    </w:p>
    <w:p>
      <w:pPr>
        <w:pStyle w:val="6"/>
        <w:spacing w:line="400" w:lineRule="exact"/>
        <w:ind w:firstLine="525"/>
        <w:rPr>
          <w:color w:val="000000" w:themeColor="text1"/>
          <w:sz w:val="24"/>
          <w:szCs w:val="24"/>
          <w:highlight w:val="none"/>
          <w14:textFill>
            <w14:solidFill>
              <w14:schemeClr w14:val="tx1"/>
            </w14:solidFill>
          </w14:textFill>
        </w:rPr>
      </w:pPr>
    </w:p>
    <w:p>
      <w:pPr>
        <w:pStyle w:val="6"/>
        <w:spacing w:line="400" w:lineRule="exact"/>
        <w:ind w:firstLine="525"/>
        <w:rPr>
          <w:color w:val="000000" w:themeColor="text1"/>
          <w:sz w:val="24"/>
          <w:szCs w:val="24"/>
          <w:highlight w:val="none"/>
          <w14:textFill>
            <w14:solidFill>
              <w14:schemeClr w14:val="tx1"/>
            </w14:solidFill>
          </w14:textFill>
        </w:rPr>
      </w:pPr>
    </w:p>
    <w:p>
      <w:pPr>
        <w:pStyle w:val="6"/>
        <w:spacing w:line="400" w:lineRule="exact"/>
        <w:ind w:firstLine="525"/>
        <w:rPr>
          <w:color w:val="000000" w:themeColor="text1"/>
          <w:sz w:val="24"/>
          <w:szCs w:val="24"/>
          <w:highlight w:val="none"/>
          <w14:textFill>
            <w14:solidFill>
              <w14:schemeClr w14:val="tx1"/>
            </w14:solidFill>
          </w14:textFill>
        </w:rPr>
      </w:pPr>
    </w:p>
    <w:p>
      <w:pPr>
        <w:pStyle w:val="6"/>
        <w:spacing w:line="400" w:lineRule="exact"/>
        <w:ind w:firstLine="525"/>
        <w:rPr>
          <w:color w:val="000000" w:themeColor="text1"/>
          <w:szCs w:val="24"/>
          <w:highlight w:val="none"/>
          <w14:textFill>
            <w14:solidFill>
              <w14:schemeClr w14:val="tx1"/>
            </w14:solidFill>
          </w14:textFill>
        </w:rPr>
      </w:pPr>
    </w:p>
    <w:p>
      <w:pPr>
        <w:numPr>
          <w:ilvl w:val="0"/>
          <w:numId w:val="11"/>
        </w:numPr>
        <w:jc w:val="center"/>
        <w:rPr>
          <w:b/>
          <w:bCs/>
          <w:color w:val="000000" w:themeColor="text1"/>
          <w:sz w:val="30"/>
          <w:szCs w:val="30"/>
          <w:highlight w:val="none"/>
          <w14:textFill>
            <w14:solidFill>
              <w14:schemeClr w14:val="tx1"/>
            </w14:solidFill>
          </w14:textFill>
        </w:rPr>
      </w:pPr>
      <w:bookmarkStart w:id="82" w:name="_Toc5638"/>
      <w:bookmarkStart w:id="83" w:name="_Toc18535"/>
      <w:r>
        <w:rPr>
          <w:b/>
          <w:bCs/>
          <w:color w:val="000000" w:themeColor="text1"/>
          <w:sz w:val="30"/>
          <w:szCs w:val="30"/>
          <w:highlight w:val="none"/>
          <w14:textFill>
            <w14:solidFill>
              <w14:schemeClr w14:val="tx1"/>
            </w14:solidFill>
          </w14:textFill>
        </w:rPr>
        <w:t>法定代表人身份证明书</w:t>
      </w:r>
      <w:bookmarkEnd w:id="82"/>
      <w:bookmarkEnd w:id="83"/>
    </w:p>
    <w:p>
      <w:pPr>
        <w:ind w:firstLine="562" w:firstLineChars="200"/>
        <w:jc w:val="center"/>
        <w:rPr>
          <w:b/>
          <w:bCs/>
          <w:color w:val="000000" w:themeColor="text1"/>
          <w:sz w:val="28"/>
          <w:szCs w:val="28"/>
          <w:highlight w:val="none"/>
          <w14:textFill>
            <w14:solidFill>
              <w14:schemeClr w14:val="tx1"/>
            </w14:solidFill>
          </w14:textFill>
        </w:rPr>
      </w:pPr>
    </w:p>
    <w:p>
      <w:pPr>
        <w:rPr>
          <w:bCs/>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单位名称</w:t>
      </w:r>
      <w:r>
        <w:rPr>
          <w:bCs/>
          <w:color w:val="000000" w:themeColor="text1"/>
          <w:sz w:val="24"/>
          <w:szCs w:val="24"/>
          <w:highlight w:val="none"/>
          <w14:textFill>
            <w14:solidFill>
              <w14:schemeClr w14:val="tx1"/>
            </w14:solidFill>
          </w14:textFill>
        </w:rPr>
        <w:t>：</w:t>
      </w:r>
      <w:r>
        <w:rPr>
          <w:bCs/>
          <w:color w:val="000000" w:themeColor="text1"/>
          <w:sz w:val="24"/>
          <w:szCs w:val="24"/>
          <w:highlight w:val="none"/>
          <w:u w:val="single"/>
          <w14:textFill>
            <w14:solidFill>
              <w14:schemeClr w14:val="tx1"/>
            </w14:solidFill>
          </w14:textFill>
        </w:rPr>
        <w:t xml:space="preserve">                                                   </w:t>
      </w:r>
    </w:p>
    <w:p>
      <w:pPr>
        <w:rPr>
          <w:bCs/>
          <w:color w:val="000000" w:themeColor="text1"/>
          <w:sz w:val="24"/>
          <w:szCs w:val="24"/>
          <w:highlight w:val="none"/>
          <w14:textFill>
            <w14:solidFill>
              <w14:schemeClr w14:val="tx1"/>
            </w14:solidFill>
          </w14:textFill>
        </w:rPr>
      </w:pPr>
    </w:p>
    <w:p>
      <w:pPr>
        <w:rPr>
          <w:bCs/>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地    址：</w:t>
      </w:r>
      <w:r>
        <w:rPr>
          <w:bCs/>
          <w:color w:val="000000" w:themeColor="text1"/>
          <w:sz w:val="24"/>
          <w:szCs w:val="24"/>
          <w:highlight w:val="none"/>
          <w:u w:val="single"/>
          <w14:textFill>
            <w14:solidFill>
              <w14:schemeClr w14:val="tx1"/>
            </w14:solidFill>
          </w14:textFill>
        </w:rPr>
        <w:t xml:space="preserve">                                                   </w:t>
      </w:r>
    </w:p>
    <w:p>
      <w:pPr>
        <w:rPr>
          <w:bCs/>
          <w:color w:val="000000" w:themeColor="text1"/>
          <w:sz w:val="24"/>
          <w:szCs w:val="24"/>
          <w:highlight w:val="none"/>
          <w14:textFill>
            <w14:solidFill>
              <w14:schemeClr w14:val="tx1"/>
            </w14:solidFill>
          </w14:textFill>
        </w:rPr>
      </w:pPr>
    </w:p>
    <w:p>
      <w:pPr>
        <w:rPr>
          <w:bCs/>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营业期限：</w:t>
      </w:r>
      <w:r>
        <w:rPr>
          <w:bCs/>
          <w:color w:val="000000" w:themeColor="text1"/>
          <w:sz w:val="24"/>
          <w:szCs w:val="24"/>
          <w:highlight w:val="none"/>
          <w:u w:val="single"/>
          <w14:textFill>
            <w14:solidFill>
              <w14:schemeClr w14:val="tx1"/>
            </w14:solidFill>
          </w14:textFill>
        </w:rPr>
        <w:t xml:space="preserve">                                                   </w:t>
      </w:r>
    </w:p>
    <w:p>
      <w:pPr>
        <w:rPr>
          <w:bCs/>
          <w:color w:val="000000" w:themeColor="text1"/>
          <w:sz w:val="24"/>
          <w:szCs w:val="24"/>
          <w:highlight w:val="none"/>
          <w14:textFill>
            <w14:solidFill>
              <w14:schemeClr w14:val="tx1"/>
            </w14:solidFill>
          </w14:textFill>
        </w:rPr>
      </w:pPr>
    </w:p>
    <w:p>
      <w:pPr>
        <w:rPr>
          <w:bCs/>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成立时间</w:t>
      </w:r>
      <w:r>
        <w:rPr>
          <w:bCs/>
          <w:color w:val="000000" w:themeColor="text1"/>
          <w:sz w:val="24"/>
          <w:szCs w:val="24"/>
          <w:highlight w:val="none"/>
          <w14:textFill>
            <w14:solidFill>
              <w14:schemeClr w14:val="tx1"/>
            </w14:solidFill>
          </w14:textFill>
        </w:rPr>
        <w:t>：</w:t>
      </w:r>
      <w:r>
        <w:rPr>
          <w:bCs/>
          <w:color w:val="000000" w:themeColor="text1"/>
          <w:sz w:val="24"/>
          <w:szCs w:val="24"/>
          <w:highlight w:val="none"/>
          <w:u w:val="single"/>
          <w14:textFill>
            <w14:solidFill>
              <w14:schemeClr w14:val="tx1"/>
            </w14:solidFill>
          </w14:textFill>
        </w:rPr>
        <w:t xml:space="preserve">                                                   </w:t>
      </w:r>
    </w:p>
    <w:p>
      <w:pPr>
        <w:rPr>
          <w:bCs/>
          <w:color w:val="000000" w:themeColor="text1"/>
          <w:sz w:val="24"/>
          <w:szCs w:val="24"/>
          <w:highlight w:val="none"/>
          <w:u w:val="single"/>
          <w14:textFill>
            <w14:solidFill>
              <w14:schemeClr w14:val="tx1"/>
            </w14:solidFill>
          </w14:textFill>
        </w:rPr>
      </w:pPr>
    </w:p>
    <w:p>
      <w:pPr>
        <w:rPr>
          <w:bCs/>
          <w:color w:val="000000" w:themeColor="text1"/>
          <w:sz w:val="24"/>
          <w:szCs w:val="24"/>
          <w:highlight w:val="none"/>
          <w:u w:val="single"/>
          <w14:textFill>
            <w14:solidFill>
              <w14:schemeClr w14:val="tx1"/>
            </w14:solidFill>
          </w14:textFill>
        </w:rPr>
      </w:pPr>
    </w:p>
    <w:p>
      <w:pPr>
        <w:rPr>
          <w:color w:val="000000" w:themeColor="text1"/>
          <w:sz w:val="24"/>
          <w:szCs w:val="24"/>
          <w:highlight w:val="none"/>
          <w14:textFill>
            <w14:solidFill>
              <w14:schemeClr w14:val="tx1"/>
            </w14:solidFill>
          </w14:textFill>
        </w:rPr>
      </w:pPr>
    </w:p>
    <w:p>
      <w:pPr>
        <w:rPr>
          <w:b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姓名</w:t>
      </w:r>
      <w:r>
        <w:rPr>
          <w:bCs/>
          <w:color w:val="000000" w:themeColor="text1"/>
          <w:sz w:val="24"/>
          <w:szCs w:val="24"/>
          <w:highlight w:val="none"/>
          <w14:textFill>
            <w14:solidFill>
              <w14:schemeClr w14:val="tx1"/>
            </w14:solidFill>
          </w14:textFill>
        </w:rPr>
        <w:t>：</w:t>
      </w:r>
      <w:r>
        <w:rPr>
          <w:bCs/>
          <w:color w:val="000000" w:themeColor="text1"/>
          <w:sz w:val="24"/>
          <w:szCs w:val="24"/>
          <w:highlight w:val="none"/>
          <w:u w:val="single"/>
          <w14:textFill>
            <w14:solidFill>
              <w14:schemeClr w14:val="tx1"/>
            </w14:solidFill>
          </w14:textFill>
        </w:rPr>
        <w:t xml:space="preserve">              </w:t>
      </w:r>
      <w:r>
        <w:rPr>
          <w:bCs/>
          <w:color w:val="000000" w:themeColor="text1"/>
          <w:sz w:val="24"/>
          <w:szCs w:val="24"/>
          <w:highlight w:val="none"/>
          <w14:textFill>
            <w14:solidFill>
              <w14:schemeClr w14:val="tx1"/>
            </w14:solidFill>
          </w14:textFill>
        </w:rPr>
        <w:t xml:space="preserve">   性别：</w:t>
      </w:r>
      <w:r>
        <w:rPr>
          <w:bCs/>
          <w:color w:val="000000" w:themeColor="text1"/>
          <w:sz w:val="24"/>
          <w:szCs w:val="24"/>
          <w:highlight w:val="none"/>
          <w:u w:val="single"/>
          <w14:textFill>
            <w14:solidFill>
              <w14:schemeClr w14:val="tx1"/>
            </w14:solidFill>
          </w14:textFill>
        </w:rPr>
        <w:t xml:space="preserve">              </w:t>
      </w:r>
      <w:r>
        <w:rPr>
          <w:bCs/>
          <w:color w:val="000000" w:themeColor="text1"/>
          <w:sz w:val="24"/>
          <w:szCs w:val="24"/>
          <w:highlight w:val="none"/>
          <w14:textFill>
            <w14:solidFill>
              <w14:schemeClr w14:val="tx1"/>
            </w14:solidFill>
          </w14:textFill>
        </w:rPr>
        <w:t xml:space="preserve">   </w:t>
      </w:r>
    </w:p>
    <w:p>
      <w:pPr>
        <w:rPr>
          <w:bCs/>
          <w:color w:val="000000" w:themeColor="text1"/>
          <w:sz w:val="24"/>
          <w:szCs w:val="24"/>
          <w:highlight w:val="none"/>
          <w14:textFill>
            <w14:solidFill>
              <w14:schemeClr w14:val="tx1"/>
            </w14:solidFill>
          </w14:textFill>
        </w:rPr>
      </w:pPr>
    </w:p>
    <w:p>
      <w:pPr>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年龄：</w:t>
      </w:r>
      <w:r>
        <w:rPr>
          <w:bCs/>
          <w:color w:val="000000" w:themeColor="text1"/>
          <w:sz w:val="24"/>
          <w:szCs w:val="24"/>
          <w:highlight w:val="none"/>
          <w:u w:val="single"/>
          <w14:textFill>
            <w14:solidFill>
              <w14:schemeClr w14:val="tx1"/>
            </w14:solidFill>
          </w14:textFill>
        </w:rPr>
        <w:t xml:space="preserve">              </w:t>
      </w:r>
      <w:r>
        <w:rPr>
          <w:bCs/>
          <w:color w:val="000000" w:themeColor="text1"/>
          <w:sz w:val="24"/>
          <w:szCs w:val="24"/>
          <w:highlight w:val="none"/>
          <w14:textFill>
            <w14:solidFill>
              <w14:schemeClr w14:val="tx1"/>
            </w14:solidFill>
          </w14:textFill>
        </w:rPr>
        <w:t xml:space="preserve">  职务：</w:t>
      </w:r>
      <w:r>
        <w:rPr>
          <w:bCs/>
          <w:color w:val="000000" w:themeColor="text1"/>
          <w:sz w:val="24"/>
          <w:szCs w:val="24"/>
          <w:highlight w:val="none"/>
          <w:u w:val="single"/>
          <w14:textFill>
            <w14:solidFill>
              <w14:schemeClr w14:val="tx1"/>
            </w14:solidFill>
          </w14:textFill>
        </w:rPr>
        <w:t xml:space="preserve">              </w:t>
      </w:r>
    </w:p>
    <w:p>
      <w:pPr>
        <w:rPr>
          <w:bCs/>
          <w:color w:val="000000" w:themeColor="text1"/>
          <w:sz w:val="24"/>
          <w:szCs w:val="24"/>
          <w:highlight w:val="none"/>
          <w14:textFill>
            <w14:solidFill>
              <w14:schemeClr w14:val="tx1"/>
            </w14:solidFill>
          </w14:textFill>
        </w:rPr>
      </w:pPr>
    </w:p>
    <w:p>
      <w:pPr>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系 </w:t>
      </w:r>
      <w:r>
        <w:rPr>
          <w:bCs/>
          <w:color w:val="000000" w:themeColor="text1"/>
          <w:sz w:val="24"/>
          <w:szCs w:val="24"/>
          <w:highlight w:val="none"/>
          <w:u w:val="single"/>
          <w14:textFill>
            <w14:solidFill>
              <w14:schemeClr w14:val="tx1"/>
            </w14:solidFill>
          </w14:textFill>
        </w:rPr>
        <w:t xml:space="preserve">         （投标人名称名称）               </w:t>
      </w:r>
      <w:r>
        <w:rPr>
          <w:bCs/>
          <w:color w:val="000000" w:themeColor="text1"/>
          <w:sz w:val="24"/>
          <w:szCs w:val="24"/>
          <w:highlight w:val="none"/>
          <w14:textFill>
            <w14:solidFill>
              <w14:schemeClr w14:val="tx1"/>
            </w14:solidFill>
          </w14:textFill>
        </w:rPr>
        <w:t>的法定代表人。</w:t>
      </w:r>
    </w:p>
    <w:p>
      <w:pPr>
        <w:rPr>
          <w:bCs/>
          <w:color w:val="000000" w:themeColor="text1"/>
          <w:sz w:val="24"/>
          <w:szCs w:val="24"/>
          <w:highlight w:val="none"/>
          <w14:textFill>
            <w14:solidFill>
              <w14:schemeClr w14:val="tx1"/>
            </w14:solidFill>
          </w14:textFill>
        </w:rPr>
      </w:pPr>
    </w:p>
    <w:p>
      <w:pPr>
        <w:rPr>
          <w:bCs/>
          <w:color w:val="000000" w:themeColor="text1"/>
          <w:sz w:val="24"/>
          <w:szCs w:val="24"/>
          <w:highlight w:val="none"/>
          <w14:textFill>
            <w14:solidFill>
              <w14:schemeClr w14:val="tx1"/>
            </w14:solidFill>
          </w14:textFill>
        </w:rPr>
      </w:pPr>
    </w:p>
    <w:p>
      <w:pPr>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特此证明。</w:t>
      </w:r>
    </w:p>
    <w:p>
      <w:pPr>
        <w:rPr>
          <w:bCs/>
          <w:color w:val="000000" w:themeColor="text1"/>
          <w:sz w:val="24"/>
          <w:szCs w:val="24"/>
          <w:highlight w:val="none"/>
          <w14:textFill>
            <w14:solidFill>
              <w14:schemeClr w14:val="tx1"/>
            </w14:solidFill>
          </w14:textFill>
        </w:rPr>
      </w:pPr>
    </w:p>
    <w:tbl>
      <w:tblPr>
        <w:tblStyle w:val="22"/>
        <w:tblpPr w:leftFromText="180" w:rightFromText="180" w:vertAnchor="text" w:horzAnchor="margin" w:tblpY="2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8443" w:type="dxa"/>
          </w:tcPr>
          <w:p>
            <w:pPr>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法定代表人身份证复印件（正</w:t>
            </w:r>
            <w:r>
              <w:rPr>
                <w:rFonts w:hint="eastAsia"/>
                <w:bCs/>
                <w:color w:val="000000" w:themeColor="text1"/>
                <w:sz w:val="24"/>
                <w:szCs w:val="24"/>
                <w:highlight w:val="none"/>
                <w:lang w:val="en-US" w:eastAsia="zh-CN"/>
                <w14:textFill>
                  <w14:solidFill>
                    <w14:schemeClr w14:val="tx1"/>
                  </w14:solidFill>
                </w14:textFill>
              </w:rPr>
              <w:t>反</w:t>
            </w:r>
            <w:r>
              <w:rPr>
                <w:bCs/>
                <w:color w:val="000000" w:themeColor="text1"/>
                <w:sz w:val="24"/>
                <w:szCs w:val="24"/>
                <w:highlight w:val="none"/>
                <w14:textFill>
                  <w14:solidFill>
                    <w14:schemeClr w14:val="tx1"/>
                  </w14:solidFill>
                </w14:textFill>
              </w:rPr>
              <w:t>面）</w:t>
            </w:r>
          </w:p>
          <w:p>
            <w:pPr>
              <w:rPr>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p>
        </w:tc>
      </w:tr>
    </w:tbl>
    <w:p>
      <w:pPr>
        <w:rPr>
          <w:bCs/>
          <w:color w:val="000000" w:themeColor="text1"/>
          <w:sz w:val="24"/>
          <w:szCs w:val="24"/>
          <w:highlight w:val="none"/>
          <w14:textFill>
            <w14:solidFill>
              <w14:schemeClr w14:val="tx1"/>
            </w14:solidFill>
          </w14:textFill>
        </w:rPr>
      </w:pPr>
    </w:p>
    <w:p>
      <w:pPr>
        <w:rPr>
          <w:bCs/>
          <w:color w:val="000000" w:themeColor="text1"/>
          <w:sz w:val="24"/>
          <w:szCs w:val="24"/>
          <w:highlight w:val="none"/>
          <w14:textFill>
            <w14:solidFill>
              <w14:schemeClr w14:val="tx1"/>
            </w14:solidFill>
          </w14:textFill>
        </w:rPr>
      </w:pPr>
    </w:p>
    <w:p>
      <w:pPr>
        <w:wordWrap w:val="0"/>
        <w:jc w:val="righ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投标人名称：</w:t>
      </w:r>
      <w:r>
        <w:rPr>
          <w:bCs/>
          <w:color w:val="000000" w:themeColor="text1"/>
          <w:sz w:val="24"/>
          <w:szCs w:val="24"/>
          <w:highlight w:val="none"/>
          <w:u w:val="single"/>
          <w14:textFill>
            <w14:solidFill>
              <w14:schemeClr w14:val="tx1"/>
            </w14:solidFill>
          </w14:textFill>
        </w:rPr>
        <w:t xml:space="preserve">                      </w:t>
      </w:r>
      <w:r>
        <w:rPr>
          <w:bCs/>
          <w:color w:val="000000" w:themeColor="text1"/>
          <w:sz w:val="24"/>
          <w:szCs w:val="24"/>
          <w:highlight w:val="none"/>
          <w14:textFill>
            <w14:solidFill>
              <w14:schemeClr w14:val="tx1"/>
            </w14:solidFill>
          </w14:textFill>
        </w:rPr>
        <w:t>（盖章）</w:t>
      </w:r>
    </w:p>
    <w:p>
      <w:pPr>
        <w:jc w:val="right"/>
        <w:rPr>
          <w:bCs/>
          <w:color w:val="000000" w:themeColor="text1"/>
          <w:sz w:val="24"/>
          <w:szCs w:val="24"/>
          <w:highlight w:val="none"/>
          <w14:textFill>
            <w14:solidFill>
              <w14:schemeClr w14:val="tx1"/>
            </w14:solidFill>
          </w14:textFill>
        </w:rPr>
      </w:pPr>
    </w:p>
    <w:p>
      <w:pPr>
        <w:jc w:val="righ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日  期：</w:t>
      </w:r>
      <w:r>
        <w:rPr>
          <w:bCs/>
          <w:color w:val="000000" w:themeColor="text1"/>
          <w:sz w:val="24"/>
          <w:szCs w:val="24"/>
          <w:highlight w:val="none"/>
          <w:u w:val="single"/>
          <w14:textFill>
            <w14:solidFill>
              <w14:schemeClr w14:val="tx1"/>
            </w14:solidFill>
          </w14:textFill>
        </w:rPr>
        <w:t xml:space="preserve">        </w:t>
      </w:r>
      <w:r>
        <w:rPr>
          <w:bCs/>
          <w:color w:val="000000" w:themeColor="text1"/>
          <w:sz w:val="24"/>
          <w:szCs w:val="24"/>
          <w:highlight w:val="none"/>
          <w14:textFill>
            <w14:solidFill>
              <w14:schemeClr w14:val="tx1"/>
            </w14:solidFill>
          </w14:textFill>
        </w:rPr>
        <w:t>年</w:t>
      </w:r>
      <w:r>
        <w:rPr>
          <w:bCs/>
          <w:color w:val="000000" w:themeColor="text1"/>
          <w:sz w:val="24"/>
          <w:szCs w:val="24"/>
          <w:highlight w:val="none"/>
          <w:u w:val="single"/>
          <w14:textFill>
            <w14:solidFill>
              <w14:schemeClr w14:val="tx1"/>
            </w14:solidFill>
          </w14:textFill>
        </w:rPr>
        <w:t xml:space="preserve">        </w:t>
      </w:r>
      <w:r>
        <w:rPr>
          <w:bCs/>
          <w:color w:val="000000" w:themeColor="text1"/>
          <w:sz w:val="24"/>
          <w:szCs w:val="24"/>
          <w:highlight w:val="none"/>
          <w14:textFill>
            <w14:solidFill>
              <w14:schemeClr w14:val="tx1"/>
            </w14:solidFill>
          </w14:textFill>
        </w:rPr>
        <w:t>月</w:t>
      </w:r>
      <w:r>
        <w:rPr>
          <w:bCs/>
          <w:color w:val="000000" w:themeColor="text1"/>
          <w:sz w:val="24"/>
          <w:szCs w:val="24"/>
          <w:highlight w:val="none"/>
          <w:u w:val="single"/>
          <w14:textFill>
            <w14:solidFill>
              <w14:schemeClr w14:val="tx1"/>
            </w14:solidFill>
          </w14:textFill>
        </w:rPr>
        <w:t xml:space="preserve">        </w:t>
      </w:r>
      <w:r>
        <w:rPr>
          <w:bCs/>
          <w:color w:val="000000" w:themeColor="text1"/>
          <w:sz w:val="24"/>
          <w:szCs w:val="24"/>
          <w:highlight w:val="none"/>
          <w14:textFill>
            <w14:solidFill>
              <w14:schemeClr w14:val="tx1"/>
            </w14:solidFill>
          </w14:textFill>
        </w:rPr>
        <w:t>日</w:t>
      </w:r>
    </w:p>
    <w:p>
      <w:pPr>
        <w:jc w:val="right"/>
        <w:rPr>
          <w:bCs/>
          <w:color w:val="000000" w:themeColor="text1"/>
          <w:highlight w:val="none"/>
          <w14:textFill>
            <w14:solidFill>
              <w14:schemeClr w14:val="tx1"/>
            </w14:solidFill>
          </w14:textFill>
        </w:rPr>
      </w:pPr>
    </w:p>
    <w:p>
      <w:pPr>
        <w:jc w:val="right"/>
        <w:rPr>
          <w:bCs/>
          <w:color w:val="000000" w:themeColor="text1"/>
          <w:highlight w:val="none"/>
          <w14:textFill>
            <w14:solidFill>
              <w14:schemeClr w14:val="tx1"/>
            </w14:solidFill>
          </w14:textFill>
        </w:rPr>
      </w:pPr>
    </w:p>
    <w:p>
      <w:pPr>
        <w:jc w:val="right"/>
        <w:rPr>
          <w:bCs/>
          <w:color w:val="000000" w:themeColor="text1"/>
          <w:highlight w:val="none"/>
          <w14:textFill>
            <w14:solidFill>
              <w14:schemeClr w14:val="tx1"/>
            </w14:solidFill>
          </w14:textFill>
        </w:rPr>
      </w:pPr>
    </w:p>
    <w:p>
      <w:pPr>
        <w:jc w:val="right"/>
        <w:rPr>
          <w:bCs/>
          <w:color w:val="000000" w:themeColor="text1"/>
          <w:highlight w:val="none"/>
          <w14:textFill>
            <w14:solidFill>
              <w14:schemeClr w14:val="tx1"/>
            </w14:solidFill>
          </w14:textFill>
        </w:rPr>
      </w:pPr>
    </w:p>
    <w:p>
      <w:pPr>
        <w:jc w:val="right"/>
        <w:rPr>
          <w:bCs/>
          <w:color w:val="000000" w:themeColor="text1"/>
          <w:highlight w:val="none"/>
          <w14:textFill>
            <w14:solidFill>
              <w14:schemeClr w14:val="tx1"/>
            </w14:solidFill>
          </w14:textFill>
        </w:rPr>
      </w:pPr>
    </w:p>
    <w:p>
      <w:pPr>
        <w:jc w:val="right"/>
        <w:rPr>
          <w:bCs/>
          <w:color w:val="000000" w:themeColor="text1"/>
          <w:highlight w:val="none"/>
          <w14:textFill>
            <w14:solidFill>
              <w14:schemeClr w14:val="tx1"/>
            </w14:solidFill>
          </w14:textFill>
        </w:rPr>
      </w:pPr>
    </w:p>
    <w:p>
      <w:pPr>
        <w:jc w:val="right"/>
        <w:rPr>
          <w:bCs/>
          <w:color w:val="000000" w:themeColor="text1"/>
          <w:highlight w:val="none"/>
          <w14:textFill>
            <w14:solidFill>
              <w14:schemeClr w14:val="tx1"/>
            </w14:solidFill>
          </w14:textFill>
        </w:rPr>
      </w:pPr>
    </w:p>
    <w:p>
      <w:pPr>
        <w:jc w:val="right"/>
        <w:rPr>
          <w:bCs/>
          <w:color w:val="000000" w:themeColor="text1"/>
          <w:highlight w:val="none"/>
          <w14:textFill>
            <w14:solidFill>
              <w14:schemeClr w14:val="tx1"/>
            </w14:solidFill>
          </w14:textFill>
        </w:rPr>
      </w:pPr>
    </w:p>
    <w:p>
      <w:pPr>
        <w:jc w:val="right"/>
        <w:rPr>
          <w:bCs/>
          <w:color w:val="000000" w:themeColor="text1"/>
          <w:highlight w:val="none"/>
          <w14:textFill>
            <w14:solidFill>
              <w14:schemeClr w14:val="tx1"/>
            </w14:solidFill>
          </w14:textFill>
        </w:rPr>
      </w:pPr>
    </w:p>
    <w:p>
      <w:pPr>
        <w:jc w:val="right"/>
        <w:rPr>
          <w:bCs/>
          <w:color w:val="000000" w:themeColor="text1"/>
          <w:highlight w:val="none"/>
          <w14:textFill>
            <w14:solidFill>
              <w14:schemeClr w14:val="tx1"/>
            </w14:solidFill>
          </w14:textFill>
        </w:rPr>
      </w:pPr>
    </w:p>
    <w:p>
      <w:pPr>
        <w:jc w:val="right"/>
        <w:rPr>
          <w:bCs/>
          <w:color w:val="000000" w:themeColor="text1"/>
          <w:highlight w:val="none"/>
          <w14:textFill>
            <w14:solidFill>
              <w14:schemeClr w14:val="tx1"/>
            </w14:solidFill>
          </w14:textFill>
        </w:rPr>
      </w:pPr>
    </w:p>
    <w:p>
      <w:pPr>
        <w:jc w:val="right"/>
        <w:rPr>
          <w:bCs/>
          <w:color w:val="000000" w:themeColor="text1"/>
          <w:highlight w:val="none"/>
          <w14:textFill>
            <w14:solidFill>
              <w14:schemeClr w14:val="tx1"/>
            </w14:solidFill>
          </w14:textFill>
        </w:rPr>
      </w:pPr>
    </w:p>
    <w:p>
      <w:pPr>
        <w:jc w:val="right"/>
        <w:rPr>
          <w:bCs/>
          <w:color w:val="000000" w:themeColor="text1"/>
          <w:highlight w:val="none"/>
          <w14:textFill>
            <w14:solidFill>
              <w14:schemeClr w14:val="tx1"/>
            </w14:solidFill>
          </w14:textFill>
        </w:rPr>
      </w:pPr>
    </w:p>
    <w:p>
      <w:pPr>
        <w:jc w:val="right"/>
        <w:rPr>
          <w:bCs/>
          <w:color w:val="000000" w:themeColor="text1"/>
          <w:highlight w:val="none"/>
          <w14:textFill>
            <w14:solidFill>
              <w14:schemeClr w14:val="tx1"/>
            </w14:solidFill>
          </w14:textFill>
        </w:rPr>
      </w:pPr>
    </w:p>
    <w:p>
      <w:pPr>
        <w:pStyle w:val="6"/>
        <w:ind w:firstLine="0"/>
        <w:rPr>
          <w:color w:val="000000" w:themeColor="text1"/>
          <w:szCs w:val="28"/>
          <w:highlight w:val="none"/>
          <w14:textFill>
            <w14:solidFill>
              <w14:schemeClr w14:val="tx1"/>
            </w14:solidFill>
          </w14:textFill>
        </w:rPr>
      </w:pPr>
    </w:p>
    <w:p>
      <w:pPr>
        <w:numPr>
          <w:ilvl w:val="0"/>
          <w:numId w:val="11"/>
        </w:numPr>
        <w:jc w:val="center"/>
        <w:rPr>
          <w:b/>
          <w:bCs/>
          <w:color w:val="000000" w:themeColor="text1"/>
          <w:sz w:val="30"/>
          <w:szCs w:val="30"/>
          <w:highlight w:val="none"/>
          <w14:textFill>
            <w14:solidFill>
              <w14:schemeClr w14:val="tx1"/>
            </w14:solidFill>
          </w14:textFill>
        </w:rPr>
      </w:pPr>
      <w:bookmarkStart w:id="84" w:name="_Toc12725"/>
      <w:bookmarkStart w:id="85" w:name="_Toc10129"/>
      <w:r>
        <w:rPr>
          <w:b/>
          <w:bCs/>
          <w:color w:val="000000" w:themeColor="text1"/>
          <w:sz w:val="30"/>
          <w:szCs w:val="30"/>
          <w:highlight w:val="none"/>
          <w14:textFill>
            <w14:solidFill>
              <w14:schemeClr w14:val="tx1"/>
            </w14:solidFill>
          </w14:textFill>
        </w:rPr>
        <w:t>法定代表人授权书</w:t>
      </w:r>
      <w:bookmarkEnd w:id="81"/>
      <w:bookmarkEnd w:id="84"/>
      <w:bookmarkEnd w:id="85"/>
    </w:p>
    <w:p>
      <w:pPr>
        <w:spacing w:line="360" w:lineRule="auto"/>
        <w:rPr>
          <w:color w:val="000000" w:themeColor="text1"/>
          <w:szCs w:val="24"/>
          <w:highlight w:val="none"/>
          <w14:textFill>
            <w14:solidFill>
              <w14:schemeClr w14:val="tx1"/>
            </w14:solidFill>
          </w14:textFill>
        </w:rPr>
      </w:pPr>
    </w:p>
    <w:p>
      <w:pPr>
        <w:spacing w:line="360" w:lineRule="auto"/>
        <w:ind w:firstLine="630"/>
        <w:rPr>
          <w:color w:val="000000" w:themeColor="text1"/>
          <w:sz w:val="24"/>
          <w:szCs w:val="24"/>
          <w:highlight w:val="none"/>
          <w14:textFill>
            <w14:solidFill>
              <w14:schemeClr w14:val="tx1"/>
            </w14:solidFill>
          </w14:textFill>
        </w:rPr>
      </w:pPr>
      <w:bookmarkStart w:id="86" w:name="_Toc217446084"/>
      <w:r>
        <w:rPr>
          <w:color w:val="000000" w:themeColor="text1"/>
          <w:sz w:val="24"/>
          <w:szCs w:val="24"/>
          <w:highlight w:val="none"/>
          <w14:textFill>
            <w14:solidFill>
              <w14:schemeClr w14:val="tx1"/>
            </w14:solidFill>
          </w14:textFill>
        </w:rPr>
        <w:t>本授权委托书声明：我</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（姓名）系</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（投标人名称）的法定代表人，现授权委托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（投标人名称）的</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（姓名）为我的代理人，以本公司的名义参加</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（采购人）的</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采购项目的投标活动。代理人在参加整个招标投标活动、合同谈判过程中所签署的一切文件和处理与之有关的一切事物，我均予以承认。</w:t>
      </w:r>
    </w:p>
    <w:p>
      <w:pPr>
        <w:spacing w:line="360" w:lineRule="auto"/>
        <w:ind w:firstLine="630"/>
        <w:rPr>
          <w:color w:val="000000" w:themeColor="text1"/>
          <w:sz w:val="24"/>
          <w:szCs w:val="24"/>
          <w:highlight w:val="none"/>
          <w14:textFill>
            <w14:solidFill>
              <w14:schemeClr w14:val="tx1"/>
            </w14:solidFill>
          </w14:textFill>
        </w:rPr>
      </w:pPr>
    </w:p>
    <w:p>
      <w:pPr>
        <w:spacing w:line="360" w:lineRule="auto"/>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代理人：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性别：</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年龄：</w:t>
      </w:r>
      <w:r>
        <w:rPr>
          <w:color w:val="000000" w:themeColor="text1"/>
          <w:sz w:val="24"/>
          <w:szCs w:val="24"/>
          <w:highlight w:val="none"/>
          <w:u w:val="single"/>
          <w14:textFill>
            <w14:solidFill>
              <w14:schemeClr w14:val="tx1"/>
            </w14:solidFill>
          </w14:textFill>
        </w:rPr>
        <w:t xml:space="preserve">             </w:t>
      </w:r>
    </w:p>
    <w:p>
      <w:pPr>
        <w:spacing w:line="360" w:lineRule="auto"/>
        <w:rPr>
          <w:color w:val="000000" w:themeColor="text1"/>
          <w:sz w:val="24"/>
          <w:szCs w:val="24"/>
          <w:highlight w:val="none"/>
          <w:u w:val="single"/>
          <w14:textFill>
            <w14:solidFill>
              <w14:schemeClr w14:val="tx1"/>
            </w14:solidFill>
          </w14:textFill>
        </w:rPr>
      </w:pPr>
    </w:p>
    <w:p>
      <w:pPr>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单  位：</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部门：</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职务：</w:t>
      </w:r>
      <w:r>
        <w:rPr>
          <w:color w:val="000000" w:themeColor="text1"/>
          <w:sz w:val="24"/>
          <w:szCs w:val="24"/>
          <w:highlight w:val="none"/>
          <w:u w:val="single"/>
          <w14:textFill>
            <w14:solidFill>
              <w14:schemeClr w14:val="tx1"/>
            </w14:solidFill>
          </w14:textFill>
        </w:rPr>
        <w:t xml:space="preserve">             </w:t>
      </w:r>
    </w:p>
    <w:p>
      <w:pPr>
        <w:rPr>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代理人无转委权。特此委托。</w:t>
      </w:r>
    </w:p>
    <w:tbl>
      <w:tblPr>
        <w:tblStyle w:val="22"/>
        <w:tblpPr w:leftFromText="180" w:rightFromText="180" w:vertAnchor="text" w:horzAnchor="margin" w:tblpXSpec="center" w:tblpY="208"/>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9"/>
        <w:gridCol w:w="4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4779" w:type="dxa"/>
          </w:tcPr>
          <w:p>
            <w:pPr>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法定代表人身份证复印件（正</w:t>
            </w:r>
            <w:r>
              <w:rPr>
                <w:rFonts w:hint="eastAsia"/>
                <w:bCs/>
                <w:color w:val="000000" w:themeColor="text1"/>
                <w:sz w:val="24"/>
                <w:szCs w:val="24"/>
                <w:highlight w:val="none"/>
                <w:lang w:val="en-US" w:eastAsia="zh-CN"/>
                <w14:textFill>
                  <w14:solidFill>
                    <w14:schemeClr w14:val="tx1"/>
                  </w14:solidFill>
                </w14:textFill>
              </w:rPr>
              <w:t>反</w:t>
            </w:r>
            <w:r>
              <w:rPr>
                <w:bCs/>
                <w:color w:val="000000" w:themeColor="text1"/>
                <w:sz w:val="24"/>
                <w:szCs w:val="24"/>
                <w:highlight w:val="none"/>
                <w14:textFill>
                  <w14:solidFill>
                    <w14:schemeClr w14:val="tx1"/>
                  </w14:solidFill>
                </w14:textFill>
              </w:rPr>
              <w:t>面）</w:t>
            </w:r>
          </w:p>
          <w:p>
            <w:pPr>
              <w:rPr>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p>
        </w:tc>
        <w:tc>
          <w:tcPr>
            <w:tcW w:w="4780" w:type="dxa"/>
          </w:tcPr>
          <w:p>
            <w:pPr>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授权委托人身份证复印件（正</w:t>
            </w:r>
            <w:r>
              <w:rPr>
                <w:rFonts w:hint="eastAsia"/>
                <w:bCs/>
                <w:color w:val="000000" w:themeColor="text1"/>
                <w:sz w:val="24"/>
                <w:szCs w:val="24"/>
                <w:highlight w:val="none"/>
                <w:lang w:val="en-US" w:eastAsia="zh-CN"/>
                <w14:textFill>
                  <w14:solidFill>
                    <w14:schemeClr w14:val="tx1"/>
                  </w14:solidFill>
                </w14:textFill>
              </w:rPr>
              <w:t>反</w:t>
            </w:r>
            <w:r>
              <w:rPr>
                <w:bCs/>
                <w:color w:val="000000" w:themeColor="text1"/>
                <w:sz w:val="24"/>
                <w:szCs w:val="24"/>
                <w:highlight w:val="none"/>
                <w14:textFill>
                  <w14:solidFill>
                    <w14:schemeClr w14:val="tx1"/>
                  </w14:solidFill>
                </w14:textFill>
              </w:rPr>
              <w:t>面）</w:t>
            </w:r>
          </w:p>
          <w:p>
            <w:pPr>
              <w:rPr>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p>
        </w:tc>
      </w:tr>
    </w:tbl>
    <w:p>
      <w:pPr>
        <w:rPr>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投标人：（盖章）</w:t>
      </w:r>
    </w:p>
    <w:p>
      <w:pPr>
        <w:rPr>
          <w:color w:val="000000" w:themeColor="text1"/>
          <w:sz w:val="24"/>
          <w:szCs w:val="24"/>
          <w:highlight w:val="none"/>
          <w14:textFill>
            <w14:solidFill>
              <w14:schemeClr w14:val="tx1"/>
            </w14:solidFill>
          </w14:textFill>
        </w:rPr>
      </w:pPr>
    </w:p>
    <w:p>
      <w:pPr>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法定代表人或授权代理人（盖章）</w:t>
      </w:r>
    </w:p>
    <w:p>
      <w:pPr>
        <w:rPr>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p>
    <w:p>
      <w:pPr>
        <w:jc w:val="center"/>
        <w:rPr>
          <w:b/>
          <w:color w:val="000000" w:themeColor="text1"/>
          <w:sz w:val="24"/>
          <w:szCs w:val="24"/>
          <w:highlight w:val="none"/>
          <w14:textFill>
            <w14:solidFill>
              <w14:schemeClr w14:val="tx1"/>
            </w14:solidFill>
          </w14:textFill>
        </w:rPr>
      </w:pPr>
    </w:p>
    <w:p>
      <w:pPr>
        <w:jc w:val="right"/>
        <w:rPr>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p>
    <w:p>
      <w:pPr>
        <w:pStyle w:val="6"/>
        <w:rPr>
          <w:color w:val="000000" w:themeColor="text1"/>
          <w:sz w:val="24"/>
          <w:szCs w:val="24"/>
          <w:highlight w:val="none"/>
          <w14:textFill>
            <w14:solidFill>
              <w14:schemeClr w14:val="tx1"/>
            </w14:solidFill>
          </w14:textFill>
        </w:rPr>
      </w:pPr>
    </w:p>
    <w:p>
      <w:pPr>
        <w:pStyle w:val="6"/>
        <w:rPr>
          <w:color w:val="000000" w:themeColor="text1"/>
          <w:sz w:val="24"/>
          <w:szCs w:val="24"/>
          <w:highlight w:val="none"/>
          <w14:textFill>
            <w14:solidFill>
              <w14:schemeClr w14:val="tx1"/>
            </w14:solidFill>
          </w14:textFill>
        </w:rPr>
      </w:pPr>
    </w:p>
    <w:p>
      <w:pPr>
        <w:pStyle w:val="6"/>
        <w:rPr>
          <w:color w:val="000000" w:themeColor="text1"/>
          <w:sz w:val="24"/>
          <w:szCs w:val="24"/>
          <w:highlight w:val="none"/>
          <w14:textFill>
            <w14:solidFill>
              <w14:schemeClr w14:val="tx1"/>
            </w14:solidFill>
          </w14:textFill>
        </w:rPr>
      </w:pPr>
    </w:p>
    <w:p>
      <w:pPr>
        <w:pStyle w:val="6"/>
        <w:rPr>
          <w:color w:val="000000" w:themeColor="text1"/>
          <w:sz w:val="24"/>
          <w:szCs w:val="24"/>
          <w:highlight w:val="none"/>
          <w14:textFill>
            <w14:solidFill>
              <w14:schemeClr w14:val="tx1"/>
            </w14:solidFill>
          </w14:textFill>
        </w:rPr>
      </w:pPr>
    </w:p>
    <w:p>
      <w:pPr>
        <w:pStyle w:val="6"/>
        <w:rPr>
          <w:color w:val="000000" w:themeColor="text1"/>
          <w:sz w:val="24"/>
          <w:szCs w:val="24"/>
          <w:highlight w:val="none"/>
          <w14:textFill>
            <w14:solidFill>
              <w14:schemeClr w14:val="tx1"/>
            </w14:solidFill>
          </w14:textFill>
        </w:rPr>
      </w:pPr>
    </w:p>
    <w:p>
      <w:pPr>
        <w:pStyle w:val="6"/>
        <w:rPr>
          <w:color w:val="000000" w:themeColor="text1"/>
          <w:sz w:val="24"/>
          <w:szCs w:val="24"/>
          <w:highlight w:val="none"/>
          <w14:textFill>
            <w14:solidFill>
              <w14:schemeClr w14:val="tx1"/>
            </w14:solidFill>
          </w14:textFill>
        </w:rPr>
      </w:pPr>
    </w:p>
    <w:p>
      <w:pPr>
        <w:pStyle w:val="6"/>
        <w:rPr>
          <w:color w:val="000000" w:themeColor="text1"/>
          <w:sz w:val="24"/>
          <w:szCs w:val="24"/>
          <w:highlight w:val="none"/>
          <w14:textFill>
            <w14:solidFill>
              <w14:schemeClr w14:val="tx1"/>
            </w14:solidFill>
          </w14:textFill>
        </w:rPr>
      </w:pPr>
    </w:p>
    <w:p>
      <w:pPr>
        <w:pStyle w:val="6"/>
        <w:rPr>
          <w:color w:val="000000" w:themeColor="text1"/>
          <w:sz w:val="24"/>
          <w:szCs w:val="24"/>
          <w:highlight w:val="none"/>
          <w14:textFill>
            <w14:solidFill>
              <w14:schemeClr w14:val="tx1"/>
            </w14:solidFill>
          </w14:textFill>
        </w:rPr>
      </w:pPr>
    </w:p>
    <w:bookmarkEnd w:id="80"/>
    <w:bookmarkEnd w:id="86"/>
    <w:p>
      <w:pPr>
        <w:numPr>
          <w:ilvl w:val="0"/>
          <w:numId w:val="11"/>
        </w:numPr>
        <w:jc w:val="center"/>
        <w:rPr>
          <w:b/>
          <w:bCs/>
          <w:color w:val="000000" w:themeColor="text1"/>
          <w:sz w:val="30"/>
          <w:szCs w:val="30"/>
          <w:highlight w:val="none"/>
          <w14:textFill>
            <w14:solidFill>
              <w14:schemeClr w14:val="tx1"/>
            </w14:solidFill>
          </w14:textFill>
        </w:rPr>
      </w:pPr>
      <w:r>
        <w:rPr>
          <w:b/>
          <w:bCs/>
          <w:color w:val="000000" w:themeColor="text1"/>
          <w:sz w:val="30"/>
          <w:szCs w:val="30"/>
          <w:highlight w:val="none"/>
          <w14:textFill>
            <w14:solidFill>
              <w14:schemeClr w14:val="tx1"/>
            </w14:solidFill>
          </w14:textFill>
        </w:rPr>
        <w:t>开标一览表</w:t>
      </w:r>
    </w:p>
    <w:p>
      <w:pPr>
        <w:spacing w:line="360" w:lineRule="auto"/>
        <w:rPr>
          <w:color w:val="000000" w:themeColor="text1"/>
          <w:sz w:val="24"/>
          <w:szCs w:val="24"/>
          <w:highlight w:val="none"/>
          <w14:textFill>
            <w14:solidFill>
              <w14:schemeClr w14:val="tx1"/>
            </w14:solidFill>
          </w14:textFill>
        </w:rPr>
      </w:pPr>
      <w:bookmarkStart w:id="87" w:name="_Toc217446086"/>
    </w:p>
    <w:p>
      <w:pPr>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项目名称：</w:t>
      </w:r>
    </w:p>
    <w:p>
      <w:pPr>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单位：元，人民币</w:t>
      </w:r>
    </w:p>
    <w:tbl>
      <w:tblPr>
        <w:tblStyle w:val="22"/>
        <w:tblW w:w="4999" w:type="pct"/>
        <w:tblInd w:w="-2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54"/>
        <w:gridCol w:w="56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836" w:type="pct"/>
            <w:vAlign w:val="center"/>
          </w:tcPr>
          <w:p>
            <w:pPr>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  目  名  称</w:t>
            </w:r>
          </w:p>
        </w:tc>
        <w:tc>
          <w:tcPr>
            <w:tcW w:w="3163" w:type="pct"/>
            <w:vAlign w:val="center"/>
          </w:tcPr>
          <w:p>
            <w:pPr>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（第   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9" w:hRule="atLeast"/>
        </w:trPr>
        <w:tc>
          <w:tcPr>
            <w:tcW w:w="1836" w:type="pct"/>
            <w:vAlign w:val="center"/>
          </w:tcPr>
          <w:p>
            <w:pPr>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投标报价</w:t>
            </w:r>
          </w:p>
          <w:p>
            <w:pPr>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（元，人民币）</w:t>
            </w:r>
          </w:p>
        </w:tc>
        <w:tc>
          <w:tcPr>
            <w:tcW w:w="3163" w:type="pct"/>
            <w:vAlign w:val="center"/>
          </w:tcPr>
          <w:p>
            <w:pPr>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大写：</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（元）</w:t>
            </w:r>
          </w:p>
          <w:p>
            <w:pPr>
              <w:spacing w:line="360" w:lineRule="auto"/>
              <w:rPr>
                <w:color w:val="000000" w:themeColor="text1"/>
                <w:sz w:val="24"/>
                <w:szCs w:val="24"/>
                <w:highlight w:val="none"/>
                <w14:textFill>
                  <w14:solidFill>
                    <w14:schemeClr w14:val="tx1"/>
                  </w14:solidFill>
                </w14:textFill>
              </w:rPr>
            </w:pPr>
          </w:p>
          <w:p>
            <w:pPr>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小写：</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1836" w:type="pct"/>
            <w:vAlign w:val="center"/>
          </w:tcPr>
          <w:p>
            <w:pPr>
              <w:spacing w:line="360" w:lineRule="auto"/>
              <w:jc w:val="center"/>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交货期</w:t>
            </w:r>
          </w:p>
        </w:tc>
        <w:tc>
          <w:tcPr>
            <w:tcW w:w="3163" w:type="pct"/>
            <w:vAlign w:val="center"/>
          </w:tcPr>
          <w:p>
            <w:pPr>
              <w:spacing w:line="360" w:lineRule="auto"/>
              <w:ind w:firstLine="120" w:firstLineChars="50"/>
              <w:rPr>
                <w:color w:val="000000" w:themeColor="text1"/>
                <w:sz w:val="24"/>
                <w:szCs w:val="24"/>
                <w:highlight w:val="none"/>
                <w14:textFill>
                  <w14:solidFill>
                    <w14:schemeClr w14:val="tx1"/>
                  </w14:solidFill>
                </w14:textFill>
              </w:rPr>
            </w:pP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天（日历日）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1836" w:type="pct"/>
            <w:vAlign w:val="center"/>
          </w:tcPr>
          <w:p>
            <w:pPr>
              <w:spacing w:line="360" w:lineRule="auto"/>
              <w:jc w:val="center"/>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交货地点</w:t>
            </w:r>
          </w:p>
        </w:tc>
        <w:tc>
          <w:tcPr>
            <w:tcW w:w="3163" w:type="pct"/>
            <w:vAlign w:val="center"/>
          </w:tcPr>
          <w:p>
            <w:pPr>
              <w:spacing w:line="360" w:lineRule="auto"/>
              <w:ind w:firstLine="120" w:firstLineChars="50"/>
              <w:rPr>
                <w:color w:val="000000" w:themeColor="text1"/>
                <w:sz w:val="24"/>
                <w:szCs w:val="24"/>
                <w:highlight w:val="none"/>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1836" w:type="pct"/>
            <w:vAlign w:val="center"/>
          </w:tcPr>
          <w:p>
            <w:pPr>
              <w:spacing w:line="360" w:lineRule="auto"/>
              <w:jc w:val="center"/>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质保期</w:t>
            </w:r>
          </w:p>
        </w:tc>
        <w:tc>
          <w:tcPr>
            <w:tcW w:w="3163" w:type="pct"/>
            <w:vAlign w:val="center"/>
          </w:tcPr>
          <w:p>
            <w:pPr>
              <w:spacing w:line="360" w:lineRule="auto"/>
              <w:ind w:firstLine="120" w:firstLineChars="50"/>
              <w:rPr>
                <w:color w:val="000000" w:themeColor="text1"/>
                <w:sz w:val="24"/>
                <w:szCs w:val="24"/>
                <w:highlight w:val="none"/>
                <w:u w:val="single"/>
                <w14:textFill>
                  <w14:solidFill>
                    <w14:schemeClr w14:val="tx1"/>
                  </w14:solidFill>
                </w14:textFill>
              </w:rPr>
            </w:pPr>
          </w:p>
        </w:tc>
      </w:tr>
    </w:tbl>
    <w:p>
      <w:pPr>
        <w:spacing w:line="700" w:lineRule="exact"/>
        <w:ind w:left="465"/>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注：1、货物采购结算数量以最终实际发生量为准。</w:t>
      </w:r>
    </w:p>
    <w:p>
      <w:pPr>
        <w:spacing w:line="700" w:lineRule="exact"/>
        <w:ind w:left="407" w:leftChars="194" w:firstLine="482"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本报价为货物运达采购人指定地点，包括项目实施所需的货物费、包装运输费、装卸费、安装调试费、管理费、利润、税费及其他一切费用，并安装调试合格以及质保期内的维修维护、备品备件等费用的总报价。</w:t>
      </w:r>
    </w:p>
    <w:p>
      <w:pPr>
        <w:spacing w:line="700" w:lineRule="exact"/>
        <w:ind w:left="407" w:leftChars="194" w:firstLine="482" w:firstLineChars="200"/>
        <w:rPr>
          <w:b/>
          <w:color w:val="000000" w:themeColor="text1"/>
          <w:sz w:val="24"/>
          <w:szCs w:val="24"/>
          <w:highlight w:val="none"/>
          <w14:textFill>
            <w14:solidFill>
              <w14:schemeClr w14:val="tx1"/>
            </w14:solidFill>
          </w14:textFill>
        </w:rPr>
      </w:pPr>
    </w:p>
    <w:p>
      <w:pPr>
        <w:spacing w:line="700" w:lineRule="exact"/>
        <w:ind w:left="407" w:leftChars="194" w:firstLine="482" w:firstLineChars="200"/>
        <w:rPr>
          <w:b/>
          <w:color w:val="000000" w:themeColor="text1"/>
          <w:sz w:val="24"/>
          <w:szCs w:val="24"/>
          <w:highlight w:val="none"/>
          <w14:textFill>
            <w14:solidFill>
              <w14:schemeClr w14:val="tx1"/>
            </w14:solidFill>
          </w14:textFill>
        </w:rPr>
      </w:pPr>
    </w:p>
    <w:p>
      <w:pPr>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投标人（盖章）</w:t>
      </w:r>
    </w:p>
    <w:p>
      <w:pPr>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法定代表人或授权代理人（盖章）</w:t>
      </w:r>
    </w:p>
    <w:p>
      <w:pPr>
        <w:spacing w:line="360" w:lineRule="auto"/>
        <w:rPr>
          <w:color w:val="000000" w:themeColor="text1"/>
          <w:sz w:val="24"/>
          <w:szCs w:val="24"/>
          <w:highlight w:val="none"/>
          <w14:textFill>
            <w14:solidFill>
              <w14:schemeClr w14:val="tx1"/>
            </w14:solidFill>
          </w14:textFill>
        </w:rPr>
      </w:pPr>
    </w:p>
    <w:p>
      <w:pPr>
        <w:spacing w:line="360" w:lineRule="auto"/>
        <w:rPr>
          <w:color w:val="000000" w:themeColor="text1"/>
          <w:sz w:val="24"/>
          <w:szCs w:val="24"/>
          <w:highlight w:val="none"/>
          <w14:textFill>
            <w14:solidFill>
              <w14:schemeClr w14:val="tx1"/>
            </w14:solidFill>
          </w14:textFill>
        </w:rPr>
      </w:pPr>
    </w:p>
    <w:p>
      <w:pPr>
        <w:spacing w:line="360" w:lineRule="auto"/>
        <w:jc w:val="righ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p>
    <w:p>
      <w:pPr>
        <w:spacing w:line="360" w:lineRule="auto"/>
        <w:jc w:val="right"/>
        <w:rPr>
          <w:color w:val="000000" w:themeColor="text1"/>
          <w:sz w:val="24"/>
          <w:szCs w:val="24"/>
          <w:highlight w:val="none"/>
          <w14:textFill>
            <w14:solidFill>
              <w14:schemeClr w14:val="tx1"/>
            </w14:solidFill>
          </w14:textFill>
        </w:rPr>
      </w:pPr>
    </w:p>
    <w:p>
      <w:pPr>
        <w:spacing w:line="360" w:lineRule="auto"/>
        <w:jc w:val="right"/>
        <w:rPr>
          <w:color w:val="000000" w:themeColor="text1"/>
          <w:sz w:val="24"/>
          <w:szCs w:val="24"/>
          <w:highlight w:val="none"/>
          <w14:textFill>
            <w14:solidFill>
              <w14:schemeClr w14:val="tx1"/>
            </w14:solidFill>
          </w14:textFill>
        </w:rPr>
      </w:pPr>
    </w:p>
    <w:p>
      <w:pPr>
        <w:spacing w:line="360" w:lineRule="auto"/>
        <w:jc w:val="right"/>
        <w:rPr>
          <w:color w:val="000000" w:themeColor="text1"/>
          <w:sz w:val="24"/>
          <w:szCs w:val="24"/>
          <w:highlight w:val="none"/>
          <w14:textFill>
            <w14:solidFill>
              <w14:schemeClr w14:val="tx1"/>
            </w14:solidFill>
          </w14:textFill>
        </w:rPr>
      </w:pPr>
    </w:p>
    <w:p>
      <w:pPr>
        <w:spacing w:line="360" w:lineRule="auto"/>
        <w:jc w:val="right"/>
        <w:rPr>
          <w:color w:val="000000" w:themeColor="text1"/>
          <w:sz w:val="24"/>
          <w:szCs w:val="24"/>
          <w:highlight w:val="none"/>
          <w14:textFill>
            <w14:solidFill>
              <w14:schemeClr w14:val="tx1"/>
            </w14:solidFill>
          </w14:textFill>
        </w:rPr>
      </w:pPr>
    </w:p>
    <w:p>
      <w:pPr>
        <w:spacing w:line="360" w:lineRule="auto"/>
        <w:jc w:val="right"/>
        <w:rPr>
          <w:color w:val="000000" w:themeColor="text1"/>
          <w:sz w:val="24"/>
          <w:szCs w:val="24"/>
          <w:highlight w:val="none"/>
          <w14:textFill>
            <w14:solidFill>
              <w14:schemeClr w14:val="tx1"/>
            </w14:solidFill>
          </w14:textFill>
        </w:rPr>
      </w:pPr>
    </w:p>
    <w:p>
      <w:pPr>
        <w:spacing w:line="360" w:lineRule="auto"/>
        <w:jc w:val="right"/>
        <w:rPr>
          <w:b/>
          <w:color w:val="000000" w:themeColor="text1"/>
          <w:sz w:val="24"/>
          <w:szCs w:val="24"/>
          <w:highlight w:val="none"/>
          <w14:textFill>
            <w14:solidFill>
              <w14:schemeClr w14:val="tx1"/>
            </w14:solidFill>
          </w14:textFill>
        </w:rPr>
      </w:pPr>
    </w:p>
    <w:bookmarkEnd w:id="87"/>
    <w:p>
      <w:pPr>
        <w:numPr>
          <w:ilvl w:val="0"/>
          <w:numId w:val="11"/>
        </w:numPr>
        <w:jc w:val="center"/>
        <w:rPr>
          <w:b/>
          <w:bCs/>
          <w:color w:val="000000" w:themeColor="text1"/>
          <w:sz w:val="30"/>
          <w:szCs w:val="30"/>
          <w:highlight w:val="none"/>
          <w14:textFill>
            <w14:solidFill>
              <w14:schemeClr w14:val="tx1"/>
            </w14:solidFill>
          </w14:textFill>
        </w:rPr>
      </w:pPr>
      <w:bookmarkStart w:id="88" w:name="_Toc13384"/>
      <w:bookmarkStart w:id="89" w:name="_Toc27084"/>
      <w:r>
        <w:rPr>
          <w:b/>
          <w:bCs/>
          <w:color w:val="000000" w:themeColor="text1"/>
          <w:sz w:val="30"/>
          <w:szCs w:val="30"/>
          <w:highlight w:val="none"/>
          <w14:textFill>
            <w14:solidFill>
              <w14:schemeClr w14:val="tx1"/>
            </w14:solidFill>
          </w14:textFill>
        </w:rPr>
        <w:t>分项报价明细表</w:t>
      </w:r>
      <w:bookmarkEnd w:id="88"/>
      <w:bookmarkEnd w:id="89"/>
    </w:p>
    <w:p>
      <w:pPr>
        <w:spacing w:line="400" w:lineRule="exact"/>
        <w:rPr>
          <w:b/>
          <w:b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tbl>
      <w:tblPr>
        <w:tblStyle w:val="22"/>
        <w:tblW w:w="0" w:type="auto"/>
        <w:tblInd w:w="-233" w:type="dxa"/>
        <w:tblLayout w:type="fixed"/>
        <w:tblCellMar>
          <w:top w:w="0" w:type="dxa"/>
          <w:left w:w="108" w:type="dxa"/>
          <w:bottom w:w="0" w:type="dxa"/>
          <w:right w:w="108" w:type="dxa"/>
        </w:tblCellMar>
      </w:tblPr>
      <w:tblGrid>
        <w:gridCol w:w="487"/>
        <w:gridCol w:w="1605"/>
        <w:gridCol w:w="2113"/>
        <w:gridCol w:w="804"/>
        <w:gridCol w:w="240"/>
        <w:gridCol w:w="800"/>
        <w:gridCol w:w="804"/>
        <w:gridCol w:w="804"/>
        <w:gridCol w:w="699"/>
        <w:gridCol w:w="511"/>
      </w:tblGrid>
      <w:tr>
        <w:tblPrEx>
          <w:tblCellMar>
            <w:top w:w="0" w:type="dxa"/>
            <w:left w:w="108" w:type="dxa"/>
            <w:bottom w:w="0" w:type="dxa"/>
            <w:right w:w="108" w:type="dxa"/>
          </w:tblCellMar>
        </w:tblPrEx>
        <w:trPr>
          <w:trHeight w:val="711" w:hRule="atLeast"/>
        </w:trPr>
        <w:tc>
          <w:tcPr>
            <w:tcW w:w="48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r>
              <w:rPr>
                <w:rFonts w:eastAsia="仿宋_GB2312"/>
                <w:color w:val="000000" w:themeColor="text1"/>
                <w:highlight w:val="none"/>
                <w14:textFill>
                  <w14:solidFill>
                    <w14:schemeClr w14:val="tx1"/>
                  </w14:solidFill>
                </w14:textFill>
              </w:rPr>
              <w:t>序号</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r>
              <w:rPr>
                <w:rFonts w:eastAsia="仿宋_GB2312"/>
                <w:color w:val="000000" w:themeColor="text1"/>
                <w:highlight w:val="none"/>
                <w14:textFill>
                  <w14:solidFill>
                    <w14:schemeClr w14:val="tx1"/>
                  </w14:solidFill>
                </w14:textFill>
              </w:rPr>
              <w:t>名称</w:t>
            </w:r>
          </w:p>
        </w:tc>
        <w:tc>
          <w:tcPr>
            <w:tcW w:w="211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r>
              <w:rPr>
                <w:rFonts w:eastAsia="仿宋_GB2312"/>
                <w:color w:val="000000" w:themeColor="text1"/>
                <w:highlight w:val="none"/>
                <w14:textFill>
                  <w14:solidFill>
                    <w14:schemeClr w14:val="tx1"/>
                  </w14:solidFill>
                </w14:textFill>
              </w:rPr>
              <w:t>生产厂家、规格型号</w:t>
            </w:r>
          </w:p>
        </w:tc>
        <w:tc>
          <w:tcPr>
            <w:tcW w:w="1044"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r>
              <w:rPr>
                <w:rFonts w:eastAsia="仿宋_GB2312"/>
                <w:color w:val="000000" w:themeColor="text1"/>
                <w:highlight w:val="none"/>
                <w14:textFill>
                  <w14:solidFill>
                    <w14:schemeClr w14:val="tx1"/>
                  </w14:solidFill>
                </w14:textFill>
              </w:rPr>
              <w:t>数量</w:t>
            </w:r>
          </w:p>
        </w:tc>
        <w:tc>
          <w:tcPr>
            <w:tcW w:w="80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r>
              <w:rPr>
                <w:rFonts w:eastAsia="仿宋_GB2312"/>
                <w:color w:val="000000" w:themeColor="text1"/>
                <w:highlight w:val="none"/>
                <w14:textFill>
                  <w14:solidFill>
                    <w14:schemeClr w14:val="tx1"/>
                  </w14:solidFill>
                </w14:textFill>
              </w:rPr>
              <w:t>品牌</w:t>
            </w:r>
          </w:p>
        </w:tc>
        <w:tc>
          <w:tcPr>
            <w:tcW w:w="80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r>
              <w:rPr>
                <w:rFonts w:hint="eastAsia" w:eastAsia="仿宋_GB2312"/>
                <w:color w:val="000000" w:themeColor="text1"/>
                <w:highlight w:val="none"/>
                <w14:textFill>
                  <w14:solidFill>
                    <w14:schemeClr w14:val="tx1"/>
                  </w14:solidFill>
                </w14:textFill>
              </w:rPr>
              <w:t>产地</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r>
              <w:rPr>
                <w:rFonts w:eastAsia="仿宋_GB2312"/>
                <w:color w:val="000000" w:themeColor="text1"/>
                <w:highlight w:val="none"/>
                <w14:textFill>
                  <w14:solidFill>
                    <w14:schemeClr w14:val="tx1"/>
                  </w14:solidFill>
                </w14:textFill>
              </w:rPr>
              <w:t>单价</w:t>
            </w:r>
          </w:p>
        </w:tc>
        <w:tc>
          <w:tcPr>
            <w:tcW w:w="69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r>
              <w:rPr>
                <w:rFonts w:eastAsia="仿宋_GB2312"/>
                <w:color w:val="000000" w:themeColor="text1"/>
                <w:highlight w:val="none"/>
                <w14:textFill>
                  <w14:solidFill>
                    <w14:schemeClr w14:val="tx1"/>
                  </w14:solidFill>
                </w14:textFill>
              </w:rPr>
              <w:t>合计</w:t>
            </w:r>
          </w:p>
        </w:tc>
        <w:tc>
          <w:tcPr>
            <w:tcW w:w="51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themeColor="text1"/>
                <w:sz w:val="18"/>
                <w:szCs w:val="18"/>
                <w:highlight w:val="none"/>
                <w14:textFill>
                  <w14:solidFill>
                    <w14:schemeClr w14:val="tx1"/>
                  </w14:solidFill>
                </w14:textFill>
              </w:rPr>
            </w:pPr>
            <w:r>
              <w:rPr>
                <w:rFonts w:eastAsia="仿宋_GB2312"/>
                <w:color w:val="000000" w:themeColor="text1"/>
                <w:highlight w:val="none"/>
                <w14:textFill>
                  <w14:solidFill>
                    <w14:schemeClr w14:val="tx1"/>
                  </w14:solidFill>
                </w14:textFill>
              </w:rPr>
              <w:t>备注</w:t>
            </w:r>
          </w:p>
        </w:tc>
      </w:tr>
      <w:tr>
        <w:tblPrEx>
          <w:tblCellMar>
            <w:top w:w="0" w:type="dxa"/>
            <w:left w:w="108" w:type="dxa"/>
            <w:bottom w:w="0" w:type="dxa"/>
            <w:right w:w="108" w:type="dxa"/>
          </w:tblCellMar>
        </w:tblPrEx>
        <w:trPr>
          <w:trHeight w:val="373" w:hRule="atLeast"/>
        </w:trPr>
        <w:tc>
          <w:tcPr>
            <w:tcW w:w="48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b/>
                <w:bCs/>
                <w:color w:val="000000" w:themeColor="text1"/>
                <w:highlight w:val="none"/>
                <w14:textFill>
                  <w14:solidFill>
                    <w14:schemeClr w14:val="tx1"/>
                  </w14:solidFill>
                </w14:textFill>
              </w:rPr>
            </w:pPr>
          </w:p>
        </w:tc>
        <w:tc>
          <w:tcPr>
            <w:tcW w:w="1605"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b/>
                <w:bCs/>
                <w:color w:val="000000" w:themeColor="text1"/>
                <w:highlight w:val="none"/>
                <w14:textFill>
                  <w14:solidFill>
                    <w14:schemeClr w14:val="tx1"/>
                  </w14:solidFill>
                </w14:textFill>
              </w:rPr>
            </w:pPr>
          </w:p>
        </w:tc>
        <w:tc>
          <w:tcPr>
            <w:tcW w:w="2113"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b/>
                <w:bCs/>
                <w:color w:val="000000" w:themeColor="text1"/>
                <w:highlight w:val="none"/>
                <w14:textFill>
                  <w14:solidFill>
                    <w14:schemeClr w14:val="tx1"/>
                  </w14:solidFill>
                </w14:textFill>
              </w:rPr>
            </w:pPr>
          </w:p>
        </w:tc>
        <w:tc>
          <w:tcPr>
            <w:tcW w:w="1044" w:type="dxa"/>
            <w:gridSpan w:val="2"/>
            <w:tcBorders>
              <w:top w:val="nil"/>
              <w:left w:val="nil"/>
              <w:bottom w:val="single" w:color="auto" w:sz="4" w:space="0"/>
              <w:right w:val="single" w:color="auto" w:sz="4" w:space="0"/>
            </w:tcBorders>
            <w:shd w:val="clear" w:color="auto" w:fill="FFFFFF"/>
            <w:vAlign w:val="center"/>
          </w:tcPr>
          <w:p>
            <w:pPr>
              <w:widowControl/>
              <w:jc w:val="center"/>
              <w:rPr>
                <w:rFonts w:eastAsia="仿宋_GB2312"/>
                <w:b/>
                <w:bCs/>
                <w:color w:val="000000" w:themeColor="text1"/>
                <w:highlight w:val="none"/>
                <w14:textFill>
                  <w14:solidFill>
                    <w14:schemeClr w14:val="tx1"/>
                  </w14:solidFill>
                </w14:textFill>
              </w:rPr>
            </w:pPr>
          </w:p>
        </w:tc>
        <w:tc>
          <w:tcPr>
            <w:tcW w:w="800" w:type="dxa"/>
            <w:tcBorders>
              <w:top w:val="nil"/>
              <w:left w:val="nil"/>
              <w:bottom w:val="single" w:color="auto" w:sz="4" w:space="0"/>
              <w:right w:val="single" w:color="auto" w:sz="4" w:space="0"/>
            </w:tcBorders>
            <w:vAlign w:val="center"/>
          </w:tcPr>
          <w:p>
            <w:pPr>
              <w:widowControl/>
              <w:rPr>
                <w:color w:val="000000" w:themeColor="text1"/>
                <w:highlight w:val="none"/>
                <w14:textFill>
                  <w14:solidFill>
                    <w14:schemeClr w14:val="tx1"/>
                  </w14:solidFill>
                </w14:textFill>
              </w:rPr>
            </w:pPr>
          </w:p>
        </w:tc>
        <w:tc>
          <w:tcPr>
            <w:tcW w:w="804" w:type="dxa"/>
            <w:tcBorders>
              <w:top w:val="nil"/>
              <w:left w:val="nil"/>
              <w:bottom w:val="single" w:color="auto" w:sz="4" w:space="0"/>
              <w:right w:val="single" w:color="auto" w:sz="4" w:space="0"/>
            </w:tcBorders>
          </w:tcPr>
          <w:p>
            <w:pPr>
              <w:widowControl/>
              <w:rPr>
                <w:color w:val="000000" w:themeColor="text1"/>
                <w:highlight w:val="none"/>
                <w14:textFill>
                  <w14:solidFill>
                    <w14:schemeClr w14:val="tx1"/>
                  </w14:solidFill>
                </w14:textFill>
              </w:rPr>
            </w:pPr>
          </w:p>
        </w:tc>
        <w:tc>
          <w:tcPr>
            <w:tcW w:w="804" w:type="dxa"/>
            <w:tcBorders>
              <w:top w:val="nil"/>
              <w:left w:val="single" w:color="auto" w:sz="4" w:space="0"/>
              <w:bottom w:val="single" w:color="auto" w:sz="4" w:space="0"/>
              <w:right w:val="single" w:color="auto" w:sz="4" w:space="0"/>
            </w:tcBorders>
            <w:vAlign w:val="center"/>
          </w:tcPr>
          <w:p>
            <w:pPr>
              <w:widowControl/>
              <w:rPr>
                <w:color w:val="000000" w:themeColor="text1"/>
                <w:highlight w:val="none"/>
                <w14:textFill>
                  <w14:solidFill>
                    <w14:schemeClr w14:val="tx1"/>
                  </w14:solidFill>
                </w14:textFill>
              </w:rPr>
            </w:pPr>
          </w:p>
        </w:tc>
        <w:tc>
          <w:tcPr>
            <w:tcW w:w="699" w:type="dxa"/>
            <w:tcBorders>
              <w:top w:val="nil"/>
              <w:left w:val="nil"/>
              <w:bottom w:val="single" w:color="auto" w:sz="4" w:space="0"/>
              <w:right w:val="single" w:color="auto" w:sz="4" w:space="0"/>
            </w:tcBorders>
            <w:vAlign w:val="center"/>
          </w:tcPr>
          <w:p>
            <w:pPr>
              <w:widowControl/>
              <w:jc w:val="center"/>
              <w:rPr>
                <w:color w:val="000000" w:themeColor="text1"/>
                <w:highlight w:val="none"/>
                <w14:textFill>
                  <w14:solidFill>
                    <w14:schemeClr w14:val="tx1"/>
                  </w14:solidFill>
                </w14:textFill>
              </w:rPr>
            </w:pPr>
          </w:p>
        </w:tc>
        <w:tc>
          <w:tcPr>
            <w:tcW w:w="511" w:type="dxa"/>
            <w:tcBorders>
              <w:top w:val="nil"/>
              <w:left w:val="nil"/>
              <w:bottom w:val="single" w:color="auto" w:sz="4" w:space="0"/>
              <w:right w:val="single" w:color="auto" w:sz="4" w:space="0"/>
            </w:tcBorders>
            <w:vAlign w:val="center"/>
          </w:tcPr>
          <w:p>
            <w:pPr>
              <w:widowControl/>
              <w:jc w:val="center"/>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themeColor="text1"/>
                <w:highlight w:val="none"/>
                <w14:textFill>
                  <w14:solidFill>
                    <w14:schemeClr w14:val="tx1"/>
                  </w14:solidFill>
                </w14:textFill>
              </w:rPr>
            </w:pP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themeColor="text1"/>
                <w:sz w:val="20"/>
                <w:highlight w:val="none"/>
                <w14:textFill>
                  <w14:solidFill>
                    <w14:schemeClr w14:val="tx1"/>
                  </w14:solidFill>
                </w14:textFill>
              </w:rPr>
            </w:pP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themeColor="text1"/>
                <w:sz w:val="20"/>
                <w:highlight w:val="none"/>
                <w14:textFill>
                  <w14:solidFill>
                    <w14:schemeClr w14:val="tx1"/>
                  </w14:solidFill>
                </w14:textFill>
              </w:rPr>
            </w:pP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themeColor="text1"/>
                <w:sz w:val="20"/>
                <w:highlight w:val="none"/>
                <w14:textFill>
                  <w14:solidFill>
                    <w14:schemeClr w14:val="tx1"/>
                  </w14:solidFill>
                </w14:textFill>
              </w:rPr>
            </w:pPr>
          </w:p>
        </w:tc>
        <w:tc>
          <w:tcPr>
            <w:tcW w:w="800"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b/>
                <w:bCs/>
                <w:color w:val="000000" w:themeColor="text1"/>
                <w:highlight w:val="none"/>
                <w14:textFill>
                  <w14:solidFill>
                    <w14:schemeClr w14:val="tx1"/>
                  </w14:solidFill>
                </w14:textFill>
              </w:rPr>
            </w:pPr>
          </w:p>
        </w:tc>
        <w:tc>
          <w:tcPr>
            <w:tcW w:w="804" w:type="dxa"/>
            <w:tcBorders>
              <w:top w:val="nil"/>
              <w:left w:val="nil"/>
              <w:bottom w:val="single" w:color="auto" w:sz="4" w:space="0"/>
              <w:right w:val="single" w:color="auto" w:sz="4" w:space="0"/>
            </w:tcBorders>
            <w:shd w:val="clear" w:color="auto" w:fill="FFFFFF"/>
          </w:tcPr>
          <w:p>
            <w:pPr>
              <w:widowControl/>
              <w:jc w:val="center"/>
              <w:rPr>
                <w:rFonts w:eastAsia="仿宋_GB2312"/>
                <w:color w:val="000000" w:themeColor="text1"/>
                <w:highlight w:val="none"/>
                <w14:textFill>
                  <w14:solidFill>
                    <w14:schemeClr w14:val="tx1"/>
                  </w14:solidFill>
                </w14:textFill>
              </w:rPr>
            </w:pPr>
          </w:p>
        </w:tc>
        <w:tc>
          <w:tcPr>
            <w:tcW w:w="80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color w:val="000000" w:themeColor="text1"/>
                <w:highlight w:val="none"/>
                <w14:textFill>
                  <w14:solidFill>
                    <w14:schemeClr w14:val="tx1"/>
                  </w14:solidFill>
                </w14:textFill>
              </w:rPr>
            </w:pPr>
          </w:p>
        </w:tc>
        <w:tc>
          <w:tcPr>
            <w:tcW w:w="699" w:type="dxa"/>
            <w:tcBorders>
              <w:top w:val="nil"/>
              <w:left w:val="nil"/>
              <w:bottom w:val="single" w:color="auto" w:sz="4" w:space="0"/>
              <w:right w:val="single" w:color="auto" w:sz="4" w:space="0"/>
            </w:tcBorders>
            <w:shd w:val="clear" w:color="auto" w:fill="FFFFFF"/>
            <w:vAlign w:val="center"/>
          </w:tcPr>
          <w:p>
            <w:pPr>
              <w:widowControl/>
              <w:jc w:val="center"/>
              <w:rPr>
                <w:color w:val="000000" w:themeColor="text1"/>
                <w:szCs w:val="21"/>
                <w:highlight w:val="none"/>
                <w14:textFill>
                  <w14:solidFill>
                    <w14:schemeClr w14:val="tx1"/>
                  </w14:solidFill>
                </w14:textFill>
              </w:rPr>
            </w:pPr>
          </w:p>
        </w:tc>
        <w:tc>
          <w:tcPr>
            <w:tcW w:w="511" w:type="dxa"/>
            <w:tcBorders>
              <w:top w:val="nil"/>
              <w:left w:val="nil"/>
              <w:bottom w:val="single" w:color="auto" w:sz="4" w:space="0"/>
              <w:right w:val="single" w:color="auto" w:sz="4" w:space="0"/>
            </w:tcBorders>
            <w:shd w:val="clear" w:color="auto" w:fill="FFFFFF"/>
            <w:vAlign w:val="center"/>
          </w:tcPr>
          <w:p>
            <w:pPr>
              <w:widowControl/>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nil"/>
              <w:bottom w:val="single" w:color="auto" w:sz="4" w:space="0"/>
              <w:right w:val="single" w:color="auto" w:sz="4" w:space="0"/>
            </w:tcBorders>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699"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c>
          <w:tcPr>
            <w:tcW w:w="511"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nil"/>
              <w:bottom w:val="single" w:color="auto" w:sz="4" w:space="0"/>
              <w:right w:val="single" w:color="auto" w:sz="4" w:space="0"/>
            </w:tcBorders>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699"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c>
          <w:tcPr>
            <w:tcW w:w="511"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nil"/>
              <w:bottom w:val="single" w:color="auto" w:sz="4" w:space="0"/>
              <w:right w:val="single" w:color="auto" w:sz="4" w:space="0"/>
            </w:tcBorders>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699"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c>
          <w:tcPr>
            <w:tcW w:w="511"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nil"/>
              <w:bottom w:val="single" w:color="auto" w:sz="4" w:space="0"/>
              <w:right w:val="single" w:color="auto" w:sz="4" w:space="0"/>
            </w:tcBorders>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699"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c>
          <w:tcPr>
            <w:tcW w:w="511"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nil"/>
              <w:bottom w:val="single" w:color="auto" w:sz="4" w:space="0"/>
              <w:right w:val="single" w:color="auto" w:sz="4" w:space="0"/>
            </w:tcBorders>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699"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c>
          <w:tcPr>
            <w:tcW w:w="511"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nil"/>
              <w:bottom w:val="single" w:color="auto" w:sz="4" w:space="0"/>
              <w:right w:val="single" w:color="auto" w:sz="4" w:space="0"/>
            </w:tcBorders>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699"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c>
          <w:tcPr>
            <w:tcW w:w="511"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nil"/>
              <w:bottom w:val="single" w:color="auto" w:sz="4" w:space="0"/>
              <w:right w:val="single" w:color="auto" w:sz="4" w:space="0"/>
            </w:tcBorders>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699"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c>
          <w:tcPr>
            <w:tcW w:w="511"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nil"/>
              <w:bottom w:val="single" w:color="auto" w:sz="4" w:space="0"/>
              <w:right w:val="single" w:color="auto" w:sz="4" w:space="0"/>
            </w:tcBorders>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699"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c>
          <w:tcPr>
            <w:tcW w:w="511"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nil"/>
              <w:bottom w:val="single" w:color="auto" w:sz="4" w:space="0"/>
              <w:right w:val="single" w:color="auto" w:sz="4" w:space="0"/>
            </w:tcBorders>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699"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c>
          <w:tcPr>
            <w:tcW w:w="511"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nil"/>
              <w:bottom w:val="single" w:color="auto" w:sz="4" w:space="0"/>
              <w:right w:val="single" w:color="auto" w:sz="4" w:space="0"/>
            </w:tcBorders>
          </w:tcPr>
          <w:p>
            <w:pPr>
              <w:widowControl/>
              <w:jc w:val="center"/>
              <w:rPr>
                <w:rFonts w:eastAsia="仿宋_GB2312"/>
                <w:color w:val="000000" w:themeColor="text1"/>
                <w:sz w:val="20"/>
                <w:highlight w:val="none"/>
                <w14:textFill>
                  <w14:solidFill>
                    <w14:schemeClr w14:val="tx1"/>
                  </w14:solidFill>
                </w14:textFill>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p>
        </w:tc>
        <w:tc>
          <w:tcPr>
            <w:tcW w:w="699"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c>
          <w:tcPr>
            <w:tcW w:w="511" w:type="dxa"/>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561"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themeColor="text1"/>
                <w:highlight w:val="none"/>
                <w14:textFill>
                  <w14:solidFill>
                    <w14:schemeClr w14:val="tx1"/>
                  </w14:solidFill>
                </w14:textFill>
              </w:rPr>
            </w:pPr>
          </w:p>
        </w:tc>
        <w:tc>
          <w:tcPr>
            <w:tcW w:w="3718" w:type="dxa"/>
            <w:gridSpan w:val="2"/>
            <w:tcBorders>
              <w:top w:val="nil"/>
              <w:left w:val="nil"/>
              <w:bottom w:val="single" w:color="auto" w:sz="4" w:space="0"/>
              <w:right w:val="single" w:color="auto" w:sz="4" w:space="0"/>
            </w:tcBorders>
            <w:vAlign w:val="center"/>
          </w:tcPr>
          <w:p>
            <w:pPr>
              <w:widowControl/>
              <w:jc w:val="center"/>
              <w:rPr>
                <w:rFonts w:eastAsia="仿宋_GB2312"/>
                <w:color w:val="000000" w:themeColor="text1"/>
                <w:sz w:val="20"/>
                <w:highlight w:val="none"/>
                <w14:textFill>
                  <w14:solidFill>
                    <w14:schemeClr w14:val="tx1"/>
                  </w14:solidFill>
                </w14:textFill>
              </w:rPr>
            </w:pPr>
            <w:r>
              <w:rPr>
                <w:color w:val="000000" w:themeColor="text1"/>
                <w:sz w:val="24"/>
                <w:highlight w:val="none"/>
                <w14:textFill>
                  <w14:solidFill>
                    <w14:schemeClr w14:val="tx1"/>
                  </w14:solidFill>
                </w14:textFill>
              </w:rPr>
              <w:t>分项报价合计（元）</w:t>
            </w:r>
          </w:p>
        </w:tc>
        <w:tc>
          <w:tcPr>
            <w:tcW w:w="804" w:type="dxa"/>
            <w:tcBorders>
              <w:top w:val="nil"/>
              <w:left w:val="nil"/>
              <w:bottom w:val="single" w:color="auto" w:sz="4" w:space="0"/>
              <w:right w:val="nil"/>
            </w:tcBorders>
          </w:tcPr>
          <w:p>
            <w:pPr>
              <w:widowControl/>
              <w:jc w:val="center"/>
              <w:rPr>
                <w:color w:val="000000" w:themeColor="text1"/>
                <w:szCs w:val="21"/>
                <w:highlight w:val="none"/>
                <w14:textFill>
                  <w14:solidFill>
                    <w14:schemeClr w14:val="tx1"/>
                  </w14:solidFill>
                </w14:textFill>
              </w:rPr>
            </w:pPr>
          </w:p>
        </w:tc>
        <w:tc>
          <w:tcPr>
            <w:tcW w:w="3858" w:type="dxa"/>
            <w:gridSpan w:val="6"/>
            <w:tcBorders>
              <w:top w:val="nil"/>
              <w:left w:val="nil"/>
              <w:bottom w:val="single" w:color="auto" w:sz="4"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p>
        </w:tc>
      </w:tr>
    </w:tbl>
    <w:p>
      <w:pPr>
        <w:spacing w:line="400" w:lineRule="exact"/>
        <w:ind w:left="840" w:hanging="840" w:hangingChars="350"/>
        <w:rPr>
          <w:b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注：1、投标人必须按“</w:t>
      </w:r>
      <w:r>
        <w:rPr>
          <w:bCs/>
          <w:color w:val="000000" w:themeColor="text1"/>
          <w:sz w:val="24"/>
          <w:szCs w:val="24"/>
          <w:highlight w:val="none"/>
          <w14:textFill>
            <w14:solidFill>
              <w14:schemeClr w14:val="tx1"/>
            </w14:solidFill>
          </w14:textFill>
        </w:rPr>
        <w:t>分项报价明细表”的格式</w:t>
      </w:r>
      <w:r>
        <w:rPr>
          <w:color w:val="000000" w:themeColor="text1"/>
          <w:sz w:val="24"/>
          <w:szCs w:val="24"/>
          <w:highlight w:val="none"/>
          <w14:textFill>
            <w14:solidFill>
              <w14:schemeClr w14:val="tx1"/>
            </w14:solidFill>
          </w14:textFill>
        </w:rPr>
        <w:t>详细报出投标总价的各个组成部分的报价，否则作无效投标处理。</w:t>
      </w:r>
    </w:p>
    <w:p>
      <w:pPr>
        <w:spacing w:line="400" w:lineRule="exact"/>
        <w:jc w:val="left"/>
        <w:rPr>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 xml:space="preserve">   </w:t>
      </w:r>
      <w:r>
        <w:rPr>
          <w:bCs/>
          <w:color w:val="000000" w:themeColor="text1"/>
          <w:sz w:val="24"/>
          <w:szCs w:val="24"/>
          <w:highlight w:val="none"/>
          <w14:textFill>
            <w14:solidFill>
              <w14:schemeClr w14:val="tx1"/>
            </w14:solidFill>
          </w14:textFill>
        </w:rPr>
        <w:t xml:space="preserve"> 2、</w:t>
      </w:r>
      <w:r>
        <w:rPr>
          <w:color w:val="000000" w:themeColor="text1"/>
          <w:sz w:val="24"/>
          <w:szCs w:val="24"/>
          <w:highlight w:val="none"/>
          <w14:textFill>
            <w14:solidFill>
              <w14:schemeClr w14:val="tx1"/>
            </w14:solidFill>
          </w14:textFill>
        </w:rPr>
        <w:t>“</w:t>
      </w:r>
      <w:r>
        <w:rPr>
          <w:bCs/>
          <w:color w:val="000000" w:themeColor="text1"/>
          <w:sz w:val="24"/>
          <w:szCs w:val="24"/>
          <w:highlight w:val="none"/>
          <w14:textFill>
            <w14:solidFill>
              <w14:schemeClr w14:val="tx1"/>
            </w14:solidFill>
          </w14:textFill>
        </w:rPr>
        <w:t>分项报价明细表”各分项报价合计应当与“开标一览表”报价合计相等。</w:t>
      </w:r>
    </w:p>
    <w:p>
      <w:pPr>
        <w:spacing w:line="400" w:lineRule="exact"/>
        <w:ind w:firstLine="480" w:firstLineChars="200"/>
        <w:rPr>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3</w:t>
      </w:r>
      <w:r>
        <w:rPr>
          <w:bCs/>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各项货物详细技术规格、参数及要求，应另页描述。</w:t>
      </w:r>
    </w:p>
    <w:p>
      <w:pPr>
        <w:spacing w:line="400" w:lineRule="exact"/>
        <w:ind w:left="420" w:leftChars="200" w:firstLine="480" w:firstLineChars="200"/>
        <w:rPr>
          <w:color w:val="000000" w:themeColor="text1"/>
          <w:sz w:val="24"/>
          <w:szCs w:val="24"/>
          <w:highlight w:val="none"/>
          <w14:textFill>
            <w14:solidFill>
              <w14:schemeClr w14:val="tx1"/>
            </w14:solidFill>
          </w14:textFill>
        </w:rPr>
      </w:pPr>
    </w:p>
    <w:p>
      <w:pPr>
        <w:adjustRightInd w:val="0"/>
        <w:spacing w:line="400" w:lineRule="exact"/>
        <w:ind w:firstLine="560" w:firstLineChars="200"/>
        <w:jc w:val="left"/>
        <w:rPr>
          <w:color w:val="000000" w:themeColor="text1"/>
          <w:sz w:val="28"/>
          <w:highlight w:val="none"/>
          <w14:textFill>
            <w14:solidFill>
              <w14:schemeClr w14:val="tx1"/>
            </w14:solidFill>
          </w14:textFill>
        </w:rPr>
      </w:pPr>
    </w:p>
    <w:p>
      <w:pPr>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投标人（盖章）</w:t>
      </w:r>
    </w:p>
    <w:p>
      <w:pPr>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法定代表人或授权代理人（盖章）</w:t>
      </w:r>
    </w:p>
    <w:p>
      <w:pPr>
        <w:spacing w:line="360" w:lineRule="auto"/>
        <w:rPr>
          <w:color w:val="000000" w:themeColor="text1"/>
          <w:sz w:val="24"/>
          <w:szCs w:val="24"/>
          <w:highlight w:val="none"/>
          <w14:textFill>
            <w14:solidFill>
              <w14:schemeClr w14:val="tx1"/>
            </w14:solidFill>
          </w14:textFill>
        </w:rPr>
      </w:pPr>
    </w:p>
    <w:p>
      <w:pPr>
        <w:spacing w:line="360" w:lineRule="auto"/>
        <w:rPr>
          <w:color w:val="000000" w:themeColor="text1"/>
          <w:sz w:val="24"/>
          <w:szCs w:val="24"/>
          <w:highlight w:val="none"/>
          <w14:textFill>
            <w14:solidFill>
              <w14:schemeClr w14:val="tx1"/>
            </w14:solidFill>
          </w14:textFill>
        </w:rPr>
      </w:pPr>
    </w:p>
    <w:p>
      <w:pPr>
        <w:spacing w:line="360" w:lineRule="auto"/>
        <w:jc w:val="righ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p>
    <w:p>
      <w:pPr>
        <w:pStyle w:val="6"/>
        <w:rPr>
          <w:color w:val="000000" w:themeColor="text1"/>
          <w:highlight w:val="none"/>
          <w14:textFill>
            <w14:solidFill>
              <w14:schemeClr w14:val="tx1"/>
            </w14:solidFill>
          </w14:textFill>
        </w:rPr>
      </w:pPr>
      <w:bookmarkStart w:id="90" w:name="_Toc217446088"/>
      <w:r>
        <w:rPr>
          <w:color w:val="000000" w:themeColor="text1"/>
          <w:highlight w:val="none"/>
          <w14:textFill>
            <w14:solidFill>
              <w14:schemeClr w14:val="tx1"/>
            </w14:solidFill>
          </w14:textFill>
        </w:rPr>
        <w:br w:type="page"/>
      </w:r>
    </w:p>
    <w:bookmarkEnd w:id="90"/>
    <w:p>
      <w:pPr>
        <w:numPr>
          <w:ilvl w:val="0"/>
          <w:numId w:val="11"/>
        </w:numPr>
        <w:jc w:val="center"/>
        <w:rPr>
          <w:b/>
          <w:bCs/>
          <w:color w:val="000000" w:themeColor="text1"/>
          <w:sz w:val="30"/>
          <w:szCs w:val="30"/>
          <w:highlight w:val="none"/>
          <w14:textFill>
            <w14:solidFill>
              <w14:schemeClr w14:val="tx1"/>
            </w14:solidFill>
          </w14:textFill>
        </w:rPr>
      </w:pPr>
      <w:bookmarkStart w:id="91" w:name="_Toc28864"/>
      <w:bookmarkStart w:id="92" w:name="_Toc3886"/>
      <w:r>
        <w:rPr>
          <w:b/>
          <w:bCs/>
          <w:color w:val="000000" w:themeColor="text1"/>
          <w:sz w:val="30"/>
          <w:szCs w:val="30"/>
          <w:highlight w:val="none"/>
          <w14:textFill>
            <w14:solidFill>
              <w14:schemeClr w14:val="tx1"/>
            </w14:solidFill>
          </w14:textFill>
        </w:rPr>
        <w:t>资格证明材料</w:t>
      </w:r>
      <w:bookmarkEnd w:id="91"/>
      <w:bookmarkEnd w:id="92"/>
    </w:p>
    <w:p>
      <w:pPr>
        <w:pStyle w:val="29"/>
        <w:numPr>
          <w:ilvl w:val="0"/>
          <w:numId w:val="12"/>
        </w:numPr>
        <w:tabs>
          <w:tab w:val="left" w:pos="590"/>
        </w:tabs>
        <w:autoSpaceDE w:val="0"/>
        <w:autoSpaceDN w:val="0"/>
        <w:spacing w:line="400" w:lineRule="exact"/>
        <w:ind w:hanging="361"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投标人基本情况表</w:t>
      </w:r>
    </w:p>
    <w:p>
      <w:pPr>
        <w:pStyle w:val="29"/>
        <w:numPr>
          <w:ilvl w:val="0"/>
          <w:numId w:val="12"/>
        </w:numPr>
        <w:tabs>
          <w:tab w:val="left" w:pos="590"/>
        </w:tabs>
        <w:autoSpaceDE w:val="0"/>
        <w:autoSpaceDN w:val="0"/>
        <w:spacing w:line="400" w:lineRule="exact"/>
        <w:ind w:hanging="361"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联合体协议（如有）</w:t>
      </w:r>
    </w:p>
    <w:p>
      <w:pPr>
        <w:pStyle w:val="29"/>
        <w:numPr>
          <w:ilvl w:val="0"/>
          <w:numId w:val="12"/>
        </w:numPr>
        <w:tabs>
          <w:tab w:val="left" w:pos="590"/>
        </w:tabs>
        <w:autoSpaceDE w:val="0"/>
        <w:autoSpaceDN w:val="0"/>
        <w:spacing w:line="400" w:lineRule="exact"/>
        <w:ind w:hanging="361"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营业执照复印件</w:t>
      </w:r>
    </w:p>
    <w:p>
      <w:pPr>
        <w:pStyle w:val="29"/>
        <w:numPr>
          <w:ilvl w:val="0"/>
          <w:numId w:val="12"/>
        </w:numPr>
        <w:tabs>
          <w:tab w:val="left" w:pos="590"/>
        </w:tabs>
        <w:autoSpaceDE w:val="0"/>
        <w:autoSpaceDN w:val="0"/>
        <w:spacing w:line="400" w:lineRule="exact"/>
        <w:ind w:hanging="361"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提供税务登记证或依法缴纳税收证明材料的复印件</w:t>
      </w:r>
    </w:p>
    <w:p>
      <w:pPr>
        <w:pStyle w:val="29"/>
        <w:numPr>
          <w:ilvl w:val="0"/>
          <w:numId w:val="12"/>
        </w:numPr>
        <w:tabs>
          <w:tab w:val="left" w:pos="590"/>
        </w:tabs>
        <w:autoSpaceDE w:val="0"/>
        <w:autoSpaceDN w:val="0"/>
        <w:spacing w:line="400" w:lineRule="exact"/>
        <w:ind w:hanging="361"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提供社保机构出具的近半年内任一月社保缴纳证明，还需提供授权代理人近三个月的社保缴纳证明材料</w:t>
      </w:r>
      <w:r>
        <w:rPr>
          <w:rFonts w:hint="eastAsia"/>
          <w:color w:val="000000" w:themeColor="text1"/>
          <w:sz w:val="24"/>
          <w:highlight w:val="none"/>
          <w14:textFill>
            <w14:solidFill>
              <w14:schemeClr w14:val="tx1"/>
            </w14:solidFill>
          </w14:textFill>
        </w:rPr>
        <w:t>及近3个月任一月的完税证明材料。</w:t>
      </w:r>
    </w:p>
    <w:p>
      <w:pPr>
        <w:pStyle w:val="29"/>
        <w:numPr>
          <w:ilvl w:val="0"/>
          <w:numId w:val="12"/>
        </w:numPr>
        <w:tabs>
          <w:tab w:val="left" w:pos="590"/>
        </w:tabs>
        <w:autoSpaceDE w:val="0"/>
        <w:autoSpaceDN w:val="0"/>
        <w:spacing w:line="400" w:lineRule="exact"/>
        <w:ind w:hanging="361"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投标人近三年内没有被监管部门予以行政处罚或有关部门予以禁入处理等记录， 具有良好的信誉，诚实信用；须在“信用中国”（ </w:t>
      </w:r>
      <w:r>
        <w:rPr>
          <w:highlight w:val="none"/>
        </w:rPr>
        <w:fldChar w:fldCharType="begin"/>
      </w:r>
      <w:r>
        <w:rPr>
          <w:highlight w:val="none"/>
        </w:rPr>
        <w:instrText xml:space="preserve"> HYPERLINK "http://www.creditchina.gov.cn/" \h </w:instrText>
      </w:r>
      <w:r>
        <w:rPr>
          <w:highlight w:val="none"/>
        </w:rPr>
        <w:fldChar w:fldCharType="separate"/>
      </w:r>
      <w:r>
        <w:rPr>
          <w:color w:val="000000" w:themeColor="text1"/>
          <w:sz w:val="24"/>
          <w:highlight w:val="none"/>
          <w14:textFill>
            <w14:solidFill>
              <w14:schemeClr w14:val="tx1"/>
            </w14:solidFill>
          </w14:textFill>
        </w:rPr>
        <w:t>www.creditchina.gov.cn</w:t>
      </w:r>
      <w:r>
        <w:rPr>
          <w:color w:val="000000" w:themeColor="text1"/>
          <w:sz w:val="24"/>
          <w:highlight w:val="none"/>
          <w14:textFill>
            <w14:solidFill>
              <w14:schemeClr w14:val="tx1"/>
            </w14:solidFill>
          </w14:textFill>
        </w:rPr>
        <w:fldChar w:fldCharType="end"/>
      </w:r>
      <w:r>
        <w:rPr>
          <w:color w:val="000000" w:themeColor="text1"/>
          <w:sz w:val="24"/>
          <w:highlight w:val="none"/>
          <w14:textFill>
            <w14:solidFill>
              <w14:schemeClr w14:val="tx1"/>
            </w14:solidFill>
          </w14:textFill>
        </w:rPr>
        <w:t>）和中国政府采购网（</w:t>
      </w:r>
      <w:r>
        <w:rPr>
          <w:highlight w:val="none"/>
        </w:rPr>
        <w:fldChar w:fldCharType="begin"/>
      </w:r>
      <w:r>
        <w:rPr>
          <w:highlight w:val="none"/>
        </w:rPr>
        <w:instrText xml:space="preserve"> HYPERLINK "http://www.ccgp.gov.cn/" \h </w:instrText>
      </w:r>
      <w:r>
        <w:rPr>
          <w:highlight w:val="none"/>
        </w:rPr>
        <w:fldChar w:fldCharType="separate"/>
      </w:r>
      <w:r>
        <w:rPr>
          <w:color w:val="000000" w:themeColor="text1"/>
          <w:sz w:val="24"/>
          <w:highlight w:val="none"/>
          <w14:textFill>
            <w14:solidFill>
              <w14:schemeClr w14:val="tx1"/>
            </w14:solidFill>
          </w14:textFill>
        </w:rPr>
        <w:t>www.ccgp.gov.cn</w:t>
      </w:r>
      <w:r>
        <w:rPr>
          <w:color w:val="000000" w:themeColor="text1"/>
          <w:sz w:val="24"/>
          <w:highlight w:val="none"/>
          <w14:textFill>
            <w14:solidFill>
              <w14:schemeClr w14:val="tx1"/>
            </w14:solidFill>
          </w14:textFill>
        </w:rPr>
        <w:fldChar w:fldCharType="end"/>
      </w:r>
      <w:r>
        <w:rPr>
          <w:color w:val="000000" w:themeColor="text1"/>
          <w:sz w:val="24"/>
          <w:highlight w:val="none"/>
          <w14:textFill>
            <w14:solidFill>
              <w14:schemeClr w14:val="tx1"/>
            </w14:solidFill>
          </w14:textFill>
        </w:rPr>
        <w:t>）网站上未被列入失信被执行人、重大税收违法案件当事人名单以及政府采购严重违法失信行为记录名单里；近三年无违法、处罚信息（提供网页查询打印页加盖公章）</w:t>
      </w:r>
    </w:p>
    <w:p>
      <w:pPr>
        <w:pStyle w:val="29"/>
        <w:numPr>
          <w:ilvl w:val="0"/>
          <w:numId w:val="12"/>
        </w:numPr>
        <w:tabs>
          <w:tab w:val="left" w:pos="590"/>
        </w:tabs>
        <w:autoSpaceDE w:val="0"/>
        <w:autoSpaceDN w:val="0"/>
        <w:spacing w:line="400" w:lineRule="exact"/>
        <w:ind w:left="228" w:right="501" w:firstLine="0" w:firstLineChars="0"/>
        <w:rPr>
          <w:color w:val="000000" w:themeColor="text1"/>
          <w:spacing w:val="-4"/>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提供</w:t>
      </w:r>
      <w:r>
        <w:rPr>
          <w:rFonts w:hint="eastAsia"/>
          <w:color w:val="000000" w:themeColor="text1"/>
          <w:spacing w:val="-4"/>
          <w:sz w:val="24"/>
          <w:highlight w:val="none"/>
          <w14:textFill>
            <w14:solidFill>
              <w14:schemeClr w14:val="tx1"/>
            </w14:solidFill>
          </w14:textFill>
        </w:rPr>
        <w:t>202</w:t>
      </w:r>
      <w:r>
        <w:rPr>
          <w:rFonts w:hint="eastAsia"/>
          <w:color w:val="000000" w:themeColor="text1"/>
          <w:spacing w:val="-4"/>
          <w:sz w:val="24"/>
          <w:highlight w:val="none"/>
          <w:lang w:val="en-US" w:eastAsia="zh-CN"/>
          <w14:textFill>
            <w14:solidFill>
              <w14:schemeClr w14:val="tx1"/>
            </w14:solidFill>
          </w14:textFill>
        </w:rPr>
        <w:t>3</w:t>
      </w:r>
      <w:r>
        <w:rPr>
          <w:rFonts w:hint="eastAsia"/>
          <w:color w:val="000000" w:themeColor="text1"/>
          <w:spacing w:val="-4"/>
          <w:sz w:val="24"/>
          <w:highlight w:val="none"/>
          <w14:textFill>
            <w14:solidFill>
              <w14:schemeClr w14:val="tx1"/>
            </w14:solidFill>
          </w14:textFill>
        </w:rPr>
        <w:t>或202</w:t>
      </w:r>
      <w:r>
        <w:rPr>
          <w:rFonts w:hint="eastAsia"/>
          <w:color w:val="000000" w:themeColor="text1"/>
          <w:spacing w:val="-4"/>
          <w:sz w:val="24"/>
          <w:highlight w:val="none"/>
          <w:lang w:val="en-US" w:eastAsia="zh-CN"/>
          <w14:textFill>
            <w14:solidFill>
              <w14:schemeClr w14:val="tx1"/>
            </w14:solidFill>
          </w14:textFill>
        </w:rPr>
        <w:t>4</w:t>
      </w:r>
      <w:r>
        <w:rPr>
          <w:rFonts w:hint="eastAsia"/>
          <w:color w:val="000000" w:themeColor="text1"/>
          <w:spacing w:val="-4"/>
          <w:sz w:val="24"/>
          <w:highlight w:val="none"/>
          <w14:textFill>
            <w14:solidFill>
              <w14:schemeClr w14:val="tx1"/>
            </w14:solidFill>
          </w14:textFill>
        </w:rPr>
        <w:t>年度</w:t>
      </w:r>
      <w:r>
        <w:rPr>
          <w:color w:val="000000" w:themeColor="text1"/>
          <w:spacing w:val="-4"/>
          <w:sz w:val="24"/>
          <w:highlight w:val="none"/>
          <w14:textFill>
            <w14:solidFill>
              <w14:schemeClr w14:val="tx1"/>
            </w14:solidFill>
          </w14:textFill>
        </w:rPr>
        <w:t>经审计财务状况报告（含资产负债表、损益表）</w:t>
      </w:r>
    </w:p>
    <w:p>
      <w:pPr>
        <w:pStyle w:val="29"/>
        <w:numPr>
          <w:ilvl w:val="0"/>
          <w:numId w:val="12"/>
        </w:numPr>
        <w:tabs>
          <w:tab w:val="left" w:pos="590"/>
        </w:tabs>
        <w:autoSpaceDE w:val="0"/>
        <w:autoSpaceDN w:val="0"/>
        <w:spacing w:line="400" w:lineRule="exact"/>
        <w:ind w:left="228" w:right="501" w:firstLine="0" w:firstLineChars="0"/>
        <w:rPr>
          <w:color w:val="000000" w:themeColor="text1"/>
          <w:spacing w:val="-4"/>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中小微企业政策性优惠证明材料：</w:t>
      </w:r>
    </w:p>
    <w:p>
      <w:pPr>
        <w:pStyle w:val="29"/>
        <w:numPr>
          <w:ilvl w:val="0"/>
          <w:numId w:val="13"/>
        </w:numPr>
        <w:tabs>
          <w:tab w:val="left" w:pos="590"/>
        </w:tabs>
        <w:autoSpaceDE w:val="0"/>
        <w:autoSpaceDN w:val="0"/>
        <w:spacing w:line="400" w:lineRule="exact"/>
        <w:ind w:hanging="241"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《中小企业声明函》：</w:t>
      </w:r>
    </w:p>
    <w:p>
      <w:pPr>
        <w:pStyle w:val="29"/>
        <w:numPr>
          <w:ilvl w:val="0"/>
          <w:numId w:val="12"/>
        </w:numPr>
        <w:tabs>
          <w:tab w:val="left" w:pos="590"/>
        </w:tabs>
        <w:autoSpaceDE w:val="0"/>
        <w:autoSpaceDN w:val="0"/>
        <w:spacing w:line="400" w:lineRule="exact"/>
        <w:ind w:left="228" w:right="501" w:firstLine="0" w:firstLineChars="0"/>
        <w:rPr>
          <w:color w:val="000000" w:themeColor="text1"/>
          <w:spacing w:val="-4"/>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残疾人福利性单位声明函</w:t>
      </w:r>
    </w:p>
    <w:p>
      <w:pPr>
        <w:pStyle w:val="29"/>
        <w:numPr>
          <w:ilvl w:val="0"/>
          <w:numId w:val="12"/>
        </w:numPr>
        <w:tabs>
          <w:tab w:val="left" w:pos="590"/>
        </w:tabs>
        <w:autoSpaceDE w:val="0"/>
        <w:autoSpaceDN w:val="0"/>
        <w:spacing w:line="400" w:lineRule="exact"/>
        <w:ind w:left="228" w:right="501" w:firstLine="0" w:firstLineChars="0"/>
        <w:rPr>
          <w:color w:val="000000" w:themeColor="text1"/>
          <w:spacing w:val="-4"/>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产品相应的检测证明材料复印件</w:t>
      </w:r>
      <w:r>
        <w:rPr>
          <w:rFonts w:hint="eastAsia"/>
          <w:color w:val="000000" w:themeColor="text1"/>
          <w:spacing w:val="-4"/>
          <w:sz w:val="24"/>
          <w:highlight w:val="none"/>
          <w14:textFill>
            <w14:solidFill>
              <w14:schemeClr w14:val="tx1"/>
            </w14:solidFill>
          </w14:textFill>
        </w:rPr>
        <w:t>（国家授权或认证的机构检测证明文件）</w:t>
      </w:r>
      <w:r>
        <w:rPr>
          <w:color w:val="000000" w:themeColor="text1"/>
          <w:spacing w:val="-4"/>
          <w:sz w:val="24"/>
          <w:highlight w:val="none"/>
          <w14:textFill>
            <w14:solidFill>
              <w14:schemeClr w14:val="tx1"/>
            </w14:solidFill>
          </w14:textFill>
        </w:rPr>
        <w:t>：</w:t>
      </w:r>
    </w:p>
    <w:p>
      <w:pPr>
        <w:pStyle w:val="29"/>
        <w:numPr>
          <w:ilvl w:val="0"/>
          <w:numId w:val="12"/>
        </w:numPr>
        <w:tabs>
          <w:tab w:val="left" w:pos="590"/>
        </w:tabs>
        <w:autoSpaceDE w:val="0"/>
        <w:autoSpaceDN w:val="0"/>
        <w:spacing w:line="400" w:lineRule="exact"/>
        <w:ind w:left="228" w:right="501" w:firstLine="0" w:firstLineChars="0"/>
        <w:rPr>
          <w:color w:val="000000" w:themeColor="text1"/>
          <w:spacing w:val="-4"/>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经销商提供</w:t>
      </w:r>
      <w:r>
        <w:rPr>
          <w:rFonts w:hint="eastAsia"/>
          <w:color w:val="000000" w:themeColor="text1"/>
          <w:spacing w:val="-4"/>
          <w:sz w:val="24"/>
          <w:highlight w:val="none"/>
          <w14:textFill>
            <w14:solidFill>
              <w14:schemeClr w14:val="tx1"/>
            </w14:solidFill>
          </w14:textFill>
        </w:rPr>
        <w:t>可获得</w:t>
      </w:r>
      <w:r>
        <w:rPr>
          <w:color w:val="000000" w:themeColor="text1"/>
          <w:spacing w:val="-4"/>
          <w:sz w:val="24"/>
          <w:highlight w:val="none"/>
          <w14:textFill>
            <w14:solidFill>
              <w14:schemeClr w14:val="tx1"/>
            </w14:solidFill>
          </w14:textFill>
        </w:rPr>
        <w:t>制造商授权委托书及售后服务</w:t>
      </w:r>
      <w:r>
        <w:rPr>
          <w:rFonts w:hint="eastAsia"/>
          <w:color w:val="000000" w:themeColor="text1"/>
          <w:spacing w:val="-4"/>
          <w:sz w:val="24"/>
          <w:highlight w:val="none"/>
          <w14:textFill>
            <w14:solidFill>
              <w14:schemeClr w14:val="tx1"/>
            </w14:solidFill>
          </w14:textFill>
        </w:rPr>
        <w:t>的</w:t>
      </w:r>
      <w:r>
        <w:rPr>
          <w:color w:val="000000" w:themeColor="text1"/>
          <w:spacing w:val="-4"/>
          <w:sz w:val="24"/>
          <w:highlight w:val="none"/>
          <w14:textFill>
            <w14:solidFill>
              <w14:schemeClr w14:val="tx1"/>
            </w14:solidFill>
          </w14:textFill>
        </w:rPr>
        <w:t>承诺函；</w:t>
      </w:r>
    </w:p>
    <w:p>
      <w:pPr>
        <w:pStyle w:val="29"/>
        <w:numPr>
          <w:ilvl w:val="0"/>
          <w:numId w:val="12"/>
        </w:numPr>
        <w:tabs>
          <w:tab w:val="left" w:pos="590"/>
        </w:tabs>
        <w:autoSpaceDE w:val="0"/>
        <w:autoSpaceDN w:val="0"/>
        <w:spacing w:line="400" w:lineRule="exact"/>
        <w:ind w:left="228" w:right="501" w:firstLine="0" w:firstLineChars="0"/>
        <w:rPr>
          <w:color w:val="000000" w:themeColor="text1"/>
          <w:spacing w:val="-4"/>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所投产品通过的认证、获得的奖项、荣誉等证明材料复印件：</w:t>
      </w:r>
    </w:p>
    <w:p>
      <w:pPr>
        <w:pStyle w:val="29"/>
        <w:numPr>
          <w:ilvl w:val="0"/>
          <w:numId w:val="12"/>
        </w:numPr>
        <w:tabs>
          <w:tab w:val="left" w:pos="590"/>
        </w:tabs>
        <w:autoSpaceDE w:val="0"/>
        <w:autoSpaceDN w:val="0"/>
        <w:spacing w:line="400" w:lineRule="exact"/>
        <w:ind w:left="228" w:right="501" w:firstLine="0" w:firstLineChars="0"/>
        <w:rPr>
          <w:color w:val="000000" w:themeColor="text1"/>
          <w:spacing w:val="-4"/>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其他</w:t>
      </w:r>
    </w:p>
    <w:p>
      <w:pPr>
        <w:pStyle w:val="29"/>
        <w:tabs>
          <w:tab w:val="left" w:pos="710"/>
        </w:tabs>
        <w:autoSpaceDE w:val="0"/>
        <w:autoSpaceDN w:val="0"/>
        <w:spacing w:before="213"/>
        <w:ind w:left="589" w:firstLine="0" w:firstLineChars="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注：以上复印件均需要加盖投标投标人公章。</w:t>
      </w:r>
    </w:p>
    <w:p>
      <w:pPr>
        <w:rPr>
          <w:color w:val="000000" w:themeColor="text1"/>
          <w:highlight w:val="none"/>
          <w14:textFill>
            <w14:solidFill>
              <w14:schemeClr w14:val="tx1"/>
            </w14:solidFill>
          </w14:textFill>
        </w:rPr>
        <w:sectPr>
          <w:pgSz w:w="11910" w:h="16840"/>
          <w:pgMar w:top="1380" w:right="1704" w:bottom="1300" w:left="1560" w:header="877" w:footer="1118" w:gutter="0"/>
          <w:pgNumType w:fmt="decimal"/>
          <w:cols w:space="720" w:num="1"/>
        </w:sectPr>
      </w:pPr>
    </w:p>
    <w:p>
      <w:pPr>
        <w:numPr>
          <w:ilvl w:val="0"/>
          <w:numId w:val="11"/>
        </w:numPr>
        <w:jc w:val="center"/>
        <w:rPr>
          <w:b/>
          <w:bCs/>
          <w:color w:val="000000" w:themeColor="text1"/>
          <w:sz w:val="30"/>
          <w:szCs w:val="30"/>
          <w:highlight w:val="none"/>
          <w14:textFill>
            <w14:solidFill>
              <w14:schemeClr w14:val="tx1"/>
            </w14:solidFill>
          </w14:textFill>
        </w:rPr>
      </w:pPr>
      <w:bookmarkStart w:id="93" w:name="_Toc2916"/>
      <w:bookmarkStart w:id="94" w:name="_Toc7948"/>
      <w:r>
        <w:rPr>
          <w:b/>
          <w:bCs/>
          <w:color w:val="000000" w:themeColor="text1"/>
          <w:sz w:val="30"/>
          <w:szCs w:val="30"/>
          <w:highlight w:val="none"/>
          <w14:textFill>
            <w14:solidFill>
              <w14:schemeClr w14:val="tx1"/>
            </w14:solidFill>
          </w14:textFill>
        </w:rPr>
        <w:t>投标投标人基本情况表</w:t>
      </w:r>
      <w:bookmarkEnd w:id="93"/>
      <w:bookmarkEnd w:id="94"/>
    </w:p>
    <w:p>
      <w:pPr>
        <w:pStyle w:val="16"/>
        <w:pBdr>
          <w:bottom w:val="none" w:color="auto" w:sz="0" w:space="0"/>
        </w:pBdr>
        <w:tabs>
          <w:tab w:val="clear" w:pos="4153"/>
          <w:tab w:val="clear" w:pos="8306"/>
        </w:tabs>
        <w:snapToGrid/>
        <w:spacing w:line="400" w:lineRule="exact"/>
        <w:ind w:firstLine="270" w:firstLineChars="15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盖投标人单位公章</w:t>
      </w:r>
    </w:p>
    <w:tbl>
      <w:tblPr>
        <w:tblStyle w:val="22"/>
        <w:tblW w:w="0" w:type="auto"/>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417"/>
        <w:gridCol w:w="796"/>
        <w:gridCol w:w="892"/>
        <w:gridCol w:w="1605"/>
        <w:gridCol w:w="695"/>
        <w:gridCol w:w="244"/>
        <w:gridCol w:w="986"/>
        <w:gridCol w:w="592"/>
        <w:gridCol w:w="837"/>
        <w:gridCol w:w="1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31" w:type="dxa"/>
            <w:gridSpan w:val="3"/>
          </w:tcPr>
          <w:p>
            <w:pPr>
              <w:pStyle w:val="30"/>
              <w:spacing w:before="96"/>
              <w:ind w:left="412"/>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投标人名称</w:t>
            </w:r>
          </w:p>
        </w:tc>
        <w:tc>
          <w:tcPr>
            <w:tcW w:w="4422" w:type="dxa"/>
            <w:gridSpan w:val="5"/>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c>
          <w:tcPr>
            <w:tcW w:w="1429" w:type="dxa"/>
            <w:gridSpan w:val="2"/>
          </w:tcPr>
          <w:p>
            <w:pPr>
              <w:pStyle w:val="30"/>
              <w:spacing w:before="96"/>
              <w:ind w:left="118"/>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法定代表人</w:t>
            </w:r>
          </w:p>
        </w:tc>
        <w:tc>
          <w:tcPr>
            <w:tcW w:w="1231" w:type="dxa"/>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031" w:type="dxa"/>
            <w:gridSpan w:val="3"/>
          </w:tcPr>
          <w:p>
            <w:pPr>
              <w:pStyle w:val="30"/>
              <w:spacing w:before="96"/>
              <w:ind w:left="292"/>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组织机构代码</w:t>
            </w:r>
          </w:p>
        </w:tc>
        <w:tc>
          <w:tcPr>
            <w:tcW w:w="4422" w:type="dxa"/>
            <w:gridSpan w:val="5"/>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c>
          <w:tcPr>
            <w:tcW w:w="1429" w:type="dxa"/>
            <w:gridSpan w:val="2"/>
          </w:tcPr>
          <w:p>
            <w:pPr>
              <w:pStyle w:val="30"/>
              <w:spacing w:before="96"/>
              <w:ind w:left="238"/>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邮政编码</w:t>
            </w:r>
          </w:p>
        </w:tc>
        <w:tc>
          <w:tcPr>
            <w:tcW w:w="1231" w:type="dxa"/>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31" w:type="dxa"/>
            <w:gridSpan w:val="3"/>
          </w:tcPr>
          <w:p>
            <w:pPr>
              <w:pStyle w:val="30"/>
              <w:spacing w:before="96"/>
              <w:ind w:left="412"/>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委托代理人</w:t>
            </w:r>
          </w:p>
        </w:tc>
        <w:tc>
          <w:tcPr>
            <w:tcW w:w="4422" w:type="dxa"/>
            <w:gridSpan w:val="5"/>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c>
          <w:tcPr>
            <w:tcW w:w="1429" w:type="dxa"/>
            <w:gridSpan w:val="2"/>
          </w:tcPr>
          <w:p>
            <w:pPr>
              <w:pStyle w:val="30"/>
              <w:spacing w:before="96"/>
              <w:ind w:left="238"/>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电子邮箱</w:t>
            </w:r>
          </w:p>
        </w:tc>
        <w:tc>
          <w:tcPr>
            <w:tcW w:w="1231" w:type="dxa"/>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31" w:type="dxa"/>
            <w:gridSpan w:val="3"/>
          </w:tcPr>
          <w:p>
            <w:pPr>
              <w:pStyle w:val="30"/>
              <w:spacing w:before="96"/>
              <w:ind w:left="292"/>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上年营业收入</w:t>
            </w:r>
          </w:p>
        </w:tc>
        <w:tc>
          <w:tcPr>
            <w:tcW w:w="4422" w:type="dxa"/>
            <w:gridSpan w:val="5"/>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c>
          <w:tcPr>
            <w:tcW w:w="1429" w:type="dxa"/>
            <w:gridSpan w:val="2"/>
          </w:tcPr>
          <w:p>
            <w:pPr>
              <w:pStyle w:val="30"/>
              <w:spacing w:before="96"/>
              <w:ind w:left="118"/>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员工总人数</w:t>
            </w:r>
          </w:p>
        </w:tc>
        <w:tc>
          <w:tcPr>
            <w:tcW w:w="1231" w:type="dxa"/>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031" w:type="dxa"/>
            <w:gridSpan w:val="3"/>
          </w:tcPr>
          <w:p>
            <w:pPr>
              <w:pStyle w:val="30"/>
              <w:spacing w:before="96"/>
              <w:ind w:left="532" w:firstLine="48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固定电话</w:t>
            </w:r>
          </w:p>
        </w:tc>
        <w:tc>
          <w:tcPr>
            <w:tcW w:w="4422" w:type="dxa"/>
            <w:gridSpan w:val="5"/>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c>
          <w:tcPr>
            <w:tcW w:w="1429" w:type="dxa"/>
            <w:gridSpan w:val="2"/>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c>
          <w:tcPr>
            <w:tcW w:w="1231" w:type="dxa"/>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818" w:type="dxa"/>
            <w:vMerge w:val="restart"/>
          </w:tcPr>
          <w:p>
            <w:pPr>
              <w:pStyle w:val="30"/>
              <w:spacing w:line="362" w:lineRule="auto"/>
              <w:ind w:right="157"/>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营业执照</w:t>
            </w:r>
          </w:p>
        </w:tc>
        <w:tc>
          <w:tcPr>
            <w:tcW w:w="2105" w:type="dxa"/>
            <w:gridSpan w:val="3"/>
          </w:tcPr>
          <w:p>
            <w:pPr>
              <w:pStyle w:val="30"/>
              <w:spacing w:before="96"/>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注册号码</w:t>
            </w:r>
          </w:p>
        </w:tc>
        <w:tc>
          <w:tcPr>
            <w:tcW w:w="2300" w:type="dxa"/>
            <w:gridSpan w:val="2"/>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c>
          <w:tcPr>
            <w:tcW w:w="1230" w:type="dxa"/>
            <w:gridSpan w:val="2"/>
          </w:tcPr>
          <w:p>
            <w:pPr>
              <w:pStyle w:val="30"/>
              <w:spacing w:before="96"/>
              <w:ind w:left="138"/>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注册地址</w:t>
            </w:r>
          </w:p>
        </w:tc>
        <w:tc>
          <w:tcPr>
            <w:tcW w:w="2660" w:type="dxa"/>
            <w:gridSpan w:val="3"/>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818" w:type="dxa"/>
            <w:vMerge w:val="continue"/>
            <w:tcBorders>
              <w:top w:val="nil"/>
            </w:tcBorders>
          </w:tcPr>
          <w:p>
            <w:pPr>
              <w:autoSpaceDE w:val="0"/>
              <w:autoSpaceDN w:val="0"/>
              <w:rPr>
                <w:color w:val="000000" w:themeColor="text1"/>
                <w:sz w:val="24"/>
                <w:szCs w:val="24"/>
                <w:highlight w:val="none"/>
                <w14:textFill>
                  <w14:solidFill>
                    <w14:schemeClr w14:val="tx1"/>
                  </w14:solidFill>
                </w14:textFill>
              </w:rPr>
            </w:pPr>
          </w:p>
        </w:tc>
        <w:tc>
          <w:tcPr>
            <w:tcW w:w="2105" w:type="dxa"/>
            <w:gridSpan w:val="3"/>
          </w:tcPr>
          <w:p>
            <w:pPr>
              <w:pStyle w:val="30"/>
              <w:spacing w:before="96"/>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发证机关</w:t>
            </w:r>
          </w:p>
        </w:tc>
        <w:tc>
          <w:tcPr>
            <w:tcW w:w="2300" w:type="dxa"/>
            <w:gridSpan w:val="2"/>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c>
          <w:tcPr>
            <w:tcW w:w="1230" w:type="dxa"/>
            <w:gridSpan w:val="2"/>
          </w:tcPr>
          <w:p>
            <w:pPr>
              <w:pStyle w:val="30"/>
              <w:spacing w:before="96"/>
              <w:ind w:left="138"/>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发证日期</w:t>
            </w:r>
          </w:p>
        </w:tc>
        <w:tc>
          <w:tcPr>
            <w:tcW w:w="2660" w:type="dxa"/>
            <w:gridSpan w:val="3"/>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18" w:type="dxa"/>
            <w:vMerge w:val="continue"/>
            <w:tcBorders>
              <w:top w:val="nil"/>
            </w:tcBorders>
          </w:tcPr>
          <w:p>
            <w:pPr>
              <w:autoSpaceDE w:val="0"/>
              <w:autoSpaceDN w:val="0"/>
              <w:rPr>
                <w:color w:val="000000" w:themeColor="text1"/>
                <w:sz w:val="24"/>
                <w:szCs w:val="24"/>
                <w:highlight w:val="none"/>
                <w14:textFill>
                  <w14:solidFill>
                    <w14:schemeClr w14:val="tx1"/>
                  </w14:solidFill>
                </w14:textFill>
              </w:rPr>
            </w:pPr>
          </w:p>
        </w:tc>
        <w:tc>
          <w:tcPr>
            <w:tcW w:w="2105" w:type="dxa"/>
            <w:gridSpan w:val="3"/>
          </w:tcPr>
          <w:p>
            <w:pPr>
              <w:pStyle w:val="30"/>
              <w:spacing w:before="96"/>
              <w:ind w:left="108"/>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营业范围（主营）</w:t>
            </w:r>
          </w:p>
        </w:tc>
        <w:tc>
          <w:tcPr>
            <w:tcW w:w="6190" w:type="dxa"/>
            <w:gridSpan w:val="7"/>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818" w:type="dxa"/>
            <w:vMerge w:val="continue"/>
            <w:tcBorders>
              <w:top w:val="nil"/>
            </w:tcBorders>
          </w:tcPr>
          <w:p>
            <w:pPr>
              <w:autoSpaceDE w:val="0"/>
              <w:autoSpaceDN w:val="0"/>
              <w:rPr>
                <w:color w:val="000000" w:themeColor="text1"/>
                <w:sz w:val="24"/>
                <w:szCs w:val="24"/>
                <w:highlight w:val="none"/>
                <w14:textFill>
                  <w14:solidFill>
                    <w14:schemeClr w14:val="tx1"/>
                  </w14:solidFill>
                </w14:textFill>
              </w:rPr>
            </w:pPr>
          </w:p>
        </w:tc>
        <w:tc>
          <w:tcPr>
            <w:tcW w:w="2105" w:type="dxa"/>
            <w:gridSpan w:val="3"/>
          </w:tcPr>
          <w:p>
            <w:pPr>
              <w:pStyle w:val="30"/>
              <w:spacing w:before="96"/>
              <w:ind w:left="108"/>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营业范围（兼营）</w:t>
            </w:r>
          </w:p>
        </w:tc>
        <w:tc>
          <w:tcPr>
            <w:tcW w:w="6190" w:type="dxa"/>
            <w:gridSpan w:val="7"/>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923" w:type="dxa"/>
            <w:gridSpan w:val="4"/>
          </w:tcPr>
          <w:p>
            <w:pPr>
              <w:pStyle w:val="30"/>
              <w:spacing w:before="96"/>
              <w:ind w:left="258"/>
              <w:jc w:val="left"/>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lang w:eastAsia="zh-CN"/>
                <w14:textFill>
                  <w14:solidFill>
                    <w14:schemeClr w14:val="tx1"/>
                  </w14:solidFill>
                </w14:textFill>
              </w:rPr>
              <w:t>基本账户开户行及帐号</w:t>
            </w:r>
          </w:p>
        </w:tc>
        <w:tc>
          <w:tcPr>
            <w:tcW w:w="6190" w:type="dxa"/>
            <w:gridSpan w:val="7"/>
          </w:tcPr>
          <w:p>
            <w:pPr>
              <w:pStyle w:val="30"/>
              <w:ind w:firstLine="480"/>
              <w:jc w:val="left"/>
              <w:rPr>
                <w:rFonts w:ascii="Times New Roman" w:hAnsi="Times New Roman" w:cs="Times New Roman"/>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923" w:type="dxa"/>
            <w:gridSpan w:val="4"/>
          </w:tcPr>
          <w:p>
            <w:pPr>
              <w:pStyle w:val="30"/>
              <w:spacing w:before="96"/>
              <w:ind w:left="739" w:firstLine="48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税务登记机关</w:t>
            </w:r>
          </w:p>
        </w:tc>
        <w:tc>
          <w:tcPr>
            <w:tcW w:w="6190" w:type="dxa"/>
            <w:gridSpan w:val="7"/>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528" w:type="dxa"/>
            <w:gridSpan w:val="5"/>
          </w:tcPr>
          <w:p>
            <w:pPr>
              <w:pStyle w:val="30"/>
              <w:spacing w:before="96"/>
              <w:ind w:right="1754"/>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资质名称</w:t>
            </w:r>
          </w:p>
        </w:tc>
        <w:tc>
          <w:tcPr>
            <w:tcW w:w="939" w:type="dxa"/>
            <w:gridSpan w:val="2"/>
          </w:tcPr>
          <w:p>
            <w:pPr>
              <w:pStyle w:val="30"/>
              <w:spacing w:before="96"/>
              <w:ind w:left="233"/>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等级</w:t>
            </w:r>
          </w:p>
        </w:tc>
        <w:tc>
          <w:tcPr>
            <w:tcW w:w="1578" w:type="dxa"/>
            <w:gridSpan w:val="2"/>
          </w:tcPr>
          <w:p>
            <w:pPr>
              <w:pStyle w:val="30"/>
              <w:spacing w:before="96"/>
              <w:ind w:left="312"/>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发证机关</w:t>
            </w:r>
          </w:p>
        </w:tc>
        <w:tc>
          <w:tcPr>
            <w:tcW w:w="2068" w:type="dxa"/>
            <w:gridSpan w:val="2"/>
          </w:tcPr>
          <w:p>
            <w:pPr>
              <w:pStyle w:val="30"/>
              <w:spacing w:before="96"/>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4528" w:type="dxa"/>
            <w:gridSpan w:val="5"/>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c>
          <w:tcPr>
            <w:tcW w:w="939" w:type="dxa"/>
            <w:gridSpan w:val="2"/>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c>
          <w:tcPr>
            <w:tcW w:w="1578" w:type="dxa"/>
            <w:gridSpan w:val="2"/>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c>
          <w:tcPr>
            <w:tcW w:w="2068" w:type="dxa"/>
            <w:gridSpan w:val="2"/>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528" w:type="dxa"/>
            <w:gridSpan w:val="5"/>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c>
          <w:tcPr>
            <w:tcW w:w="939" w:type="dxa"/>
            <w:gridSpan w:val="2"/>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c>
          <w:tcPr>
            <w:tcW w:w="1578" w:type="dxa"/>
            <w:gridSpan w:val="2"/>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c>
          <w:tcPr>
            <w:tcW w:w="2068" w:type="dxa"/>
            <w:gridSpan w:val="2"/>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1235" w:type="dxa"/>
            <w:gridSpan w:val="2"/>
          </w:tcPr>
          <w:p>
            <w:pPr>
              <w:pStyle w:val="30"/>
              <w:spacing w:before="1"/>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备注</w:t>
            </w:r>
          </w:p>
        </w:tc>
        <w:tc>
          <w:tcPr>
            <w:tcW w:w="7878" w:type="dxa"/>
            <w:gridSpan w:val="9"/>
          </w:tcPr>
          <w:p>
            <w:pPr>
              <w:pStyle w:val="30"/>
              <w:ind w:firstLine="480"/>
              <w:jc w:val="left"/>
              <w:rPr>
                <w:rFonts w:ascii="Times New Roman" w:hAnsi="Times New Roman" w:cs="Times New Roman"/>
                <w:color w:val="000000" w:themeColor="text1"/>
                <w:sz w:val="24"/>
                <w:szCs w:val="24"/>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widowControl/>
        <w:jc w:val="left"/>
        <w:rPr>
          <w:rFonts w:cs="宋体"/>
          <w:color w:val="000000" w:themeColor="text1"/>
          <w:kern w:val="0"/>
          <w:sz w:val="24"/>
          <w:szCs w:val="24"/>
          <w:highlight w:val="none"/>
          <w:lang w:bidi="ar"/>
          <w14:textFill>
            <w14:solidFill>
              <w14:schemeClr w14:val="tx1"/>
            </w14:solidFill>
          </w14:textFill>
        </w:rPr>
      </w:pPr>
      <w:r>
        <w:rPr>
          <w:rFonts w:cs="宋体"/>
          <w:color w:val="000000" w:themeColor="text1"/>
          <w:kern w:val="0"/>
          <w:sz w:val="24"/>
          <w:szCs w:val="24"/>
          <w:highlight w:val="none"/>
          <w:lang w:bidi="ar"/>
          <w14:textFill>
            <w14:solidFill>
              <w14:schemeClr w14:val="tx1"/>
            </w14:solidFill>
          </w14:textFill>
        </w:rPr>
        <w:br w:type="page"/>
      </w:r>
    </w:p>
    <w:p>
      <w:pPr>
        <w:ind w:left="420"/>
        <w:jc w:val="left"/>
        <w:rPr>
          <w:rFonts w:cs="宋体"/>
          <w:color w:val="000000" w:themeColor="text1"/>
          <w:kern w:val="0"/>
          <w:sz w:val="24"/>
          <w:szCs w:val="24"/>
          <w:highlight w:val="none"/>
          <w:lang w:bidi="ar"/>
          <w14:textFill>
            <w14:solidFill>
              <w14:schemeClr w14:val="tx1"/>
            </w14:solidFill>
          </w14:textFill>
        </w:rPr>
      </w:pPr>
      <w:r>
        <w:rPr>
          <w:rFonts w:hint="eastAsia" w:cs="宋体"/>
          <w:color w:val="000000" w:themeColor="text1"/>
          <w:kern w:val="0"/>
          <w:sz w:val="24"/>
          <w:szCs w:val="24"/>
          <w:highlight w:val="none"/>
          <w:lang w:bidi="ar"/>
          <w14:textFill>
            <w14:solidFill>
              <w14:schemeClr w14:val="tx1"/>
            </w14:solidFill>
          </w14:textFill>
        </w:rPr>
        <w:t>附件：</w:t>
      </w:r>
      <w:bookmarkStart w:id="95" w:name="_Toc6758"/>
      <w:bookmarkStart w:id="96" w:name="_Toc16976"/>
    </w:p>
    <w:p>
      <w:pPr>
        <w:ind w:left="420"/>
        <w:jc w:val="center"/>
        <w:rPr>
          <w:b/>
          <w:bCs/>
          <w:color w:val="000000" w:themeColor="text1"/>
          <w:sz w:val="30"/>
          <w:szCs w:val="30"/>
          <w:highlight w:val="none"/>
          <w14:textFill>
            <w14:solidFill>
              <w14:schemeClr w14:val="tx1"/>
            </w14:solidFill>
          </w14:textFill>
        </w:rPr>
      </w:pPr>
      <w:r>
        <w:rPr>
          <w:b/>
          <w:bCs/>
          <w:color w:val="000000" w:themeColor="text1"/>
          <w:sz w:val="30"/>
          <w:szCs w:val="30"/>
          <w:highlight w:val="none"/>
          <w14:textFill>
            <w14:solidFill>
              <w14:schemeClr w14:val="tx1"/>
            </w14:solidFill>
          </w14:textFill>
        </w:rPr>
        <w:t>投标人资格声明格式</w:t>
      </w:r>
      <w:bookmarkEnd w:id="95"/>
      <w:bookmarkEnd w:id="96"/>
    </w:p>
    <w:p>
      <w:pPr>
        <w:spacing w:line="400" w:lineRule="exact"/>
        <w:jc w:val="center"/>
        <w:rPr>
          <w:b/>
          <w:color w:val="000000" w:themeColor="text1"/>
          <w:sz w:val="44"/>
          <w:highlight w:val="none"/>
          <w14:textFill>
            <w14:solidFill>
              <w14:schemeClr w14:val="tx1"/>
            </w14:solidFill>
          </w14:textFill>
        </w:rPr>
      </w:pPr>
    </w:p>
    <w:p>
      <w:pPr>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致：</w:t>
      </w:r>
    </w:p>
    <w:p>
      <w:pPr>
        <w:spacing w:line="360" w:lineRule="auto"/>
        <w:ind w:firstLine="645"/>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我公司自愿参加</w:t>
      </w:r>
      <w:r>
        <w:rPr>
          <w:color w:val="000000" w:themeColor="text1"/>
          <w:sz w:val="24"/>
          <w:szCs w:val="24"/>
          <w:highlight w:val="none"/>
          <w:u w:val="single"/>
          <w14:textFill>
            <w14:solidFill>
              <w14:schemeClr w14:val="tx1"/>
            </w14:solidFill>
          </w14:textFill>
        </w:rPr>
        <w:t xml:space="preserve">   （项目名称）   </w:t>
      </w:r>
      <w:r>
        <w:rPr>
          <w:color w:val="000000" w:themeColor="text1"/>
          <w:sz w:val="24"/>
          <w:szCs w:val="24"/>
          <w:highlight w:val="none"/>
          <w14:textFill>
            <w14:solidFill>
              <w14:schemeClr w14:val="tx1"/>
            </w14:solidFill>
          </w14:textFill>
        </w:rPr>
        <w:t>采购采购项目，为保证投标活动中所提供所有材料的真实性，我公司现郑重承诺如下：</w:t>
      </w:r>
    </w:p>
    <w:p>
      <w:pPr>
        <w:spacing w:line="360" w:lineRule="auto"/>
        <w:ind w:firstLine="480" w:firstLineChars="200"/>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w:t>
      </w:r>
      <w:r>
        <w:rPr>
          <w:rFonts w:ascii="宋体" w:hAnsi="宋体" w:cs="宋体"/>
          <w:color w:val="000000" w:themeColor="text1"/>
          <w:sz w:val="24"/>
          <w:szCs w:val="24"/>
          <w:highlight w:val="none"/>
          <w:lang w:bidi="ar"/>
          <w14:textFill>
            <w14:solidFill>
              <w14:schemeClr w14:val="tx1"/>
            </w14:solidFill>
          </w14:textFill>
        </w:rPr>
        <w:t xml:space="preserve">在本次招标投标活动中所递交的全部资料（资质证书、生产能力、业绩合同、项目团队成员等）均真实、有效、准确完整，我公司随时接受并配合采购人进行原件核查及现场查验，若递交的资料及承诺存在虚构、虚假、与实际情况不符等情况，采购人有权取消我公司中标资格、终止合同，因此造成的一切后果和损失均由我公司自行承担。 </w:t>
      </w:r>
    </w:p>
    <w:p>
      <w:pPr>
        <w:spacing w:line="360" w:lineRule="auto"/>
        <w:ind w:firstLine="480" w:firstLineChars="200"/>
        <w:rPr>
          <w:rFonts w:hint="eastAsia" w:ascii="宋体" w:hAnsi="宋体" w:cs="宋体"/>
          <w:color w:val="000000" w:themeColor="text1"/>
          <w:sz w:val="24"/>
          <w:szCs w:val="24"/>
          <w:highlight w:val="none"/>
          <w:lang w:bidi="ar"/>
          <w14:textFill>
            <w14:solidFill>
              <w14:schemeClr w14:val="tx1"/>
            </w14:solidFill>
          </w14:textFill>
        </w:rPr>
      </w:pPr>
      <w:r>
        <w:rPr>
          <w:rFonts w:ascii="宋体" w:hAnsi="宋体" w:cs="宋体"/>
          <w:color w:val="000000" w:themeColor="text1"/>
          <w:sz w:val="24"/>
          <w:szCs w:val="24"/>
          <w:highlight w:val="none"/>
          <w:lang w:bidi="ar"/>
          <w14:textFill>
            <w14:solidFill>
              <w14:schemeClr w14:val="tx1"/>
            </w14:solidFill>
          </w14:textFill>
        </w:rPr>
        <w:t>2、</w:t>
      </w:r>
      <w:r>
        <w:rPr>
          <w:rFonts w:hint="eastAsia" w:ascii="宋体" w:hAnsi="宋体" w:cs="宋体"/>
          <w:color w:val="000000" w:themeColor="text1"/>
          <w:sz w:val="24"/>
          <w:szCs w:val="24"/>
          <w:highlight w:val="none"/>
          <w:lang w:bidi="ar"/>
          <w14:textFill>
            <w14:solidFill>
              <w14:schemeClr w14:val="tx1"/>
            </w14:solidFill>
          </w14:textFill>
        </w:rPr>
        <w:t>我公司在参加本项目招标活动中,不存在与参加本项目的其它投标单位负责人为同一人或者存在直接控股、管理关系。本公司对上述承诺的真实性负责。如有虚假，将依法承担相应责任。</w:t>
      </w:r>
    </w:p>
    <w:p>
      <w:pPr>
        <w:spacing w:line="400" w:lineRule="exact"/>
        <w:ind w:firstLine="630"/>
        <w:rPr>
          <w:color w:val="000000" w:themeColor="text1"/>
          <w:sz w:val="24"/>
          <w:szCs w:val="24"/>
          <w:highlight w:val="none"/>
          <w14:textFill>
            <w14:solidFill>
              <w14:schemeClr w14:val="tx1"/>
            </w14:solidFill>
          </w14:textFill>
        </w:rPr>
      </w:pPr>
    </w:p>
    <w:p>
      <w:pPr>
        <w:spacing w:line="400" w:lineRule="exact"/>
        <w:ind w:firstLine="630"/>
        <w:rPr>
          <w:color w:val="000000" w:themeColor="text1"/>
          <w:sz w:val="24"/>
          <w:szCs w:val="24"/>
          <w:highlight w:val="none"/>
          <w14:textFill>
            <w14:solidFill>
              <w14:schemeClr w14:val="tx1"/>
            </w14:solidFill>
          </w14:textFill>
        </w:rPr>
      </w:pPr>
    </w:p>
    <w:p>
      <w:pPr>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投标人：（盖章）</w:t>
      </w:r>
    </w:p>
    <w:p>
      <w:pPr>
        <w:spacing w:line="400" w:lineRule="exact"/>
        <w:rPr>
          <w:color w:val="000000" w:themeColor="text1"/>
          <w:sz w:val="24"/>
          <w:szCs w:val="24"/>
          <w:highlight w:val="none"/>
          <w14:textFill>
            <w14:solidFill>
              <w14:schemeClr w14:val="tx1"/>
            </w14:solidFill>
          </w14:textFill>
        </w:rPr>
      </w:pPr>
    </w:p>
    <w:p>
      <w:pPr>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法定代表人或授权代理人（盖章）</w:t>
      </w:r>
    </w:p>
    <w:p>
      <w:pPr>
        <w:spacing w:line="400" w:lineRule="exact"/>
        <w:rPr>
          <w:color w:val="000000" w:themeColor="text1"/>
          <w:sz w:val="32"/>
          <w:highlight w:val="none"/>
          <w14:textFill>
            <w14:solidFill>
              <w14:schemeClr w14:val="tx1"/>
            </w14:solidFill>
          </w14:textFill>
        </w:rPr>
      </w:pPr>
    </w:p>
    <w:p>
      <w:pPr>
        <w:jc w:val="center"/>
        <w:rPr>
          <w:b/>
          <w:color w:val="000000" w:themeColor="text1"/>
          <w:sz w:val="24"/>
          <w:szCs w:val="24"/>
          <w:highlight w:val="none"/>
          <w14:textFill>
            <w14:solidFill>
              <w14:schemeClr w14:val="tx1"/>
            </w14:solidFill>
          </w14:textFill>
        </w:rPr>
      </w:pPr>
    </w:p>
    <w:p>
      <w:pPr>
        <w:jc w:val="right"/>
        <w:rPr>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p>
    <w:p>
      <w:pPr>
        <w:widowControl/>
        <w:spacing w:line="400" w:lineRule="exact"/>
        <w:outlineLvl w:val="1"/>
        <w:rPr>
          <w:color w:val="000000" w:themeColor="text1"/>
          <w:kern w:val="0"/>
          <w:sz w:val="24"/>
          <w:szCs w:val="24"/>
          <w:highlight w:val="none"/>
          <w14:textFill>
            <w14:solidFill>
              <w14:schemeClr w14:val="tx1"/>
            </w14:solidFill>
          </w14:textFill>
        </w:rPr>
      </w:pPr>
      <w:r>
        <w:rPr>
          <w:color w:val="000000" w:themeColor="text1"/>
          <w:sz w:val="22"/>
          <w:szCs w:val="22"/>
          <w:highlight w:val="none"/>
          <w14:textFill>
            <w14:solidFill>
              <w14:schemeClr w14:val="tx1"/>
            </w14:solidFill>
          </w14:textFill>
        </w:rPr>
        <w:br w:type="page"/>
      </w:r>
      <w:bookmarkStart w:id="97" w:name="_Toc169194756"/>
      <w:r>
        <w:rPr>
          <w:rFonts w:hint="eastAsia" w:cs="宋体"/>
          <w:color w:val="000000" w:themeColor="text1"/>
          <w:kern w:val="0"/>
          <w:sz w:val="24"/>
          <w:szCs w:val="24"/>
          <w:highlight w:val="none"/>
          <w:lang w:bidi="ar"/>
          <w14:textFill>
            <w14:solidFill>
              <w14:schemeClr w14:val="tx1"/>
            </w14:solidFill>
          </w14:textFill>
        </w:rPr>
        <w:t>参加政府采购活动前</w:t>
      </w:r>
      <w:r>
        <w:rPr>
          <w:color w:val="000000" w:themeColor="text1"/>
          <w:kern w:val="0"/>
          <w:sz w:val="24"/>
          <w:szCs w:val="24"/>
          <w:highlight w:val="none"/>
          <w:lang w:bidi="ar"/>
          <w14:textFill>
            <w14:solidFill>
              <w14:schemeClr w14:val="tx1"/>
            </w14:solidFill>
          </w14:textFill>
        </w:rPr>
        <w:t>3</w:t>
      </w:r>
      <w:r>
        <w:rPr>
          <w:rFonts w:hint="eastAsia" w:cs="宋体"/>
          <w:color w:val="000000" w:themeColor="text1"/>
          <w:kern w:val="0"/>
          <w:sz w:val="24"/>
          <w:szCs w:val="24"/>
          <w:highlight w:val="none"/>
          <w:lang w:bidi="ar"/>
          <w14:textFill>
            <w14:solidFill>
              <w14:schemeClr w14:val="tx1"/>
            </w14:solidFill>
          </w14:textFill>
        </w:rPr>
        <w:t>年内在经营活动中无重大违法记录的书面声明函格式</w:t>
      </w:r>
      <w:bookmarkEnd w:id="97"/>
    </w:p>
    <w:p>
      <w:pPr>
        <w:spacing w:line="360" w:lineRule="auto"/>
        <w:jc w:val="center"/>
        <w:rPr>
          <w:rFonts w:hint="eastAsia" w:ascii="宋体" w:hAnsi="宋体" w:cs="Arial"/>
          <w:b/>
          <w:color w:val="000000" w:themeColor="text1"/>
          <w:sz w:val="28"/>
          <w:szCs w:val="28"/>
          <w:highlight w:val="none"/>
          <w14:textFill>
            <w14:solidFill>
              <w14:schemeClr w14:val="tx1"/>
            </w14:solidFill>
          </w14:textFill>
        </w:rPr>
      </w:pPr>
    </w:p>
    <w:p>
      <w:pPr>
        <w:ind w:left="420"/>
        <w:jc w:val="center"/>
        <w:rPr>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在经营活动中无重大违法记录的书面声明函</w:t>
      </w:r>
    </w:p>
    <w:p>
      <w:pPr>
        <w:spacing w:line="360" w:lineRule="auto"/>
        <w:rPr>
          <w:rFonts w:hint="eastAsia" w:ascii="宋体" w:hAnsi="宋体" w:cs="Arial"/>
          <w:b/>
          <w:color w:val="000000" w:themeColor="text1"/>
          <w:sz w:val="28"/>
          <w:szCs w:val="28"/>
          <w:highlight w:val="none"/>
          <w14:textFill>
            <w14:solidFill>
              <w14:schemeClr w14:val="tx1"/>
            </w14:solidFill>
          </w14:textFill>
        </w:rPr>
      </w:pPr>
    </w:p>
    <w:p>
      <w:pPr>
        <w:spacing w:line="360" w:lineRule="auto"/>
        <w:rPr>
          <w:rFonts w:hint="eastAsia" w:ascii="宋体" w:hAnsi="宋体" w:cs="Arial"/>
          <w:b/>
          <w:color w:val="000000" w:themeColor="text1"/>
          <w:sz w:val="24"/>
          <w:szCs w:val="24"/>
          <w:highlight w:val="none"/>
          <w:u w:val="single"/>
          <w14:textFill>
            <w14:solidFill>
              <w14:schemeClr w14:val="tx1"/>
            </w14:solidFill>
          </w14:textFill>
        </w:rPr>
      </w:pPr>
      <w:r>
        <w:rPr>
          <w:rFonts w:hint="eastAsia" w:ascii="宋体" w:hAnsi="宋体" w:cs="Arial"/>
          <w:b/>
          <w:color w:val="000000" w:themeColor="text1"/>
          <w:sz w:val="24"/>
          <w:szCs w:val="24"/>
          <w:highlight w:val="none"/>
          <w:lang w:bidi="ar"/>
          <w14:textFill>
            <w14:solidFill>
              <w14:schemeClr w14:val="tx1"/>
            </w14:solidFill>
          </w14:textFill>
        </w:rPr>
        <w:t>致：新疆农业大学</w:t>
      </w:r>
      <w:r>
        <w:rPr>
          <w:rFonts w:hint="eastAsia" w:ascii="宋体" w:hAnsi="宋体" w:cs="Arial"/>
          <w:b/>
          <w:color w:val="000000" w:themeColor="text1"/>
          <w:sz w:val="24"/>
          <w:szCs w:val="24"/>
          <w:highlight w:val="none"/>
          <w:u w:val="single"/>
          <w:lang w:bidi="ar"/>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我单位近三年内，在经营活动中无重大违法记录，特此承诺。</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若招标采购单位在本项目采购过程中发现我单位近三年内在经营活动中有重大违法记录，我单位将无条件地退出本项目的招标，并承担因此引起的一切后果。</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pPr>
        <w:spacing w:line="400" w:lineRule="exact"/>
        <w:ind w:firstLine="630"/>
        <w:rPr>
          <w:color w:val="000000" w:themeColor="text1"/>
          <w:sz w:val="24"/>
          <w:szCs w:val="24"/>
          <w:highlight w:val="none"/>
          <w14:textFill>
            <w14:solidFill>
              <w14:schemeClr w14:val="tx1"/>
            </w14:solidFill>
          </w14:textFill>
        </w:rPr>
      </w:pPr>
    </w:p>
    <w:p>
      <w:pPr>
        <w:spacing w:line="400" w:lineRule="exact"/>
        <w:ind w:firstLine="630"/>
        <w:rPr>
          <w:color w:val="000000" w:themeColor="text1"/>
          <w:sz w:val="24"/>
          <w:szCs w:val="24"/>
          <w:highlight w:val="none"/>
          <w14:textFill>
            <w14:solidFill>
              <w14:schemeClr w14:val="tx1"/>
            </w14:solidFill>
          </w14:textFill>
        </w:rPr>
      </w:pPr>
    </w:p>
    <w:p>
      <w:pPr>
        <w:spacing w:line="400" w:lineRule="exact"/>
        <w:ind w:firstLine="630"/>
        <w:rPr>
          <w:color w:val="000000" w:themeColor="text1"/>
          <w:sz w:val="24"/>
          <w:szCs w:val="24"/>
          <w:highlight w:val="none"/>
          <w14:textFill>
            <w14:solidFill>
              <w14:schemeClr w14:val="tx1"/>
            </w14:solidFill>
          </w14:textFill>
        </w:rPr>
      </w:pPr>
    </w:p>
    <w:p>
      <w:pPr>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投标人：（盖章）</w:t>
      </w:r>
    </w:p>
    <w:p>
      <w:pPr>
        <w:spacing w:line="400" w:lineRule="exact"/>
        <w:rPr>
          <w:color w:val="000000" w:themeColor="text1"/>
          <w:sz w:val="24"/>
          <w:szCs w:val="24"/>
          <w:highlight w:val="none"/>
          <w14:textFill>
            <w14:solidFill>
              <w14:schemeClr w14:val="tx1"/>
            </w14:solidFill>
          </w14:textFill>
        </w:rPr>
      </w:pPr>
    </w:p>
    <w:p>
      <w:pPr>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法定代表人或授权代理人（盖章）</w:t>
      </w:r>
    </w:p>
    <w:p>
      <w:pPr>
        <w:spacing w:line="400" w:lineRule="exact"/>
        <w:rPr>
          <w:color w:val="000000" w:themeColor="text1"/>
          <w:sz w:val="32"/>
          <w:highlight w:val="none"/>
          <w14:textFill>
            <w14:solidFill>
              <w14:schemeClr w14:val="tx1"/>
            </w14:solidFill>
          </w14:textFill>
        </w:rPr>
      </w:pPr>
    </w:p>
    <w:p>
      <w:pPr>
        <w:jc w:val="center"/>
        <w:rPr>
          <w:b/>
          <w:color w:val="000000" w:themeColor="text1"/>
          <w:sz w:val="24"/>
          <w:szCs w:val="24"/>
          <w:highlight w:val="none"/>
          <w14:textFill>
            <w14:solidFill>
              <w14:schemeClr w14:val="tx1"/>
            </w14:solidFill>
          </w14:textFill>
        </w:rPr>
      </w:pPr>
    </w:p>
    <w:p>
      <w:pPr>
        <w:jc w:val="right"/>
        <w:rPr>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p>
    <w:p>
      <w:pPr>
        <w:rPr>
          <w:color w:val="000000" w:themeColor="text1"/>
          <w:sz w:val="24"/>
          <w:highlight w:val="none"/>
          <w14:textFill>
            <w14:solidFill>
              <w14:schemeClr w14:val="tx1"/>
            </w14:solidFill>
          </w14:textFill>
        </w:rPr>
      </w:pPr>
      <w:r>
        <w:rPr>
          <w:b/>
          <w:color w:val="000000" w:themeColor="text1"/>
          <w:sz w:val="32"/>
          <w:szCs w:val="32"/>
          <w:highlight w:val="none"/>
          <w14:textFill>
            <w14:solidFill>
              <w14:schemeClr w14:val="tx1"/>
            </w14:solidFill>
          </w14:textFill>
        </w:rPr>
        <w:br w:type="page"/>
      </w: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widowControl/>
        <w:spacing w:line="340" w:lineRule="exact"/>
        <w:rPr>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lang w:bidi="ar"/>
          <w14:textFill>
            <w14:solidFill>
              <w14:schemeClr w14:val="tx1"/>
            </w14:solidFill>
          </w14:textFill>
        </w:rPr>
        <w:t>小微企业声明函格式</w:t>
      </w:r>
    </w:p>
    <w:p>
      <w:pPr>
        <w:rPr>
          <w:color w:val="000000" w:themeColor="text1"/>
          <w:highlight w:val="none"/>
          <w14:textFill>
            <w14:solidFill>
              <w14:schemeClr w14:val="tx1"/>
            </w14:solidFill>
          </w14:textFill>
        </w:rPr>
      </w:pPr>
    </w:p>
    <w:p>
      <w:pPr>
        <w:pStyle w:val="31"/>
        <w:widowControl/>
        <w:spacing w:line="360" w:lineRule="auto"/>
        <w:ind w:firstLine="602" w:firstLineChars="200"/>
        <w:jc w:val="center"/>
        <w:rPr>
          <w:rFonts w:ascii="宋体" w:cs="宋体"/>
          <w:b/>
          <w:bCs/>
          <w:color w:val="000000" w:themeColor="text1"/>
          <w:sz w:val="30"/>
          <w:szCs w:val="30"/>
          <w:highlight w:val="none"/>
          <w:lang w:val="zh-CN"/>
          <w14:textFill>
            <w14:solidFill>
              <w14:schemeClr w14:val="tx1"/>
            </w14:solidFill>
          </w14:textFill>
        </w:rPr>
      </w:pPr>
      <w:r>
        <w:rPr>
          <w:rFonts w:hint="eastAsia" w:ascii="宋体" w:cs="宋体"/>
          <w:b/>
          <w:bCs/>
          <w:color w:val="000000" w:themeColor="text1"/>
          <w:sz w:val="30"/>
          <w:szCs w:val="30"/>
          <w:highlight w:val="none"/>
          <w:lang w:val="zh-CN"/>
          <w14:textFill>
            <w14:solidFill>
              <w14:schemeClr w14:val="tx1"/>
            </w14:solidFill>
          </w14:textFill>
        </w:rPr>
        <w:t>中小企业声明函（货物）</w:t>
      </w:r>
    </w:p>
    <w:p>
      <w:pPr>
        <w:pStyle w:val="19"/>
        <w:spacing w:line="420" w:lineRule="atLeast"/>
        <w:ind w:firstLine="420"/>
        <w:rPr>
          <w:rFonts w:hAnsi="宋体" w:cs="宋体"/>
          <w:color w:val="000000" w:themeColor="text1"/>
          <w:szCs w:val="24"/>
          <w:highlight w:val="none"/>
          <w14:textFill>
            <w14:solidFill>
              <w14:schemeClr w14:val="tx1"/>
            </w14:solidFill>
          </w14:textFill>
        </w:rPr>
      </w:pPr>
      <w:r>
        <w:rPr>
          <w:rFonts w:hAnsi="宋体" w:cs="宋体"/>
          <w:color w:val="000000" w:themeColor="text1"/>
          <w:szCs w:val="24"/>
          <w:highlight w:val="none"/>
          <w14:textFill>
            <w14:solidFill>
              <w14:schemeClr w14:val="tx1"/>
            </w14:solidFill>
          </w14:textFill>
        </w:rPr>
        <w:t>本公司（联合体）郑重声明，根据《政府采购促进中小企业发展管理办法》（财库〔2020〕[2020]46号）的规定，本公司（联合体）参加</w:t>
      </w:r>
      <w:r>
        <w:rPr>
          <w:rFonts w:hAnsi="宋体" w:cs="宋体"/>
          <w:color w:val="000000" w:themeColor="text1"/>
          <w:szCs w:val="24"/>
          <w:highlight w:val="none"/>
          <w:u w:val="single"/>
          <w14:textFill>
            <w14:solidFill>
              <w14:schemeClr w14:val="tx1"/>
            </w14:solidFill>
          </w14:textFill>
        </w:rPr>
        <w:t>（单位名称）</w:t>
      </w:r>
      <w:r>
        <w:rPr>
          <w:rFonts w:hAnsi="宋体" w:cs="宋体"/>
          <w:color w:val="000000" w:themeColor="text1"/>
          <w:szCs w:val="24"/>
          <w:highlight w:val="none"/>
          <w14:textFill>
            <w14:solidFill>
              <w14:schemeClr w14:val="tx1"/>
            </w14:solidFill>
          </w14:textFill>
        </w:rPr>
        <w:t>的</w:t>
      </w:r>
      <w:r>
        <w:rPr>
          <w:rFonts w:hAnsi="宋体" w:cs="宋体"/>
          <w:color w:val="000000" w:themeColor="text1"/>
          <w:szCs w:val="24"/>
          <w:highlight w:val="none"/>
          <w:u w:val="single"/>
          <w14:textFill>
            <w14:solidFill>
              <w14:schemeClr w14:val="tx1"/>
            </w14:solidFill>
          </w14:textFill>
        </w:rPr>
        <w:t>（项目名称）</w:t>
      </w:r>
      <w:r>
        <w:rPr>
          <w:rFonts w:hAnsi="宋体" w:cs="宋体"/>
          <w:color w:val="000000" w:themeColor="text1"/>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pStyle w:val="19"/>
        <w:spacing w:line="420" w:lineRule="atLeast"/>
        <w:ind w:firstLine="420"/>
        <w:rPr>
          <w:rFonts w:hAnsi="宋体" w:cs="宋体"/>
          <w:color w:val="000000" w:themeColor="text1"/>
          <w:szCs w:val="24"/>
          <w:highlight w:val="none"/>
          <w14:textFill>
            <w14:solidFill>
              <w14:schemeClr w14:val="tx1"/>
            </w14:solidFill>
          </w14:textFill>
        </w:rPr>
      </w:pPr>
      <w:r>
        <w:rPr>
          <w:rFonts w:hAnsi="宋体" w:cs="宋体"/>
          <w:color w:val="000000" w:themeColor="text1"/>
          <w:szCs w:val="24"/>
          <w:highlight w:val="none"/>
          <w14:textFill>
            <w14:solidFill>
              <w14:schemeClr w14:val="tx1"/>
            </w14:solidFill>
          </w14:textFill>
        </w:rPr>
        <w:t>1.</w:t>
      </w:r>
      <w:r>
        <w:rPr>
          <w:rFonts w:hAnsi="宋体" w:cs="宋体"/>
          <w:color w:val="000000" w:themeColor="text1"/>
          <w:szCs w:val="24"/>
          <w:highlight w:val="none"/>
          <w:u w:val="single"/>
          <w14:textFill>
            <w14:solidFill>
              <w14:schemeClr w14:val="tx1"/>
            </w14:solidFill>
          </w14:textFill>
        </w:rPr>
        <w:t>（标的名称）</w:t>
      </w:r>
      <w:r>
        <w:rPr>
          <w:rFonts w:hAnsi="宋体" w:cs="宋体"/>
          <w:color w:val="000000" w:themeColor="text1"/>
          <w:szCs w:val="24"/>
          <w:highlight w:val="none"/>
          <w14:textFill>
            <w14:solidFill>
              <w14:schemeClr w14:val="tx1"/>
            </w14:solidFill>
          </w14:textFill>
        </w:rPr>
        <w:t>，属于</w:t>
      </w:r>
      <w:r>
        <w:rPr>
          <w:rFonts w:hAnsi="宋体" w:cs="宋体"/>
          <w:color w:val="000000" w:themeColor="text1"/>
          <w:szCs w:val="24"/>
          <w:highlight w:val="none"/>
          <w:u w:val="single"/>
          <w14:textFill>
            <w14:solidFill>
              <w14:schemeClr w14:val="tx1"/>
            </w14:solidFill>
          </w14:textFill>
        </w:rPr>
        <w:t>（采购文件中明确的所属行业）</w:t>
      </w:r>
      <w:r>
        <w:rPr>
          <w:rFonts w:hAnsi="宋体" w:cs="宋体"/>
          <w:color w:val="000000" w:themeColor="text1"/>
          <w:szCs w:val="24"/>
          <w:highlight w:val="none"/>
          <w14:textFill>
            <w14:solidFill>
              <w14:schemeClr w14:val="tx1"/>
            </w14:solidFill>
          </w14:textFill>
        </w:rPr>
        <w:t>；制造商为</w:t>
      </w:r>
      <w:r>
        <w:rPr>
          <w:rFonts w:hAnsi="宋体" w:cs="宋体"/>
          <w:color w:val="000000" w:themeColor="text1"/>
          <w:szCs w:val="24"/>
          <w:highlight w:val="none"/>
          <w:u w:val="single"/>
          <w14:textFill>
            <w14:solidFill>
              <w14:schemeClr w14:val="tx1"/>
            </w14:solidFill>
          </w14:textFill>
        </w:rPr>
        <w:t>（企业名称）</w:t>
      </w:r>
      <w:r>
        <w:rPr>
          <w:rFonts w:hAnsi="宋体" w:cs="宋体"/>
          <w:color w:val="000000" w:themeColor="text1"/>
          <w:szCs w:val="24"/>
          <w:highlight w:val="none"/>
          <w14:textFill>
            <w14:solidFill>
              <w14:schemeClr w14:val="tx1"/>
            </w14:solidFill>
          </w14:textFill>
        </w:rPr>
        <w:t>，从业人员</w:t>
      </w:r>
      <w:r>
        <w:rPr>
          <w:rFonts w:hAnsi="宋体" w:cs="宋体"/>
          <w:color w:val="000000" w:themeColor="text1"/>
          <w:szCs w:val="24"/>
          <w:highlight w:val="none"/>
          <w:u w:val="single"/>
          <w14:textFill>
            <w14:solidFill>
              <w14:schemeClr w14:val="tx1"/>
            </w14:solidFill>
          </w14:textFill>
        </w:rPr>
        <w:t>  </w:t>
      </w:r>
      <w:r>
        <w:rPr>
          <w:rFonts w:hAnsi="宋体" w:cs="宋体"/>
          <w:color w:val="000000" w:themeColor="text1"/>
          <w:szCs w:val="24"/>
          <w:highlight w:val="none"/>
          <w14:textFill>
            <w14:solidFill>
              <w14:schemeClr w14:val="tx1"/>
            </w14:solidFill>
          </w14:textFill>
        </w:rPr>
        <w:t>人，营业收入为</w:t>
      </w:r>
      <w:r>
        <w:rPr>
          <w:rFonts w:hAnsi="宋体" w:cs="宋体"/>
          <w:color w:val="000000" w:themeColor="text1"/>
          <w:szCs w:val="24"/>
          <w:highlight w:val="none"/>
          <w:u w:val="single"/>
          <w14:textFill>
            <w14:solidFill>
              <w14:schemeClr w14:val="tx1"/>
            </w14:solidFill>
          </w14:textFill>
        </w:rPr>
        <w:t>  </w:t>
      </w:r>
      <w:r>
        <w:rPr>
          <w:rFonts w:hAnsi="宋体" w:cs="宋体"/>
          <w:color w:val="000000" w:themeColor="text1"/>
          <w:szCs w:val="24"/>
          <w:highlight w:val="none"/>
          <w14:textFill>
            <w14:solidFill>
              <w14:schemeClr w14:val="tx1"/>
            </w14:solidFill>
          </w14:textFill>
        </w:rPr>
        <w:t>万元，资产总额为</w:t>
      </w:r>
      <w:r>
        <w:rPr>
          <w:rFonts w:hAnsi="宋体" w:cs="宋体"/>
          <w:color w:val="000000" w:themeColor="text1"/>
          <w:szCs w:val="24"/>
          <w:highlight w:val="none"/>
          <w:u w:val="single"/>
          <w14:textFill>
            <w14:solidFill>
              <w14:schemeClr w14:val="tx1"/>
            </w14:solidFill>
          </w14:textFill>
        </w:rPr>
        <w:t>  </w:t>
      </w:r>
      <w:r>
        <w:rPr>
          <w:rFonts w:hAnsi="宋体" w:cs="宋体"/>
          <w:color w:val="000000" w:themeColor="text1"/>
          <w:szCs w:val="24"/>
          <w:highlight w:val="none"/>
          <w14:textFill>
            <w14:solidFill>
              <w14:schemeClr w14:val="tx1"/>
            </w14:solidFill>
          </w14:textFill>
        </w:rPr>
        <w:t>万元，属于</w:t>
      </w:r>
      <w:r>
        <w:rPr>
          <w:rFonts w:hAnsi="宋体" w:cs="宋体"/>
          <w:color w:val="000000" w:themeColor="text1"/>
          <w:szCs w:val="24"/>
          <w:highlight w:val="none"/>
          <w:u w:val="single"/>
          <w14:textFill>
            <w14:solidFill>
              <w14:schemeClr w14:val="tx1"/>
            </w14:solidFill>
          </w14:textFill>
        </w:rPr>
        <w:t>（中型企业、小型企业、微型企业）</w:t>
      </w:r>
      <w:r>
        <w:rPr>
          <w:rFonts w:hAnsi="宋体" w:cs="宋体"/>
          <w:color w:val="000000" w:themeColor="text1"/>
          <w:szCs w:val="24"/>
          <w:highlight w:val="none"/>
          <w14:textFill>
            <w14:solidFill>
              <w14:schemeClr w14:val="tx1"/>
            </w14:solidFill>
          </w14:textFill>
        </w:rPr>
        <w:t>；</w:t>
      </w:r>
    </w:p>
    <w:p>
      <w:pPr>
        <w:pStyle w:val="19"/>
        <w:spacing w:line="420" w:lineRule="atLeast"/>
        <w:ind w:firstLine="420"/>
        <w:rPr>
          <w:rFonts w:hAnsi="宋体" w:cs="宋体"/>
          <w:color w:val="000000" w:themeColor="text1"/>
          <w:szCs w:val="24"/>
          <w:highlight w:val="none"/>
          <w14:textFill>
            <w14:solidFill>
              <w14:schemeClr w14:val="tx1"/>
            </w14:solidFill>
          </w14:textFill>
        </w:rPr>
      </w:pPr>
      <w:r>
        <w:rPr>
          <w:rFonts w:hAnsi="宋体" w:cs="宋体"/>
          <w:color w:val="000000" w:themeColor="text1"/>
          <w:szCs w:val="24"/>
          <w:highlight w:val="none"/>
          <w14:textFill>
            <w14:solidFill>
              <w14:schemeClr w14:val="tx1"/>
            </w14:solidFill>
          </w14:textFill>
        </w:rPr>
        <w:t>2.</w:t>
      </w:r>
      <w:r>
        <w:rPr>
          <w:rFonts w:hAnsi="宋体" w:cs="宋体"/>
          <w:color w:val="000000" w:themeColor="text1"/>
          <w:szCs w:val="24"/>
          <w:highlight w:val="none"/>
          <w:u w:val="single"/>
          <w14:textFill>
            <w14:solidFill>
              <w14:schemeClr w14:val="tx1"/>
            </w14:solidFill>
          </w14:textFill>
        </w:rPr>
        <w:t>（标的名称）</w:t>
      </w:r>
      <w:r>
        <w:rPr>
          <w:rFonts w:hAnsi="宋体" w:cs="宋体"/>
          <w:color w:val="000000" w:themeColor="text1"/>
          <w:szCs w:val="24"/>
          <w:highlight w:val="none"/>
          <w14:textFill>
            <w14:solidFill>
              <w14:schemeClr w14:val="tx1"/>
            </w14:solidFill>
          </w14:textFill>
        </w:rPr>
        <w:t>，属于</w:t>
      </w:r>
      <w:r>
        <w:rPr>
          <w:rFonts w:hAnsi="宋体" w:cs="宋体"/>
          <w:color w:val="000000" w:themeColor="text1"/>
          <w:szCs w:val="24"/>
          <w:highlight w:val="none"/>
          <w:u w:val="single"/>
          <w14:textFill>
            <w14:solidFill>
              <w14:schemeClr w14:val="tx1"/>
            </w14:solidFill>
          </w14:textFill>
        </w:rPr>
        <w:t>（采购文件中明确的所属行业）</w:t>
      </w:r>
      <w:r>
        <w:rPr>
          <w:rFonts w:hAnsi="宋体" w:cs="宋体"/>
          <w:color w:val="000000" w:themeColor="text1"/>
          <w:szCs w:val="24"/>
          <w:highlight w:val="none"/>
          <w14:textFill>
            <w14:solidFill>
              <w14:schemeClr w14:val="tx1"/>
            </w14:solidFill>
          </w14:textFill>
        </w:rPr>
        <w:t>；制造商为</w:t>
      </w:r>
      <w:r>
        <w:rPr>
          <w:rFonts w:hAnsi="宋体" w:cs="宋体"/>
          <w:color w:val="000000" w:themeColor="text1"/>
          <w:szCs w:val="24"/>
          <w:highlight w:val="none"/>
          <w:u w:val="single"/>
          <w14:textFill>
            <w14:solidFill>
              <w14:schemeClr w14:val="tx1"/>
            </w14:solidFill>
          </w14:textFill>
        </w:rPr>
        <w:t>（企业名称）</w:t>
      </w:r>
      <w:r>
        <w:rPr>
          <w:rFonts w:hAnsi="宋体" w:cs="宋体"/>
          <w:color w:val="000000" w:themeColor="text1"/>
          <w:szCs w:val="24"/>
          <w:highlight w:val="none"/>
          <w14:textFill>
            <w14:solidFill>
              <w14:schemeClr w14:val="tx1"/>
            </w14:solidFill>
          </w14:textFill>
        </w:rPr>
        <w:t>，从业人员</w:t>
      </w:r>
      <w:r>
        <w:rPr>
          <w:rFonts w:hAnsi="宋体" w:cs="宋体"/>
          <w:color w:val="000000" w:themeColor="text1"/>
          <w:szCs w:val="24"/>
          <w:highlight w:val="none"/>
          <w:u w:val="single"/>
          <w14:textFill>
            <w14:solidFill>
              <w14:schemeClr w14:val="tx1"/>
            </w14:solidFill>
          </w14:textFill>
        </w:rPr>
        <w:t>  </w:t>
      </w:r>
      <w:r>
        <w:rPr>
          <w:rFonts w:hAnsi="宋体" w:cs="宋体"/>
          <w:color w:val="000000" w:themeColor="text1"/>
          <w:szCs w:val="24"/>
          <w:highlight w:val="none"/>
          <w14:textFill>
            <w14:solidFill>
              <w14:schemeClr w14:val="tx1"/>
            </w14:solidFill>
          </w14:textFill>
        </w:rPr>
        <w:t>人，营业收入为</w:t>
      </w:r>
      <w:r>
        <w:rPr>
          <w:rFonts w:hAnsi="宋体" w:cs="宋体"/>
          <w:color w:val="000000" w:themeColor="text1"/>
          <w:szCs w:val="24"/>
          <w:highlight w:val="none"/>
          <w:u w:val="single"/>
          <w14:textFill>
            <w14:solidFill>
              <w14:schemeClr w14:val="tx1"/>
            </w14:solidFill>
          </w14:textFill>
        </w:rPr>
        <w:t>  </w:t>
      </w:r>
      <w:r>
        <w:rPr>
          <w:rFonts w:hAnsi="宋体" w:cs="宋体"/>
          <w:color w:val="000000" w:themeColor="text1"/>
          <w:szCs w:val="24"/>
          <w:highlight w:val="none"/>
          <w14:textFill>
            <w14:solidFill>
              <w14:schemeClr w14:val="tx1"/>
            </w14:solidFill>
          </w14:textFill>
        </w:rPr>
        <w:t>万元，资产总额为</w:t>
      </w:r>
      <w:r>
        <w:rPr>
          <w:rFonts w:hAnsi="宋体" w:cs="宋体"/>
          <w:color w:val="000000" w:themeColor="text1"/>
          <w:szCs w:val="24"/>
          <w:highlight w:val="none"/>
          <w:u w:val="single"/>
          <w14:textFill>
            <w14:solidFill>
              <w14:schemeClr w14:val="tx1"/>
            </w14:solidFill>
          </w14:textFill>
        </w:rPr>
        <w:t>  </w:t>
      </w:r>
      <w:r>
        <w:rPr>
          <w:rFonts w:hAnsi="宋体" w:cs="宋体"/>
          <w:color w:val="000000" w:themeColor="text1"/>
          <w:szCs w:val="24"/>
          <w:highlight w:val="none"/>
          <w14:textFill>
            <w14:solidFill>
              <w14:schemeClr w14:val="tx1"/>
            </w14:solidFill>
          </w14:textFill>
        </w:rPr>
        <w:t>万元，属于</w:t>
      </w:r>
      <w:r>
        <w:rPr>
          <w:rFonts w:hAnsi="宋体" w:cs="宋体"/>
          <w:color w:val="000000" w:themeColor="text1"/>
          <w:szCs w:val="24"/>
          <w:highlight w:val="none"/>
          <w:u w:val="single"/>
          <w14:textFill>
            <w14:solidFill>
              <w14:schemeClr w14:val="tx1"/>
            </w14:solidFill>
          </w14:textFill>
        </w:rPr>
        <w:t>（中型企业、小型企业、微型企业）</w:t>
      </w:r>
      <w:r>
        <w:rPr>
          <w:rFonts w:hAnsi="宋体" w:cs="宋体"/>
          <w:color w:val="000000" w:themeColor="text1"/>
          <w:szCs w:val="24"/>
          <w:highlight w:val="none"/>
          <w14:textFill>
            <w14:solidFill>
              <w14:schemeClr w14:val="tx1"/>
            </w14:solidFill>
          </w14:textFill>
        </w:rPr>
        <w:t>；</w:t>
      </w:r>
    </w:p>
    <w:p>
      <w:pPr>
        <w:pStyle w:val="19"/>
        <w:spacing w:line="420" w:lineRule="atLeast"/>
        <w:ind w:firstLine="420"/>
        <w:rPr>
          <w:rFonts w:hAnsi="宋体" w:cs="宋体"/>
          <w:color w:val="000000" w:themeColor="text1"/>
          <w:szCs w:val="24"/>
          <w:highlight w:val="none"/>
          <w14:textFill>
            <w14:solidFill>
              <w14:schemeClr w14:val="tx1"/>
            </w14:solidFill>
          </w14:textFill>
        </w:rPr>
      </w:pPr>
      <w:r>
        <w:rPr>
          <w:rFonts w:hAnsi="宋体" w:cs="宋体"/>
          <w:color w:val="000000" w:themeColor="text1"/>
          <w:szCs w:val="24"/>
          <w:highlight w:val="none"/>
          <w14:textFill>
            <w14:solidFill>
              <w14:schemeClr w14:val="tx1"/>
            </w14:solidFill>
          </w14:textFill>
        </w:rPr>
        <w:t>……</w:t>
      </w:r>
    </w:p>
    <w:p>
      <w:pPr>
        <w:pStyle w:val="19"/>
        <w:spacing w:line="420" w:lineRule="atLeast"/>
        <w:ind w:firstLine="420"/>
        <w:rPr>
          <w:rFonts w:hAnsi="宋体" w:cs="宋体"/>
          <w:color w:val="000000" w:themeColor="text1"/>
          <w:szCs w:val="24"/>
          <w:highlight w:val="none"/>
          <w14:textFill>
            <w14:solidFill>
              <w14:schemeClr w14:val="tx1"/>
            </w14:solidFill>
          </w14:textFill>
        </w:rPr>
      </w:pPr>
      <w:r>
        <w:rPr>
          <w:rFonts w:hAnsi="宋体" w:cs="宋体"/>
          <w:color w:val="000000" w:themeColor="text1"/>
          <w:szCs w:val="24"/>
          <w:highlight w:val="none"/>
          <w14:textFill>
            <w14:solidFill>
              <w14:schemeClr w14:val="tx1"/>
            </w14:solidFill>
          </w14:textFill>
        </w:rPr>
        <w:t>以上企业，不属于大企业的分支机构，不存在控股股东为大企业的情形，也不存在与大企业的负责人为同一人的情形。</w:t>
      </w:r>
    </w:p>
    <w:p>
      <w:pPr>
        <w:pStyle w:val="19"/>
        <w:spacing w:line="420" w:lineRule="atLeast"/>
        <w:ind w:firstLine="420"/>
        <w:rPr>
          <w:rFonts w:hAnsi="宋体" w:cs="宋体"/>
          <w:color w:val="000000" w:themeColor="text1"/>
          <w:szCs w:val="24"/>
          <w:highlight w:val="none"/>
          <w14:textFill>
            <w14:solidFill>
              <w14:schemeClr w14:val="tx1"/>
            </w14:solidFill>
          </w14:textFill>
        </w:rPr>
      </w:pPr>
      <w:r>
        <w:rPr>
          <w:rFonts w:hAnsi="宋体" w:cs="宋体"/>
          <w:color w:val="000000" w:themeColor="text1"/>
          <w:szCs w:val="24"/>
          <w:highlight w:val="none"/>
          <w14:textFill>
            <w14:solidFill>
              <w14:schemeClr w14:val="tx1"/>
            </w14:solidFill>
          </w14:textFill>
        </w:rPr>
        <w:t>本企业对上述声明内容的真实性负责。如有虚假，将依法承担相应责任。</w:t>
      </w:r>
    </w:p>
    <w:p>
      <w:pPr>
        <w:pStyle w:val="31"/>
        <w:widowControl/>
        <w:spacing w:line="360" w:lineRule="auto"/>
        <w:ind w:firstLine="504" w:firstLineChars="200"/>
        <w:rPr>
          <w:rFonts w:hint="eastAsia" w:ascii="宋体" w:hAnsi="宋体" w:cs="宋体"/>
          <w:color w:val="000000" w:themeColor="text1"/>
          <w:spacing w:val="6"/>
          <w:sz w:val="24"/>
          <w:highlight w:val="none"/>
          <w14:textFill>
            <w14:solidFill>
              <w14:schemeClr w14:val="tx1"/>
            </w14:solidFill>
          </w14:textFill>
        </w:rPr>
      </w:pPr>
    </w:p>
    <w:p>
      <w:pPr>
        <w:spacing w:line="360" w:lineRule="auto"/>
        <w:ind w:firstLine="5760" w:firstLineChars="2400"/>
        <w:rPr>
          <w:rFonts w:ascii="宋体" w:cs="宋体"/>
          <w:color w:val="000000" w:themeColor="text1"/>
          <w:sz w:val="24"/>
          <w:szCs w:val="24"/>
          <w:highlight w:val="none"/>
          <w:lang w:val="zh-CN"/>
          <w14:textFill>
            <w14:solidFill>
              <w14:schemeClr w14:val="tx1"/>
            </w14:solidFill>
          </w14:textFill>
        </w:rPr>
      </w:pPr>
      <w:r>
        <w:rPr>
          <w:rFonts w:hint="eastAsia" w:ascii="宋体" w:cs="宋体"/>
          <w:color w:val="000000" w:themeColor="text1"/>
          <w:sz w:val="24"/>
          <w:szCs w:val="24"/>
          <w:highlight w:val="none"/>
          <w:lang w:val="zh-CN" w:bidi="ar"/>
          <w14:textFill>
            <w14:solidFill>
              <w14:schemeClr w14:val="tx1"/>
            </w14:solidFill>
          </w14:textFill>
        </w:rPr>
        <w:t>企业名称（盖章）：</w:t>
      </w:r>
    </w:p>
    <w:p>
      <w:pPr>
        <w:spacing w:line="360" w:lineRule="auto"/>
        <w:ind w:firstLine="6120" w:firstLineChars="2550"/>
        <w:rPr>
          <w:rFonts w:ascii="宋体" w:cs="宋体"/>
          <w:color w:val="000000" w:themeColor="text1"/>
          <w:sz w:val="24"/>
          <w:szCs w:val="24"/>
          <w:highlight w:val="none"/>
          <w:lang w:val="zh-CN"/>
          <w14:textFill>
            <w14:solidFill>
              <w14:schemeClr w14:val="tx1"/>
            </w14:solidFill>
          </w14:textFill>
        </w:rPr>
      </w:pPr>
      <w:r>
        <w:rPr>
          <w:rFonts w:hint="eastAsia" w:ascii="宋体" w:cs="宋体"/>
          <w:color w:val="000000" w:themeColor="text1"/>
          <w:sz w:val="24"/>
          <w:szCs w:val="24"/>
          <w:highlight w:val="none"/>
          <w:lang w:val="zh-CN" w:bidi="ar"/>
          <w14:textFill>
            <w14:solidFill>
              <w14:schemeClr w14:val="tx1"/>
            </w14:solidFill>
          </w14:textFill>
        </w:rPr>
        <w:t>日期：</w:t>
      </w:r>
    </w:p>
    <w:p>
      <w:pPr>
        <w:widowControl/>
        <w:spacing w:line="340" w:lineRule="exact"/>
        <w:rPr>
          <w:color w:val="000000" w:themeColor="text1"/>
          <w:kern w:val="0"/>
          <w:sz w:val="24"/>
          <w:szCs w:val="24"/>
          <w:highlight w:val="none"/>
          <w14:textFill>
            <w14:solidFill>
              <w14:schemeClr w14:val="tx1"/>
            </w14:solidFill>
          </w14:textFill>
        </w:rPr>
      </w:pPr>
    </w:p>
    <w:p>
      <w:pPr>
        <w:pStyle w:val="31"/>
        <w:widowControl/>
        <w:spacing w:line="360" w:lineRule="auto"/>
        <w:rPr>
          <w:rFonts w:hint="eastAsia" w:ascii="宋体" w:hAnsi="宋体" w:cs="宋体"/>
          <w:color w:val="000000" w:themeColor="text1"/>
          <w:sz w:val="24"/>
          <w:highlight w:val="none"/>
          <w14:textFill>
            <w14:solidFill>
              <w14:schemeClr w14:val="tx1"/>
            </w14:solidFill>
          </w14:textFill>
        </w:rPr>
      </w:pPr>
    </w:p>
    <w:p>
      <w:pPr>
        <w:pStyle w:val="31"/>
        <w:widowControl/>
        <w:spacing w:line="360" w:lineRule="auto"/>
        <w:rPr>
          <w:rFonts w:hint="eastAsia" w:ascii="宋体" w:hAnsi="宋体" w:cs="宋体"/>
          <w:color w:val="000000" w:themeColor="text1"/>
          <w:sz w:val="24"/>
          <w:highlight w:val="none"/>
          <w14:textFill>
            <w14:solidFill>
              <w14:schemeClr w14:val="tx1"/>
            </w14:solidFill>
          </w14:textFill>
        </w:rPr>
      </w:pPr>
    </w:p>
    <w:p>
      <w:pPr>
        <w:widowControl/>
        <w:spacing w:line="340" w:lineRule="exact"/>
        <w:rPr>
          <w:color w:val="000000" w:themeColor="text1"/>
          <w:kern w:val="0"/>
          <w:sz w:val="24"/>
          <w:szCs w:val="24"/>
          <w:highlight w:val="none"/>
          <w14:textFill>
            <w14:solidFill>
              <w14:schemeClr w14:val="tx1"/>
            </w14:solidFill>
          </w14:textFill>
        </w:rPr>
      </w:pPr>
    </w:p>
    <w:p>
      <w:pPr>
        <w:widowControl/>
        <w:spacing w:line="340" w:lineRule="exact"/>
        <w:rPr>
          <w:color w:val="000000" w:themeColor="text1"/>
          <w:kern w:val="0"/>
          <w:sz w:val="24"/>
          <w:szCs w:val="24"/>
          <w:highlight w:val="none"/>
          <w14:textFill>
            <w14:solidFill>
              <w14:schemeClr w14:val="tx1"/>
            </w14:solidFill>
          </w14:textFill>
        </w:rPr>
      </w:pPr>
    </w:p>
    <w:p>
      <w:pPr>
        <w:widowControl/>
        <w:spacing w:line="340" w:lineRule="exact"/>
        <w:rPr>
          <w:color w:val="000000" w:themeColor="text1"/>
          <w:kern w:val="0"/>
          <w:sz w:val="24"/>
          <w:szCs w:val="24"/>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从业人员、营业收入、资产总额填报上一年度数据，无上一年度数据的新成立企业可不填报。</w:t>
      </w:r>
    </w:p>
    <w:p>
      <w:pPr>
        <w:widowControl/>
        <w:spacing w:line="340" w:lineRule="exact"/>
        <w:rPr>
          <w:color w:val="000000" w:themeColor="text1"/>
          <w:kern w:val="0"/>
          <w:sz w:val="24"/>
          <w:szCs w:val="24"/>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br w:type="page"/>
      </w:r>
    </w:p>
    <w:p>
      <w:pPr>
        <w:numPr>
          <w:ilvl w:val="0"/>
          <w:numId w:val="11"/>
        </w:numPr>
        <w:jc w:val="center"/>
        <w:rPr>
          <w:b/>
          <w:bCs/>
          <w:color w:val="000000" w:themeColor="text1"/>
          <w:sz w:val="30"/>
          <w:szCs w:val="30"/>
          <w:highlight w:val="none"/>
          <w14:textFill>
            <w14:solidFill>
              <w14:schemeClr w14:val="tx1"/>
            </w14:solidFill>
          </w14:textFill>
        </w:rPr>
      </w:pPr>
      <w:bookmarkStart w:id="98" w:name="_Toc3216"/>
      <w:bookmarkStart w:id="99" w:name="_Toc217446089"/>
      <w:bookmarkStart w:id="100" w:name="_Toc6149"/>
      <w:r>
        <w:rPr>
          <w:rFonts w:hint="eastAsia"/>
          <w:b/>
          <w:bCs/>
          <w:color w:val="000000" w:themeColor="text1"/>
          <w:sz w:val="30"/>
          <w:szCs w:val="30"/>
          <w:highlight w:val="none"/>
          <w14:textFill>
            <w14:solidFill>
              <w14:schemeClr w14:val="tx1"/>
            </w14:solidFill>
          </w14:textFill>
        </w:rPr>
        <w:t>投标人类似项目业绩一览表</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61"/>
        <w:gridCol w:w="1561"/>
        <w:gridCol w:w="1561"/>
        <w:gridCol w:w="1561"/>
        <w:gridCol w:w="1561"/>
        <w:gridCol w:w="15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tcBorders>
              <w:top w:val="single" w:color="auto" w:sz="4" w:space="0"/>
            </w:tcBorders>
            <w:vAlign w:val="center"/>
          </w:tcPr>
          <w:p>
            <w:pPr>
              <w:spacing w:line="400" w:lineRule="exact"/>
              <w:ind w:firstLine="105" w:firstLineChars="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年份</w:t>
            </w:r>
          </w:p>
        </w:tc>
        <w:tc>
          <w:tcPr>
            <w:tcW w:w="1561" w:type="dxa"/>
            <w:vAlign w:val="center"/>
          </w:tcPr>
          <w:p>
            <w:pPr>
              <w:spacing w:line="400" w:lineRule="exact"/>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用户名称</w:t>
            </w:r>
          </w:p>
        </w:tc>
        <w:tc>
          <w:tcPr>
            <w:tcW w:w="1561" w:type="dxa"/>
            <w:vAlign w:val="center"/>
          </w:tcPr>
          <w:p>
            <w:pPr>
              <w:spacing w:line="400" w:lineRule="exact"/>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项目名称</w:t>
            </w:r>
          </w:p>
        </w:tc>
        <w:tc>
          <w:tcPr>
            <w:tcW w:w="1561" w:type="dxa"/>
            <w:vAlign w:val="center"/>
          </w:tcPr>
          <w:p>
            <w:pPr>
              <w:spacing w:line="400" w:lineRule="exact"/>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完成时间</w:t>
            </w:r>
          </w:p>
        </w:tc>
        <w:tc>
          <w:tcPr>
            <w:tcW w:w="1561" w:type="dxa"/>
            <w:vAlign w:val="center"/>
          </w:tcPr>
          <w:p>
            <w:pPr>
              <w:spacing w:line="400" w:lineRule="exact"/>
              <w:ind w:firstLine="105" w:firstLineChars="5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合同金额</w:t>
            </w:r>
          </w:p>
        </w:tc>
        <w:tc>
          <w:tcPr>
            <w:tcW w:w="1561" w:type="dxa"/>
            <w:vAlign w:val="center"/>
          </w:tcPr>
          <w:p>
            <w:pPr>
              <w:spacing w:line="400" w:lineRule="exact"/>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 w:hRule="atLeast"/>
          <w:jc w:val="center"/>
        </w:trPr>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tcBorders>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lef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tcBorders>
              <w:right w:val="single" w:color="auto" w:sz="4" w:space="0"/>
            </w:tcBorders>
            <w:vAlign w:val="center"/>
          </w:tcPr>
          <w:p>
            <w:pPr>
              <w:spacing w:line="400" w:lineRule="exact"/>
              <w:rPr>
                <w:color w:val="000000" w:themeColor="text1"/>
                <w:highlight w:val="none"/>
                <w14:textFill>
                  <w14:solidFill>
                    <w14:schemeClr w14:val="tx1"/>
                  </w14:solidFill>
                </w14:textFill>
              </w:rPr>
            </w:pPr>
          </w:p>
        </w:tc>
        <w:tc>
          <w:tcPr>
            <w:tcW w:w="1561" w:type="dxa"/>
            <w:tcBorders>
              <w:left w:val="single" w:color="auto" w:sz="4" w:space="0"/>
              <w:right w:val="single" w:color="auto" w:sz="4" w:space="0"/>
            </w:tcBorders>
            <w:vAlign w:val="center"/>
          </w:tcPr>
          <w:p>
            <w:pPr>
              <w:spacing w:line="400" w:lineRule="exact"/>
              <w:rPr>
                <w:color w:val="000000" w:themeColor="text1"/>
                <w:highlight w:val="none"/>
                <w14:textFill>
                  <w14:solidFill>
                    <w14:schemeClr w14:val="tx1"/>
                  </w14:solidFill>
                </w14:textFill>
              </w:rPr>
            </w:pPr>
          </w:p>
        </w:tc>
        <w:tc>
          <w:tcPr>
            <w:tcW w:w="1561" w:type="dxa"/>
            <w:tcBorders>
              <w:left w:val="single" w:color="auto" w:sz="4" w:space="0"/>
              <w:right w:val="single" w:color="auto" w:sz="4" w:space="0"/>
            </w:tcBorders>
            <w:vAlign w:val="center"/>
          </w:tcPr>
          <w:p>
            <w:pPr>
              <w:spacing w:line="400" w:lineRule="exact"/>
              <w:rPr>
                <w:color w:val="000000" w:themeColor="text1"/>
                <w:highlight w:val="none"/>
                <w14:textFill>
                  <w14:solidFill>
                    <w14:schemeClr w14:val="tx1"/>
                  </w14:solidFill>
                </w14:textFill>
              </w:rPr>
            </w:pPr>
          </w:p>
        </w:tc>
        <w:tc>
          <w:tcPr>
            <w:tcW w:w="1561" w:type="dxa"/>
            <w:tcBorders>
              <w:left w:val="single" w:color="auto" w:sz="4" w:space="0"/>
              <w:right w:val="single" w:color="auto" w:sz="4" w:space="0"/>
            </w:tcBorders>
            <w:vAlign w:val="center"/>
          </w:tcPr>
          <w:p>
            <w:pPr>
              <w:spacing w:line="400" w:lineRule="exact"/>
              <w:rPr>
                <w:color w:val="000000" w:themeColor="text1"/>
                <w:highlight w:val="none"/>
                <w14:textFill>
                  <w14:solidFill>
                    <w14:schemeClr w14:val="tx1"/>
                  </w14:solidFill>
                </w14:textFill>
              </w:rPr>
            </w:pPr>
          </w:p>
        </w:tc>
        <w:tc>
          <w:tcPr>
            <w:tcW w:w="1561" w:type="dxa"/>
            <w:tcBorders>
              <w:left w:val="single" w:color="auto" w:sz="4" w:space="0"/>
              <w:right w:val="single" w:color="auto" w:sz="4" w:space="0"/>
            </w:tcBorders>
            <w:vAlign w:val="center"/>
          </w:tcPr>
          <w:p>
            <w:pPr>
              <w:spacing w:line="400" w:lineRule="exact"/>
              <w:rPr>
                <w:color w:val="000000" w:themeColor="text1"/>
                <w:highlight w:val="none"/>
                <w14:textFill>
                  <w14:solidFill>
                    <w14:schemeClr w14:val="tx1"/>
                  </w14:solidFill>
                </w14:textFill>
              </w:rPr>
            </w:pPr>
          </w:p>
        </w:tc>
        <w:tc>
          <w:tcPr>
            <w:tcW w:w="1561" w:type="dxa"/>
            <w:tcBorders>
              <w:left w:val="single" w:color="auto" w:sz="4" w:space="0"/>
            </w:tcBorders>
            <w:vAlign w:val="center"/>
          </w:tcPr>
          <w:p>
            <w:pPr>
              <w:spacing w:line="400" w:lineRule="exact"/>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rPr>
                <w:color w:val="000000" w:themeColor="text1"/>
                <w:highlight w:val="none"/>
                <w14:textFill>
                  <w14:solidFill>
                    <w14:schemeClr w14:val="tx1"/>
                  </w14:solidFill>
                </w14:textFill>
              </w:rPr>
            </w:pPr>
          </w:p>
        </w:tc>
        <w:tc>
          <w:tcPr>
            <w:tcW w:w="1561" w:type="dxa"/>
            <w:vAlign w:val="center"/>
          </w:tcPr>
          <w:p>
            <w:pPr>
              <w:spacing w:line="400" w:lineRule="exact"/>
              <w:rPr>
                <w:color w:val="000000" w:themeColor="text1"/>
                <w:highlight w:val="none"/>
                <w14:textFill>
                  <w14:solidFill>
                    <w14:schemeClr w14:val="tx1"/>
                  </w14:solidFill>
                </w14:textFill>
              </w:rPr>
            </w:pPr>
          </w:p>
        </w:tc>
        <w:tc>
          <w:tcPr>
            <w:tcW w:w="1561" w:type="dxa"/>
            <w:vAlign w:val="center"/>
          </w:tcPr>
          <w:p>
            <w:pPr>
              <w:spacing w:line="400" w:lineRule="exact"/>
              <w:rPr>
                <w:color w:val="000000" w:themeColor="text1"/>
                <w:highlight w:val="none"/>
                <w14:textFill>
                  <w14:solidFill>
                    <w14:schemeClr w14:val="tx1"/>
                  </w14:solidFill>
                </w14:textFill>
              </w:rPr>
            </w:pPr>
          </w:p>
        </w:tc>
        <w:tc>
          <w:tcPr>
            <w:tcW w:w="1561" w:type="dxa"/>
            <w:vAlign w:val="center"/>
          </w:tcPr>
          <w:p>
            <w:pPr>
              <w:spacing w:line="400" w:lineRule="exact"/>
              <w:rPr>
                <w:color w:val="000000" w:themeColor="text1"/>
                <w:highlight w:val="none"/>
                <w14:textFill>
                  <w14:solidFill>
                    <w14:schemeClr w14:val="tx1"/>
                  </w14:solidFill>
                </w14:textFill>
              </w:rPr>
            </w:pPr>
          </w:p>
        </w:tc>
        <w:tc>
          <w:tcPr>
            <w:tcW w:w="1561" w:type="dxa"/>
            <w:tcBorders>
              <w:right w:val="single" w:color="auto" w:sz="4" w:space="0"/>
            </w:tcBorders>
            <w:vAlign w:val="center"/>
          </w:tcPr>
          <w:p>
            <w:pPr>
              <w:spacing w:line="400" w:lineRule="exact"/>
              <w:rPr>
                <w:color w:val="000000" w:themeColor="text1"/>
                <w:highlight w:val="none"/>
                <w14:textFill>
                  <w14:solidFill>
                    <w14:schemeClr w14:val="tx1"/>
                  </w14:solidFill>
                </w14:textFill>
              </w:rPr>
            </w:pPr>
          </w:p>
        </w:tc>
        <w:tc>
          <w:tcPr>
            <w:tcW w:w="1561" w:type="dxa"/>
            <w:tcBorders>
              <w:left w:val="single" w:color="auto" w:sz="4" w:space="0"/>
            </w:tcBorders>
            <w:vAlign w:val="center"/>
          </w:tcPr>
          <w:p>
            <w:pPr>
              <w:spacing w:line="400" w:lineRule="exact"/>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tcBorders>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lef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vAlign w:val="center"/>
          </w:tcPr>
          <w:p>
            <w:pPr>
              <w:spacing w:line="400" w:lineRule="exact"/>
              <w:jc w:val="center"/>
              <w:rPr>
                <w:color w:val="000000" w:themeColor="text1"/>
                <w:highlight w:val="none"/>
                <w14:textFill>
                  <w14:solidFill>
                    <w14:schemeClr w14:val="tx1"/>
                  </w14:solidFill>
                </w14:textFill>
              </w:rPr>
            </w:pPr>
          </w:p>
        </w:tc>
        <w:tc>
          <w:tcPr>
            <w:tcW w:w="1561" w:type="dxa"/>
            <w:tcBorders>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lef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1" w:hRule="atLeast"/>
          <w:jc w:val="center"/>
        </w:trPr>
        <w:tc>
          <w:tcPr>
            <w:tcW w:w="1561" w:type="dxa"/>
            <w:tcBorders>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left w:val="single" w:color="auto" w:sz="4" w:space="0"/>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1561" w:type="dxa"/>
            <w:tcBorders>
              <w:top w:val="single" w:color="auto" w:sz="4" w:space="0"/>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left w:val="single" w:color="auto" w:sz="4" w:space="0"/>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1561" w:type="dxa"/>
            <w:tcBorders>
              <w:top w:val="single" w:color="auto" w:sz="4" w:space="0"/>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left w:val="single" w:color="auto" w:sz="4" w:space="0"/>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1" w:hRule="atLeast"/>
          <w:jc w:val="center"/>
        </w:trPr>
        <w:tc>
          <w:tcPr>
            <w:tcW w:w="1561" w:type="dxa"/>
            <w:tcBorders>
              <w:top w:val="single" w:color="auto" w:sz="4" w:space="0"/>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left w:val="single" w:color="auto" w:sz="4" w:space="0"/>
              <w:bottom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6" w:hRule="atLeast"/>
          <w:jc w:val="center"/>
        </w:trPr>
        <w:tc>
          <w:tcPr>
            <w:tcW w:w="1561" w:type="dxa"/>
            <w:tcBorders>
              <w:top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561" w:type="dxa"/>
            <w:tcBorders>
              <w:top w:val="single" w:color="auto" w:sz="4" w:space="0"/>
              <w:lef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注：投标人以上业绩需提供有关书面证明材料。“合同金额”需提供合同复印件；“完成项目质量”需提供合同验收合格或用户单位书面证明材料。</w:t>
      </w:r>
    </w:p>
    <w:p>
      <w:pPr>
        <w:spacing w:line="400" w:lineRule="exact"/>
        <w:ind w:left="360"/>
        <w:jc w:val="center"/>
        <w:rPr>
          <w:color w:val="000000" w:themeColor="text1"/>
          <w:sz w:val="24"/>
          <w:szCs w:val="24"/>
          <w:highlight w:val="none"/>
          <w14:textFill>
            <w14:solidFill>
              <w14:schemeClr w14:val="tx1"/>
            </w14:solidFill>
          </w14:textFill>
        </w:rPr>
      </w:pPr>
    </w:p>
    <w:p>
      <w:pPr>
        <w:spacing w:line="400" w:lineRule="exact"/>
        <w:ind w:left="360"/>
        <w:jc w:val="center"/>
        <w:rPr>
          <w:color w:val="000000" w:themeColor="text1"/>
          <w:highlight w:val="none"/>
          <w14:textFill>
            <w14:solidFill>
              <w14:schemeClr w14:val="tx1"/>
            </w14:solidFill>
          </w14:textFill>
        </w:rPr>
      </w:pPr>
    </w:p>
    <w:p>
      <w:pPr>
        <w:adjustRightInd w:val="0"/>
        <w:spacing w:line="4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         （盖章）</w:t>
      </w:r>
    </w:p>
    <w:p>
      <w:pPr>
        <w:adjustRightInd w:val="0"/>
        <w:spacing w:line="400" w:lineRule="exact"/>
        <w:ind w:firstLine="540" w:firstLineChars="225"/>
        <w:jc w:val="left"/>
        <w:rPr>
          <w:b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法定代表人或授权代表（签字或盖章）</w:t>
      </w:r>
      <w:r>
        <w:rPr>
          <w:bCs/>
          <w:color w:val="000000" w:themeColor="text1"/>
          <w:sz w:val="24"/>
          <w:szCs w:val="24"/>
          <w:highlight w:val="none"/>
          <w14:textFill>
            <w14:solidFill>
              <w14:schemeClr w14:val="tx1"/>
            </w14:solidFill>
          </w14:textFill>
        </w:rPr>
        <w:t>：</w:t>
      </w:r>
    </w:p>
    <w:p>
      <w:pPr>
        <w:spacing w:line="400" w:lineRule="exact"/>
        <w:ind w:firstLine="480" w:firstLineChars="200"/>
        <w:rPr>
          <w:b/>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投标日期:</w:t>
      </w:r>
    </w:p>
    <w:p>
      <w:pPr>
        <w:rPr>
          <w:color w:val="000000" w:themeColor="text1"/>
          <w:highlight w:val="none"/>
          <w14:textFill>
            <w14:solidFill>
              <w14:schemeClr w14:val="tx1"/>
            </w14:solidFill>
          </w14:textFill>
        </w:rPr>
        <w:sectPr>
          <w:pgSz w:w="11910" w:h="16840"/>
          <w:pgMar w:top="1420" w:right="1080" w:bottom="280" w:left="1360" w:header="720" w:footer="720" w:gutter="0"/>
          <w:pgNumType w:fmt="decimal"/>
          <w:cols w:space="720" w:num="1"/>
        </w:sectPr>
      </w:pPr>
    </w:p>
    <w:bookmarkEnd w:id="98"/>
    <w:bookmarkEnd w:id="99"/>
    <w:bookmarkEnd w:id="100"/>
    <w:p>
      <w:pPr>
        <w:numPr>
          <w:ilvl w:val="0"/>
          <w:numId w:val="11"/>
        </w:numPr>
        <w:jc w:val="center"/>
        <w:rPr>
          <w:b/>
          <w:bCs/>
          <w:color w:val="000000" w:themeColor="text1"/>
          <w:sz w:val="30"/>
          <w:szCs w:val="30"/>
          <w:highlight w:val="none"/>
          <w14:textFill>
            <w14:solidFill>
              <w14:schemeClr w14:val="tx1"/>
            </w14:solidFill>
          </w14:textFill>
        </w:rPr>
      </w:pPr>
      <w:bookmarkStart w:id="101" w:name="_Toc21784"/>
      <w:bookmarkStart w:id="102" w:name="_Toc13927"/>
      <w:bookmarkStart w:id="103" w:name="_Toc217446090"/>
      <w:r>
        <w:rPr>
          <w:b/>
          <w:bCs/>
          <w:color w:val="000000" w:themeColor="text1"/>
          <w:sz w:val="30"/>
          <w:szCs w:val="30"/>
          <w:highlight w:val="none"/>
          <w14:textFill>
            <w14:solidFill>
              <w14:schemeClr w14:val="tx1"/>
            </w14:solidFill>
          </w14:textFill>
        </w:rPr>
        <w:t>投标人本项目管理、技术、服务人员情况表</w:t>
      </w:r>
      <w:bookmarkEnd w:id="101"/>
      <w:bookmarkEnd w:id="102"/>
    </w:p>
    <w:p>
      <w:pPr>
        <w:spacing w:line="400" w:lineRule="exact"/>
        <w:rPr>
          <w:b/>
          <w:bCs/>
          <w:color w:val="000000" w:themeColor="text1"/>
          <w:sz w:val="28"/>
          <w:highlight w:val="none"/>
          <w14:textFill>
            <w14:solidFill>
              <w14:schemeClr w14:val="tx1"/>
            </w14:solidFill>
          </w14:textFill>
        </w:rPr>
      </w:pPr>
    </w:p>
    <w:p>
      <w:pPr>
        <w:spacing w:line="400" w:lineRule="exact"/>
        <w:rPr>
          <w:bCs/>
          <w:color w:val="000000" w:themeColor="text1"/>
          <w:sz w:val="24"/>
          <w:szCs w:val="24"/>
          <w:highlight w:val="none"/>
          <w14:textFill>
            <w14:solidFill>
              <w14:schemeClr w14:val="tx1"/>
            </w14:solidFill>
          </w14:textFill>
        </w:rPr>
      </w:pPr>
      <w:r>
        <w:rPr>
          <w:b/>
          <w:bCs/>
          <w:color w:val="000000" w:themeColor="text1"/>
          <w:sz w:val="28"/>
          <w:highlight w:val="none"/>
          <w14:textFill>
            <w14:solidFill>
              <w14:schemeClr w14:val="tx1"/>
            </w14:solidFill>
          </w14:textFill>
        </w:rPr>
        <w:t xml:space="preserve">   </w:t>
      </w:r>
      <w:r>
        <w:rPr>
          <w:bCs/>
          <w:color w:val="000000" w:themeColor="text1"/>
          <w:sz w:val="24"/>
          <w:szCs w:val="24"/>
          <w:highlight w:val="none"/>
          <w14:textFill>
            <w14:solidFill>
              <w14:schemeClr w14:val="tx1"/>
            </w14:solidFill>
          </w14:textFill>
        </w:rPr>
        <w:t xml:space="preserve"> 招标编号：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985"/>
        <w:gridCol w:w="986"/>
        <w:gridCol w:w="986"/>
        <w:gridCol w:w="986"/>
        <w:gridCol w:w="1285"/>
        <w:gridCol w:w="904"/>
        <w:gridCol w:w="1029"/>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restart"/>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类别</w:t>
            </w:r>
          </w:p>
        </w:tc>
        <w:tc>
          <w:tcPr>
            <w:tcW w:w="985" w:type="dxa"/>
            <w:vMerge w:val="restart"/>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职务</w:t>
            </w:r>
          </w:p>
        </w:tc>
        <w:tc>
          <w:tcPr>
            <w:tcW w:w="986" w:type="dxa"/>
            <w:vMerge w:val="restart"/>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986" w:type="dxa"/>
            <w:vMerge w:val="restart"/>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986" w:type="dxa"/>
            <w:vMerge w:val="restart"/>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常住地</w:t>
            </w:r>
          </w:p>
        </w:tc>
        <w:tc>
          <w:tcPr>
            <w:tcW w:w="4122" w:type="dxa"/>
            <w:gridSpan w:val="4"/>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continue"/>
            <w:vAlign w:val="center"/>
          </w:tcPr>
          <w:p>
            <w:pPr>
              <w:spacing w:line="400" w:lineRule="exact"/>
              <w:jc w:val="center"/>
              <w:rPr>
                <w:color w:val="000000" w:themeColor="text1"/>
                <w:highlight w:val="none"/>
                <w14:textFill>
                  <w14:solidFill>
                    <w14:schemeClr w14:val="tx1"/>
                  </w14:solidFill>
                </w14:textFill>
              </w:rPr>
            </w:pPr>
          </w:p>
        </w:tc>
        <w:tc>
          <w:tcPr>
            <w:tcW w:w="985" w:type="dxa"/>
            <w:vMerge w:val="continue"/>
            <w:vAlign w:val="center"/>
          </w:tcPr>
          <w:p>
            <w:pPr>
              <w:spacing w:line="400" w:lineRule="exact"/>
              <w:jc w:val="center"/>
              <w:rPr>
                <w:color w:val="000000" w:themeColor="text1"/>
                <w:highlight w:val="none"/>
                <w14:textFill>
                  <w14:solidFill>
                    <w14:schemeClr w14:val="tx1"/>
                  </w14:solidFill>
                </w14:textFill>
              </w:rPr>
            </w:pPr>
          </w:p>
        </w:tc>
        <w:tc>
          <w:tcPr>
            <w:tcW w:w="986" w:type="dxa"/>
            <w:vMerge w:val="continue"/>
            <w:vAlign w:val="center"/>
          </w:tcPr>
          <w:p>
            <w:pPr>
              <w:spacing w:line="400" w:lineRule="exact"/>
              <w:jc w:val="center"/>
              <w:rPr>
                <w:color w:val="000000" w:themeColor="text1"/>
                <w:highlight w:val="none"/>
                <w14:textFill>
                  <w14:solidFill>
                    <w14:schemeClr w14:val="tx1"/>
                  </w14:solidFill>
                </w14:textFill>
              </w:rPr>
            </w:pPr>
          </w:p>
        </w:tc>
        <w:tc>
          <w:tcPr>
            <w:tcW w:w="986" w:type="dxa"/>
            <w:vMerge w:val="continue"/>
            <w:vAlign w:val="center"/>
          </w:tcPr>
          <w:p>
            <w:pPr>
              <w:spacing w:line="400" w:lineRule="exact"/>
              <w:jc w:val="center"/>
              <w:rPr>
                <w:color w:val="000000" w:themeColor="text1"/>
                <w:highlight w:val="none"/>
                <w14:textFill>
                  <w14:solidFill>
                    <w14:schemeClr w14:val="tx1"/>
                  </w14:solidFill>
                </w14:textFill>
              </w:rPr>
            </w:pPr>
          </w:p>
        </w:tc>
        <w:tc>
          <w:tcPr>
            <w:tcW w:w="986" w:type="dxa"/>
            <w:vMerge w:val="continue"/>
            <w:vAlign w:val="center"/>
          </w:tcPr>
          <w:p>
            <w:pPr>
              <w:spacing w:line="400" w:lineRule="exact"/>
              <w:jc w:val="center"/>
              <w:rPr>
                <w:color w:val="000000" w:themeColor="text1"/>
                <w:highlight w:val="none"/>
                <w14:textFill>
                  <w14:solidFill>
                    <w14:schemeClr w14:val="tx1"/>
                  </w14:solidFill>
                </w14:textFill>
              </w:rPr>
            </w:pPr>
          </w:p>
        </w:tc>
        <w:tc>
          <w:tcPr>
            <w:tcW w:w="1285" w:type="dxa"/>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证书名称</w:t>
            </w:r>
          </w:p>
        </w:tc>
        <w:tc>
          <w:tcPr>
            <w:tcW w:w="904" w:type="dxa"/>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029" w:type="dxa"/>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证号</w:t>
            </w:r>
          </w:p>
        </w:tc>
        <w:tc>
          <w:tcPr>
            <w:tcW w:w="904" w:type="dxa"/>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45" w:type="dxa"/>
            <w:vMerge w:val="restart"/>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管</w:t>
            </w:r>
          </w:p>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理</w:t>
            </w:r>
          </w:p>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人</w:t>
            </w:r>
          </w:p>
          <w:p>
            <w:pPr>
              <w:spacing w:line="400" w:lineRule="exact"/>
              <w:jc w:val="center"/>
              <w:rPr>
                <w:color w:val="000000" w:themeColor="text1"/>
                <w:sz w:val="28"/>
                <w:highlight w:val="none"/>
                <w14:textFill>
                  <w14:solidFill>
                    <w14:schemeClr w14:val="tx1"/>
                  </w14:solidFill>
                </w14:textFill>
              </w:rPr>
            </w:pPr>
            <w:r>
              <w:rPr>
                <w:color w:val="000000" w:themeColor="text1"/>
                <w:highlight w:val="none"/>
                <w14:textFill>
                  <w14:solidFill>
                    <w14:schemeClr w14:val="tx1"/>
                  </w14:solidFill>
                </w14:textFill>
              </w:rPr>
              <w:t>员</w:t>
            </w:r>
          </w:p>
        </w:tc>
        <w:tc>
          <w:tcPr>
            <w:tcW w:w="985"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1285" w:type="dxa"/>
          </w:tcPr>
          <w:p>
            <w:pPr>
              <w:spacing w:line="400" w:lineRule="exact"/>
              <w:jc w:val="center"/>
              <w:rPr>
                <w:color w:val="000000" w:themeColor="text1"/>
                <w:sz w:val="28"/>
                <w:highlight w:val="none"/>
                <w14:textFill>
                  <w14:solidFill>
                    <w14:schemeClr w14:val="tx1"/>
                  </w14:solidFill>
                </w14:textFill>
              </w:rPr>
            </w:pPr>
          </w:p>
        </w:tc>
        <w:tc>
          <w:tcPr>
            <w:tcW w:w="904" w:type="dxa"/>
          </w:tcPr>
          <w:p>
            <w:pPr>
              <w:spacing w:line="400" w:lineRule="exact"/>
              <w:jc w:val="center"/>
              <w:rPr>
                <w:color w:val="000000" w:themeColor="text1"/>
                <w:sz w:val="28"/>
                <w:highlight w:val="none"/>
                <w14:textFill>
                  <w14:solidFill>
                    <w14:schemeClr w14:val="tx1"/>
                  </w14:solidFill>
                </w14:textFill>
              </w:rPr>
            </w:pPr>
          </w:p>
        </w:tc>
        <w:tc>
          <w:tcPr>
            <w:tcW w:w="1029" w:type="dxa"/>
          </w:tcPr>
          <w:p>
            <w:pPr>
              <w:spacing w:line="400" w:lineRule="exact"/>
              <w:jc w:val="center"/>
              <w:rPr>
                <w:color w:val="000000" w:themeColor="text1"/>
                <w:sz w:val="28"/>
                <w:highlight w:val="none"/>
                <w14:textFill>
                  <w14:solidFill>
                    <w14:schemeClr w14:val="tx1"/>
                  </w14:solidFill>
                </w14:textFill>
              </w:rPr>
            </w:pPr>
          </w:p>
        </w:tc>
        <w:tc>
          <w:tcPr>
            <w:tcW w:w="904" w:type="dxa"/>
          </w:tcPr>
          <w:p>
            <w:pPr>
              <w:spacing w:line="400" w:lineRule="exact"/>
              <w:jc w:val="center"/>
              <w:rPr>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continue"/>
          </w:tcPr>
          <w:p>
            <w:pPr>
              <w:spacing w:line="400" w:lineRule="exact"/>
              <w:jc w:val="center"/>
              <w:rPr>
                <w:color w:val="000000" w:themeColor="text1"/>
                <w:sz w:val="28"/>
                <w:highlight w:val="none"/>
                <w14:textFill>
                  <w14:solidFill>
                    <w14:schemeClr w14:val="tx1"/>
                  </w14:solidFill>
                </w14:textFill>
              </w:rPr>
            </w:pPr>
          </w:p>
        </w:tc>
        <w:tc>
          <w:tcPr>
            <w:tcW w:w="985"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1285" w:type="dxa"/>
          </w:tcPr>
          <w:p>
            <w:pPr>
              <w:spacing w:line="400" w:lineRule="exact"/>
              <w:jc w:val="center"/>
              <w:rPr>
                <w:color w:val="000000" w:themeColor="text1"/>
                <w:sz w:val="28"/>
                <w:highlight w:val="none"/>
                <w14:textFill>
                  <w14:solidFill>
                    <w14:schemeClr w14:val="tx1"/>
                  </w14:solidFill>
                </w14:textFill>
              </w:rPr>
            </w:pPr>
          </w:p>
        </w:tc>
        <w:tc>
          <w:tcPr>
            <w:tcW w:w="904" w:type="dxa"/>
          </w:tcPr>
          <w:p>
            <w:pPr>
              <w:spacing w:line="400" w:lineRule="exact"/>
              <w:jc w:val="center"/>
              <w:rPr>
                <w:color w:val="000000" w:themeColor="text1"/>
                <w:sz w:val="28"/>
                <w:highlight w:val="none"/>
                <w14:textFill>
                  <w14:solidFill>
                    <w14:schemeClr w14:val="tx1"/>
                  </w14:solidFill>
                </w14:textFill>
              </w:rPr>
            </w:pPr>
          </w:p>
        </w:tc>
        <w:tc>
          <w:tcPr>
            <w:tcW w:w="1029" w:type="dxa"/>
          </w:tcPr>
          <w:p>
            <w:pPr>
              <w:spacing w:line="400" w:lineRule="exact"/>
              <w:jc w:val="center"/>
              <w:rPr>
                <w:color w:val="000000" w:themeColor="text1"/>
                <w:sz w:val="28"/>
                <w:highlight w:val="none"/>
                <w14:textFill>
                  <w14:solidFill>
                    <w14:schemeClr w14:val="tx1"/>
                  </w14:solidFill>
                </w14:textFill>
              </w:rPr>
            </w:pPr>
          </w:p>
        </w:tc>
        <w:tc>
          <w:tcPr>
            <w:tcW w:w="904" w:type="dxa"/>
          </w:tcPr>
          <w:p>
            <w:pPr>
              <w:spacing w:line="400" w:lineRule="exact"/>
              <w:jc w:val="center"/>
              <w:rPr>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45" w:type="dxa"/>
            <w:vMerge w:val="continue"/>
          </w:tcPr>
          <w:p>
            <w:pPr>
              <w:spacing w:line="400" w:lineRule="exact"/>
              <w:jc w:val="center"/>
              <w:rPr>
                <w:color w:val="000000" w:themeColor="text1"/>
                <w:sz w:val="28"/>
                <w:highlight w:val="none"/>
                <w14:textFill>
                  <w14:solidFill>
                    <w14:schemeClr w14:val="tx1"/>
                  </w14:solidFill>
                </w14:textFill>
              </w:rPr>
            </w:pPr>
          </w:p>
        </w:tc>
        <w:tc>
          <w:tcPr>
            <w:tcW w:w="985"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1285" w:type="dxa"/>
          </w:tcPr>
          <w:p>
            <w:pPr>
              <w:spacing w:line="400" w:lineRule="exact"/>
              <w:jc w:val="center"/>
              <w:rPr>
                <w:color w:val="000000" w:themeColor="text1"/>
                <w:sz w:val="28"/>
                <w:highlight w:val="none"/>
                <w14:textFill>
                  <w14:solidFill>
                    <w14:schemeClr w14:val="tx1"/>
                  </w14:solidFill>
                </w14:textFill>
              </w:rPr>
            </w:pPr>
          </w:p>
        </w:tc>
        <w:tc>
          <w:tcPr>
            <w:tcW w:w="904" w:type="dxa"/>
          </w:tcPr>
          <w:p>
            <w:pPr>
              <w:spacing w:line="400" w:lineRule="exact"/>
              <w:jc w:val="center"/>
              <w:rPr>
                <w:color w:val="000000" w:themeColor="text1"/>
                <w:sz w:val="28"/>
                <w:highlight w:val="none"/>
                <w14:textFill>
                  <w14:solidFill>
                    <w14:schemeClr w14:val="tx1"/>
                  </w14:solidFill>
                </w14:textFill>
              </w:rPr>
            </w:pPr>
          </w:p>
        </w:tc>
        <w:tc>
          <w:tcPr>
            <w:tcW w:w="1029" w:type="dxa"/>
          </w:tcPr>
          <w:p>
            <w:pPr>
              <w:spacing w:line="400" w:lineRule="exact"/>
              <w:jc w:val="center"/>
              <w:rPr>
                <w:color w:val="000000" w:themeColor="text1"/>
                <w:sz w:val="28"/>
                <w:highlight w:val="none"/>
                <w14:textFill>
                  <w14:solidFill>
                    <w14:schemeClr w14:val="tx1"/>
                  </w14:solidFill>
                </w14:textFill>
              </w:rPr>
            </w:pPr>
          </w:p>
        </w:tc>
        <w:tc>
          <w:tcPr>
            <w:tcW w:w="904" w:type="dxa"/>
          </w:tcPr>
          <w:p>
            <w:pPr>
              <w:spacing w:line="400" w:lineRule="exact"/>
              <w:jc w:val="center"/>
              <w:rPr>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restart"/>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w:t>
            </w:r>
          </w:p>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术</w:t>
            </w:r>
          </w:p>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人</w:t>
            </w:r>
          </w:p>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员</w:t>
            </w:r>
          </w:p>
        </w:tc>
        <w:tc>
          <w:tcPr>
            <w:tcW w:w="985"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1285" w:type="dxa"/>
          </w:tcPr>
          <w:p>
            <w:pPr>
              <w:spacing w:line="400" w:lineRule="exact"/>
              <w:jc w:val="center"/>
              <w:rPr>
                <w:color w:val="000000" w:themeColor="text1"/>
                <w:sz w:val="28"/>
                <w:highlight w:val="none"/>
                <w14:textFill>
                  <w14:solidFill>
                    <w14:schemeClr w14:val="tx1"/>
                  </w14:solidFill>
                </w14:textFill>
              </w:rPr>
            </w:pPr>
          </w:p>
        </w:tc>
        <w:tc>
          <w:tcPr>
            <w:tcW w:w="904" w:type="dxa"/>
          </w:tcPr>
          <w:p>
            <w:pPr>
              <w:spacing w:line="400" w:lineRule="exact"/>
              <w:jc w:val="center"/>
              <w:rPr>
                <w:color w:val="000000" w:themeColor="text1"/>
                <w:sz w:val="28"/>
                <w:highlight w:val="none"/>
                <w14:textFill>
                  <w14:solidFill>
                    <w14:schemeClr w14:val="tx1"/>
                  </w14:solidFill>
                </w14:textFill>
              </w:rPr>
            </w:pPr>
          </w:p>
        </w:tc>
        <w:tc>
          <w:tcPr>
            <w:tcW w:w="1029" w:type="dxa"/>
          </w:tcPr>
          <w:p>
            <w:pPr>
              <w:spacing w:line="400" w:lineRule="exact"/>
              <w:jc w:val="center"/>
              <w:rPr>
                <w:color w:val="000000" w:themeColor="text1"/>
                <w:sz w:val="28"/>
                <w:highlight w:val="none"/>
                <w14:textFill>
                  <w14:solidFill>
                    <w14:schemeClr w14:val="tx1"/>
                  </w14:solidFill>
                </w14:textFill>
              </w:rPr>
            </w:pPr>
          </w:p>
        </w:tc>
        <w:tc>
          <w:tcPr>
            <w:tcW w:w="904" w:type="dxa"/>
          </w:tcPr>
          <w:p>
            <w:pPr>
              <w:spacing w:line="400" w:lineRule="exact"/>
              <w:jc w:val="center"/>
              <w:rPr>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45" w:type="dxa"/>
            <w:vMerge w:val="continue"/>
          </w:tcPr>
          <w:p>
            <w:pPr>
              <w:spacing w:line="400" w:lineRule="exact"/>
              <w:jc w:val="center"/>
              <w:rPr>
                <w:color w:val="000000" w:themeColor="text1"/>
                <w:highlight w:val="none"/>
                <w14:textFill>
                  <w14:solidFill>
                    <w14:schemeClr w14:val="tx1"/>
                  </w14:solidFill>
                </w14:textFill>
              </w:rPr>
            </w:pPr>
          </w:p>
        </w:tc>
        <w:tc>
          <w:tcPr>
            <w:tcW w:w="985"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1285" w:type="dxa"/>
          </w:tcPr>
          <w:p>
            <w:pPr>
              <w:spacing w:line="400" w:lineRule="exact"/>
              <w:jc w:val="center"/>
              <w:rPr>
                <w:color w:val="000000" w:themeColor="text1"/>
                <w:sz w:val="28"/>
                <w:highlight w:val="none"/>
                <w14:textFill>
                  <w14:solidFill>
                    <w14:schemeClr w14:val="tx1"/>
                  </w14:solidFill>
                </w14:textFill>
              </w:rPr>
            </w:pPr>
          </w:p>
        </w:tc>
        <w:tc>
          <w:tcPr>
            <w:tcW w:w="904" w:type="dxa"/>
          </w:tcPr>
          <w:p>
            <w:pPr>
              <w:spacing w:line="400" w:lineRule="exact"/>
              <w:jc w:val="center"/>
              <w:rPr>
                <w:color w:val="000000" w:themeColor="text1"/>
                <w:sz w:val="28"/>
                <w:highlight w:val="none"/>
                <w14:textFill>
                  <w14:solidFill>
                    <w14:schemeClr w14:val="tx1"/>
                  </w14:solidFill>
                </w14:textFill>
              </w:rPr>
            </w:pPr>
          </w:p>
        </w:tc>
        <w:tc>
          <w:tcPr>
            <w:tcW w:w="1029" w:type="dxa"/>
          </w:tcPr>
          <w:p>
            <w:pPr>
              <w:spacing w:line="400" w:lineRule="exact"/>
              <w:jc w:val="center"/>
              <w:rPr>
                <w:color w:val="000000" w:themeColor="text1"/>
                <w:sz w:val="28"/>
                <w:highlight w:val="none"/>
                <w14:textFill>
                  <w14:solidFill>
                    <w14:schemeClr w14:val="tx1"/>
                  </w14:solidFill>
                </w14:textFill>
              </w:rPr>
            </w:pPr>
          </w:p>
        </w:tc>
        <w:tc>
          <w:tcPr>
            <w:tcW w:w="904" w:type="dxa"/>
          </w:tcPr>
          <w:p>
            <w:pPr>
              <w:spacing w:line="400" w:lineRule="exact"/>
              <w:jc w:val="center"/>
              <w:rPr>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continue"/>
          </w:tcPr>
          <w:p>
            <w:pPr>
              <w:spacing w:line="400" w:lineRule="exact"/>
              <w:jc w:val="center"/>
              <w:rPr>
                <w:color w:val="000000" w:themeColor="text1"/>
                <w:highlight w:val="none"/>
                <w14:textFill>
                  <w14:solidFill>
                    <w14:schemeClr w14:val="tx1"/>
                  </w14:solidFill>
                </w14:textFill>
              </w:rPr>
            </w:pPr>
          </w:p>
        </w:tc>
        <w:tc>
          <w:tcPr>
            <w:tcW w:w="985"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1285" w:type="dxa"/>
          </w:tcPr>
          <w:p>
            <w:pPr>
              <w:spacing w:line="400" w:lineRule="exact"/>
              <w:jc w:val="center"/>
              <w:rPr>
                <w:color w:val="000000" w:themeColor="text1"/>
                <w:sz w:val="28"/>
                <w:highlight w:val="none"/>
                <w14:textFill>
                  <w14:solidFill>
                    <w14:schemeClr w14:val="tx1"/>
                  </w14:solidFill>
                </w14:textFill>
              </w:rPr>
            </w:pPr>
          </w:p>
        </w:tc>
        <w:tc>
          <w:tcPr>
            <w:tcW w:w="904" w:type="dxa"/>
          </w:tcPr>
          <w:p>
            <w:pPr>
              <w:spacing w:line="400" w:lineRule="exact"/>
              <w:jc w:val="center"/>
              <w:rPr>
                <w:color w:val="000000" w:themeColor="text1"/>
                <w:sz w:val="28"/>
                <w:highlight w:val="none"/>
                <w14:textFill>
                  <w14:solidFill>
                    <w14:schemeClr w14:val="tx1"/>
                  </w14:solidFill>
                </w14:textFill>
              </w:rPr>
            </w:pPr>
          </w:p>
        </w:tc>
        <w:tc>
          <w:tcPr>
            <w:tcW w:w="1029" w:type="dxa"/>
          </w:tcPr>
          <w:p>
            <w:pPr>
              <w:spacing w:line="400" w:lineRule="exact"/>
              <w:jc w:val="center"/>
              <w:rPr>
                <w:color w:val="000000" w:themeColor="text1"/>
                <w:sz w:val="28"/>
                <w:highlight w:val="none"/>
                <w14:textFill>
                  <w14:solidFill>
                    <w14:schemeClr w14:val="tx1"/>
                  </w14:solidFill>
                </w14:textFill>
              </w:rPr>
            </w:pPr>
          </w:p>
        </w:tc>
        <w:tc>
          <w:tcPr>
            <w:tcW w:w="904" w:type="dxa"/>
          </w:tcPr>
          <w:p>
            <w:pPr>
              <w:spacing w:line="400" w:lineRule="exact"/>
              <w:jc w:val="center"/>
              <w:rPr>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45" w:type="dxa"/>
            <w:vMerge w:val="restart"/>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售后</w:t>
            </w:r>
          </w:p>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服务</w:t>
            </w:r>
          </w:p>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人员</w:t>
            </w:r>
          </w:p>
        </w:tc>
        <w:tc>
          <w:tcPr>
            <w:tcW w:w="985"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color w:val="000000" w:themeColor="text1"/>
                <w:sz w:val="28"/>
                <w:highlight w:val="none"/>
                <w14:textFill>
                  <w14:solidFill>
                    <w14:schemeClr w14:val="tx1"/>
                  </w14:solidFill>
                </w14:textFill>
              </w:rPr>
            </w:pPr>
          </w:p>
        </w:tc>
        <w:tc>
          <w:tcPr>
            <w:tcW w:w="1285" w:type="dxa"/>
          </w:tcPr>
          <w:p>
            <w:pPr>
              <w:spacing w:line="400" w:lineRule="exact"/>
              <w:jc w:val="center"/>
              <w:rPr>
                <w:color w:val="000000" w:themeColor="text1"/>
                <w:sz w:val="28"/>
                <w:highlight w:val="none"/>
                <w14:textFill>
                  <w14:solidFill>
                    <w14:schemeClr w14:val="tx1"/>
                  </w14:solidFill>
                </w14:textFill>
              </w:rPr>
            </w:pPr>
          </w:p>
        </w:tc>
        <w:tc>
          <w:tcPr>
            <w:tcW w:w="904" w:type="dxa"/>
          </w:tcPr>
          <w:p>
            <w:pPr>
              <w:spacing w:line="400" w:lineRule="exact"/>
              <w:jc w:val="center"/>
              <w:rPr>
                <w:color w:val="000000" w:themeColor="text1"/>
                <w:sz w:val="28"/>
                <w:highlight w:val="none"/>
                <w14:textFill>
                  <w14:solidFill>
                    <w14:schemeClr w14:val="tx1"/>
                  </w14:solidFill>
                </w14:textFill>
              </w:rPr>
            </w:pPr>
          </w:p>
        </w:tc>
        <w:tc>
          <w:tcPr>
            <w:tcW w:w="1029" w:type="dxa"/>
          </w:tcPr>
          <w:p>
            <w:pPr>
              <w:spacing w:line="400" w:lineRule="exact"/>
              <w:jc w:val="center"/>
              <w:rPr>
                <w:color w:val="000000" w:themeColor="text1"/>
                <w:sz w:val="28"/>
                <w:highlight w:val="none"/>
                <w14:textFill>
                  <w14:solidFill>
                    <w14:schemeClr w14:val="tx1"/>
                  </w14:solidFill>
                </w14:textFill>
              </w:rPr>
            </w:pPr>
          </w:p>
        </w:tc>
        <w:tc>
          <w:tcPr>
            <w:tcW w:w="904" w:type="dxa"/>
          </w:tcPr>
          <w:p>
            <w:pPr>
              <w:spacing w:line="400" w:lineRule="exact"/>
              <w:jc w:val="center"/>
              <w:rPr>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continue"/>
          </w:tcPr>
          <w:p>
            <w:pPr>
              <w:spacing w:line="400" w:lineRule="exact"/>
              <w:jc w:val="center"/>
              <w:rPr>
                <w:color w:val="000000" w:themeColor="text1"/>
                <w:sz w:val="28"/>
                <w:highlight w:val="none"/>
                <w14:textFill>
                  <w14:solidFill>
                    <w14:schemeClr w14:val="tx1"/>
                  </w14:solidFill>
                </w14:textFill>
              </w:rPr>
            </w:pPr>
          </w:p>
        </w:tc>
        <w:tc>
          <w:tcPr>
            <w:tcW w:w="985"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b/>
                <w:bCs/>
                <w:color w:val="000000" w:themeColor="text1"/>
                <w:sz w:val="28"/>
                <w:highlight w:val="none"/>
                <w14:textFill>
                  <w14:solidFill>
                    <w14:schemeClr w14:val="tx1"/>
                  </w14:solidFill>
                </w14:textFill>
              </w:rPr>
            </w:pPr>
          </w:p>
        </w:tc>
        <w:tc>
          <w:tcPr>
            <w:tcW w:w="986" w:type="dxa"/>
          </w:tcPr>
          <w:p>
            <w:pPr>
              <w:spacing w:line="400" w:lineRule="exact"/>
              <w:jc w:val="center"/>
              <w:rPr>
                <w:b/>
                <w:bCs/>
                <w:color w:val="000000" w:themeColor="text1"/>
                <w:sz w:val="28"/>
                <w:highlight w:val="none"/>
                <w14:textFill>
                  <w14:solidFill>
                    <w14:schemeClr w14:val="tx1"/>
                  </w14:solidFill>
                </w14:textFill>
              </w:rPr>
            </w:pPr>
          </w:p>
        </w:tc>
        <w:tc>
          <w:tcPr>
            <w:tcW w:w="986" w:type="dxa"/>
          </w:tcPr>
          <w:p>
            <w:pPr>
              <w:spacing w:line="400" w:lineRule="exact"/>
              <w:jc w:val="center"/>
              <w:rPr>
                <w:b/>
                <w:bCs/>
                <w:color w:val="000000" w:themeColor="text1"/>
                <w:sz w:val="28"/>
                <w:highlight w:val="none"/>
                <w14:textFill>
                  <w14:solidFill>
                    <w14:schemeClr w14:val="tx1"/>
                  </w14:solidFill>
                </w14:textFill>
              </w:rPr>
            </w:pPr>
          </w:p>
        </w:tc>
        <w:tc>
          <w:tcPr>
            <w:tcW w:w="1285" w:type="dxa"/>
          </w:tcPr>
          <w:p>
            <w:pPr>
              <w:spacing w:line="400" w:lineRule="exact"/>
              <w:jc w:val="center"/>
              <w:rPr>
                <w:b/>
                <w:bCs/>
                <w:color w:val="000000" w:themeColor="text1"/>
                <w:sz w:val="28"/>
                <w:highlight w:val="none"/>
                <w14:textFill>
                  <w14:solidFill>
                    <w14:schemeClr w14:val="tx1"/>
                  </w14:solidFill>
                </w14:textFill>
              </w:rPr>
            </w:pPr>
          </w:p>
        </w:tc>
        <w:tc>
          <w:tcPr>
            <w:tcW w:w="904" w:type="dxa"/>
          </w:tcPr>
          <w:p>
            <w:pPr>
              <w:spacing w:line="400" w:lineRule="exact"/>
              <w:jc w:val="center"/>
              <w:rPr>
                <w:b/>
                <w:bCs/>
                <w:color w:val="000000" w:themeColor="text1"/>
                <w:sz w:val="28"/>
                <w:highlight w:val="none"/>
                <w14:textFill>
                  <w14:solidFill>
                    <w14:schemeClr w14:val="tx1"/>
                  </w14:solidFill>
                </w14:textFill>
              </w:rPr>
            </w:pPr>
          </w:p>
        </w:tc>
        <w:tc>
          <w:tcPr>
            <w:tcW w:w="1029" w:type="dxa"/>
          </w:tcPr>
          <w:p>
            <w:pPr>
              <w:spacing w:line="400" w:lineRule="exact"/>
              <w:jc w:val="center"/>
              <w:rPr>
                <w:b/>
                <w:bCs/>
                <w:color w:val="000000" w:themeColor="text1"/>
                <w:sz w:val="28"/>
                <w:highlight w:val="none"/>
                <w14:textFill>
                  <w14:solidFill>
                    <w14:schemeClr w14:val="tx1"/>
                  </w14:solidFill>
                </w14:textFill>
              </w:rPr>
            </w:pPr>
          </w:p>
        </w:tc>
        <w:tc>
          <w:tcPr>
            <w:tcW w:w="904" w:type="dxa"/>
          </w:tcPr>
          <w:p>
            <w:pPr>
              <w:spacing w:line="400" w:lineRule="exact"/>
              <w:jc w:val="center"/>
              <w:rPr>
                <w:b/>
                <w:bCs/>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45" w:type="dxa"/>
            <w:vMerge w:val="continue"/>
          </w:tcPr>
          <w:p>
            <w:pPr>
              <w:spacing w:line="400" w:lineRule="exact"/>
              <w:jc w:val="center"/>
              <w:rPr>
                <w:color w:val="000000" w:themeColor="text1"/>
                <w:sz w:val="28"/>
                <w:highlight w:val="none"/>
                <w14:textFill>
                  <w14:solidFill>
                    <w14:schemeClr w14:val="tx1"/>
                  </w14:solidFill>
                </w14:textFill>
              </w:rPr>
            </w:pPr>
          </w:p>
        </w:tc>
        <w:tc>
          <w:tcPr>
            <w:tcW w:w="985" w:type="dxa"/>
          </w:tcPr>
          <w:p>
            <w:pPr>
              <w:spacing w:line="400" w:lineRule="exact"/>
              <w:jc w:val="center"/>
              <w:rPr>
                <w:color w:val="000000" w:themeColor="text1"/>
                <w:sz w:val="28"/>
                <w:highlight w:val="none"/>
                <w14:textFill>
                  <w14:solidFill>
                    <w14:schemeClr w14:val="tx1"/>
                  </w14:solidFill>
                </w14:textFill>
              </w:rPr>
            </w:pPr>
          </w:p>
        </w:tc>
        <w:tc>
          <w:tcPr>
            <w:tcW w:w="986" w:type="dxa"/>
          </w:tcPr>
          <w:p>
            <w:pPr>
              <w:spacing w:line="400" w:lineRule="exact"/>
              <w:jc w:val="center"/>
              <w:rPr>
                <w:b/>
                <w:bCs/>
                <w:color w:val="000000" w:themeColor="text1"/>
                <w:sz w:val="28"/>
                <w:highlight w:val="none"/>
                <w14:textFill>
                  <w14:solidFill>
                    <w14:schemeClr w14:val="tx1"/>
                  </w14:solidFill>
                </w14:textFill>
              </w:rPr>
            </w:pPr>
          </w:p>
        </w:tc>
        <w:tc>
          <w:tcPr>
            <w:tcW w:w="986" w:type="dxa"/>
          </w:tcPr>
          <w:p>
            <w:pPr>
              <w:spacing w:line="400" w:lineRule="exact"/>
              <w:jc w:val="center"/>
              <w:rPr>
                <w:b/>
                <w:bCs/>
                <w:color w:val="000000" w:themeColor="text1"/>
                <w:sz w:val="28"/>
                <w:highlight w:val="none"/>
                <w14:textFill>
                  <w14:solidFill>
                    <w14:schemeClr w14:val="tx1"/>
                  </w14:solidFill>
                </w14:textFill>
              </w:rPr>
            </w:pPr>
          </w:p>
        </w:tc>
        <w:tc>
          <w:tcPr>
            <w:tcW w:w="986" w:type="dxa"/>
          </w:tcPr>
          <w:p>
            <w:pPr>
              <w:spacing w:line="400" w:lineRule="exact"/>
              <w:jc w:val="center"/>
              <w:rPr>
                <w:b/>
                <w:bCs/>
                <w:color w:val="000000" w:themeColor="text1"/>
                <w:sz w:val="28"/>
                <w:highlight w:val="none"/>
                <w14:textFill>
                  <w14:solidFill>
                    <w14:schemeClr w14:val="tx1"/>
                  </w14:solidFill>
                </w14:textFill>
              </w:rPr>
            </w:pPr>
          </w:p>
        </w:tc>
        <w:tc>
          <w:tcPr>
            <w:tcW w:w="1285" w:type="dxa"/>
          </w:tcPr>
          <w:p>
            <w:pPr>
              <w:spacing w:line="400" w:lineRule="exact"/>
              <w:jc w:val="center"/>
              <w:rPr>
                <w:b/>
                <w:bCs/>
                <w:color w:val="000000" w:themeColor="text1"/>
                <w:sz w:val="28"/>
                <w:highlight w:val="none"/>
                <w14:textFill>
                  <w14:solidFill>
                    <w14:schemeClr w14:val="tx1"/>
                  </w14:solidFill>
                </w14:textFill>
              </w:rPr>
            </w:pPr>
          </w:p>
        </w:tc>
        <w:tc>
          <w:tcPr>
            <w:tcW w:w="904" w:type="dxa"/>
          </w:tcPr>
          <w:p>
            <w:pPr>
              <w:spacing w:line="400" w:lineRule="exact"/>
              <w:jc w:val="center"/>
              <w:rPr>
                <w:b/>
                <w:bCs/>
                <w:color w:val="000000" w:themeColor="text1"/>
                <w:sz w:val="28"/>
                <w:highlight w:val="none"/>
                <w14:textFill>
                  <w14:solidFill>
                    <w14:schemeClr w14:val="tx1"/>
                  </w14:solidFill>
                </w14:textFill>
              </w:rPr>
            </w:pPr>
          </w:p>
        </w:tc>
        <w:tc>
          <w:tcPr>
            <w:tcW w:w="1029" w:type="dxa"/>
          </w:tcPr>
          <w:p>
            <w:pPr>
              <w:spacing w:line="400" w:lineRule="exact"/>
              <w:jc w:val="center"/>
              <w:rPr>
                <w:b/>
                <w:bCs/>
                <w:color w:val="000000" w:themeColor="text1"/>
                <w:sz w:val="28"/>
                <w:highlight w:val="none"/>
                <w14:textFill>
                  <w14:solidFill>
                    <w14:schemeClr w14:val="tx1"/>
                  </w14:solidFill>
                </w14:textFill>
              </w:rPr>
            </w:pPr>
          </w:p>
        </w:tc>
        <w:tc>
          <w:tcPr>
            <w:tcW w:w="904" w:type="dxa"/>
          </w:tcPr>
          <w:p>
            <w:pPr>
              <w:spacing w:line="400" w:lineRule="exact"/>
              <w:jc w:val="center"/>
              <w:rPr>
                <w:b/>
                <w:bCs/>
                <w:color w:val="000000" w:themeColor="text1"/>
                <w:sz w:val="28"/>
                <w:highlight w:val="none"/>
                <w14:textFill>
                  <w14:solidFill>
                    <w14:schemeClr w14:val="tx1"/>
                  </w14:solidFill>
                </w14:textFill>
              </w:rPr>
            </w:pPr>
          </w:p>
        </w:tc>
      </w:tr>
    </w:tbl>
    <w:p>
      <w:pPr>
        <w:spacing w:line="400" w:lineRule="exact"/>
        <w:jc w:val="center"/>
        <w:rPr>
          <w:b/>
          <w:bCs/>
          <w:color w:val="000000" w:themeColor="text1"/>
          <w:sz w:val="28"/>
          <w:highlight w:val="none"/>
          <w14:textFill>
            <w14:solidFill>
              <w14:schemeClr w14:val="tx1"/>
            </w14:solidFill>
          </w14:textFill>
        </w:rPr>
      </w:pPr>
    </w:p>
    <w:p>
      <w:pPr>
        <w:spacing w:line="400" w:lineRule="exact"/>
        <w:jc w:val="center"/>
        <w:rPr>
          <w:b/>
          <w:bCs/>
          <w:color w:val="000000" w:themeColor="text1"/>
          <w:sz w:val="28"/>
          <w:highlight w:val="none"/>
          <w14:textFill>
            <w14:solidFill>
              <w14:schemeClr w14:val="tx1"/>
            </w14:solidFill>
          </w14:textFill>
        </w:rPr>
      </w:pPr>
    </w:p>
    <w:p>
      <w:pPr>
        <w:spacing w:line="400" w:lineRule="exact"/>
        <w:jc w:val="center"/>
        <w:rPr>
          <w:b/>
          <w:bCs/>
          <w:color w:val="000000" w:themeColor="text1"/>
          <w:sz w:val="28"/>
          <w:highlight w:val="none"/>
          <w14:textFill>
            <w14:solidFill>
              <w14:schemeClr w14:val="tx1"/>
            </w14:solidFill>
          </w14:textFill>
        </w:rPr>
      </w:pPr>
    </w:p>
    <w:p>
      <w:pPr>
        <w:spacing w:line="400" w:lineRule="exact"/>
        <w:jc w:val="center"/>
        <w:rPr>
          <w:b/>
          <w:bCs/>
          <w:color w:val="000000" w:themeColor="text1"/>
          <w:sz w:val="28"/>
          <w:highlight w:val="none"/>
          <w14:textFill>
            <w14:solidFill>
              <w14:schemeClr w14:val="tx1"/>
            </w14:solidFill>
          </w14:textFill>
        </w:rPr>
      </w:pPr>
    </w:p>
    <w:p>
      <w:pPr>
        <w:spacing w:line="400" w:lineRule="exact"/>
        <w:jc w:val="center"/>
        <w:rPr>
          <w:b/>
          <w:bCs/>
          <w:color w:val="000000" w:themeColor="text1"/>
          <w:sz w:val="28"/>
          <w:highlight w:val="none"/>
          <w14:textFill>
            <w14:solidFill>
              <w14:schemeClr w14:val="tx1"/>
            </w14:solidFill>
          </w14:textFill>
        </w:rPr>
      </w:pPr>
    </w:p>
    <w:p>
      <w:pPr>
        <w:adjustRightInd w:val="0"/>
        <w:spacing w:line="400" w:lineRule="exact"/>
        <w:ind w:firstLine="900" w:firstLineChars="375"/>
        <w:jc w:val="lef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投标人名称：        （盖章）</w:t>
      </w:r>
    </w:p>
    <w:p>
      <w:pPr>
        <w:adjustRightInd w:val="0"/>
        <w:spacing w:line="400" w:lineRule="exact"/>
        <w:ind w:firstLine="900" w:firstLineChars="375"/>
        <w:jc w:val="left"/>
        <w:rPr>
          <w:b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法定代表人或授权代表（签字或盖章）</w:t>
      </w:r>
      <w:r>
        <w:rPr>
          <w:bCs/>
          <w:color w:val="000000" w:themeColor="text1"/>
          <w:sz w:val="24"/>
          <w:szCs w:val="24"/>
          <w:highlight w:val="none"/>
          <w14:textFill>
            <w14:solidFill>
              <w14:schemeClr w14:val="tx1"/>
            </w14:solidFill>
          </w14:textFill>
        </w:rPr>
        <w:t>：</w:t>
      </w:r>
    </w:p>
    <w:p>
      <w:pPr>
        <w:adjustRightInd w:val="0"/>
        <w:spacing w:line="400" w:lineRule="exact"/>
        <w:ind w:firstLine="900" w:firstLineChars="375"/>
        <w:jc w:val="lef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投标日期:</w:t>
      </w:r>
    </w:p>
    <w:p>
      <w:pPr>
        <w:spacing w:line="400" w:lineRule="exact"/>
        <w:ind w:firstLine="480" w:firstLineChars="200"/>
        <w:rPr>
          <w:color w:val="000000" w:themeColor="text1"/>
          <w:sz w:val="24"/>
          <w:szCs w:val="24"/>
          <w:highlight w:val="none"/>
          <w14:textFill>
            <w14:solidFill>
              <w14:schemeClr w14:val="tx1"/>
            </w14:solidFill>
          </w14:textFill>
        </w:rPr>
      </w:pPr>
    </w:p>
    <w:p>
      <w:pPr>
        <w:spacing w:line="400" w:lineRule="exact"/>
        <w:ind w:firstLine="480" w:firstLineChars="200"/>
        <w:rPr>
          <w:color w:val="000000" w:themeColor="text1"/>
          <w:sz w:val="24"/>
          <w:szCs w:val="24"/>
          <w:highlight w:val="none"/>
          <w14:textFill>
            <w14:solidFill>
              <w14:schemeClr w14:val="tx1"/>
            </w14:solidFill>
          </w14:textFill>
        </w:rPr>
      </w:pPr>
    </w:p>
    <w:p>
      <w:pPr>
        <w:spacing w:line="400" w:lineRule="exact"/>
        <w:ind w:firstLine="480" w:firstLineChars="200"/>
        <w:rPr>
          <w:color w:val="000000" w:themeColor="text1"/>
          <w:sz w:val="24"/>
          <w:szCs w:val="24"/>
          <w:highlight w:val="none"/>
          <w14:textFill>
            <w14:solidFill>
              <w14:schemeClr w14:val="tx1"/>
            </w14:solidFill>
          </w14:textFill>
        </w:rPr>
      </w:pPr>
    </w:p>
    <w:p>
      <w:pPr>
        <w:spacing w:line="400" w:lineRule="exact"/>
        <w:ind w:firstLine="480" w:firstLineChars="200"/>
        <w:rPr>
          <w:color w:val="000000" w:themeColor="text1"/>
          <w:sz w:val="24"/>
          <w:szCs w:val="24"/>
          <w:highlight w:val="none"/>
          <w14:textFill>
            <w14:solidFill>
              <w14:schemeClr w14:val="tx1"/>
            </w14:solidFill>
          </w14:textFill>
        </w:rPr>
      </w:pPr>
    </w:p>
    <w:p>
      <w:pPr>
        <w:spacing w:line="400" w:lineRule="exact"/>
        <w:ind w:firstLine="480" w:firstLineChars="200"/>
        <w:rPr>
          <w:color w:val="000000" w:themeColor="text1"/>
          <w:sz w:val="24"/>
          <w:szCs w:val="24"/>
          <w:highlight w:val="none"/>
          <w14:textFill>
            <w14:solidFill>
              <w14:schemeClr w14:val="tx1"/>
            </w14:solidFill>
          </w14:textFill>
        </w:rPr>
      </w:pPr>
    </w:p>
    <w:p>
      <w:pPr>
        <w:spacing w:line="400" w:lineRule="exact"/>
        <w:ind w:firstLine="480" w:firstLineChars="200"/>
        <w:rPr>
          <w:color w:val="000000" w:themeColor="text1"/>
          <w:sz w:val="24"/>
          <w:szCs w:val="24"/>
          <w:highlight w:val="none"/>
          <w14:textFill>
            <w14:solidFill>
              <w14:schemeClr w14:val="tx1"/>
            </w14:solidFill>
          </w14:textFill>
        </w:rPr>
      </w:pPr>
    </w:p>
    <w:bookmarkEnd w:id="103"/>
    <w:p>
      <w:pPr>
        <w:numPr>
          <w:ilvl w:val="0"/>
          <w:numId w:val="11"/>
        </w:numPr>
        <w:jc w:val="center"/>
        <w:rPr>
          <w:b/>
          <w:bCs/>
          <w:color w:val="000000" w:themeColor="text1"/>
          <w:sz w:val="30"/>
          <w:szCs w:val="30"/>
          <w:highlight w:val="none"/>
          <w14:textFill>
            <w14:solidFill>
              <w14:schemeClr w14:val="tx1"/>
            </w14:solidFill>
          </w14:textFill>
        </w:rPr>
      </w:pPr>
      <w:bookmarkStart w:id="104" w:name="_Toc6995"/>
      <w:bookmarkStart w:id="105" w:name="_Toc4819"/>
      <w:r>
        <w:rPr>
          <w:b/>
          <w:bCs/>
          <w:color w:val="000000" w:themeColor="text1"/>
          <w:sz w:val="30"/>
          <w:szCs w:val="30"/>
          <w:highlight w:val="none"/>
          <w14:textFill>
            <w14:solidFill>
              <w14:schemeClr w14:val="tx1"/>
            </w14:solidFill>
          </w14:textFill>
        </w:rPr>
        <w:t>技术资料</w:t>
      </w:r>
      <w:bookmarkEnd w:id="104"/>
      <w:bookmarkEnd w:id="105"/>
    </w:p>
    <w:p>
      <w:pPr>
        <w:spacing w:line="360" w:lineRule="auto"/>
        <w:rPr>
          <w:b/>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货物说明包括：</w:t>
      </w:r>
    </w:p>
    <w:p>
      <w:pPr>
        <w:numPr>
          <w:ilvl w:val="0"/>
          <w:numId w:val="14"/>
        </w:numPr>
        <w:tabs>
          <w:tab w:val="left" w:pos="630"/>
        </w:tabs>
        <w:autoSpaceDE w:val="0"/>
        <w:autoSpaceDN w:val="0"/>
        <w:adjustRightInd w:val="0"/>
        <w:snapToGrid w:val="0"/>
        <w:spacing w:line="520" w:lineRule="exact"/>
        <w:ind w:firstLine="480" w:firstLineChars="200"/>
        <w:jc w:val="left"/>
        <w:rPr>
          <w:rFonts w:eastAsia="新宋体"/>
          <w:color w:val="000000" w:themeColor="text1"/>
          <w:kern w:val="0"/>
          <w:sz w:val="24"/>
          <w:highlight w:val="none"/>
          <w14:textFill>
            <w14:solidFill>
              <w14:schemeClr w14:val="tx1"/>
            </w14:solidFill>
          </w14:textFill>
        </w:rPr>
      </w:pPr>
      <w:r>
        <w:rPr>
          <w:rFonts w:eastAsia="新宋体"/>
          <w:color w:val="000000" w:themeColor="text1"/>
          <w:kern w:val="0"/>
          <w:sz w:val="24"/>
          <w:highlight w:val="none"/>
          <w14:textFill>
            <w14:solidFill>
              <w14:schemeClr w14:val="tx1"/>
            </w14:solidFill>
          </w14:textFill>
        </w:rPr>
        <w:t>货物名称、型号、规格、数量、技术性能、特点</w:t>
      </w:r>
    </w:p>
    <w:p>
      <w:pPr>
        <w:numPr>
          <w:ilvl w:val="0"/>
          <w:numId w:val="14"/>
        </w:numPr>
        <w:tabs>
          <w:tab w:val="left" w:pos="630"/>
        </w:tabs>
        <w:autoSpaceDE w:val="0"/>
        <w:autoSpaceDN w:val="0"/>
        <w:adjustRightInd w:val="0"/>
        <w:snapToGrid w:val="0"/>
        <w:spacing w:line="520" w:lineRule="exact"/>
        <w:ind w:firstLine="480" w:firstLineChars="200"/>
        <w:jc w:val="left"/>
        <w:rPr>
          <w:rFonts w:eastAsia="新宋体"/>
          <w:color w:val="000000" w:themeColor="text1"/>
          <w:kern w:val="0"/>
          <w:sz w:val="24"/>
          <w:szCs w:val="22"/>
          <w:highlight w:val="none"/>
          <w14:textFill>
            <w14:solidFill>
              <w14:schemeClr w14:val="tx1"/>
            </w14:solidFill>
          </w14:textFill>
        </w:rPr>
      </w:pPr>
      <w:r>
        <w:rPr>
          <w:rFonts w:eastAsia="新宋体"/>
          <w:color w:val="000000" w:themeColor="text1"/>
          <w:kern w:val="0"/>
          <w:sz w:val="24"/>
          <w:szCs w:val="22"/>
          <w:highlight w:val="none"/>
          <w14:textFill>
            <w14:solidFill>
              <w14:schemeClr w14:val="tx1"/>
            </w14:solidFill>
          </w14:textFill>
        </w:rPr>
        <w:t>质保期</w:t>
      </w:r>
    </w:p>
    <w:p>
      <w:pPr>
        <w:numPr>
          <w:ilvl w:val="0"/>
          <w:numId w:val="14"/>
        </w:numPr>
        <w:tabs>
          <w:tab w:val="left" w:pos="630"/>
        </w:tabs>
        <w:autoSpaceDE w:val="0"/>
        <w:autoSpaceDN w:val="0"/>
        <w:adjustRightInd w:val="0"/>
        <w:snapToGrid w:val="0"/>
        <w:spacing w:line="520" w:lineRule="exact"/>
        <w:ind w:firstLine="480" w:firstLineChars="200"/>
        <w:jc w:val="left"/>
        <w:rPr>
          <w:rFonts w:eastAsia="新宋体"/>
          <w:color w:val="000000" w:themeColor="text1"/>
          <w:kern w:val="0"/>
          <w:sz w:val="24"/>
          <w:szCs w:val="22"/>
          <w:highlight w:val="none"/>
          <w14:textFill>
            <w14:solidFill>
              <w14:schemeClr w14:val="tx1"/>
            </w14:solidFill>
          </w14:textFill>
        </w:rPr>
      </w:pPr>
      <w:r>
        <w:rPr>
          <w:rFonts w:eastAsia="新宋体"/>
          <w:color w:val="000000" w:themeColor="text1"/>
          <w:kern w:val="0"/>
          <w:sz w:val="24"/>
          <w:szCs w:val="22"/>
          <w:highlight w:val="none"/>
          <w14:textFill>
            <w14:solidFill>
              <w14:schemeClr w14:val="tx1"/>
            </w14:solidFill>
          </w14:textFill>
        </w:rPr>
        <w:t>供货范围</w:t>
      </w:r>
    </w:p>
    <w:p>
      <w:pPr>
        <w:numPr>
          <w:ilvl w:val="0"/>
          <w:numId w:val="14"/>
        </w:numPr>
        <w:tabs>
          <w:tab w:val="left" w:pos="630"/>
        </w:tabs>
        <w:autoSpaceDE w:val="0"/>
        <w:autoSpaceDN w:val="0"/>
        <w:adjustRightInd w:val="0"/>
        <w:snapToGrid w:val="0"/>
        <w:spacing w:line="520" w:lineRule="exact"/>
        <w:ind w:firstLine="480" w:firstLineChars="200"/>
        <w:jc w:val="left"/>
        <w:rPr>
          <w:rFonts w:eastAsia="新宋体"/>
          <w:color w:val="000000" w:themeColor="text1"/>
          <w:kern w:val="0"/>
          <w:sz w:val="24"/>
          <w:szCs w:val="22"/>
          <w:highlight w:val="none"/>
          <w14:textFill>
            <w14:solidFill>
              <w14:schemeClr w14:val="tx1"/>
            </w14:solidFill>
          </w14:textFill>
        </w:rPr>
      </w:pPr>
      <w:r>
        <w:rPr>
          <w:rFonts w:eastAsia="新宋体"/>
          <w:color w:val="000000" w:themeColor="text1"/>
          <w:kern w:val="0"/>
          <w:sz w:val="24"/>
          <w:szCs w:val="22"/>
          <w:highlight w:val="none"/>
          <w14:textFill>
            <w14:solidFill>
              <w14:schemeClr w14:val="tx1"/>
            </w14:solidFill>
          </w14:textFill>
        </w:rPr>
        <w:t>质量保证措施</w:t>
      </w:r>
    </w:p>
    <w:p>
      <w:pPr>
        <w:numPr>
          <w:ilvl w:val="0"/>
          <w:numId w:val="14"/>
        </w:numPr>
        <w:tabs>
          <w:tab w:val="left" w:pos="630"/>
        </w:tabs>
        <w:autoSpaceDE w:val="0"/>
        <w:autoSpaceDN w:val="0"/>
        <w:adjustRightInd w:val="0"/>
        <w:snapToGrid w:val="0"/>
        <w:spacing w:line="520" w:lineRule="exact"/>
        <w:ind w:firstLine="480" w:firstLineChars="200"/>
        <w:jc w:val="left"/>
        <w:rPr>
          <w:rFonts w:eastAsia="新宋体"/>
          <w:color w:val="000000" w:themeColor="text1"/>
          <w:kern w:val="0"/>
          <w:sz w:val="24"/>
          <w:szCs w:val="22"/>
          <w:highlight w:val="none"/>
          <w14:textFill>
            <w14:solidFill>
              <w14:schemeClr w14:val="tx1"/>
            </w14:solidFill>
          </w14:textFill>
        </w:rPr>
      </w:pPr>
      <w:r>
        <w:rPr>
          <w:color w:val="000000" w:themeColor="text1"/>
          <w:sz w:val="24"/>
          <w:highlight w:val="none"/>
          <w14:textFill>
            <w14:solidFill>
              <w14:schemeClr w14:val="tx1"/>
            </w14:solidFill>
          </w14:textFill>
        </w:rPr>
        <w:t>货物优势介绍、配置先进合理，技术成熟，安全可靠；</w:t>
      </w:r>
    </w:p>
    <w:p>
      <w:pPr>
        <w:numPr>
          <w:ilvl w:val="0"/>
          <w:numId w:val="14"/>
        </w:numPr>
        <w:tabs>
          <w:tab w:val="left" w:pos="630"/>
        </w:tabs>
        <w:autoSpaceDE w:val="0"/>
        <w:autoSpaceDN w:val="0"/>
        <w:adjustRightInd w:val="0"/>
        <w:snapToGrid w:val="0"/>
        <w:spacing w:line="520" w:lineRule="exact"/>
        <w:ind w:firstLine="480" w:firstLineChars="200"/>
        <w:jc w:val="left"/>
        <w:rPr>
          <w:rFonts w:eastAsia="新宋体"/>
          <w:color w:val="000000" w:themeColor="text1"/>
          <w:kern w:val="0"/>
          <w:sz w:val="24"/>
          <w:szCs w:val="22"/>
          <w:highlight w:val="none"/>
          <w14:textFill>
            <w14:solidFill>
              <w14:schemeClr w14:val="tx1"/>
            </w14:solidFill>
          </w14:textFill>
        </w:rPr>
      </w:pPr>
      <w:r>
        <w:rPr>
          <w:rFonts w:eastAsia="新宋体"/>
          <w:color w:val="000000" w:themeColor="text1"/>
          <w:kern w:val="0"/>
          <w:sz w:val="24"/>
          <w:szCs w:val="22"/>
          <w:highlight w:val="none"/>
          <w14:textFill>
            <w14:solidFill>
              <w14:schemeClr w14:val="tx1"/>
            </w14:solidFill>
          </w14:textFill>
        </w:rPr>
        <w:t>采用新技术、新工艺、新材料的情况（若有）</w:t>
      </w:r>
    </w:p>
    <w:p>
      <w:pPr>
        <w:numPr>
          <w:ilvl w:val="0"/>
          <w:numId w:val="14"/>
        </w:numPr>
        <w:tabs>
          <w:tab w:val="left" w:pos="630"/>
        </w:tabs>
        <w:autoSpaceDE w:val="0"/>
        <w:autoSpaceDN w:val="0"/>
        <w:adjustRightInd w:val="0"/>
        <w:snapToGrid w:val="0"/>
        <w:spacing w:line="520" w:lineRule="exact"/>
        <w:ind w:firstLine="480" w:firstLineChars="200"/>
        <w:jc w:val="left"/>
        <w:rPr>
          <w:rFonts w:eastAsia="新宋体"/>
          <w:color w:val="000000" w:themeColor="text1"/>
          <w:kern w:val="0"/>
          <w:sz w:val="24"/>
          <w:szCs w:val="22"/>
          <w:highlight w:val="none"/>
          <w14:textFill>
            <w14:solidFill>
              <w14:schemeClr w14:val="tx1"/>
            </w14:solidFill>
          </w14:textFill>
        </w:rPr>
      </w:pPr>
      <w:r>
        <w:rPr>
          <w:rFonts w:eastAsia="新宋体"/>
          <w:color w:val="000000" w:themeColor="text1"/>
          <w:kern w:val="0"/>
          <w:sz w:val="24"/>
          <w:szCs w:val="22"/>
          <w:highlight w:val="none"/>
          <w14:textFill>
            <w14:solidFill>
              <w14:schemeClr w14:val="tx1"/>
            </w14:solidFill>
          </w14:textFill>
        </w:rPr>
        <w:t>产品的规范资料、外观彩图及尺寸等描述（要求提供复印件）；</w:t>
      </w:r>
    </w:p>
    <w:p>
      <w:pPr>
        <w:numPr>
          <w:ilvl w:val="0"/>
          <w:numId w:val="14"/>
        </w:numPr>
        <w:tabs>
          <w:tab w:val="left" w:pos="630"/>
        </w:tabs>
        <w:autoSpaceDE w:val="0"/>
        <w:autoSpaceDN w:val="0"/>
        <w:adjustRightInd w:val="0"/>
        <w:snapToGrid w:val="0"/>
        <w:spacing w:line="520" w:lineRule="exact"/>
        <w:ind w:firstLine="480" w:firstLineChars="200"/>
        <w:jc w:val="left"/>
        <w:rPr>
          <w:rFonts w:eastAsia="新宋体"/>
          <w:color w:val="000000" w:themeColor="text1"/>
          <w:kern w:val="0"/>
          <w:sz w:val="24"/>
          <w:szCs w:val="22"/>
          <w:highlight w:val="none"/>
          <w14:textFill>
            <w14:solidFill>
              <w14:schemeClr w14:val="tx1"/>
            </w14:solidFill>
          </w14:textFill>
        </w:rPr>
      </w:pPr>
      <w:r>
        <w:rPr>
          <w:rFonts w:eastAsia="新宋体"/>
          <w:color w:val="000000" w:themeColor="text1"/>
          <w:kern w:val="0"/>
          <w:sz w:val="24"/>
          <w:szCs w:val="22"/>
          <w:highlight w:val="none"/>
          <w14:textFill>
            <w14:solidFill>
              <w14:schemeClr w14:val="tx1"/>
            </w14:solidFill>
          </w14:textFill>
        </w:rPr>
        <w:t>投标人认为需要提供的证明文件及资料</w:t>
      </w:r>
    </w:p>
    <w:p>
      <w:pPr>
        <w:spacing w:line="360" w:lineRule="auto"/>
        <w:rPr>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numPr>
          <w:ilvl w:val="0"/>
          <w:numId w:val="11"/>
        </w:numPr>
        <w:jc w:val="center"/>
        <w:rPr>
          <w:b/>
          <w:bCs/>
          <w:color w:val="000000" w:themeColor="text1"/>
          <w:sz w:val="30"/>
          <w:szCs w:val="30"/>
          <w:highlight w:val="none"/>
          <w14:textFill>
            <w14:solidFill>
              <w14:schemeClr w14:val="tx1"/>
            </w14:solidFill>
          </w14:textFill>
        </w:rPr>
      </w:pPr>
      <w:bookmarkStart w:id="106" w:name="_Toc16543"/>
      <w:bookmarkStart w:id="107" w:name="_Toc20219"/>
      <w:bookmarkStart w:id="108" w:name="_Toc25296"/>
      <w:bookmarkStart w:id="109" w:name="_Toc28406"/>
      <w:r>
        <w:rPr>
          <w:rFonts w:hint="eastAsia"/>
          <w:b/>
          <w:bCs/>
          <w:color w:val="000000" w:themeColor="text1"/>
          <w:sz w:val="30"/>
          <w:szCs w:val="30"/>
          <w:highlight w:val="none"/>
          <w14:textFill>
            <w14:solidFill>
              <w14:schemeClr w14:val="tx1"/>
            </w14:solidFill>
          </w14:textFill>
        </w:rPr>
        <w:t>货物说明一览表</w:t>
      </w:r>
    </w:p>
    <w:p>
      <w:pPr>
        <w:spacing w:line="360" w:lineRule="auto"/>
        <w:rPr>
          <w:rFonts w:hint="eastAsia" w:ascii="宋体" w:hAnsi="宋体" w:cs="宋体"/>
          <w:color w:val="000000" w:themeColor="text1"/>
          <w:sz w:val="24"/>
          <w:highlight w:val="none"/>
          <w14:textFill>
            <w14:solidFill>
              <w14:schemeClr w14:val="tx1"/>
            </w14:solidFill>
          </w14:textFill>
        </w:rPr>
      </w:pP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bl>
      <w:tblPr>
        <w:tblStyle w:val="22"/>
        <w:tblpPr w:leftFromText="180" w:rightFromText="180" w:vertAnchor="text" w:horzAnchor="page" w:tblpX="1485" w:tblpY="5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3473"/>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货物名称</w:t>
            </w:r>
          </w:p>
        </w:tc>
        <w:tc>
          <w:tcPr>
            <w:tcW w:w="84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3" w:hRule="atLeast"/>
        </w:trPr>
        <w:tc>
          <w:tcPr>
            <w:tcW w:w="4880" w:type="dxa"/>
            <w:gridSpan w:val="2"/>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招标文件中详细性能说明</w:t>
            </w:r>
          </w:p>
        </w:tc>
        <w:tc>
          <w:tcPr>
            <w:tcW w:w="49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投标文件中详细性能说明</w:t>
            </w:r>
          </w:p>
        </w:tc>
      </w:tr>
    </w:tbl>
    <w:p>
      <w:pPr>
        <w:spacing w:line="380" w:lineRule="exact"/>
        <w:ind w:right="-517" w:rightChars="-246"/>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pPr>
        <w:spacing w:line="380" w:lineRule="exact"/>
        <w:ind w:right="-517" w:rightChars="-246"/>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1、供应商不得直接“复制和粘贴”磋商文件中采购设备的技术参数和要求，应如实填写供应货物的详细参数，</w:t>
      </w:r>
      <w:r>
        <w:rPr>
          <w:rFonts w:hint="eastAsia" w:ascii="宋体" w:hAnsi="宋体" w:cs="宋体"/>
          <w:b/>
          <w:color w:val="000000" w:themeColor="text1"/>
          <w:szCs w:val="21"/>
          <w:highlight w:val="none"/>
          <w14:textFill>
            <w14:solidFill>
              <w14:schemeClr w14:val="tx1"/>
            </w14:solidFill>
          </w14:textFill>
        </w:rPr>
        <w:t>直接“复制和粘贴”</w:t>
      </w:r>
      <w:r>
        <w:rPr>
          <w:rFonts w:hint="eastAsia" w:ascii="宋体" w:hAnsi="宋体" w:cs="宋体"/>
          <w:bCs/>
          <w:color w:val="000000" w:themeColor="text1"/>
          <w:szCs w:val="21"/>
          <w:highlight w:val="none"/>
          <w14:textFill>
            <w14:solidFill>
              <w14:schemeClr w14:val="tx1"/>
            </w14:solidFill>
          </w14:textFill>
        </w:rPr>
        <w:t>磋商文件中采购设备的</w:t>
      </w:r>
      <w:r>
        <w:rPr>
          <w:rFonts w:hint="eastAsia" w:ascii="宋体" w:hAnsi="宋体" w:cs="宋体"/>
          <w:b/>
          <w:color w:val="000000" w:themeColor="text1"/>
          <w:szCs w:val="21"/>
          <w:highlight w:val="none"/>
          <w14:textFill>
            <w14:solidFill>
              <w14:schemeClr w14:val="tx1"/>
            </w14:solidFill>
          </w14:textFill>
        </w:rPr>
        <w:t>技术参数和要求的，若发现与证明材料不相符，则视为无效投标。</w:t>
      </w:r>
    </w:p>
    <w:p>
      <w:pPr>
        <w:spacing w:line="380" w:lineRule="exact"/>
        <w:ind w:right="-517" w:rightChars="-246"/>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2、如技术参数符合采购文件要求必须提供相应的有效且真实的证明材料【白皮书或设备生产厂家（或总代理商）相关证明或检测报告或彩页等】</w:t>
      </w:r>
      <w:r>
        <w:rPr>
          <w:rFonts w:hint="eastAsia" w:ascii="宋体" w:hAnsi="宋体" w:cs="宋体"/>
          <w:b/>
          <w:color w:val="000000" w:themeColor="text1"/>
          <w:szCs w:val="21"/>
          <w:highlight w:val="none"/>
          <w14:textFill>
            <w14:solidFill>
              <w14:schemeClr w14:val="tx1"/>
            </w14:solidFill>
          </w14:textFill>
        </w:rPr>
        <w:t>以证明技术参数及功能的有效性</w:t>
      </w:r>
      <w:r>
        <w:rPr>
          <w:rFonts w:hint="eastAsia" w:ascii="宋体" w:hAnsi="宋体" w:cs="宋体"/>
          <w:bCs/>
          <w:color w:val="000000" w:themeColor="text1"/>
          <w:szCs w:val="21"/>
          <w:highlight w:val="none"/>
          <w14:textFill>
            <w14:solidFill>
              <w14:schemeClr w14:val="tx1"/>
            </w14:solidFill>
          </w14:textFill>
        </w:rPr>
        <w:t>，如未附有效证明材料或者所附的证明材料由评标委员会认为不能佐证技术指标的有效性的，则同样视为不符合采购文件要求。</w:t>
      </w:r>
    </w:p>
    <w:p>
      <w:pPr>
        <w:spacing w:line="360" w:lineRule="auto"/>
        <w:ind w:firstLine="720" w:firstLineChars="300"/>
        <w:rPr>
          <w:rFonts w:hint="eastAsia" w:ascii="宋体" w:hAnsi="宋体" w:cs="宋体"/>
          <w:bCs/>
          <w:color w:val="000000" w:themeColor="text1"/>
          <w:sz w:val="24"/>
          <w:highlight w:val="none"/>
          <w14:textFill>
            <w14:solidFill>
              <w14:schemeClr w14:val="tx1"/>
            </w14:solidFill>
          </w14:textFill>
        </w:rPr>
      </w:pPr>
    </w:p>
    <w:p>
      <w:pPr>
        <w:adjustRightInd w:val="0"/>
        <w:spacing w:line="400" w:lineRule="exact"/>
        <w:ind w:firstLine="420" w:firstLineChars="175"/>
        <w:jc w:val="lef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投标人名称：        （盖章）</w:t>
      </w:r>
    </w:p>
    <w:p>
      <w:pPr>
        <w:adjustRightInd w:val="0"/>
        <w:spacing w:line="400" w:lineRule="exact"/>
        <w:ind w:firstLine="420" w:firstLineChars="175"/>
        <w:jc w:val="left"/>
        <w:rPr>
          <w:b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法定代表人或授权代表（签字或盖章）</w:t>
      </w:r>
      <w:r>
        <w:rPr>
          <w:bCs/>
          <w:color w:val="000000" w:themeColor="text1"/>
          <w:sz w:val="24"/>
          <w:szCs w:val="24"/>
          <w:highlight w:val="none"/>
          <w14:textFill>
            <w14:solidFill>
              <w14:schemeClr w14:val="tx1"/>
            </w14:solidFill>
          </w14:textFill>
        </w:rPr>
        <w:t>：</w:t>
      </w:r>
    </w:p>
    <w:p>
      <w:pPr>
        <w:ind w:firstLine="480"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投标日期:</w:t>
      </w:r>
    </w:p>
    <w:p>
      <w:pPr>
        <w:numPr>
          <w:ilvl w:val="0"/>
          <w:numId w:val="11"/>
        </w:numPr>
        <w:jc w:val="center"/>
        <w:rPr>
          <w:b/>
          <w:bCs/>
          <w:color w:val="000000" w:themeColor="text1"/>
          <w:sz w:val="30"/>
          <w:szCs w:val="30"/>
          <w:highlight w:val="none"/>
          <w14:textFill>
            <w14:solidFill>
              <w14:schemeClr w14:val="tx1"/>
            </w14:solidFill>
          </w14:textFill>
        </w:rPr>
      </w:pPr>
      <w:r>
        <w:rPr>
          <w:bCs/>
          <w:color w:val="000000" w:themeColor="text1"/>
          <w:sz w:val="24"/>
          <w:szCs w:val="24"/>
          <w:highlight w:val="none"/>
          <w14:textFill>
            <w14:solidFill>
              <w14:schemeClr w14:val="tx1"/>
            </w14:solidFill>
          </w14:textFill>
        </w:rPr>
        <w:br w:type="page"/>
      </w:r>
      <w:r>
        <w:rPr>
          <w:b/>
          <w:bCs/>
          <w:color w:val="000000" w:themeColor="text1"/>
          <w:sz w:val="30"/>
          <w:szCs w:val="30"/>
          <w:highlight w:val="none"/>
          <w14:textFill>
            <w14:solidFill>
              <w14:schemeClr w14:val="tx1"/>
            </w14:solidFill>
          </w14:textFill>
        </w:rPr>
        <w:t>技术／商务响应与偏离表</w:t>
      </w:r>
      <w:bookmarkEnd w:id="106"/>
      <w:bookmarkEnd w:id="107"/>
    </w:p>
    <w:tbl>
      <w:tblPr>
        <w:tblStyle w:val="22"/>
        <w:tblW w:w="0" w:type="auto"/>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1598"/>
        <w:gridCol w:w="2713"/>
        <w:gridCol w:w="2381"/>
        <w:gridCol w:w="1412"/>
        <w:gridCol w:w="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796" w:type="dxa"/>
          </w:tcPr>
          <w:p>
            <w:pPr>
              <w:pStyle w:val="30"/>
              <w:spacing w:before="5"/>
              <w:ind w:firstLine="361"/>
              <w:jc w:val="left"/>
              <w:rPr>
                <w:rFonts w:ascii="Times New Roman" w:hAnsi="Times New Roman" w:cs="Times New Roman"/>
                <w:b/>
                <w:color w:val="000000" w:themeColor="text1"/>
                <w:sz w:val="18"/>
                <w:highlight w:val="none"/>
                <w:lang w:eastAsia="zh-CN"/>
                <w14:textFill>
                  <w14:solidFill>
                    <w14:schemeClr w14:val="tx1"/>
                  </w14:solidFill>
                </w14:textFill>
              </w:rPr>
            </w:pPr>
          </w:p>
          <w:p>
            <w:pPr>
              <w:pStyle w:val="30"/>
              <w:ind w:left="129" w:right="119"/>
              <w:jc w:val="both"/>
              <w:rPr>
                <w:rFonts w:ascii="Times New Roman" w:hAnsi="Times New Roman" w:eastAsia="宋体" w:cs="Times New Roman"/>
                <w:b/>
                <w:color w:val="000000" w:themeColor="text1"/>
                <w:sz w:val="21"/>
                <w:highlight w:val="none"/>
                <w14:textFill>
                  <w14:solidFill>
                    <w14:schemeClr w14:val="tx1"/>
                  </w14:solidFill>
                </w14:textFill>
              </w:rPr>
            </w:pPr>
            <w:r>
              <w:rPr>
                <w:rFonts w:ascii="Times New Roman" w:hAnsi="Times New Roman" w:eastAsia="宋体" w:cs="Times New Roman"/>
                <w:b/>
                <w:color w:val="000000" w:themeColor="text1"/>
                <w:sz w:val="21"/>
                <w:highlight w:val="none"/>
                <w14:textFill>
                  <w14:solidFill>
                    <w14:schemeClr w14:val="tx1"/>
                  </w14:solidFill>
                </w14:textFill>
              </w:rPr>
              <w:t>序号</w:t>
            </w:r>
          </w:p>
        </w:tc>
        <w:tc>
          <w:tcPr>
            <w:tcW w:w="1598" w:type="dxa"/>
          </w:tcPr>
          <w:p>
            <w:pPr>
              <w:pStyle w:val="30"/>
              <w:spacing w:before="5"/>
              <w:ind w:firstLine="361"/>
              <w:jc w:val="left"/>
              <w:rPr>
                <w:rFonts w:ascii="Times New Roman" w:hAnsi="Times New Roman" w:cs="Times New Roman"/>
                <w:b/>
                <w:color w:val="000000" w:themeColor="text1"/>
                <w:sz w:val="18"/>
                <w:highlight w:val="none"/>
                <w14:textFill>
                  <w14:solidFill>
                    <w14:schemeClr w14:val="tx1"/>
                  </w14:solidFill>
                </w14:textFill>
              </w:rPr>
            </w:pPr>
          </w:p>
          <w:p>
            <w:pPr>
              <w:pStyle w:val="30"/>
              <w:ind w:left="194"/>
              <w:jc w:val="left"/>
              <w:rPr>
                <w:rFonts w:ascii="Times New Roman" w:hAnsi="Times New Roman" w:eastAsia="宋体" w:cs="Times New Roman"/>
                <w:b/>
                <w:color w:val="000000" w:themeColor="text1"/>
                <w:sz w:val="21"/>
                <w:highlight w:val="none"/>
                <w14:textFill>
                  <w14:solidFill>
                    <w14:schemeClr w14:val="tx1"/>
                  </w14:solidFill>
                </w14:textFill>
              </w:rPr>
            </w:pPr>
            <w:r>
              <w:rPr>
                <w:rFonts w:ascii="Times New Roman" w:hAnsi="Times New Roman" w:eastAsia="宋体" w:cs="Times New Roman"/>
                <w:b/>
                <w:color w:val="000000" w:themeColor="text1"/>
                <w:sz w:val="21"/>
                <w:highlight w:val="none"/>
                <w14:textFill>
                  <w14:solidFill>
                    <w14:schemeClr w14:val="tx1"/>
                  </w14:solidFill>
                </w14:textFill>
              </w:rPr>
              <w:t>文件条目号</w:t>
            </w:r>
          </w:p>
        </w:tc>
        <w:tc>
          <w:tcPr>
            <w:tcW w:w="2713" w:type="dxa"/>
          </w:tcPr>
          <w:p>
            <w:pPr>
              <w:pStyle w:val="30"/>
              <w:spacing w:before="5"/>
              <w:ind w:firstLine="361"/>
              <w:jc w:val="left"/>
              <w:rPr>
                <w:rFonts w:ascii="Times New Roman" w:hAnsi="Times New Roman" w:cs="Times New Roman"/>
                <w:b/>
                <w:color w:val="000000" w:themeColor="text1"/>
                <w:sz w:val="18"/>
                <w:highlight w:val="none"/>
                <w14:textFill>
                  <w14:solidFill>
                    <w14:schemeClr w14:val="tx1"/>
                  </w14:solidFill>
                </w14:textFill>
              </w:rPr>
            </w:pPr>
          </w:p>
          <w:p>
            <w:pPr>
              <w:pStyle w:val="30"/>
              <w:jc w:val="left"/>
              <w:rPr>
                <w:rFonts w:ascii="Times New Roman" w:hAnsi="Times New Roman" w:eastAsia="宋体" w:cs="Times New Roman"/>
                <w:b/>
                <w:color w:val="000000" w:themeColor="text1"/>
                <w:sz w:val="21"/>
                <w:highlight w:val="none"/>
                <w14:textFill>
                  <w14:solidFill>
                    <w14:schemeClr w14:val="tx1"/>
                  </w14:solidFill>
                </w14:textFill>
              </w:rPr>
            </w:pPr>
            <w:r>
              <w:rPr>
                <w:rFonts w:ascii="Times New Roman" w:hAnsi="Times New Roman" w:eastAsia="宋体" w:cs="Times New Roman"/>
                <w:b/>
                <w:color w:val="000000" w:themeColor="text1"/>
                <w:sz w:val="21"/>
                <w:highlight w:val="none"/>
                <w14:textFill>
                  <w14:solidFill>
                    <w14:schemeClr w14:val="tx1"/>
                  </w14:solidFill>
                </w14:textFill>
              </w:rPr>
              <w:t>采购规格／商务条款</w:t>
            </w:r>
          </w:p>
        </w:tc>
        <w:tc>
          <w:tcPr>
            <w:tcW w:w="2381" w:type="dxa"/>
          </w:tcPr>
          <w:p>
            <w:pPr>
              <w:pStyle w:val="30"/>
              <w:spacing w:before="166" w:line="244" w:lineRule="auto"/>
              <w:ind w:leftChars="-3" w:right="115" w:hanging="6" w:hangingChars="3"/>
              <w:rPr>
                <w:rFonts w:ascii="Times New Roman" w:hAnsi="Times New Roman" w:eastAsia="宋体" w:cs="Times New Roman"/>
                <w:b/>
                <w:color w:val="000000" w:themeColor="text1"/>
                <w:sz w:val="21"/>
                <w:highlight w:val="none"/>
                <w:lang w:eastAsia="zh-CN"/>
                <w14:textFill>
                  <w14:solidFill>
                    <w14:schemeClr w14:val="tx1"/>
                  </w14:solidFill>
                </w14:textFill>
              </w:rPr>
            </w:pPr>
            <w:r>
              <w:rPr>
                <w:rFonts w:ascii="Times New Roman" w:hAnsi="Times New Roman" w:eastAsia="宋体" w:cs="Times New Roman"/>
                <w:b/>
                <w:color w:val="000000" w:themeColor="text1"/>
                <w:sz w:val="21"/>
                <w:highlight w:val="none"/>
                <w:lang w:eastAsia="zh-CN"/>
                <w14:textFill>
                  <w14:solidFill>
                    <w14:schemeClr w14:val="tx1"/>
                  </w14:solidFill>
                </w14:textFill>
              </w:rPr>
              <w:t>投标文件的规格／商务条款</w:t>
            </w:r>
          </w:p>
        </w:tc>
        <w:tc>
          <w:tcPr>
            <w:tcW w:w="1412" w:type="dxa"/>
          </w:tcPr>
          <w:p>
            <w:pPr>
              <w:pStyle w:val="30"/>
              <w:spacing w:before="5"/>
              <w:ind w:firstLine="361"/>
              <w:jc w:val="left"/>
              <w:rPr>
                <w:rFonts w:ascii="Times New Roman" w:hAnsi="Times New Roman" w:cs="Times New Roman"/>
                <w:b/>
                <w:color w:val="000000" w:themeColor="text1"/>
                <w:sz w:val="18"/>
                <w:highlight w:val="none"/>
                <w:lang w:eastAsia="zh-CN"/>
                <w14:textFill>
                  <w14:solidFill>
                    <w14:schemeClr w14:val="tx1"/>
                  </w14:solidFill>
                </w14:textFill>
              </w:rPr>
            </w:pPr>
          </w:p>
          <w:p>
            <w:pPr>
              <w:pStyle w:val="30"/>
              <w:ind w:left="109"/>
              <w:jc w:val="left"/>
              <w:rPr>
                <w:rFonts w:ascii="Times New Roman" w:hAnsi="Times New Roman" w:eastAsia="宋体" w:cs="Times New Roman"/>
                <w:b/>
                <w:color w:val="000000" w:themeColor="text1"/>
                <w:sz w:val="21"/>
                <w:highlight w:val="none"/>
                <w14:textFill>
                  <w14:solidFill>
                    <w14:schemeClr w14:val="tx1"/>
                  </w14:solidFill>
                </w14:textFill>
              </w:rPr>
            </w:pPr>
            <w:r>
              <w:rPr>
                <w:rFonts w:ascii="Times New Roman" w:hAnsi="Times New Roman" w:eastAsia="宋体" w:cs="Times New Roman"/>
                <w:b/>
                <w:color w:val="000000" w:themeColor="text1"/>
                <w:sz w:val="21"/>
                <w:highlight w:val="none"/>
                <w14:textFill>
                  <w14:solidFill>
                    <w14:schemeClr w14:val="tx1"/>
                  </w14:solidFill>
                </w14:textFill>
              </w:rPr>
              <w:t>响应与偏离</w:t>
            </w:r>
          </w:p>
        </w:tc>
        <w:tc>
          <w:tcPr>
            <w:tcW w:w="940" w:type="dxa"/>
          </w:tcPr>
          <w:p>
            <w:pPr>
              <w:pStyle w:val="30"/>
              <w:spacing w:before="5"/>
              <w:ind w:firstLine="361"/>
              <w:jc w:val="left"/>
              <w:rPr>
                <w:rFonts w:ascii="Times New Roman" w:hAnsi="Times New Roman" w:cs="Times New Roman"/>
                <w:b/>
                <w:color w:val="000000" w:themeColor="text1"/>
                <w:sz w:val="18"/>
                <w:highlight w:val="none"/>
                <w14:textFill>
                  <w14:solidFill>
                    <w14:schemeClr w14:val="tx1"/>
                  </w14:solidFill>
                </w14:textFill>
              </w:rPr>
            </w:pPr>
          </w:p>
          <w:p>
            <w:pPr>
              <w:pStyle w:val="30"/>
              <w:ind w:left="210"/>
              <w:jc w:val="left"/>
              <w:rPr>
                <w:rFonts w:ascii="Times New Roman" w:hAnsi="Times New Roman" w:eastAsia="宋体" w:cs="Times New Roman"/>
                <w:b/>
                <w:color w:val="000000" w:themeColor="text1"/>
                <w:sz w:val="21"/>
                <w:highlight w:val="none"/>
                <w14:textFill>
                  <w14:solidFill>
                    <w14:schemeClr w14:val="tx1"/>
                  </w14:solidFill>
                </w14:textFill>
              </w:rPr>
            </w:pPr>
            <w:r>
              <w:rPr>
                <w:rFonts w:ascii="Times New Roman" w:hAnsi="Times New Roman" w:eastAsia="宋体" w:cs="Times New Roman"/>
                <w:b/>
                <w:color w:val="000000" w:themeColor="text1"/>
                <w:sz w:val="21"/>
                <w:highlight w:val="none"/>
                <w14:textFill>
                  <w14:solidFill>
                    <w14:schemeClr w14:val="tx1"/>
                  </w14:solidFill>
                </w14:textFill>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9840" w:type="dxa"/>
            <w:gridSpan w:val="6"/>
          </w:tcPr>
          <w:p>
            <w:pPr>
              <w:pStyle w:val="30"/>
              <w:spacing w:before="130"/>
              <w:ind w:left="3692" w:right="3680" w:firstLine="422"/>
              <w:rPr>
                <w:rFonts w:ascii="Times New Roman" w:hAnsi="Times New Roman" w:eastAsia="宋体" w:cs="Times New Roman"/>
                <w:b/>
                <w:color w:val="000000" w:themeColor="text1"/>
                <w:sz w:val="21"/>
                <w:highlight w:val="none"/>
                <w14:textFill>
                  <w14:solidFill>
                    <w14:schemeClr w14:val="tx1"/>
                  </w14:solidFill>
                </w14:textFill>
              </w:rPr>
            </w:pPr>
            <w:r>
              <w:rPr>
                <w:rFonts w:ascii="Times New Roman" w:hAnsi="Times New Roman" w:eastAsia="宋体" w:cs="Times New Roman"/>
                <w:b/>
                <w:color w:val="000000" w:themeColor="text1"/>
                <w:sz w:val="21"/>
                <w:highlight w:val="none"/>
                <w14:textFill>
                  <w14:solidFill>
                    <w14:schemeClr w14:val="tx1"/>
                  </w14:solidFill>
                </w14:textFill>
              </w:rPr>
              <w:t>商务响应与偏离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30"/>
              <w:spacing w:before="130"/>
              <w:ind w:left="9"/>
              <w:rPr>
                <w:rFonts w:ascii="Times New Roman" w:hAnsi="Times New Roman" w:cs="Times New Roman"/>
                <w:color w:val="000000" w:themeColor="text1"/>
                <w:sz w:val="2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1</w:t>
            </w:r>
          </w:p>
        </w:tc>
        <w:tc>
          <w:tcPr>
            <w:tcW w:w="1598"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2713"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2381"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1412"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940" w:type="dxa"/>
          </w:tcPr>
          <w:p>
            <w:pPr>
              <w:pStyle w:val="30"/>
              <w:jc w:val="left"/>
              <w:rPr>
                <w:rFonts w:ascii="Times New Roman" w:hAnsi="Times New Roman" w:cs="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30"/>
              <w:spacing w:before="130"/>
              <w:ind w:left="9"/>
              <w:rPr>
                <w:rFonts w:ascii="Times New Roman" w:hAnsi="Times New Roman" w:cs="Times New Roman"/>
                <w:color w:val="000000" w:themeColor="text1"/>
                <w:sz w:val="2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2</w:t>
            </w:r>
          </w:p>
        </w:tc>
        <w:tc>
          <w:tcPr>
            <w:tcW w:w="1598"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2713"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2381"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1412"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940" w:type="dxa"/>
          </w:tcPr>
          <w:p>
            <w:pPr>
              <w:pStyle w:val="30"/>
              <w:jc w:val="left"/>
              <w:rPr>
                <w:rFonts w:ascii="Times New Roman" w:hAnsi="Times New Roman" w:cs="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30"/>
              <w:spacing w:before="130"/>
              <w:ind w:left="9"/>
              <w:rPr>
                <w:rFonts w:ascii="Times New Roman" w:hAnsi="Times New Roman" w:cs="Times New Roman"/>
                <w:color w:val="000000" w:themeColor="text1"/>
                <w:sz w:val="2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3</w:t>
            </w:r>
          </w:p>
        </w:tc>
        <w:tc>
          <w:tcPr>
            <w:tcW w:w="1598"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2713"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2381"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1412"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940" w:type="dxa"/>
          </w:tcPr>
          <w:p>
            <w:pPr>
              <w:pStyle w:val="30"/>
              <w:jc w:val="left"/>
              <w:rPr>
                <w:rFonts w:ascii="Times New Roman" w:hAnsi="Times New Roman" w:cs="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30"/>
              <w:spacing w:before="130"/>
              <w:ind w:left="9"/>
              <w:rPr>
                <w:rFonts w:ascii="Times New Roman" w:hAnsi="Times New Roman" w:cs="Times New Roman"/>
                <w:color w:val="000000" w:themeColor="text1"/>
                <w:sz w:val="2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4</w:t>
            </w:r>
          </w:p>
        </w:tc>
        <w:tc>
          <w:tcPr>
            <w:tcW w:w="1598"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2713"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2381"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1412"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940" w:type="dxa"/>
          </w:tcPr>
          <w:p>
            <w:pPr>
              <w:pStyle w:val="30"/>
              <w:jc w:val="left"/>
              <w:rPr>
                <w:rFonts w:ascii="Times New Roman" w:hAnsi="Times New Roman" w:cs="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840" w:type="dxa"/>
            <w:gridSpan w:val="6"/>
          </w:tcPr>
          <w:p>
            <w:pPr>
              <w:pStyle w:val="30"/>
              <w:spacing w:before="133"/>
              <w:ind w:left="3692" w:right="3680" w:firstLine="422"/>
              <w:rPr>
                <w:rFonts w:ascii="Times New Roman" w:hAnsi="Times New Roman" w:eastAsia="宋体" w:cs="Times New Roman"/>
                <w:b/>
                <w:color w:val="000000" w:themeColor="text1"/>
                <w:sz w:val="21"/>
                <w:highlight w:val="none"/>
                <w14:textFill>
                  <w14:solidFill>
                    <w14:schemeClr w14:val="tx1"/>
                  </w14:solidFill>
                </w14:textFill>
              </w:rPr>
            </w:pPr>
            <w:r>
              <w:rPr>
                <w:rFonts w:ascii="Times New Roman" w:hAnsi="Times New Roman" w:eastAsia="宋体" w:cs="Times New Roman"/>
                <w:b/>
                <w:color w:val="000000" w:themeColor="text1"/>
                <w:sz w:val="21"/>
                <w:highlight w:val="none"/>
                <w14:textFill>
                  <w14:solidFill>
                    <w14:schemeClr w14:val="tx1"/>
                  </w14:solidFill>
                </w14:textFill>
              </w:rPr>
              <w:t>技术响应与偏离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30"/>
              <w:spacing w:before="130"/>
              <w:ind w:left="9"/>
              <w:rPr>
                <w:rFonts w:ascii="Times New Roman" w:hAnsi="Times New Roman" w:cs="Times New Roman"/>
                <w:color w:val="000000" w:themeColor="text1"/>
                <w:sz w:val="2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1</w:t>
            </w:r>
          </w:p>
        </w:tc>
        <w:tc>
          <w:tcPr>
            <w:tcW w:w="1598"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2713"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2381"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1412"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940" w:type="dxa"/>
          </w:tcPr>
          <w:p>
            <w:pPr>
              <w:pStyle w:val="30"/>
              <w:jc w:val="left"/>
              <w:rPr>
                <w:rFonts w:ascii="Times New Roman" w:hAnsi="Times New Roman" w:cs="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30"/>
              <w:spacing w:before="130"/>
              <w:ind w:left="9"/>
              <w:rPr>
                <w:rFonts w:ascii="Times New Roman" w:hAnsi="Times New Roman" w:cs="Times New Roman"/>
                <w:color w:val="000000" w:themeColor="text1"/>
                <w:sz w:val="2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2</w:t>
            </w:r>
          </w:p>
        </w:tc>
        <w:tc>
          <w:tcPr>
            <w:tcW w:w="1598"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2713"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2381"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1412"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940" w:type="dxa"/>
          </w:tcPr>
          <w:p>
            <w:pPr>
              <w:pStyle w:val="30"/>
              <w:jc w:val="left"/>
              <w:rPr>
                <w:rFonts w:ascii="Times New Roman" w:hAnsi="Times New Roman" w:cs="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30"/>
              <w:spacing w:before="130"/>
              <w:ind w:left="9"/>
              <w:rPr>
                <w:rFonts w:ascii="Times New Roman" w:hAnsi="Times New Roman" w:cs="Times New Roman"/>
                <w:color w:val="000000" w:themeColor="text1"/>
                <w:sz w:val="2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3</w:t>
            </w:r>
          </w:p>
        </w:tc>
        <w:tc>
          <w:tcPr>
            <w:tcW w:w="1598"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2713"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2381"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1412"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940" w:type="dxa"/>
          </w:tcPr>
          <w:p>
            <w:pPr>
              <w:pStyle w:val="30"/>
              <w:jc w:val="left"/>
              <w:rPr>
                <w:rFonts w:ascii="Times New Roman" w:hAnsi="Times New Roman" w:cs="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96" w:type="dxa"/>
          </w:tcPr>
          <w:p>
            <w:pPr>
              <w:pStyle w:val="30"/>
              <w:spacing w:before="154"/>
              <w:ind w:left="9"/>
              <w:rPr>
                <w:rFonts w:ascii="Times New Roman" w:hAnsi="Times New Roman" w:cs="Times New Roman"/>
                <w:color w:val="000000" w:themeColor="text1"/>
                <w:sz w:val="2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4</w:t>
            </w:r>
          </w:p>
        </w:tc>
        <w:tc>
          <w:tcPr>
            <w:tcW w:w="1598"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2713"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2381"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1412" w:type="dxa"/>
          </w:tcPr>
          <w:p>
            <w:pPr>
              <w:pStyle w:val="30"/>
              <w:jc w:val="left"/>
              <w:rPr>
                <w:rFonts w:ascii="Times New Roman" w:hAnsi="Times New Roman" w:cs="Times New Roman"/>
                <w:color w:val="000000" w:themeColor="text1"/>
                <w:highlight w:val="none"/>
                <w14:textFill>
                  <w14:solidFill>
                    <w14:schemeClr w14:val="tx1"/>
                  </w14:solidFill>
                </w14:textFill>
              </w:rPr>
            </w:pPr>
          </w:p>
        </w:tc>
        <w:tc>
          <w:tcPr>
            <w:tcW w:w="940" w:type="dxa"/>
          </w:tcPr>
          <w:p>
            <w:pPr>
              <w:pStyle w:val="30"/>
              <w:jc w:val="left"/>
              <w:rPr>
                <w:rFonts w:ascii="Times New Roman" w:hAnsi="Times New Roman" w:cs="Times New Roman"/>
                <w:color w:val="000000" w:themeColor="text1"/>
                <w:highlight w:val="none"/>
                <w14:textFill>
                  <w14:solidFill>
                    <w14:schemeClr w14:val="tx1"/>
                  </w14:solidFill>
                </w14:textFill>
              </w:rPr>
            </w:pPr>
          </w:p>
        </w:tc>
      </w:tr>
    </w:tbl>
    <w:p>
      <w:pPr>
        <w:spacing w:line="400" w:lineRule="exact"/>
        <w:ind w:left="600" w:leftChars="57" w:hanging="480" w:hangingChars="200"/>
        <w:rPr>
          <w:b/>
          <w:b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注：1.本表只填写投标文件中与招标文件有偏离（包括正偏离和负偏离）的内容，投标文件中技术规格及指标响应</w:t>
      </w:r>
      <w:r>
        <w:rPr>
          <w:b/>
          <w:bCs/>
          <w:color w:val="000000" w:themeColor="text1"/>
          <w:sz w:val="24"/>
          <w:szCs w:val="24"/>
          <w:highlight w:val="none"/>
          <w14:textFill>
            <w14:solidFill>
              <w14:schemeClr w14:val="tx1"/>
            </w14:solidFill>
          </w14:textFill>
        </w:rPr>
        <w:t>与招标文件要求完全一致的</w:t>
      </w:r>
      <w:r>
        <w:rPr>
          <w:color w:val="000000" w:themeColor="text1"/>
          <w:sz w:val="24"/>
          <w:szCs w:val="24"/>
          <w:highlight w:val="none"/>
          <w14:textFill>
            <w14:solidFill>
              <w14:schemeClr w14:val="tx1"/>
            </w14:solidFill>
          </w14:textFill>
        </w:rPr>
        <w:t>，</w:t>
      </w:r>
      <w:r>
        <w:rPr>
          <w:b/>
          <w:bCs/>
          <w:color w:val="000000" w:themeColor="text1"/>
          <w:sz w:val="24"/>
          <w:szCs w:val="24"/>
          <w:highlight w:val="none"/>
          <w14:textFill>
            <w14:solidFill>
              <w14:schemeClr w14:val="tx1"/>
            </w14:solidFill>
          </w14:textFill>
        </w:rPr>
        <w:t>不用在此表中列出</w:t>
      </w:r>
      <w:r>
        <w:rPr>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14:textFill>
            <w14:solidFill>
              <w14:schemeClr w14:val="tx1"/>
            </w14:solidFill>
          </w14:textFill>
        </w:rPr>
        <w:t>有偏离的，请在说明中列出证明材料所在页码。</w:t>
      </w:r>
    </w:p>
    <w:p>
      <w:pPr>
        <w:spacing w:line="400" w:lineRule="exact"/>
        <w:ind w:left="598" w:leftChars="28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2．投标人必须据实填写，不得虚假响应，否则将取消其投标或中标资格，并按有关规定进行处罚。</w:t>
      </w:r>
    </w:p>
    <w:p>
      <w:pPr>
        <w:adjustRightInd w:val="0"/>
        <w:spacing w:line="400" w:lineRule="exact"/>
        <w:ind w:firstLine="490" w:firstLineChars="175"/>
        <w:jc w:val="left"/>
        <w:rPr>
          <w:bCs/>
          <w:color w:val="000000" w:themeColor="text1"/>
          <w:sz w:val="28"/>
          <w:szCs w:val="28"/>
          <w:highlight w:val="none"/>
          <w14:textFill>
            <w14:solidFill>
              <w14:schemeClr w14:val="tx1"/>
            </w14:solidFill>
          </w14:textFill>
        </w:rPr>
      </w:pPr>
    </w:p>
    <w:p>
      <w:pPr>
        <w:adjustRightInd w:val="0"/>
        <w:spacing w:line="400" w:lineRule="exact"/>
        <w:ind w:firstLine="420" w:firstLineChars="175"/>
        <w:jc w:val="lef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投标人名称：        （盖章）</w:t>
      </w:r>
    </w:p>
    <w:p>
      <w:pPr>
        <w:adjustRightInd w:val="0"/>
        <w:spacing w:line="400" w:lineRule="exact"/>
        <w:ind w:firstLine="420" w:firstLineChars="175"/>
        <w:jc w:val="left"/>
        <w:rPr>
          <w:b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法定代表人或授权代表（签字或盖章）</w:t>
      </w:r>
      <w:r>
        <w:rPr>
          <w:bCs/>
          <w:color w:val="000000" w:themeColor="text1"/>
          <w:sz w:val="24"/>
          <w:szCs w:val="24"/>
          <w:highlight w:val="none"/>
          <w14:textFill>
            <w14:solidFill>
              <w14:schemeClr w14:val="tx1"/>
            </w14:solidFill>
          </w14:textFill>
        </w:rPr>
        <w:t>：</w:t>
      </w:r>
    </w:p>
    <w:p>
      <w:pPr>
        <w:spacing w:line="400" w:lineRule="exact"/>
        <w:ind w:firstLine="480"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投标日期:</w:t>
      </w:r>
    </w:p>
    <w:p>
      <w:pPr>
        <w:spacing w:line="400" w:lineRule="exact"/>
        <w:ind w:firstLine="480" w:firstLineChars="200"/>
        <w:rPr>
          <w:bCs/>
          <w:color w:val="000000" w:themeColor="text1"/>
          <w:sz w:val="24"/>
          <w:szCs w:val="24"/>
          <w:highlight w:val="none"/>
          <w14:textFill>
            <w14:solidFill>
              <w14:schemeClr w14:val="tx1"/>
            </w14:solidFill>
          </w14:textFill>
        </w:rPr>
      </w:pPr>
    </w:p>
    <w:p>
      <w:pPr>
        <w:spacing w:line="400" w:lineRule="exact"/>
        <w:ind w:firstLine="480" w:firstLineChars="200"/>
        <w:rPr>
          <w:bCs/>
          <w:color w:val="000000" w:themeColor="text1"/>
          <w:sz w:val="24"/>
          <w:szCs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p>
    <w:p>
      <w:pPr>
        <w:numPr>
          <w:ilvl w:val="0"/>
          <w:numId w:val="11"/>
        </w:numPr>
        <w:jc w:val="center"/>
        <w:rPr>
          <w:b/>
          <w:bCs/>
          <w:color w:val="000000" w:themeColor="text1"/>
          <w:sz w:val="30"/>
          <w:szCs w:val="30"/>
          <w:highlight w:val="none"/>
          <w14:textFill>
            <w14:solidFill>
              <w14:schemeClr w14:val="tx1"/>
            </w14:solidFill>
          </w14:textFill>
        </w:rPr>
      </w:pPr>
      <w:r>
        <w:rPr>
          <w:b/>
          <w:bCs/>
          <w:color w:val="000000" w:themeColor="text1"/>
          <w:sz w:val="30"/>
          <w:szCs w:val="30"/>
          <w:highlight w:val="none"/>
          <w14:textFill>
            <w14:solidFill>
              <w14:schemeClr w14:val="tx1"/>
            </w14:solidFill>
          </w14:textFill>
        </w:rPr>
        <w:t>供货单位承诺书</w:t>
      </w:r>
      <w:bookmarkEnd w:id="108"/>
      <w:bookmarkEnd w:id="109"/>
    </w:p>
    <w:p>
      <w:pPr>
        <w:pStyle w:val="6"/>
        <w:rPr>
          <w:color w:val="000000" w:themeColor="text1"/>
          <w:highlight w:val="none"/>
          <w14:textFill>
            <w14:solidFill>
              <w14:schemeClr w14:val="tx1"/>
            </w14:solidFill>
          </w14:textFill>
        </w:rPr>
      </w:pPr>
    </w:p>
    <w:p>
      <w:pPr>
        <w:pStyle w:val="6"/>
        <w:rPr>
          <w:color w:val="000000" w:themeColor="text1"/>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一、在产品制作过程中，材料质量、进度、安全向甲方负责。 </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二、满足产品要求的技术标准、行业规范和规定。</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三、售后服务承诺及方案（自行编写）。</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四、货物制安时间：从合同生效之日起，至全部交货、经正式验收止。 </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五、认真执行甲方对产品制作工作的有关规定和协调要求。</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六、其他承诺。</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 （签章）</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法定代表人或授权代表（签字或盖章）：</w:t>
      </w:r>
      <w:r>
        <w:rPr>
          <w:color w:val="000000" w:themeColor="text1"/>
          <w:sz w:val="24"/>
          <w:highlight w:val="none"/>
          <w14:textFill>
            <w14:solidFill>
              <w14:schemeClr w14:val="tx1"/>
            </w14:solidFill>
          </w14:textFill>
        </w:rPr>
        <w:t xml:space="preserve"> </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年 月 日</w:t>
      </w:r>
    </w:p>
    <w:p>
      <w:pPr>
        <w:jc w:val="center"/>
        <w:rPr>
          <w:color w:val="000000" w:themeColor="text1"/>
          <w:sz w:val="24"/>
          <w:highlight w:val="none"/>
          <w14:textFill>
            <w14:solidFill>
              <w14:schemeClr w14:val="tx1"/>
            </w14:solidFill>
          </w14:textFill>
        </w:rPr>
      </w:pPr>
    </w:p>
    <w:p>
      <w:pPr>
        <w:pStyle w:val="29"/>
        <w:tabs>
          <w:tab w:val="left" w:pos="1050"/>
        </w:tabs>
        <w:adjustRightInd w:val="0"/>
        <w:spacing w:line="360" w:lineRule="auto"/>
        <w:ind w:firstLine="0" w:firstLineChars="0"/>
        <w:jc w:val="center"/>
        <w:textAlignment w:val="baseline"/>
        <w:rPr>
          <w:color w:val="000000" w:themeColor="text1"/>
          <w:sz w:val="28"/>
          <w:szCs w:val="28"/>
          <w:highlight w:val="none"/>
          <w14:textFill>
            <w14:solidFill>
              <w14:schemeClr w14:val="tx1"/>
            </w14:solidFill>
          </w14:textFill>
        </w:rPr>
      </w:pPr>
    </w:p>
    <w:p>
      <w:pPr>
        <w:pStyle w:val="29"/>
        <w:tabs>
          <w:tab w:val="left" w:pos="1050"/>
        </w:tabs>
        <w:adjustRightInd w:val="0"/>
        <w:spacing w:line="360" w:lineRule="auto"/>
        <w:ind w:firstLine="0" w:firstLineChars="0"/>
        <w:jc w:val="center"/>
        <w:textAlignment w:val="baseline"/>
        <w:rPr>
          <w:color w:val="000000" w:themeColor="text1"/>
          <w:sz w:val="28"/>
          <w:szCs w:val="28"/>
          <w:highlight w:val="none"/>
          <w14:textFill>
            <w14:solidFill>
              <w14:schemeClr w14:val="tx1"/>
            </w14:solidFill>
          </w14:textFill>
        </w:rPr>
      </w:pPr>
    </w:p>
    <w:p>
      <w:pPr>
        <w:pStyle w:val="29"/>
        <w:tabs>
          <w:tab w:val="left" w:pos="1050"/>
        </w:tabs>
        <w:adjustRightInd w:val="0"/>
        <w:spacing w:line="360" w:lineRule="auto"/>
        <w:ind w:firstLine="0" w:firstLineChars="0"/>
        <w:jc w:val="center"/>
        <w:textAlignment w:val="baseline"/>
        <w:rPr>
          <w:color w:val="000000" w:themeColor="text1"/>
          <w:sz w:val="28"/>
          <w:szCs w:val="28"/>
          <w:highlight w:val="none"/>
          <w14:textFill>
            <w14:solidFill>
              <w14:schemeClr w14:val="tx1"/>
            </w14:solidFill>
          </w14:textFill>
        </w:rPr>
      </w:pPr>
    </w:p>
    <w:p>
      <w:pPr>
        <w:pStyle w:val="29"/>
        <w:tabs>
          <w:tab w:val="left" w:pos="1050"/>
        </w:tabs>
        <w:adjustRightInd w:val="0"/>
        <w:spacing w:line="360" w:lineRule="auto"/>
        <w:ind w:firstLine="0" w:firstLineChars="0"/>
        <w:jc w:val="center"/>
        <w:textAlignment w:val="baseline"/>
        <w:rPr>
          <w:color w:val="000000" w:themeColor="text1"/>
          <w:sz w:val="28"/>
          <w:szCs w:val="28"/>
          <w:highlight w:val="none"/>
          <w14:textFill>
            <w14:solidFill>
              <w14:schemeClr w14:val="tx1"/>
            </w14:solidFill>
          </w14:textFill>
        </w:rPr>
      </w:pPr>
    </w:p>
    <w:p>
      <w:pPr>
        <w:pStyle w:val="29"/>
        <w:tabs>
          <w:tab w:val="left" w:pos="1050"/>
        </w:tabs>
        <w:adjustRightInd w:val="0"/>
        <w:spacing w:line="360" w:lineRule="auto"/>
        <w:ind w:firstLine="0" w:firstLineChars="0"/>
        <w:jc w:val="center"/>
        <w:textAlignment w:val="baseline"/>
        <w:rPr>
          <w:color w:val="000000" w:themeColor="text1"/>
          <w:sz w:val="28"/>
          <w:szCs w:val="28"/>
          <w:highlight w:val="none"/>
          <w14:textFill>
            <w14:solidFill>
              <w14:schemeClr w14:val="tx1"/>
            </w14:solidFill>
          </w14:textFill>
        </w:rPr>
      </w:pPr>
    </w:p>
    <w:p>
      <w:pPr>
        <w:pStyle w:val="29"/>
        <w:tabs>
          <w:tab w:val="left" w:pos="1050"/>
        </w:tabs>
        <w:adjustRightInd w:val="0"/>
        <w:spacing w:line="360" w:lineRule="auto"/>
        <w:ind w:firstLine="0" w:firstLineChars="0"/>
        <w:jc w:val="center"/>
        <w:textAlignment w:val="baseline"/>
        <w:rPr>
          <w:color w:val="000000" w:themeColor="text1"/>
          <w:sz w:val="28"/>
          <w:szCs w:val="28"/>
          <w:highlight w:val="none"/>
          <w14:textFill>
            <w14:solidFill>
              <w14:schemeClr w14:val="tx1"/>
            </w14:solidFill>
          </w14:textFill>
        </w:rPr>
      </w:pPr>
    </w:p>
    <w:p>
      <w:pPr>
        <w:pStyle w:val="29"/>
        <w:tabs>
          <w:tab w:val="left" w:pos="1050"/>
        </w:tabs>
        <w:adjustRightInd w:val="0"/>
        <w:spacing w:line="360" w:lineRule="auto"/>
        <w:ind w:firstLine="0" w:firstLineChars="0"/>
        <w:jc w:val="center"/>
        <w:textAlignment w:val="baseline"/>
        <w:rPr>
          <w:color w:val="000000" w:themeColor="text1"/>
          <w:sz w:val="28"/>
          <w:szCs w:val="28"/>
          <w:highlight w:val="none"/>
          <w14:textFill>
            <w14:solidFill>
              <w14:schemeClr w14:val="tx1"/>
            </w14:solidFill>
          </w14:textFill>
        </w:rPr>
      </w:pPr>
    </w:p>
    <w:p>
      <w:pPr>
        <w:pStyle w:val="29"/>
        <w:tabs>
          <w:tab w:val="left" w:pos="1050"/>
        </w:tabs>
        <w:adjustRightInd w:val="0"/>
        <w:spacing w:line="360" w:lineRule="auto"/>
        <w:ind w:firstLine="0" w:firstLineChars="0"/>
        <w:jc w:val="center"/>
        <w:textAlignment w:val="baseline"/>
        <w:rPr>
          <w:color w:val="000000" w:themeColor="text1"/>
          <w:sz w:val="28"/>
          <w:szCs w:val="28"/>
          <w:highlight w:val="none"/>
          <w14:textFill>
            <w14:solidFill>
              <w14:schemeClr w14:val="tx1"/>
            </w14:solidFill>
          </w14:textFill>
        </w:rPr>
      </w:pPr>
    </w:p>
    <w:p>
      <w:pPr>
        <w:pStyle w:val="29"/>
        <w:tabs>
          <w:tab w:val="left" w:pos="1050"/>
        </w:tabs>
        <w:adjustRightInd w:val="0"/>
        <w:spacing w:line="360" w:lineRule="auto"/>
        <w:ind w:firstLine="0" w:firstLineChars="0"/>
        <w:jc w:val="center"/>
        <w:textAlignment w:val="baseline"/>
        <w:rPr>
          <w:color w:val="000000" w:themeColor="text1"/>
          <w:sz w:val="28"/>
          <w:szCs w:val="28"/>
          <w:highlight w:val="none"/>
          <w14:textFill>
            <w14:solidFill>
              <w14:schemeClr w14:val="tx1"/>
            </w14:solidFill>
          </w14:textFill>
        </w:rPr>
      </w:pPr>
    </w:p>
    <w:p>
      <w:pPr>
        <w:pStyle w:val="29"/>
        <w:tabs>
          <w:tab w:val="left" w:pos="1050"/>
        </w:tabs>
        <w:adjustRightInd w:val="0"/>
        <w:spacing w:line="360" w:lineRule="auto"/>
        <w:ind w:firstLine="0" w:firstLineChars="0"/>
        <w:jc w:val="center"/>
        <w:textAlignment w:val="baseline"/>
        <w:rPr>
          <w:color w:val="000000" w:themeColor="text1"/>
          <w:sz w:val="28"/>
          <w:szCs w:val="28"/>
          <w:highlight w:val="none"/>
          <w14:textFill>
            <w14:solidFill>
              <w14:schemeClr w14:val="tx1"/>
            </w14:solidFill>
          </w14:textFill>
        </w:rPr>
      </w:pPr>
    </w:p>
    <w:p>
      <w:pPr>
        <w:pStyle w:val="29"/>
        <w:tabs>
          <w:tab w:val="left" w:pos="1050"/>
        </w:tabs>
        <w:adjustRightInd w:val="0"/>
        <w:spacing w:line="360" w:lineRule="auto"/>
        <w:ind w:firstLine="0" w:firstLineChars="0"/>
        <w:jc w:val="center"/>
        <w:textAlignment w:val="baseline"/>
        <w:rPr>
          <w:color w:val="000000" w:themeColor="text1"/>
          <w:sz w:val="28"/>
          <w:szCs w:val="28"/>
          <w:highlight w:val="none"/>
          <w14:textFill>
            <w14:solidFill>
              <w14:schemeClr w14:val="tx1"/>
            </w14:solidFill>
          </w14:textFill>
        </w:rPr>
      </w:pPr>
    </w:p>
    <w:p>
      <w:pPr>
        <w:pStyle w:val="29"/>
        <w:tabs>
          <w:tab w:val="left" w:pos="1050"/>
        </w:tabs>
        <w:adjustRightInd w:val="0"/>
        <w:spacing w:line="360" w:lineRule="auto"/>
        <w:ind w:firstLine="0" w:firstLineChars="0"/>
        <w:jc w:val="center"/>
        <w:textAlignment w:val="baseline"/>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十四、</w:t>
      </w:r>
      <w:r>
        <w:rPr>
          <w:b/>
          <w:bCs/>
          <w:color w:val="000000" w:themeColor="text1"/>
          <w:sz w:val="28"/>
          <w:szCs w:val="28"/>
          <w:highlight w:val="none"/>
          <w14:textFill>
            <w14:solidFill>
              <w14:schemeClr w14:val="tx1"/>
            </w14:solidFill>
          </w14:textFill>
        </w:rPr>
        <w:t>投标人认为需提供的相关资料</w:t>
      </w:r>
    </w:p>
    <w:p>
      <w:pPr>
        <w:pStyle w:val="5"/>
        <w:rPr>
          <w:color w:val="000000" w:themeColor="text1"/>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bookmarkStart w:id="110" w:name="_Toc169194757"/>
      <w:r>
        <w:rPr>
          <w:color w:val="000000" w:themeColor="text1"/>
          <w:highlight w:val="none"/>
          <w14:textFill>
            <w14:solidFill>
              <w14:schemeClr w14:val="tx1"/>
            </w14:solidFill>
          </w14:textFill>
        </w:rPr>
        <w:t>第六章  评标标准及办法</w:t>
      </w:r>
      <w:bookmarkEnd w:id="110"/>
    </w:p>
    <w:p>
      <w:pPr>
        <w:spacing w:before="120" w:beforeLines="50" w:after="120" w:afterLines="50" w:line="360" w:lineRule="auto"/>
        <w:ind w:firstLine="482" w:firstLineChars="200"/>
        <w:rPr>
          <w:b/>
          <w:color w:val="000000" w:themeColor="text1"/>
          <w:sz w:val="24"/>
          <w:szCs w:val="24"/>
          <w:highlight w:val="none"/>
          <w14:textFill>
            <w14:solidFill>
              <w14:schemeClr w14:val="tx1"/>
            </w14:solidFill>
          </w14:textFill>
        </w:rPr>
      </w:pPr>
      <w:bookmarkStart w:id="111" w:name="_Toc106522497"/>
      <w:bookmarkStart w:id="112" w:name="_Toc93747396"/>
      <w:bookmarkStart w:id="113" w:name="_Toc88382157"/>
      <w:bookmarkStart w:id="114" w:name="_Toc121212622"/>
      <w:bookmarkStart w:id="115" w:name="_Toc98943105"/>
      <w:bookmarkStart w:id="116" w:name="_Toc73332649"/>
      <w:r>
        <w:rPr>
          <w:b/>
          <w:color w:val="000000" w:themeColor="text1"/>
          <w:sz w:val="24"/>
          <w:szCs w:val="24"/>
          <w:highlight w:val="none"/>
          <w14:textFill>
            <w14:solidFill>
              <w14:schemeClr w14:val="tx1"/>
            </w14:solidFill>
          </w14:textFill>
        </w:rPr>
        <w:t>1. 总则</w:t>
      </w:r>
      <w:bookmarkEnd w:id="111"/>
      <w:bookmarkEnd w:id="112"/>
      <w:bookmarkEnd w:id="113"/>
      <w:bookmarkEnd w:id="114"/>
      <w:bookmarkEnd w:id="115"/>
      <w:bookmarkEnd w:id="116"/>
      <w:r>
        <w:rPr>
          <w:b/>
          <w:color w:val="000000" w:themeColor="text1"/>
          <w:sz w:val="24"/>
          <w:szCs w:val="24"/>
          <w:highlight w:val="none"/>
          <w14:textFill>
            <w14:solidFill>
              <w14:schemeClr w14:val="tx1"/>
            </w14:solidFill>
          </w14:textFill>
        </w:rPr>
        <w:t xml:space="preserve"> </w:t>
      </w:r>
    </w:p>
    <w:p>
      <w:pPr>
        <w:adjustRightInd w:val="0"/>
        <w:snapToGrid w:val="0"/>
        <w:spacing w:line="360" w:lineRule="auto"/>
        <w:ind w:firstLine="482" w:firstLineChars="200"/>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1.1</w:t>
      </w:r>
      <w:r>
        <w:rPr>
          <w:b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为保证本项目评标工作顺利进行，依据公平、公正、科学、择优的原则，特制定本评标办法。</w:t>
      </w:r>
    </w:p>
    <w:p>
      <w:pPr>
        <w:adjustRightInd w:val="0"/>
        <w:snapToGrid w:val="0"/>
        <w:spacing w:line="360" w:lineRule="auto"/>
        <w:ind w:firstLine="482"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1.2</w:t>
      </w:r>
      <w:r>
        <w:rPr>
          <w:bCs/>
          <w:color w:val="000000" w:themeColor="text1"/>
          <w:sz w:val="24"/>
          <w:szCs w:val="24"/>
          <w:highlight w:val="none"/>
          <w14:textFill>
            <w14:solidFill>
              <w14:schemeClr w14:val="tx1"/>
            </w14:solidFill>
          </w14:textFill>
        </w:rPr>
        <w:t xml:space="preserve"> 本次评标采用 综合评分法，即最大限度地满足采购文件实质性要求前提下，按照采购文件中规定的各项因素进行综合评审后，以评标总得分最高的投标人作为中标候选人的评标方法。综合评分的主要因素是：投标报价、技术部分、商务部分，对采购文件的响应程度，以及相应的比重或者权值等。</w:t>
      </w:r>
    </w:p>
    <w:p>
      <w:pPr>
        <w:spacing w:before="120" w:beforeLines="50" w:after="120" w:afterLines="50" w:line="360" w:lineRule="auto"/>
        <w:ind w:firstLine="482" w:firstLineChars="200"/>
        <w:rPr>
          <w:b/>
          <w:color w:val="000000" w:themeColor="text1"/>
          <w:sz w:val="24"/>
          <w:szCs w:val="24"/>
          <w:highlight w:val="none"/>
          <w14:textFill>
            <w14:solidFill>
              <w14:schemeClr w14:val="tx1"/>
            </w14:solidFill>
          </w14:textFill>
        </w:rPr>
      </w:pPr>
      <w:bookmarkStart w:id="117" w:name="_Toc106522498"/>
      <w:bookmarkStart w:id="118" w:name="_Toc73332650"/>
      <w:bookmarkStart w:id="119" w:name="_Toc121212623"/>
      <w:bookmarkStart w:id="120" w:name="_Toc98943106"/>
      <w:bookmarkStart w:id="121" w:name="_Toc93747397"/>
      <w:bookmarkStart w:id="122" w:name="_Toc88382158"/>
      <w:r>
        <w:rPr>
          <w:b/>
          <w:color w:val="000000" w:themeColor="text1"/>
          <w:sz w:val="24"/>
          <w:szCs w:val="24"/>
          <w:highlight w:val="none"/>
          <w14:textFill>
            <w14:solidFill>
              <w14:schemeClr w14:val="tx1"/>
            </w14:solidFill>
          </w14:textFill>
        </w:rPr>
        <w:t>2. 评标组织机构</w:t>
      </w:r>
      <w:bookmarkEnd w:id="117"/>
      <w:bookmarkEnd w:id="118"/>
      <w:bookmarkEnd w:id="119"/>
      <w:bookmarkEnd w:id="120"/>
      <w:bookmarkEnd w:id="121"/>
      <w:bookmarkEnd w:id="122"/>
    </w:p>
    <w:p>
      <w:pPr>
        <w:spacing w:before="120" w:beforeLines="50" w:after="120" w:afterLines="50" w:line="360" w:lineRule="auto"/>
        <w:ind w:firstLine="482" w:firstLineChars="200"/>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t>评标委员会由业主单位专家及受聘的技术和经济专家组成，</w:t>
      </w:r>
      <w:bookmarkStart w:id="123" w:name="_Toc88382159"/>
      <w:bookmarkStart w:id="124" w:name="_Toc98943107"/>
      <w:bookmarkStart w:id="125" w:name="_Toc106522499"/>
      <w:bookmarkStart w:id="126" w:name="_Toc93747398"/>
      <w:bookmarkStart w:id="127" w:name="_Toc73332651"/>
      <w:bookmarkStart w:id="128" w:name="_Toc121212624"/>
      <w:r>
        <w:rPr>
          <w:color w:val="000000" w:themeColor="text1"/>
          <w:sz w:val="24"/>
          <w:szCs w:val="24"/>
          <w:highlight w:val="none"/>
          <w14:textFill>
            <w14:solidFill>
              <w14:schemeClr w14:val="tx1"/>
            </w14:solidFill>
          </w14:textFill>
        </w:rPr>
        <w:t>成员人数为5人，其中采购人代表1人，专家4人；评标专家确定方式：由财政部门的评标专家库中随机抽取，与投标人有利益或隶属关系的专家不能担任评委，评标委员会应当推选组长，但采购人代表不得担任组长。</w:t>
      </w:r>
    </w:p>
    <w:p>
      <w:pPr>
        <w:spacing w:before="120" w:beforeLines="50" w:after="120" w:afterLines="50" w:line="360" w:lineRule="auto"/>
        <w:ind w:firstLine="482"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 评标工作程序</w:t>
      </w:r>
      <w:bookmarkEnd w:id="123"/>
      <w:bookmarkEnd w:id="124"/>
      <w:bookmarkEnd w:id="125"/>
      <w:bookmarkEnd w:id="126"/>
      <w:bookmarkEnd w:id="127"/>
      <w:bookmarkEnd w:id="128"/>
    </w:p>
    <w:p>
      <w:pPr>
        <w:tabs>
          <w:tab w:val="left" w:pos="630"/>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初步评审及资格后审：包括资格性检查、符合性检查。评标委员会将按投标须知审查投标文件是否实质上响应了采购文件的要求，对实质上响应采购文件要求的投标文件可进入下一步评审，对实质上不响应采购文件的视为无效投标。</w:t>
      </w:r>
    </w:p>
    <w:p>
      <w:pPr>
        <w:tabs>
          <w:tab w:val="left" w:pos="630"/>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2）有效报价的确定：各投标人的投标报价不低于成本价的、技术、商务基本符合要求，无缺、漏项的为有效报价，否则，其投标报价不参与评标基准价计算。</w:t>
      </w:r>
    </w:p>
    <w:p>
      <w:pPr>
        <w:tabs>
          <w:tab w:val="left" w:pos="630"/>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3）评标委员会将按综合得分由高到低的顺序推荐排序前三名的投标人为中标候选人。初步评审(资格后审)、详细评审、澄清（如果需要）、汇总评审结果、确定推荐中标候选人、完成评标报告；</w:t>
      </w:r>
    </w:p>
    <w:p>
      <w:pPr>
        <w:spacing w:before="120" w:beforeLines="50" w:after="120" w:afterLines="50" w:line="360" w:lineRule="auto"/>
        <w:ind w:firstLine="482" w:firstLineChars="200"/>
        <w:rPr>
          <w:b/>
          <w:color w:val="000000" w:themeColor="text1"/>
          <w:sz w:val="24"/>
          <w:szCs w:val="24"/>
          <w:highlight w:val="none"/>
          <w14:textFill>
            <w14:solidFill>
              <w14:schemeClr w14:val="tx1"/>
            </w14:solidFill>
          </w14:textFill>
        </w:rPr>
      </w:pPr>
      <w:bookmarkStart w:id="129" w:name="_Toc93747399"/>
      <w:bookmarkStart w:id="130" w:name="_Toc121212625"/>
      <w:bookmarkStart w:id="131" w:name="_Toc88382160"/>
      <w:bookmarkStart w:id="132" w:name="_Toc106522500"/>
      <w:bookmarkStart w:id="133" w:name="_Toc98943108"/>
      <w:bookmarkStart w:id="134" w:name="_Toc73332652"/>
      <w:r>
        <w:rPr>
          <w:b/>
          <w:color w:val="000000" w:themeColor="text1"/>
          <w:sz w:val="24"/>
          <w:szCs w:val="24"/>
          <w:highlight w:val="none"/>
          <w14:textFill>
            <w14:solidFill>
              <w14:schemeClr w14:val="tx1"/>
            </w14:solidFill>
          </w14:textFill>
        </w:rPr>
        <w:t xml:space="preserve">4. </w:t>
      </w:r>
      <w:bookmarkEnd w:id="129"/>
      <w:bookmarkEnd w:id="130"/>
      <w:bookmarkEnd w:id="131"/>
      <w:bookmarkEnd w:id="132"/>
      <w:bookmarkEnd w:id="133"/>
      <w:bookmarkEnd w:id="134"/>
      <w:r>
        <w:rPr>
          <w:b/>
          <w:color w:val="000000" w:themeColor="text1"/>
          <w:sz w:val="24"/>
          <w:szCs w:val="24"/>
          <w:highlight w:val="none"/>
          <w14:textFill>
            <w14:solidFill>
              <w14:schemeClr w14:val="tx1"/>
            </w14:solidFill>
          </w14:textFill>
        </w:rPr>
        <w:t>初步评审及资格后审</w:t>
      </w:r>
    </w:p>
    <w:p>
      <w:pPr>
        <w:adjustRightInd w:val="0"/>
        <w:snapToGrid w:val="0"/>
        <w:spacing w:line="360" w:lineRule="auto"/>
        <w:ind w:firstLine="480"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4.1资格性审查</w:t>
      </w:r>
    </w:p>
    <w:p>
      <w:pPr>
        <w:adjustRightInd w:val="0"/>
        <w:snapToGrid w:val="0"/>
        <w:spacing w:line="360" w:lineRule="auto"/>
        <w:ind w:firstLine="480"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根据法律法规和招标文件的规定，对投标文件中的资格证明文件等进行审查，以确定投标投标人是否具备投标资格。审查事项如下：</w:t>
      </w:r>
    </w:p>
    <w:p>
      <w:pPr>
        <w:adjustRightInd w:val="0"/>
        <w:snapToGrid w:val="0"/>
        <w:spacing w:line="360" w:lineRule="auto"/>
        <w:ind w:firstLine="480" w:firstLineChars="200"/>
        <w:jc w:val="center"/>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资格性审查表</w:t>
      </w:r>
    </w:p>
    <w:tbl>
      <w:tblPr>
        <w:tblStyle w:val="22"/>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966"/>
        <w:gridCol w:w="2618"/>
        <w:gridCol w:w="5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733" w:type="dxa"/>
            <w:tcBorders>
              <w:top w:val="single" w:color="000000" w:sz="4" w:space="0"/>
              <w:left w:val="single" w:color="000000" w:sz="4" w:space="0"/>
              <w:bottom w:val="single" w:color="000000" w:sz="4" w:space="0"/>
              <w:right w:val="single" w:color="000000" w:sz="4" w:space="0"/>
            </w:tcBorders>
          </w:tcPr>
          <w:p>
            <w:pPr>
              <w:pStyle w:val="19"/>
              <w:widowControl w:val="0"/>
              <w:autoSpaceDE w:val="0"/>
              <w:autoSpaceDN w:val="0"/>
              <w:spacing w:before="169" w:beforeAutospacing="0" w:after="0" w:afterAutospacing="0"/>
              <w:ind w:left="155"/>
              <w:rPr>
                <w:rFonts w:hint="default" w:ascii="Times New Roman"/>
                <w:color w:val="000000" w:themeColor="text1"/>
                <w:kern w:val="2"/>
                <w:sz w:val="21"/>
                <w:szCs w:val="21"/>
                <w:highlight w:val="none"/>
                <w14:textFill>
                  <w14:solidFill>
                    <w14:schemeClr w14:val="tx1"/>
                  </w14:solidFill>
                </w14:textFill>
              </w:rPr>
            </w:pPr>
            <w:r>
              <w:rPr>
                <w:rFonts w:ascii="Times New Roman"/>
                <w:color w:val="000000" w:themeColor="text1"/>
                <w:kern w:val="2"/>
                <w:sz w:val="21"/>
                <w:szCs w:val="21"/>
                <w:highlight w:val="none"/>
                <w:lang w:bidi="ar"/>
                <w14:textFill>
                  <w14:solidFill>
                    <w14:schemeClr w14:val="tx1"/>
                  </w14:solidFill>
                </w14:textFill>
              </w:rPr>
              <w:t>序号</w:t>
            </w:r>
          </w:p>
        </w:tc>
        <w:tc>
          <w:tcPr>
            <w:tcW w:w="3584" w:type="dxa"/>
            <w:gridSpan w:val="2"/>
            <w:tcBorders>
              <w:top w:val="single" w:color="000000" w:sz="4" w:space="0"/>
              <w:left w:val="nil"/>
              <w:bottom w:val="single" w:color="000000" w:sz="4" w:space="0"/>
              <w:right w:val="single" w:color="000000" w:sz="4" w:space="0"/>
            </w:tcBorders>
          </w:tcPr>
          <w:p>
            <w:pPr>
              <w:pStyle w:val="19"/>
              <w:widowControl w:val="0"/>
              <w:autoSpaceDE w:val="0"/>
              <w:autoSpaceDN w:val="0"/>
              <w:spacing w:before="169" w:beforeAutospacing="0" w:after="0" w:afterAutospacing="0"/>
              <w:ind w:left="1354" w:right="1340"/>
              <w:jc w:val="center"/>
              <w:rPr>
                <w:rFonts w:hint="default" w:ascii="Times New Roman"/>
                <w:color w:val="000000" w:themeColor="text1"/>
                <w:kern w:val="2"/>
                <w:sz w:val="21"/>
                <w:szCs w:val="21"/>
                <w:highlight w:val="none"/>
                <w14:textFill>
                  <w14:solidFill>
                    <w14:schemeClr w14:val="tx1"/>
                  </w14:solidFill>
                </w14:textFill>
              </w:rPr>
            </w:pPr>
            <w:r>
              <w:rPr>
                <w:rFonts w:ascii="Times New Roman"/>
                <w:color w:val="000000" w:themeColor="text1"/>
                <w:kern w:val="2"/>
                <w:sz w:val="21"/>
                <w:szCs w:val="21"/>
                <w:highlight w:val="none"/>
                <w:lang w:bidi="ar"/>
                <w14:textFill>
                  <w14:solidFill>
                    <w14:schemeClr w14:val="tx1"/>
                  </w14:solidFill>
                </w14:textFill>
              </w:rPr>
              <w:t>检查因素</w:t>
            </w:r>
          </w:p>
        </w:tc>
        <w:tc>
          <w:tcPr>
            <w:tcW w:w="5141"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169" w:beforeAutospacing="0" w:after="0" w:afterAutospacing="0"/>
              <w:ind w:left="2132" w:right="2120"/>
              <w:jc w:val="center"/>
              <w:rPr>
                <w:rFonts w:hint="default" w:ascii="Times New Roman"/>
                <w:color w:val="000000" w:themeColor="text1"/>
                <w:kern w:val="2"/>
                <w:sz w:val="21"/>
                <w:szCs w:val="21"/>
                <w:highlight w:val="none"/>
                <w14:textFill>
                  <w14:solidFill>
                    <w14:schemeClr w14:val="tx1"/>
                  </w14:solidFill>
                </w14:textFill>
              </w:rPr>
            </w:pPr>
            <w:r>
              <w:rPr>
                <w:rFonts w:ascii="Times New Roman"/>
                <w:color w:val="000000" w:themeColor="text1"/>
                <w:kern w:val="2"/>
                <w:sz w:val="21"/>
                <w:szCs w:val="21"/>
                <w:highlight w:val="none"/>
                <w:lang w:bidi="ar"/>
                <w14:textFill>
                  <w14:solidFill>
                    <w14:schemeClr w14:val="tx1"/>
                  </w14:solidFill>
                </w14:textFill>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33" w:type="dxa"/>
            <w:vMerge w:val="restart"/>
            <w:tcBorders>
              <w:top w:val="nil"/>
              <w:left w:val="single" w:color="000000" w:sz="4" w:space="0"/>
              <w:bottom w:val="single" w:color="000000" w:sz="4" w:space="0"/>
              <w:right w:val="single" w:color="000000" w:sz="4" w:space="0"/>
            </w:tcBorders>
          </w:tcPr>
          <w:p>
            <w:pPr>
              <w:pStyle w:val="19"/>
              <w:widowControl w:val="0"/>
              <w:autoSpaceDE w:val="0"/>
              <w:autoSpaceDN w:val="0"/>
              <w:spacing w:before="0" w:beforeAutospacing="0" w:after="0" w:afterAutospacing="0"/>
              <w:rPr>
                <w:rFonts w:hint="default" w:ascii="Times New Roman"/>
                <w:b/>
                <w:color w:val="000000" w:themeColor="text1"/>
                <w:kern w:val="2"/>
                <w:sz w:val="20"/>
                <w:highlight w:val="none"/>
                <w14:textFill>
                  <w14:solidFill>
                    <w14:schemeClr w14:val="tx1"/>
                  </w14:solidFill>
                </w14:textFill>
              </w:rPr>
            </w:pPr>
          </w:p>
          <w:p>
            <w:pPr>
              <w:pStyle w:val="19"/>
              <w:widowControl w:val="0"/>
              <w:autoSpaceDE w:val="0"/>
              <w:autoSpaceDN w:val="0"/>
              <w:spacing w:before="5" w:beforeAutospacing="0" w:after="0" w:afterAutospacing="0"/>
              <w:rPr>
                <w:rFonts w:hint="default" w:ascii="Times New Roman"/>
                <w:b/>
                <w:color w:val="000000" w:themeColor="text1"/>
                <w:kern w:val="2"/>
                <w:sz w:val="28"/>
                <w:szCs w:val="28"/>
                <w:highlight w:val="none"/>
                <w14:textFill>
                  <w14:solidFill>
                    <w14:schemeClr w14:val="tx1"/>
                  </w14:solidFill>
                </w14:textFill>
              </w:rPr>
            </w:pPr>
          </w:p>
          <w:p>
            <w:pPr>
              <w:pStyle w:val="19"/>
              <w:widowControl w:val="0"/>
              <w:autoSpaceDE w:val="0"/>
              <w:autoSpaceDN w:val="0"/>
              <w:spacing w:before="0" w:beforeAutospacing="0" w:after="0" w:afterAutospacing="0"/>
              <w:ind w:left="10"/>
              <w:jc w:val="center"/>
              <w:rPr>
                <w:rFonts w:hint="default" w:ascii="Times New Roman"/>
                <w:color w:val="000000" w:themeColor="text1"/>
                <w:kern w:val="2"/>
                <w:sz w:val="21"/>
                <w:szCs w:val="21"/>
                <w:highlight w:val="none"/>
                <w14:textFill>
                  <w14:solidFill>
                    <w14:schemeClr w14:val="tx1"/>
                  </w14:solidFill>
                </w14:textFill>
              </w:rPr>
            </w:pPr>
            <w:r>
              <w:rPr>
                <w:rFonts w:hint="default" w:ascii="Times New Roman" w:eastAsia="仿宋"/>
                <w:color w:val="000000" w:themeColor="text1"/>
                <w:kern w:val="2"/>
                <w:sz w:val="21"/>
                <w:szCs w:val="21"/>
                <w:highlight w:val="none"/>
                <w:lang w:bidi="ar"/>
                <w14:textFill>
                  <w14:solidFill>
                    <w14:schemeClr w14:val="tx1"/>
                  </w14:solidFill>
                </w14:textFill>
              </w:rPr>
              <w:t>1</w:t>
            </w:r>
          </w:p>
        </w:tc>
        <w:tc>
          <w:tcPr>
            <w:tcW w:w="966" w:type="dxa"/>
            <w:vMerge w:val="restart"/>
            <w:tcBorders>
              <w:top w:val="nil"/>
              <w:left w:val="nil"/>
              <w:bottom w:val="single" w:color="000000" w:sz="4" w:space="0"/>
              <w:right w:val="single" w:color="000000" w:sz="4" w:space="0"/>
            </w:tcBorders>
          </w:tcPr>
          <w:p>
            <w:pPr>
              <w:pStyle w:val="19"/>
              <w:widowControl w:val="0"/>
              <w:autoSpaceDE w:val="0"/>
              <w:autoSpaceDN w:val="0"/>
              <w:spacing w:before="152" w:beforeAutospacing="0" w:after="0" w:afterAutospacing="0" w:line="276" w:lineRule="auto"/>
              <w:ind w:left="108" w:right="92"/>
              <w:rPr>
                <w:rFonts w:hint="default" w:ascii="Times New Roman"/>
                <w:color w:val="000000" w:themeColor="text1"/>
                <w:kern w:val="2"/>
                <w:sz w:val="21"/>
                <w:szCs w:val="21"/>
                <w:highlight w:val="none"/>
                <w14:textFill>
                  <w14:solidFill>
                    <w14:schemeClr w14:val="tx1"/>
                  </w14:solidFill>
                </w14:textFill>
              </w:rPr>
            </w:pPr>
            <w:r>
              <w:rPr>
                <w:rFonts w:ascii="Times New Roman"/>
                <w:color w:val="000000" w:themeColor="text1"/>
                <w:spacing w:val="-27"/>
                <w:kern w:val="2"/>
                <w:sz w:val="21"/>
                <w:szCs w:val="21"/>
                <w:highlight w:val="none"/>
                <w:lang w:bidi="ar"/>
                <w14:textFill>
                  <w14:solidFill>
                    <w14:schemeClr w14:val="tx1"/>
                  </w14:solidFill>
                </w14:textFill>
              </w:rPr>
              <w:t>符合《中</w:t>
            </w:r>
            <w:r>
              <w:rPr>
                <w:rFonts w:ascii="Times New Roman"/>
                <w:color w:val="000000" w:themeColor="text1"/>
                <w:kern w:val="2"/>
                <w:sz w:val="21"/>
                <w:szCs w:val="21"/>
                <w:highlight w:val="none"/>
                <w:lang w:bidi="ar"/>
                <w14:textFill>
                  <w14:solidFill>
                    <w14:schemeClr w14:val="tx1"/>
                  </w14:solidFill>
                </w14:textFill>
              </w:rPr>
              <w:t>华人民共和国政府采</w:t>
            </w:r>
          </w:p>
        </w:tc>
        <w:tc>
          <w:tcPr>
            <w:tcW w:w="2618"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4" w:beforeAutospacing="0" w:after="0" w:afterAutospacing="0"/>
              <w:rPr>
                <w:rFonts w:hint="default" w:ascii="Times New Roman"/>
                <w:b/>
                <w:color w:val="000000" w:themeColor="text1"/>
                <w:kern w:val="2"/>
                <w:sz w:val="15"/>
                <w:szCs w:val="15"/>
                <w:highlight w:val="none"/>
                <w14:textFill>
                  <w14:solidFill>
                    <w14:schemeClr w14:val="tx1"/>
                  </w14:solidFill>
                </w14:textFill>
              </w:rPr>
            </w:pPr>
          </w:p>
          <w:p>
            <w:pPr>
              <w:pStyle w:val="19"/>
              <w:widowControl w:val="0"/>
              <w:autoSpaceDE w:val="0"/>
              <w:autoSpaceDN w:val="0"/>
              <w:spacing w:before="0" w:beforeAutospacing="0" w:after="0" w:afterAutospacing="0"/>
              <w:ind w:left="108" w:right="48"/>
              <w:rPr>
                <w:rFonts w:hint="default" w:ascii="Times New Roman"/>
                <w:color w:val="000000" w:themeColor="text1"/>
                <w:kern w:val="2"/>
                <w:sz w:val="21"/>
                <w:szCs w:val="21"/>
                <w:highlight w:val="none"/>
                <w14:textFill>
                  <w14:solidFill>
                    <w14:schemeClr w14:val="tx1"/>
                  </w14:solidFill>
                </w14:textFill>
              </w:rPr>
            </w:pPr>
            <w:r>
              <w:rPr>
                <w:rFonts w:ascii="Times New Roman"/>
                <w:color w:val="000000" w:themeColor="text1"/>
                <w:kern w:val="2"/>
                <w:sz w:val="21"/>
                <w:szCs w:val="21"/>
                <w:highlight w:val="none"/>
                <w:lang w:bidi="ar"/>
                <w14:textFill>
                  <w14:solidFill>
                    <w14:schemeClr w14:val="tx1"/>
                  </w14:solidFill>
                </w14:textFill>
              </w:rPr>
              <w:t>（</w:t>
            </w:r>
            <w:r>
              <w:rPr>
                <w:rFonts w:hint="default" w:ascii="Times New Roman"/>
                <w:color w:val="000000" w:themeColor="text1"/>
                <w:kern w:val="2"/>
                <w:sz w:val="21"/>
                <w:szCs w:val="21"/>
                <w:highlight w:val="none"/>
                <w:lang w:bidi="ar"/>
                <w14:textFill>
                  <w14:solidFill>
                    <w14:schemeClr w14:val="tx1"/>
                  </w14:solidFill>
                </w14:textFill>
              </w:rPr>
              <w:t>1</w:t>
            </w:r>
            <w:r>
              <w:rPr>
                <w:rFonts w:hAnsi="宋体"/>
                <w:color w:val="000000" w:themeColor="text1"/>
                <w:kern w:val="2"/>
                <w:sz w:val="21"/>
                <w:szCs w:val="21"/>
                <w:highlight w:val="none"/>
                <w:lang w:bidi="ar"/>
                <w14:textFill>
                  <w14:solidFill>
                    <w14:schemeClr w14:val="tx1"/>
                  </w14:solidFill>
                </w14:textFill>
              </w:rPr>
              <w:t>）营业执照</w:t>
            </w:r>
          </w:p>
        </w:tc>
        <w:tc>
          <w:tcPr>
            <w:tcW w:w="5141"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65" w:beforeAutospacing="0" w:after="0" w:afterAutospacing="0"/>
              <w:ind w:left="108" w:right="91"/>
              <w:jc w:val="both"/>
              <w:rPr>
                <w:rFonts w:hint="default" w:ascii="Times New Roman"/>
                <w:color w:val="000000" w:themeColor="text1"/>
                <w:kern w:val="2"/>
                <w:sz w:val="21"/>
                <w:szCs w:val="21"/>
                <w:highlight w:val="none"/>
                <w14:textFill>
                  <w14:solidFill>
                    <w14:schemeClr w14:val="tx1"/>
                  </w14:solidFill>
                </w14:textFill>
              </w:rPr>
            </w:pPr>
            <w:r>
              <w:rPr>
                <w:rFonts w:ascii="Times New Roman"/>
                <w:color w:val="000000" w:themeColor="text1"/>
                <w:kern w:val="2"/>
                <w:sz w:val="21"/>
                <w:szCs w:val="21"/>
                <w:highlight w:val="none"/>
                <w:lang w:bidi="ar"/>
                <w14:textFill>
                  <w14:solidFill>
                    <w14:schemeClr w14:val="tx1"/>
                  </w14:solidFill>
                </w14:textFill>
              </w:rPr>
              <w:t>投标投标人营业执照复印件（未办理三证合一的还需提供税务登记证、组织机构代码证复印件）。自然人只需提供本人身份证。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33" w:type="dxa"/>
            <w:vMerge w:val="continue"/>
            <w:tcBorders>
              <w:top w:val="nil"/>
              <w:left w:val="single" w:color="000000" w:sz="4" w:space="0"/>
              <w:bottom w:val="single" w:color="000000" w:sz="4" w:space="0"/>
              <w:right w:val="single" w:color="000000" w:sz="4" w:space="0"/>
            </w:tcBorders>
          </w:tcPr>
          <w:p>
            <w:pPr>
              <w:rPr>
                <w:rFonts w:ascii="Calibri" w:hAnsi="Calibri"/>
                <w:color w:val="000000" w:themeColor="text1"/>
                <w:szCs w:val="22"/>
                <w:highlight w:val="none"/>
                <w14:textFill>
                  <w14:solidFill>
                    <w14:schemeClr w14:val="tx1"/>
                  </w14:solidFill>
                </w14:textFill>
              </w:rPr>
            </w:pPr>
          </w:p>
        </w:tc>
        <w:tc>
          <w:tcPr>
            <w:tcW w:w="966" w:type="dxa"/>
            <w:vMerge w:val="continue"/>
            <w:tcBorders>
              <w:top w:val="nil"/>
              <w:left w:val="nil"/>
              <w:bottom w:val="single" w:color="000000" w:sz="4" w:space="0"/>
              <w:right w:val="single" w:color="000000" w:sz="4" w:space="0"/>
            </w:tcBorders>
          </w:tcPr>
          <w:p>
            <w:pPr>
              <w:rPr>
                <w:rFonts w:ascii="Calibri" w:hAnsi="Calibri"/>
                <w:color w:val="000000" w:themeColor="text1"/>
                <w:szCs w:val="22"/>
                <w:highlight w:val="none"/>
                <w14:textFill>
                  <w14:solidFill>
                    <w14:schemeClr w14:val="tx1"/>
                  </w14:solidFill>
                </w14:textFill>
              </w:rPr>
            </w:pPr>
          </w:p>
        </w:tc>
        <w:tc>
          <w:tcPr>
            <w:tcW w:w="2618"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45" w:beforeAutospacing="0" w:after="0" w:afterAutospacing="0"/>
              <w:ind w:left="108" w:right="48"/>
              <w:rPr>
                <w:rFonts w:hint="default" w:ascii="Times New Roman"/>
                <w:color w:val="000000" w:themeColor="text1"/>
                <w:kern w:val="2"/>
                <w:sz w:val="21"/>
                <w:szCs w:val="21"/>
                <w:highlight w:val="none"/>
                <w14:textFill>
                  <w14:solidFill>
                    <w14:schemeClr w14:val="tx1"/>
                  </w14:solidFill>
                </w14:textFill>
              </w:rPr>
            </w:pPr>
            <w:r>
              <w:rPr>
                <w:rFonts w:ascii="Times New Roman"/>
                <w:color w:val="000000" w:themeColor="text1"/>
                <w:kern w:val="2"/>
                <w:sz w:val="21"/>
                <w:szCs w:val="21"/>
                <w:highlight w:val="none"/>
                <w:lang w:bidi="ar"/>
                <w14:textFill>
                  <w14:solidFill>
                    <w14:schemeClr w14:val="tx1"/>
                  </w14:solidFill>
                </w14:textFill>
              </w:rPr>
              <w:t>（</w:t>
            </w:r>
            <w:r>
              <w:rPr>
                <w:rFonts w:hint="default" w:ascii="Times New Roman"/>
                <w:color w:val="000000" w:themeColor="text1"/>
                <w:kern w:val="2"/>
                <w:sz w:val="21"/>
                <w:szCs w:val="21"/>
                <w:highlight w:val="none"/>
                <w:lang w:bidi="ar"/>
                <w14:textFill>
                  <w14:solidFill>
                    <w14:schemeClr w14:val="tx1"/>
                  </w14:solidFill>
                </w14:textFill>
              </w:rPr>
              <w:t>2</w:t>
            </w:r>
            <w:r>
              <w:rPr>
                <w:rFonts w:hAnsi="宋体"/>
                <w:color w:val="000000" w:themeColor="text1"/>
                <w:kern w:val="2"/>
                <w:sz w:val="21"/>
                <w:szCs w:val="21"/>
                <w:highlight w:val="none"/>
                <w:lang w:bidi="ar"/>
                <w14:textFill>
                  <w14:solidFill>
                    <w14:schemeClr w14:val="tx1"/>
                  </w14:solidFill>
                </w14:textFill>
              </w:rPr>
              <w:t>）具有良好的商业信誉和健全的财务会计制度</w:t>
            </w:r>
          </w:p>
        </w:tc>
        <w:tc>
          <w:tcPr>
            <w:tcW w:w="5141"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45" w:beforeAutospacing="0" w:after="0" w:afterAutospacing="0"/>
              <w:ind w:left="108" w:right="91"/>
              <w:rPr>
                <w:rFonts w:hint="default" w:ascii="Times New Roman"/>
                <w:color w:val="000000" w:themeColor="text1"/>
                <w:kern w:val="2"/>
                <w:sz w:val="21"/>
                <w:szCs w:val="21"/>
                <w:highlight w:val="none"/>
                <w14:textFill>
                  <w14:solidFill>
                    <w14:schemeClr w14:val="tx1"/>
                  </w14:solidFill>
                </w14:textFill>
              </w:rPr>
            </w:pPr>
            <w:r>
              <w:rPr>
                <w:rFonts w:ascii="Times New Roman"/>
                <w:color w:val="000000" w:themeColor="text1"/>
                <w:spacing w:val="-7"/>
                <w:kern w:val="2"/>
                <w:sz w:val="21"/>
                <w:szCs w:val="21"/>
                <w:highlight w:val="none"/>
                <w:lang w:bidi="ar"/>
                <w14:textFill>
                  <w14:solidFill>
                    <w14:schemeClr w14:val="tx1"/>
                  </w14:solidFill>
                </w14:textFill>
              </w:rPr>
              <w:t>提供202</w:t>
            </w:r>
            <w:r>
              <w:rPr>
                <w:rFonts w:hint="eastAsia" w:ascii="Times New Roman"/>
                <w:color w:val="000000" w:themeColor="text1"/>
                <w:spacing w:val="-7"/>
                <w:kern w:val="2"/>
                <w:sz w:val="21"/>
                <w:szCs w:val="21"/>
                <w:highlight w:val="none"/>
                <w:lang w:val="en-US" w:eastAsia="zh-CN" w:bidi="ar"/>
                <w14:textFill>
                  <w14:solidFill>
                    <w14:schemeClr w14:val="tx1"/>
                  </w14:solidFill>
                </w14:textFill>
              </w:rPr>
              <w:t>3</w:t>
            </w:r>
            <w:r>
              <w:rPr>
                <w:rFonts w:ascii="Times New Roman"/>
                <w:color w:val="000000" w:themeColor="text1"/>
                <w:spacing w:val="-7"/>
                <w:kern w:val="2"/>
                <w:sz w:val="21"/>
                <w:szCs w:val="21"/>
                <w:highlight w:val="none"/>
                <w:lang w:bidi="ar"/>
                <w14:textFill>
                  <w14:solidFill>
                    <w14:schemeClr w14:val="tx1"/>
                  </w14:solidFill>
                </w14:textFill>
              </w:rPr>
              <w:t>或202</w:t>
            </w:r>
            <w:r>
              <w:rPr>
                <w:rFonts w:hint="eastAsia" w:ascii="Times New Roman"/>
                <w:color w:val="000000" w:themeColor="text1"/>
                <w:spacing w:val="-7"/>
                <w:kern w:val="2"/>
                <w:sz w:val="21"/>
                <w:szCs w:val="21"/>
                <w:highlight w:val="none"/>
                <w:lang w:val="en-US" w:eastAsia="zh-CN" w:bidi="ar"/>
                <w14:textFill>
                  <w14:solidFill>
                    <w14:schemeClr w14:val="tx1"/>
                  </w14:solidFill>
                </w14:textFill>
              </w:rPr>
              <w:t>4</w:t>
            </w:r>
            <w:r>
              <w:rPr>
                <w:rFonts w:ascii="Times New Roman"/>
                <w:color w:val="000000" w:themeColor="text1"/>
                <w:spacing w:val="-7"/>
                <w:kern w:val="2"/>
                <w:sz w:val="21"/>
                <w:szCs w:val="21"/>
                <w:highlight w:val="none"/>
                <w:lang w:bidi="ar"/>
                <w14:textFill>
                  <w14:solidFill>
                    <w14:schemeClr w14:val="tx1"/>
                  </w14:solidFill>
                </w14:textFill>
              </w:rPr>
              <w:t>年度经审计财务状况报告或银行出具的资信证明（含资产负债表、损益表）</w:t>
            </w:r>
            <w:r>
              <w:rPr>
                <w:rFonts w:ascii="Times New Roman"/>
                <w:color w:val="000000" w:themeColor="text1"/>
                <w:spacing w:val="-5"/>
                <w:kern w:val="2"/>
                <w:sz w:val="21"/>
                <w:szCs w:val="21"/>
                <w:highlight w:val="none"/>
                <w:lang w:bidi="ar"/>
                <w14:textFill>
                  <w14:solidFill>
                    <w14:schemeClr w14:val="tx1"/>
                  </w14:solidFill>
                </w14:textFill>
              </w:rPr>
              <w:t>自然人只需提供本人信誉。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33" w:type="dxa"/>
            <w:vMerge w:val="restart"/>
            <w:tcBorders>
              <w:top w:val="nil"/>
              <w:left w:val="single" w:color="000000" w:sz="4" w:space="0"/>
              <w:bottom w:val="single" w:color="000000" w:sz="4" w:space="0"/>
              <w:right w:val="single" w:color="000000" w:sz="4" w:space="0"/>
            </w:tcBorders>
          </w:tcPr>
          <w:p>
            <w:pPr>
              <w:pStyle w:val="19"/>
              <w:widowControl w:val="0"/>
              <w:autoSpaceDE w:val="0"/>
              <w:autoSpaceDN w:val="0"/>
              <w:spacing w:before="152" w:beforeAutospacing="0" w:after="0" w:afterAutospacing="0"/>
              <w:ind w:left="10"/>
              <w:jc w:val="center"/>
              <w:rPr>
                <w:rFonts w:hint="default" w:ascii="Times New Roman"/>
                <w:color w:val="000000" w:themeColor="text1"/>
                <w:kern w:val="2"/>
                <w:sz w:val="20"/>
                <w:highlight w:val="none"/>
                <w14:textFill>
                  <w14:solidFill>
                    <w14:schemeClr w14:val="tx1"/>
                  </w14:solidFill>
                </w14:textFill>
              </w:rPr>
            </w:pPr>
            <w:r>
              <w:rPr>
                <w:rFonts w:hint="default" w:ascii="Times New Roman" w:eastAsia="仿宋"/>
                <w:color w:val="000000" w:themeColor="text1"/>
                <w:kern w:val="2"/>
                <w:sz w:val="21"/>
                <w:szCs w:val="21"/>
                <w:highlight w:val="none"/>
                <w:lang w:bidi="ar"/>
                <w14:textFill>
                  <w14:solidFill>
                    <w14:schemeClr w14:val="tx1"/>
                  </w14:solidFill>
                </w14:textFill>
              </w:rPr>
              <w:t>2</w:t>
            </w:r>
          </w:p>
        </w:tc>
        <w:tc>
          <w:tcPr>
            <w:tcW w:w="966" w:type="dxa"/>
            <w:vMerge w:val="restart"/>
            <w:tcBorders>
              <w:top w:val="nil"/>
              <w:left w:val="nil"/>
              <w:bottom w:val="single" w:color="000000" w:sz="4" w:space="0"/>
              <w:right w:val="single" w:color="000000" w:sz="4" w:space="0"/>
            </w:tcBorders>
          </w:tcPr>
          <w:p>
            <w:pPr>
              <w:pStyle w:val="19"/>
              <w:widowControl w:val="0"/>
              <w:autoSpaceDE w:val="0"/>
              <w:autoSpaceDN w:val="0"/>
              <w:spacing w:before="22" w:beforeAutospacing="0" w:after="0" w:afterAutospacing="0" w:line="276" w:lineRule="auto"/>
              <w:ind w:left="108" w:right="3"/>
              <w:rPr>
                <w:rFonts w:hint="default" w:ascii="Times New Roman"/>
                <w:color w:val="000000" w:themeColor="text1"/>
                <w:kern w:val="2"/>
                <w:sz w:val="21"/>
                <w:szCs w:val="21"/>
                <w:highlight w:val="none"/>
                <w14:textFill>
                  <w14:solidFill>
                    <w14:schemeClr w14:val="tx1"/>
                  </w14:solidFill>
                </w14:textFill>
              </w:rPr>
            </w:pPr>
            <w:r>
              <w:rPr>
                <w:rFonts w:ascii="Times New Roman"/>
                <w:color w:val="000000" w:themeColor="text1"/>
                <w:kern w:val="2"/>
                <w:sz w:val="21"/>
                <w:szCs w:val="21"/>
                <w:highlight w:val="none"/>
                <w:lang w:bidi="ar"/>
                <w14:textFill>
                  <w14:solidFill>
                    <w14:schemeClr w14:val="tx1"/>
                  </w14:solidFill>
                </w14:textFill>
              </w:rPr>
              <w:t>购法》第二</w:t>
            </w:r>
            <w:r>
              <w:rPr>
                <w:rFonts w:hint="default" w:ascii="Times New Roman"/>
                <w:color w:val="000000" w:themeColor="text1"/>
                <w:kern w:val="2"/>
                <w:sz w:val="21"/>
                <w:szCs w:val="21"/>
                <w:highlight w:val="none"/>
                <w:lang w:bidi="ar"/>
                <w14:textFill>
                  <w14:solidFill>
                    <w14:schemeClr w14:val="tx1"/>
                  </w14:solidFill>
                </w14:textFill>
              </w:rPr>
              <w:t xml:space="preserve"> </w:t>
            </w:r>
            <w:r>
              <w:rPr>
                <w:rFonts w:ascii="Times New Roman"/>
                <w:color w:val="000000" w:themeColor="text1"/>
                <w:kern w:val="2"/>
                <w:sz w:val="21"/>
                <w:szCs w:val="21"/>
                <w:highlight w:val="none"/>
                <w:lang w:bidi="ar"/>
                <w14:textFill>
                  <w14:solidFill>
                    <w14:schemeClr w14:val="tx1"/>
                  </w14:solidFill>
                </w14:textFill>
              </w:rPr>
              <w:t>十</w:t>
            </w:r>
            <w:r>
              <w:rPr>
                <w:rFonts w:hint="default" w:ascii="Times New Roman"/>
                <w:color w:val="000000" w:themeColor="text1"/>
                <w:kern w:val="2"/>
                <w:sz w:val="21"/>
                <w:szCs w:val="21"/>
                <w:highlight w:val="none"/>
                <w:lang w:bidi="ar"/>
                <w14:textFill>
                  <w14:solidFill>
                    <w14:schemeClr w14:val="tx1"/>
                  </w14:solidFill>
                </w14:textFill>
              </w:rPr>
              <w:t xml:space="preserve"> </w:t>
            </w:r>
            <w:r>
              <w:rPr>
                <w:rFonts w:ascii="Times New Roman"/>
                <w:color w:val="000000" w:themeColor="text1"/>
                <w:kern w:val="2"/>
                <w:sz w:val="21"/>
                <w:szCs w:val="21"/>
                <w:highlight w:val="none"/>
                <w:lang w:bidi="ar"/>
                <w14:textFill>
                  <w14:solidFill>
                    <w14:schemeClr w14:val="tx1"/>
                  </w14:solidFill>
                </w14:textFill>
              </w:rPr>
              <w:t>二</w:t>
            </w:r>
            <w:r>
              <w:rPr>
                <w:rFonts w:hint="default" w:ascii="Times New Roman"/>
                <w:color w:val="000000" w:themeColor="text1"/>
                <w:kern w:val="2"/>
                <w:sz w:val="21"/>
                <w:szCs w:val="21"/>
                <w:highlight w:val="none"/>
                <w:lang w:bidi="ar"/>
                <w14:textFill>
                  <w14:solidFill>
                    <w14:schemeClr w14:val="tx1"/>
                  </w14:solidFill>
                </w14:textFill>
              </w:rPr>
              <w:t xml:space="preserve"> </w:t>
            </w:r>
            <w:r>
              <w:rPr>
                <w:rFonts w:ascii="Times New Roman"/>
                <w:color w:val="000000" w:themeColor="text1"/>
                <w:kern w:val="2"/>
                <w:sz w:val="21"/>
                <w:szCs w:val="21"/>
                <w:highlight w:val="none"/>
                <w:lang w:bidi="ar"/>
                <w14:textFill>
                  <w14:solidFill>
                    <w14:schemeClr w14:val="tx1"/>
                  </w14:solidFill>
                </w14:textFill>
              </w:rPr>
              <w:t>条规定，</w:t>
            </w:r>
            <w:r>
              <w:rPr>
                <w:rFonts w:hint="default" w:ascii="Times New Roman"/>
                <w:color w:val="000000" w:themeColor="text1"/>
                <w:kern w:val="2"/>
                <w:sz w:val="21"/>
                <w:szCs w:val="21"/>
                <w:highlight w:val="none"/>
                <w:lang w:bidi="ar"/>
                <w14:textFill>
                  <w14:solidFill>
                    <w14:schemeClr w14:val="tx1"/>
                  </w14:solidFill>
                </w14:textFill>
              </w:rPr>
              <w:t xml:space="preserve"> </w:t>
            </w:r>
            <w:r>
              <w:rPr>
                <w:rFonts w:ascii="Times New Roman"/>
                <w:color w:val="000000" w:themeColor="text1"/>
                <w:kern w:val="2"/>
                <w:sz w:val="21"/>
                <w:szCs w:val="21"/>
                <w:highlight w:val="none"/>
                <w:lang w:bidi="ar"/>
                <w14:textFill>
                  <w14:solidFill>
                    <w14:schemeClr w14:val="tx1"/>
                  </w14:solidFill>
                </w14:textFill>
              </w:rPr>
              <w:t>提供：</w:t>
            </w:r>
          </w:p>
        </w:tc>
        <w:tc>
          <w:tcPr>
            <w:tcW w:w="2618"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43" w:beforeAutospacing="0" w:after="0" w:afterAutospacing="0"/>
              <w:ind w:left="108" w:right="48"/>
              <w:rPr>
                <w:rFonts w:hint="default" w:ascii="Times New Roman"/>
                <w:color w:val="000000" w:themeColor="text1"/>
                <w:kern w:val="2"/>
                <w:sz w:val="21"/>
                <w:szCs w:val="21"/>
                <w:highlight w:val="none"/>
                <w14:textFill>
                  <w14:solidFill>
                    <w14:schemeClr w14:val="tx1"/>
                  </w14:solidFill>
                </w14:textFill>
              </w:rPr>
            </w:pPr>
            <w:r>
              <w:rPr>
                <w:rFonts w:ascii="Times New Roman"/>
                <w:color w:val="000000" w:themeColor="text1"/>
                <w:kern w:val="2"/>
                <w:sz w:val="21"/>
                <w:szCs w:val="21"/>
                <w:highlight w:val="none"/>
                <w:lang w:bidi="ar"/>
                <w14:textFill>
                  <w14:solidFill>
                    <w14:schemeClr w14:val="tx1"/>
                  </w14:solidFill>
                </w14:textFill>
              </w:rPr>
              <w:t>（</w:t>
            </w:r>
            <w:r>
              <w:rPr>
                <w:rFonts w:hint="default" w:ascii="Times New Roman"/>
                <w:color w:val="000000" w:themeColor="text1"/>
                <w:kern w:val="2"/>
                <w:sz w:val="21"/>
                <w:szCs w:val="21"/>
                <w:highlight w:val="none"/>
                <w:lang w:bidi="ar"/>
                <w14:textFill>
                  <w14:solidFill>
                    <w14:schemeClr w14:val="tx1"/>
                  </w14:solidFill>
                </w14:textFill>
              </w:rPr>
              <w:t>3</w:t>
            </w:r>
            <w:r>
              <w:rPr>
                <w:rFonts w:hAnsi="宋体"/>
                <w:color w:val="000000" w:themeColor="text1"/>
                <w:kern w:val="2"/>
                <w:sz w:val="21"/>
                <w:szCs w:val="21"/>
                <w:highlight w:val="none"/>
                <w:lang w:bidi="ar"/>
                <w14:textFill>
                  <w14:solidFill>
                    <w14:schemeClr w14:val="tx1"/>
                  </w14:solidFill>
                </w14:textFill>
              </w:rPr>
              <w:t>）具有履行合同所必须的设备和专业技术能力</w:t>
            </w:r>
          </w:p>
        </w:tc>
        <w:tc>
          <w:tcPr>
            <w:tcW w:w="5141"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43" w:beforeAutospacing="0" w:after="0" w:afterAutospacing="0"/>
              <w:ind w:left="108" w:right="91"/>
              <w:rPr>
                <w:rFonts w:hint="default" w:ascii="Times New Roman"/>
                <w:color w:val="000000" w:themeColor="text1"/>
                <w:kern w:val="2"/>
                <w:sz w:val="21"/>
                <w:szCs w:val="21"/>
                <w:highlight w:val="none"/>
                <w14:textFill>
                  <w14:solidFill>
                    <w14:schemeClr w14:val="tx1"/>
                  </w14:solidFill>
                </w14:textFill>
              </w:rPr>
            </w:pPr>
            <w:r>
              <w:rPr>
                <w:rFonts w:ascii="Times New Roman"/>
                <w:color w:val="000000" w:themeColor="text1"/>
                <w:kern w:val="2"/>
                <w:sz w:val="21"/>
                <w:szCs w:val="21"/>
                <w:highlight w:val="none"/>
                <w:lang w:bidi="ar"/>
                <w14:textFill>
                  <w14:solidFill>
                    <w14:schemeClr w14:val="tx1"/>
                  </w14:solidFill>
                </w14:textFill>
              </w:rPr>
              <w:t>主要设备情况，以及主要技术人员、售后服务机构人员能力等，需提供承诺函。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733" w:type="dxa"/>
            <w:vMerge w:val="continue"/>
            <w:tcBorders>
              <w:top w:val="nil"/>
              <w:left w:val="single" w:color="000000" w:sz="4" w:space="0"/>
              <w:bottom w:val="single" w:color="000000" w:sz="4" w:space="0"/>
              <w:right w:val="single" w:color="000000" w:sz="4" w:space="0"/>
            </w:tcBorders>
          </w:tcPr>
          <w:p>
            <w:pPr>
              <w:rPr>
                <w:rFonts w:ascii="Calibri" w:hAnsi="Calibri"/>
                <w:color w:val="000000" w:themeColor="text1"/>
                <w:szCs w:val="22"/>
                <w:highlight w:val="none"/>
                <w14:textFill>
                  <w14:solidFill>
                    <w14:schemeClr w14:val="tx1"/>
                  </w14:solidFill>
                </w14:textFill>
              </w:rPr>
            </w:pPr>
          </w:p>
        </w:tc>
        <w:tc>
          <w:tcPr>
            <w:tcW w:w="966" w:type="dxa"/>
            <w:vMerge w:val="continue"/>
            <w:tcBorders>
              <w:top w:val="nil"/>
              <w:left w:val="nil"/>
              <w:bottom w:val="single" w:color="000000" w:sz="4" w:space="0"/>
              <w:right w:val="single" w:color="000000" w:sz="4" w:space="0"/>
            </w:tcBorders>
          </w:tcPr>
          <w:p>
            <w:pPr>
              <w:rPr>
                <w:rFonts w:ascii="Calibri" w:hAnsi="Calibri"/>
                <w:color w:val="000000" w:themeColor="text1"/>
                <w:szCs w:val="22"/>
                <w:highlight w:val="none"/>
                <w14:textFill>
                  <w14:solidFill>
                    <w14:schemeClr w14:val="tx1"/>
                  </w14:solidFill>
                </w14:textFill>
              </w:rPr>
            </w:pPr>
          </w:p>
        </w:tc>
        <w:tc>
          <w:tcPr>
            <w:tcW w:w="2618"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139" w:beforeAutospacing="0" w:after="0" w:afterAutospacing="0"/>
              <w:ind w:left="108" w:right="48"/>
              <w:rPr>
                <w:rFonts w:hint="default" w:ascii="Times New Roman"/>
                <w:color w:val="000000" w:themeColor="text1"/>
                <w:kern w:val="2"/>
                <w:sz w:val="21"/>
                <w:szCs w:val="21"/>
                <w:highlight w:val="none"/>
                <w14:textFill>
                  <w14:solidFill>
                    <w14:schemeClr w14:val="tx1"/>
                  </w14:solidFill>
                </w14:textFill>
              </w:rPr>
            </w:pPr>
            <w:r>
              <w:rPr>
                <w:rFonts w:ascii="Times New Roman"/>
                <w:color w:val="000000" w:themeColor="text1"/>
                <w:kern w:val="2"/>
                <w:sz w:val="21"/>
                <w:szCs w:val="21"/>
                <w:highlight w:val="none"/>
                <w:lang w:bidi="ar"/>
                <w14:textFill>
                  <w14:solidFill>
                    <w14:schemeClr w14:val="tx1"/>
                  </w14:solidFill>
                </w14:textFill>
              </w:rPr>
              <w:t>（</w:t>
            </w:r>
            <w:r>
              <w:rPr>
                <w:rFonts w:hint="default" w:ascii="Times New Roman"/>
                <w:color w:val="000000" w:themeColor="text1"/>
                <w:kern w:val="2"/>
                <w:sz w:val="21"/>
                <w:szCs w:val="21"/>
                <w:highlight w:val="none"/>
                <w:lang w:bidi="ar"/>
                <w14:textFill>
                  <w14:solidFill>
                    <w14:schemeClr w14:val="tx1"/>
                  </w14:solidFill>
                </w14:textFill>
              </w:rPr>
              <w:t>4</w:t>
            </w:r>
            <w:r>
              <w:rPr>
                <w:rFonts w:hAnsi="宋体"/>
                <w:color w:val="000000" w:themeColor="text1"/>
                <w:kern w:val="2"/>
                <w:sz w:val="21"/>
                <w:szCs w:val="21"/>
                <w:highlight w:val="none"/>
                <w:lang w:bidi="ar"/>
                <w14:textFill>
                  <w14:solidFill>
                    <w14:schemeClr w14:val="tx1"/>
                  </w14:solidFill>
                </w14:textFill>
              </w:rPr>
              <w:t>）有依法缴纳税收和社会保障金的良好记录</w:t>
            </w:r>
          </w:p>
        </w:tc>
        <w:tc>
          <w:tcPr>
            <w:tcW w:w="5141"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0" w:beforeAutospacing="0" w:after="0" w:afterAutospacing="0" w:line="236" w:lineRule="exact"/>
              <w:rPr>
                <w:rFonts w:hint="default" w:ascii="Times New Roman"/>
                <w:b/>
                <w:color w:val="000000" w:themeColor="text1"/>
                <w:kern w:val="2"/>
                <w:sz w:val="21"/>
                <w:szCs w:val="21"/>
                <w:highlight w:val="none"/>
                <w14:textFill>
                  <w14:solidFill>
                    <w14:schemeClr w14:val="tx1"/>
                  </w14:solidFill>
                </w14:textFill>
              </w:rPr>
            </w:pPr>
            <w:r>
              <w:rPr>
                <w:rFonts w:ascii="Times New Roman"/>
                <w:color w:val="000000" w:themeColor="text1"/>
                <w:kern w:val="2"/>
                <w:sz w:val="21"/>
                <w:szCs w:val="21"/>
                <w:highlight w:val="none"/>
                <w:lang w:bidi="ar"/>
                <w14:textFill>
                  <w14:solidFill>
                    <w14:schemeClr w14:val="tx1"/>
                  </w14:solidFill>
                </w14:textFill>
              </w:rPr>
              <w:t>提供企业社保机构出具的近半年内任一月社保缴纳证明,及近</w:t>
            </w:r>
            <w:r>
              <w:rPr>
                <w:rFonts w:hint="default" w:ascii="Times New Roman"/>
                <w:color w:val="000000" w:themeColor="text1"/>
                <w:kern w:val="2"/>
                <w:sz w:val="21"/>
                <w:szCs w:val="21"/>
                <w:highlight w:val="none"/>
                <w:lang w:bidi="ar"/>
                <w14:textFill>
                  <w14:solidFill>
                    <w14:schemeClr w14:val="tx1"/>
                  </w14:solidFill>
                </w14:textFill>
              </w:rPr>
              <w:t>3</w:t>
            </w:r>
            <w:r>
              <w:rPr>
                <w:rFonts w:ascii="Times New Roman"/>
                <w:color w:val="000000" w:themeColor="text1"/>
                <w:kern w:val="2"/>
                <w:sz w:val="21"/>
                <w:szCs w:val="21"/>
                <w:highlight w:val="none"/>
                <w:lang w:bidi="ar"/>
                <w14:textFill>
                  <w14:solidFill>
                    <w14:schemeClr w14:val="tx1"/>
                  </w14:solidFill>
                </w14:textFill>
              </w:rPr>
              <w:t>个月任一月的完税证明材料或免税证明，还需提供授权代理人近三个月的社保缴纳证明材料。</w:t>
            </w:r>
            <w:r>
              <w:rPr>
                <w:rFonts w:ascii="Times New Roman"/>
                <w:b/>
                <w:color w:val="000000" w:themeColor="text1"/>
                <w:kern w:val="2"/>
                <w:sz w:val="21"/>
                <w:szCs w:val="21"/>
                <w:highlight w:val="none"/>
                <w:lang w:bidi="ar"/>
                <w14:textFill>
                  <w14:solidFill>
                    <w14:schemeClr w14:val="tx1"/>
                  </w14:solidFill>
                </w14:textFill>
              </w:rPr>
              <w:t>（自公告发出之日起不足半年的新注册公司除外）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733" w:type="dxa"/>
            <w:vMerge w:val="continue"/>
            <w:tcBorders>
              <w:top w:val="nil"/>
              <w:left w:val="single" w:color="000000" w:sz="4" w:space="0"/>
              <w:bottom w:val="single" w:color="000000" w:sz="4" w:space="0"/>
              <w:right w:val="single" w:color="000000" w:sz="4" w:space="0"/>
            </w:tcBorders>
          </w:tcPr>
          <w:p>
            <w:pPr>
              <w:rPr>
                <w:rFonts w:ascii="Calibri" w:hAnsi="Calibri"/>
                <w:color w:val="000000" w:themeColor="text1"/>
                <w:szCs w:val="22"/>
                <w:highlight w:val="none"/>
                <w14:textFill>
                  <w14:solidFill>
                    <w14:schemeClr w14:val="tx1"/>
                  </w14:solidFill>
                </w14:textFill>
              </w:rPr>
            </w:pPr>
          </w:p>
        </w:tc>
        <w:tc>
          <w:tcPr>
            <w:tcW w:w="966" w:type="dxa"/>
            <w:vMerge w:val="continue"/>
            <w:tcBorders>
              <w:top w:val="nil"/>
              <w:left w:val="nil"/>
              <w:bottom w:val="single" w:color="000000" w:sz="4" w:space="0"/>
              <w:right w:val="single" w:color="000000" w:sz="4" w:space="0"/>
            </w:tcBorders>
          </w:tcPr>
          <w:p>
            <w:pPr>
              <w:rPr>
                <w:rFonts w:ascii="Calibri" w:hAnsi="Calibri"/>
                <w:color w:val="000000" w:themeColor="text1"/>
                <w:szCs w:val="22"/>
                <w:highlight w:val="none"/>
                <w14:textFill>
                  <w14:solidFill>
                    <w14:schemeClr w14:val="tx1"/>
                  </w14:solidFill>
                </w14:textFill>
              </w:rPr>
            </w:pPr>
          </w:p>
        </w:tc>
        <w:tc>
          <w:tcPr>
            <w:tcW w:w="2618"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128" w:beforeAutospacing="0" w:after="0" w:afterAutospacing="0" w:line="264" w:lineRule="exact"/>
              <w:ind w:left="108"/>
              <w:rPr>
                <w:rFonts w:hint="default" w:ascii="Times New Roman"/>
                <w:color w:val="000000" w:themeColor="text1"/>
                <w:kern w:val="2"/>
                <w:sz w:val="21"/>
                <w:szCs w:val="21"/>
                <w:highlight w:val="none"/>
                <w14:textFill>
                  <w14:solidFill>
                    <w14:schemeClr w14:val="tx1"/>
                  </w14:solidFill>
                </w14:textFill>
              </w:rPr>
            </w:pPr>
            <w:r>
              <w:rPr>
                <w:rFonts w:ascii="Times New Roman"/>
                <w:color w:val="000000" w:themeColor="text1"/>
                <w:kern w:val="2"/>
                <w:sz w:val="21"/>
                <w:szCs w:val="21"/>
                <w:highlight w:val="none"/>
                <w:lang w:bidi="ar"/>
                <w14:textFill>
                  <w14:solidFill>
                    <w14:schemeClr w14:val="tx1"/>
                  </w14:solidFill>
                </w14:textFill>
              </w:rPr>
              <w:t>（</w:t>
            </w:r>
            <w:r>
              <w:rPr>
                <w:rFonts w:hint="default" w:ascii="Times New Roman"/>
                <w:color w:val="000000" w:themeColor="text1"/>
                <w:kern w:val="2"/>
                <w:sz w:val="21"/>
                <w:szCs w:val="21"/>
                <w:highlight w:val="none"/>
                <w:lang w:bidi="ar"/>
                <w14:textFill>
                  <w14:solidFill>
                    <w14:schemeClr w14:val="tx1"/>
                  </w14:solidFill>
                </w14:textFill>
              </w:rPr>
              <w:t>5</w:t>
            </w:r>
            <w:r>
              <w:rPr>
                <w:rFonts w:hAnsi="宋体"/>
                <w:color w:val="000000" w:themeColor="text1"/>
                <w:kern w:val="2"/>
                <w:sz w:val="21"/>
                <w:szCs w:val="21"/>
                <w:highlight w:val="none"/>
                <w:lang w:bidi="ar"/>
                <w14:textFill>
                  <w14:solidFill>
                    <w14:schemeClr w14:val="tx1"/>
                  </w14:solidFill>
                </w14:textFill>
              </w:rPr>
              <w:t>）参加政府采购活动近</w:t>
            </w:r>
          </w:p>
          <w:p>
            <w:pPr>
              <w:pStyle w:val="19"/>
              <w:widowControl w:val="0"/>
              <w:autoSpaceDE w:val="0"/>
              <w:autoSpaceDN w:val="0"/>
              <w:spacing w:before="1" w:beforeAutospacing="0" w:after="0" w:afterAutospacing="0"/>
              <w:ind w:left="108" w:right="92"/>
              <w:rPr>
                <w:rFonts w:hint="default" w:ascii="Times New Roman"/>
                <w:color w:val="000000" w:themeColor="text1"/>
                <w:kern w:val="2"/>
                <w:sz w:val="21"/>
                <w:szCs w:val="21"/>
                <w:highlight w:val="none"/>
                <w14:textFill>
                  <w14:solidFill>
                    <w14:schemeClr w14:val="tx1"/>
                  </w14:solidFill>
                </w14:textFill>
              </w:rPr>
            </w:pPr>
            <w:r>
              <w:rPr>
                <w:rFonts w:hint="default" w:ascii="Times New Roman"/>
                <w:color w:val="000000" w:themeColor="text1"/>
                <w:kern w:val="2"/>
                <w:sz w:val="21"/>
                <w:szCs w:val="21"/>
                <w:highlight w:val="none"/>
                <w:lang w:bidi="ar"/>
                <w14:textFill>
                  <w14:solidFill>
                    <w14:schemeClr w14:val="tx1"/>
                  </w14:solidFill>
                </w14:textFill>
              </w:rPr>
              <w:t>3</w:t>
            </w:r>
            <w:r>
              <w:rPr>
                <w:rFonts w:hint="default" w:ascii="Times New Roman"/>
                <w:color w:val="000000" w:themeColor="text1"/>
                <w:spacing w:val="-13"/>
                <w:kern w:val="2"/>
                <w:sz w:val="21"/>
                <w:szCs w:val="21"/>
                <w:highlight w:val="none"/>
                <w:lang w:bidi="ar"/>
                <w14:textFill>
                  <w14:solidFill>
                    <w14:schemeClr w14:val="tx1"/>
                  </w14:solidFill>
                </w14:textFill>
              </w:rPr>
              <w:t xml:space="preserve"> </w:t>
            </w:r>
            <w:r>
              <w:rPr>
                <w:rFonts w:ascii="Times New Roman"/>
                <w:color w:val="000000" w:themeColor="text1"/>
                <w:spacing w:val="-13"/>
                <w:kern w:val="2"/>
                <w:sz w:val="21"/>
                <w:szCs w:val="21"/>
                <w:highlight w:val="none"/>
                <w:lang w:bidi="ar"/>
                <w14:textFill>
                  <w14:solidFill>
                    <w14:schemeClr w14:val="tx1"/>
                  </w14:solidFill>
                </w14:textFill>
              </w:rPr>
              <w:t>年内，在经营活动中没有</w:t>
            </w:r>
            <w:r>
              <w:rPr>
                <w:rFonts w:ascii="Times New Roman"/>
                <w:color w:val="000000" w:themeColor="text1"/>
                <w:spacing w:val="-2"/>
                <w:kern w:val="2"/>
                <w:sz w:val="21"/>
                <w:szCs w:val="21"/>
                <w:highlight w:val="none"/>
                <w:lang w:bidi="ar"/>
                <w14:textFill>
                  <w14:solidFill>
                    <w14:schemeClr w14:val="tx1"/>
                  </w14:solidFill>
                </w14:textFill>
              </w:rPr>
              <w:t>重大违法记录</w:t>
            </w:r>
          </w:p>
        </w:tc>
        <w:tc>
          <w:tcPr>
            <w:tcW w:w="5141"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7" w:beforeAutospacing="0" w:after="0" w:afterAutospacing="0"/>
              <w:ind w:left="108" w:right="91"/>
              <w:jc w:val="both"/>
              <w:rPr>
                <w:rFonts w:hint="default" w:ascii="Times New Roman"/>
                <w:color w:val="000000" w:themeColor="text1"/>
                <w:kern w:val="2"/>
                <w:sz w:val="21"/>
                <w:szCs w:val="21"/>
                <w:highlight w:val="none"/>
                <w14:textFill>
                  <w14:solidFill>
                    <w14:schemeClr w14:val="tx1"/>
                  </w14:solidFill>
                </w14:textFill>
              </w:rPr>
            </w:pPr>
            <w:r>
              <w:rPr>
                <w:rFonts w:ascii="Times New Roman"/>
                <w:color w:val="000000" w:themeColor="text1"/>
                <w:spacing w:val="-3"/>
                <w:kern w:val="2"/>
                <w:sz w:val="21"/>
                <w:szCs w:val="21"/>
                <w:highlight w:val="none"/>
                <w:lang w:bidi="ar"/>
                <w14:textFill>
                  <w14:solidFill>
                    <w14:schemeClr w14:val="tx1"/>
                  </w14:solidFill>
                </w14:textFill>
              </w:rPr>
              <w:t>参加本项目准备活动</w:t>
            </w:r>
            <w:r>
              <w:rPr>
                <w:rFonts w:hint="eastAsia" w:ascii="Times New Roman"/>
                <w:color w:val="000000" w:themeColor="text1"/>
                <w:spacing w:val="-3"/>
                <w:kern w:val="2"/>
                <w:sz w:val="21"/>
                <w:szCs w:val="21"/>
                <w:highlight w:val="none"/>
                <w:lang w:val="en-US" w:eastAsia="zh-CN" w:bidi="ar"/>
                <w14:textFill>
                  <w14:solidFill>
                    <w14:schemeClr w14:val="tx1"/>
                  </w14:solidFill>
                </w14:textFill>
              </w:rPr>
              <w:t>近</w:t>
            </w:r>
            <w:r>
              <w:rPr>
                <w:rFonts w:hint="default" w:ascii="Times New Roman"/>
                <w:color w:val="000000" w:themeColor="text1"/>
                <w:kern w:val="2"/>
                <w:sz w:val="21"/>
                <w:szCs w:val="21"/>
                <w:highlight w:val="none"/>
                <w:lang w:bidi="ar"/>
                <w14:textFill>
                  <w14:solidFill>
                    <w14:schemeClr w14:val="tx1"/>
                  </w14:solidFill>
                </w14:textFill>
              </w:rPr>
              <w:t>3</w:t>
            </w:r>
            <w:r>
              <w:rPr>
                <w:rFonts w:hint="default" w:ascii="Times New Roman"/>
                <w:color w:val="000000" w:themeColor="text1"/>
                <w:spacing w:val="-3"/>
                <w:kern w:val="2"/>
                <w:sz w:val="21"/>
                <w:szCs w:val="21"/>
                <w:highlight w:val="none"/>
                <w:lang w:bidi="ar"/>
                <w14:textFill>
                  <w14:solidFill>
                    <w14:schemeClr w14:val="tx1"/>
                  </w14:solidFill>
                </w14:textFill>
              </w:rPr>
              <w:t xml:space="preserve"> </w:t>
            </w:r>
            <w:r>
              <w:rPr>
                <w:rFonts w:ascii="Times New Roman"/>
                <w:color w:val="000000" w:themeColor="text1"/>
                <w:spacing w:val="-3"/>
                <w:kern w:val="2"/>
                <w:sz w:val="21"/>
                <w:szCs w:val="21"/>
                <w:highlight w:val="none"/>
                <w:lang w:bidi="ar"/>
                <w14:textFill>
                  <w14:solidFill>
                    <w14:schemeClr w14:val="tx1"/>
                  </w14:solidFill>
                </w14:textFill>
              </w:rPr>
              <w:t>年内无重大违法记录声明</w:t>
            </w:r>
          </w:p>
        </w:tc>
      </w:tr>
    </w:tbl>
    <w:p>
      <w:pPr>
        <w:pStyle w:val="9"/>
        <w:spacing w:before="4"/>
        <w:rPr>
          <w:b/>
          <w:color w:val="000000" w:themeColor="text1"/>
          <w:sz w:val="4"/>
          <w:highlight w:val="none"/>
          <w14:textFill>
            <w14:solidFill>
              <w14:schemeClr w14:val="tx1"/>
            </w14:solidFill>
          </w14:textFill>
        </w:rPr>
      </w:pPr>
    </w:p>
    <w:p>
      <w:pPr>
        <w:adjustRightInd w:val="0"/>
        <w:snapToGrid w:val="0"/>
        <w:spacing w:line="360" w:lineRule="auto"/>
        <w:ind w:firstLine="480"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4.2符合性审查</w:t>
      </w:r>
    </w:p>
    <w:p>
      <w:pPr>
        <w:adjustRightInd w:val="0"/>
        <w:snapToGrid w:val="0"/>
        <w:spacing w:line="360" w:lineRule="auto"/>
        <w:ind w:firstLine="480"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依据招标文件的规定，从投标文件的有效性、完整性和对招标文件的响应程度进行审查，以确定是否对招标文件的实质性要求作出响应。评标委员会评标投标文件的响应性只根据投标文件真实无误的内容，而不依据外部的证据，但投标文件有不真实、不正确的内容时除外。</w:t>
      </w:r>
    </w:p>
    <w:p>
      <w:pPr>
        <w:adjustRightInd w:val="0"/>
        <w:snapToGrid w:val="0"/>
        <w:spacing w:line="360" w:lineRule="auto"/>
        <w:ind w:firstLine="480"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投标人不得通过修正或撤销不符合要求的偏离从而使其投标成为实质上响应的投标。</w:t>
      </w:r>
    </w:p>
    <w:p>
      <w:pPr>
        <w:adjustRightInd w:val="0"/>
        <w:snapToGrid w:val="0"/>
        <w:spacing w:line="360" w:lineRule="auto"/>
        <w:ind w:firstLine="480" w:firstLineChars="200"/>
        <w:jc w:val="center"/>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符合性审查表</w:t>
      </w:r>
    </w:p>
    <w:tbl>
      <w:tblPr>
        <w:tblStyle w:val="22"/>
        <w:tblW w:w="0" w:type="auto"/>
        <w:tblInd w:w="3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975"/>
        <w:gridCol w:w="2515"/>
        <w:gridCol w:w="5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62" w:type="dxa"/>
          </w:tcPr>
          <w:p>
            <w:pPr>
              <w:pStyle w:val="30"/>
              <w:spacing w:before="109"/>
              <w:ind w:left="127"/>
              <w:jc w:val="left"/>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序号</w:t>
            </w:r>
          </w:p>
        </w:tc>
        <w:tc>
          <w:tcPr>
            <w:tcW w:w="3490" w:type="dxa"/>
            <w:gridSpan w:val="2"/>
          </w:tcPr>
          <w:p>
            <w:pPr>
              <w:pStyle w:val="30"/>
              <w:spacing w:before="109"/>
              <w:ind w:left="1191" w:right="873"/>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评标因素</w:t>
            </w:r>
          </w:p>
        </w:tc>
        <w:tc>
          <w:tcPr>
            <w:tcW w:w="5319" w:type="dxa"/>
          </w:tcPr>
          <w:p>
            <w:pPr>
              <w:pStyle w:val="30"/>
              <w:spacing w:before="109"/>
              <w:ind w:left="2042" w:right="1504"/>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62" w:type="dxa"/>
            <w:vMerge w:val="restart"/>
          </w:tcPr>
          <w:p>
            <w:pPr>
              <w:pStyle w:val="30"/>
              <w:jc w:val="left"/>
              <w:rPr>
                <w:rFonts w:ascii="Times New Roman" w:hAnsi="Times New Roman" w:cs="Times New Roman"/>
                <w:b/>
                <w:color w:val="000000" w:themeColor="text1"/>
                <w:sz w:val="20"/>
                <w:highlight w:val="none"/>
                <w14:textFill>
                  <w14:solidFill>
                    <w14:schemeClr w14:val="tx1"/>
                  </w14:solidFill>
                </w14:textFill>
              </w:rPr>
            </w:pPr>
          </w:p>
          <w:p>
            <w:pPr>
              <w:pStyle w:val="30"/>
              <w:jc w:val="left"/>
              <w:rPr>
                <w:rFonts w:ascii="Times New Roman" w:hAnsi="Times New Roman" w:cs="Times New Roman"/>
                <w:b/>
                <w:color w:val="000000" w:themeColor="text1"/>
                <w:sz w:val="20"/>
                <w:highlight w:val="none"/>
                <w14:textFill>
                  <w14:solidFill>
                    <w14:schemeClr w14:val="tx1"/>
                  </w14:solidFill>
                </w14:textFill>
              </w:rPr>
            </w:pPr>
          </w:p>
          <w:p>
            <w:pPr>
              <w:pStyle w:val="30"/>
              <w:jc w:val="left"/>
              <w:rPr>
                <w:rFonts w:ascii="Times New Roman" w:hAnsi="Times New Roman" w:cs="Times New Roman"/>
                <w:b/>
                <w:color w:val="000000" w:themeColor="text1"/>
                <w:sz w:val="20"/>
                <w:highlight w:val="none"/>
                <w14:textFill>
                  <w14:solidFill>
                    <w14:schemeClr w14:val="tx1"/>
                  </w14:solidFill>
                </w14:textFill>
              </w:rPr>
            </w:pPr>
          </w:p>
          <w:p>
            <w:pPr>
              <w:pStyle w:val="30"/>
              <w:jc w:val="left"/>
              <w:rPr>
                <w:rFonts w:ascii="Times New Roman" w:hAnsi="Times New Roman" w:cs="Times New Roman"/>
                <w:b/>
                <w:color w:val="000000" w:themeColor="text1"/>
                <w:sz w:val="20"/>
                <w:highlight w:val="none"/>
                <w14:textFill>
                  <w14:solidFill>
                    <w14:schemeClr w14:val="tx1"/>
                  </w14:solidFill>
                </w14:textFill>
              </w:rPr>
            </w:pPr>
          </w:p>
          <w:p>
            <w:pPr>
              <w:pStyle w:val="30"/>
              <w:spacing w:before="3"/>
              <w:jc w:val="left"/>
              <w:rPr>
                <w:rFonts w:ascii="Times New Roman" w:hAnsi="Times New Roman" w:cs="Times New Roman"/>
                <w:b/>
                <w:color w:val="000000" w:themeColor="text1"/>
                <w:sz w:val="29"/>
                <w:highlight w:val="none"/>
                <w14:textFill>
                  <w14:solidFill>
                    <w14:schemeClr w14:val="tx1"/>
                  </w14:solidFill>
                </w14:textFill>
              </w:rPr>
            </w:pPr>
          </w:p>
          <w:p>
            <w:pPr>
              <w:pStyle w:val="30"/>
              <w:ind w:left="7"/>
              <w:rPr>
                <w:rFonts w:ascii="Times New Roman" w:hAnsi="Times New Roman" w:cs="Times New Roman"/>
                <w:color w:val="000000" w:themeColor="text1"/>
                <w:sz w:val="2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1</w:t>
            </w:r>
          </w:p>
        </w:tc>
        <w:tc>
          <w:tcPr>
            <w:tcW w:w="975" w:type="dxa"/>
            <w:vMerge w:val="restart"/>
          </w:tcPr>
          <w:p>
            <w:pPr>
              <w:pStyle w:val="30"/>
              <w:jc w:val="left"/>
              <w:rPr>
                <w:rFonts w:ascii="Times New Roman" w:hAnsi="Times New Roman" w:cs="Times New Roman"/>
                <w:b/>
                <w:color w:val="000000" w:themeColor="text1"/>
                <w:sz w:val="20"/>
                <w:highlight w:val="none"/>
                <w14:textFill>
                  <w14:solidFill>
                    <w14:schemeClr w14:val="tx1"/>
                  </w14:solidFill>
                </w14:textFill>
              </w:rPr>
            </w:pPr>
          </w:p>
          <w:p>
            <w:pPr>
              <w:pStyle w:val="30"/>
              <w:jc w:val="left"/>
              <w:rPr>
                <w:rFonts w:ascii="Times New Roman" w:hAnsi="Times New Roman" w:cs="Times New Roman"/>
                <w:b/>
                <w:color w:val="000000" w:themeColor="text1"/>
                <w:sz w:val="20"/>
                <w:highlight w:val="none"/>
                <w14:textFill>
                  <w14:solidFill>
                    <w14:schemeClr w14:val="tx1"/>
                  </w14:solidFill>
                </w14:textFill>
              </w:rPr>
            </w:pPr>
          </w:p>
          <w:p>
            <w:pPr>
              <w:pStyle w:val="30"/>
              <w:jc w:val="left"/>
              <w:rPr>
                <w:rFonts w:ascii="Times New Roman" w:hAnsi="Times New Roman" w:cs="Times New Roman"/>
                <w:b/>
                <w:color w:val="000000" w:themeColor="text1"/>
                <w:sz w:val="20"/>
                <w:highlight w:val="none"/>
                <w14:textFill>
                  <w14:solidFill>
                    <w14:schemeClr w14:val="tx1"/>
                  </w14:solidFill>
                </w14:textFill>
              </w:rPr>
            </w:pPr>
          </w:p>
          <w:p>
            <w:pPr>
              <w:pStyle w:val="30"/>
              <w:jc w:val="left"/>
              <w:rPr>
                <w:rFonts w:ascii="Times New Roman" w:hAnsi="Times New Roman" w:cs="Times New Roman"/>
                <w:b/>
                <w:color w:val="000000" w:themeColor="text1"/>
                <w:sz w:val="20"/>
                <w:highlight w:val="none"/>
                <w14:textFill>
                  <w14:solidFill>
                    <w14:schemeClr w14:val="tx1"/>
                  </w14:solidFill>
                </w14:textFill>
              </w:rPr>
            </w:pPr>
          </w:p>
          <w:p>
            <w:pPr>
              <w:pStyle w:val="30"/>
              <w:spacing w:before="1"/>
              <w:jc w:val="left"/>
              <w:rPr>
                <w:rFonts w:ascii="Times New Roman" w:hAnsi="Times New Roman" w:cs="Times New Roman"/>
                <w:b/>
                <w:color w:val="000000" w:themeColor="text1"/>
                <w:sz w:val="17"/>
                <w:highlight w:val="none"/>
                <w14:textFill>
                  <w14:solidFill>
                    <w14:schemeClr w14:val="tx1"/>
                  </w14:solidFill>
                </w14:textFill>
              </w:rPr>
            </w:pPr>
          </w:p>
          <w:p>
            <w:pPr>
              <w:pStyle w:val="30"/>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有效性审查</w:t>
            </w:r>
          </w:p>
        </w:tc>
        <w:tc>
          <w:tcPr>
            <w:tcW w:w="2515" w:type="dxa"/>
          </w:tcPr>
          <w:p>
            <w:pPr>
              <w:pStyle w:val="30"/>
              <w:spacing w:before="178"/>
              <w:ind w:left="108"/>
              <w:jc w:val="left"/>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投标文件签署</w:t>
            </w:r>
          </w:p>
        </w:tc>
        <w:tc>
          <w:tcPr>
            <w:tcW w:w="5319" w:type="dxa"/>
          </w:tcPr>
          <w:p>
            <w:pPr>
              <w:pStyle w:val="30"/>
              <w:spacing w:before="22"/>
              <w:ind w:left="110"/>
              <w:jc w:val="left"/>
              <w:rPr>
                <w:rFonts w:ascii="Times New Roman" w:hAnsi="Times New Roman" w:eastAsia="宋体" w:cs="Times New Roman"/>
                <w:color w:val="000000" w:themeColor="text1"/>
                <w:sz w:val="21"/>
                <w:highlight w:val="none"/>
                <w:lang w:eastAsia="zh-CN"/>
                <w14:textFill>
                  <w14:solidFill>
                    <w14:schemeClr w14:val="tx1"/>
                  </w14:solidFill>
                </w14:textFill>
              </w:rPr>
            </w:pPr>
            <w:r>
              <w:rPr>
                <w:rFonts w:ascii="Times New Roman" w:hAnsi="Times New Roman" w:eastAsia="宋体" w:cs="Times New Roman"/>
                <w:color w:val="000000" w:themeColor="text1"/>
                <w:sz w:val="21"/>
                <w:highlight w:val="none"/>
                <w:lang w:eastAsia="zh-CN"/>
                <w14:textFill>
                  <w14:solidFill>
                    <w14:schemeClr w14:val="tx1"/>
                  </w14:solidFill>
                </w14:textFill>
              </w:rPr>
              <w:t>投标文件上法定代表人或其授权代理人的签字、投标人的单位章齐全符合招标文件规定。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662" w:type="dxa"/>
            <w:vMerge w:val="continue"/>
            <w:tcBorders>
              <w:top w:val="nil"/>
            </w:tcBorders>
          </w:tcPr>
          <w:p>
            <w:pPr>
              <w:autoSpaceDE w:val="0"/>
              <w:autoSpaceDN w:val="0"/>
              <w:rPr>
                <w:color w:val="000000" w:themeColor="text1"/>
                <w:sz w:val="2"/>
                <w:szCs w:val="2"/>
                <w:highlight w:val="none"/>
                <w14:textFill>
                  <w14:solidFill>
                    <w14:schemeClr w14:val="tx1"/>
                  </w14:solidFill>
                </w14:textFill>
              </w:rPr>
            </w:pPr>
          </w:p>
        </w:tc>
        <w:tc>
          <w:tcPr>
            <w:tcW w:w="975" w:type="dxa"/>
            <w:vMerge w:val="continue"/>
            <w:tcBorders>
              <w:top w:val="nil"/>
            </w:tcBorders>
          </w:tcPr>
          <w:p>
            <w:pPr>
              <w:autoSpaceDE w:val="0"/>
              <w:autoSpaceDN w:val="0"/>
              <w:rPr>
                <w:color w:val="000000" w:themeColor="text1"/>
                <w:sz w:val="2"/>
                <w:szCs w:val="2"/>
                <w:highlight w:val="none"/>
                <w14:textFill>
                  <w14:solidFill>
                    <w14:schemeClr w14:val="tx1"/>
                  </w14:solidFill>
                </w14:textFill>
              </w:rPr>
            </w:pPr>
          </w:p>
        </w:tc>
        <w:tc>
          <w:tcPr>
            <w:tcW w:w="2515" w:type="dxa"/>
          </w:tcPr>
          <w:p>
            <w:pPr>
              <w:pStyle w:val="30"/>
              <w:spacing w:before="22" w:line="278" w:lineRule="auto"/>
              <w:ind w:left="108" w:right="-102"/>
              <w:jc w:val="left"/>
              <w:rPr>
                <w:rFonts w:ascii="Times New Roman" w:hAnsi="Times New Roman" w:eastAsia="宋体" w:cs="Times New Roman"/>
                <w:color w:val="000000" w:themeColor="text1"/>
                <w:sz w:val="21"/>
                <w:highlight w:val="none"/>
                <w:lang w:eastAsia="zh-CN"/>
                <w14:textFill>
                  <w14:solidFill>
                    <w14:schemeClr w14:val="tx1"/>
                  </w14:solidFill>
                </w14:textFill>
              </w:rPr>
            </w:pPr>
            <w:r>
              <w:rPr>
                <w:rFonts w:ascii="Times New Roman" w:hAnsi="Times New Roman" w:eastAsia="宋体" w:cs="Times New Roman"/>
                <w:color w:val="000000" w:themeColor="text1"/>
                <w:sz w:val="21"/>
                <w:highlight w:val="none"/>
                <w:lang w:eastAsia="zh-CN"/>
                <w14:textFill>
                  <w14:solidFill>
                    <w14:schemeClr w14:val="tx1"/>
                  </w14:solidFill>
                </w14:textFill>
              </w:rPr>
              <w:t>投标人法定代表人身份证明或法定代表人授权委托书</w:t>
            </w:r>
          </w:p>
        </w:tc>
        <w:tc>
          <w:tcPr>
            <w:tcW w:w="5319" w:type="dxa"/>
          </w:tcPr>
          <w:p>
            <w:pPr>
              <w:pStyle w:val="30"/>
              <w:spacing w:before="178" w:line="278" w:lineRule="auto"/>
              <w:ind w:left="110" w:right="212"/>
              <w:jc w:val="left"/>
              <w:rPr>
                <w:rFonts w:ascii="Times New Roman" w:hAnsi="Times New Roman" w:eastAsia="宋体" w:cs="Times New Roman"/>
                <w:color w:val="000000" w:themeColor="text1"/>
                <w:sz w:val="21"/>
                <w:highlight w:val="none"/>
                <w:lang w:eastAsia="zh-CN"/>
                <w14:textFill>
                  <w14:solidFill>
                    <w14:schemeClr w14:val="tx1"/>
                  </w14:solidFill>
                </w14:textFill>
              </w:rPr>
            </w:pPr>
            <w:r>
              <w:rPr>
                <w:rFonts w:ascii="Times New Roman" w:hAnsi="Times New Roman" w:eastAsia="宋体" w:cs="Times New Roman"/>
                <w:color w:val="000000" w:themeColor="text1"/>
                <w:sz w:val="21"/>
                <w:highlight w:val="none"/>
                <w:lang w:eastAsia="zh-CN"/>
                <w14:textFill>
                  <w14:solidFill>
                    <w14:schemeClr w14:val="tx1"/>
                  </w14:solidFill>
                </w14:textFill>
              </w:rPr>
              <w:t>投标人法定代表人身份证明或法定代表人授权委托书有效，且符合招标文件规定的格式。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62" w:type="dxa"/>
            <w:vMerge w:val="continue"/>
            <w:tcBorders>
              <w:top w:val="nil"/>
            </w:tcBorders>
          </w:tcPr>
          <w:p>
            <w:pPr>
              <w:autoSpaceDE w:val="0"/>
              <w:autoSpaceDN w:val="0"/>
              <w:rPr>
                <w:color w:val="000000" w:themeColor="text1"/>
                <w:sz w:val="2"/>
                <w:szCs w:val="2"/>
                <w:highlight w:val="none"/>
                <w14:textFill>
                  <w14:solidFill>
                    <w14:schemeClr w14:val="tx1"/>
                  </w14:solidFill>
                </w14:textFill>
              </w:rPr>
            </w:pPr>
          </w:p>
        </w:tc>
        <w:tc>
          <w:tcPr>
            <w:tcW w:w="975" w:type="dxa"/>
            <w:vMerge w:val="continue"/>
            <w:tcBorders>
              <w:top w:val="nil"/>
            </w:tcBorders>
          </w:tcPr>
          <w:p>
            <w:pPr>
              <w:autoSpaceDE w:val="0"/>
              <w:autoSpaceDN w:val="0"/>
              <w:rPr>
                <w:color w:val="000000" w:themeColor="text1"/>
                <w:sz w:val="2"/>
                <w:szCs w:val="2"/>
                <w:highlight w:val="none"/>
                <w14:textFill>
                  <w14:solidFill>
                    <w14:schemeClr w14:val="tx1"/>
                  </w14:solidFill>
                </w14:textFill>
              </w:rPr>
            </w:pPr>
          </w:p>
        </w:tc>
        <w:tc>
          <w:tcPr>
            <w:tcW w:w="2515" w:type="dxa"/>
          </w:tcPr>
          <w:p>
            <w:pPr>
              <w:pStyle w:val="30"/>
              <w:spacing w:before="109"/>
              <w:ind w:left="108"/>
              <w:jc w:val="left"/>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投标方案</w:t>
            </w:r>
          </w:p>
        </w:tc>
        <w:tc>
          <w:tcPr>
            <w:tcW w:w="5319" w:type="dxa"/>
          </w:tcPr>
          <w:p>
            <w:pPr>
              <w:pStyle w:val="30"/>
              <w:spacing w:before="109"/>
              <w:ind w:left="110"/>
              <w:jc w:val="left"/>
              <w:rPr>
                <w:rFonts w:ascii="Times New Roman" w:hAnsi="Times New Roman" w:eastAsia="宋体" w:cs="Times New Roman"/>
                <w:color w:val="000000" w:themeColor="text1"/>
                <w:sz w:val="21"/>
                <w:highlight w:val="none"/>
                <w:lang w:eastAsia="zh-CN"/>
                <w14:textFill>
                  <w14:solidFill>
                    <w14:schemeClr w14:val="tx1"/>
                  </w14:solidFill>
                </w14:textFill>
              </w:rPr>
            </w:pPr>
            <w:r>
              <w:rPr>
                <w:rFonts w:ascii="Times New Roman" w:hAnsi="Times New Roman" w:eastAsia="宋体" w:cs="Times New Roman"/>
                <w:color w:val="000000" w:themeColor="text1"/>
                <w:sz w:val="21"/>
                <w:highlight w:val="none"/>
                <w:lang w:eastAsia="zh-CN"/>
                <w14:textFill>
                  <w14:solidFill>
                    <w14:schemeClr w14:val="tx1"/>
                  </w14:solidFill>
                </w14:textFill>
              </w:rPr>
              <w:t>每个分包只能有一个方案投标。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62" w:type="dxa"/>
            <w:vMerge w:val="continue"/>
            <w:tcBorders>
              <w:top w:val="nil"/>
            </w:tcBorders>
          </w:tcPr>
          <w:p>
            <w:pPr>
              <w:autoSpaceDE w:val="0"/>
              <w:autoSpaceDN w:val="0"/>
              <w:rPr>
                <w:color w:val="000000" w:themeColor="text1"/>
                <w:sz w:val="2"/>
                <w:szCs w:val="2"/>
                <w:highlight w:val="none"/>
                <w14:textFill>
                  <w14:solidFill>
                    <w14:schemeClr w14:val="tx1"/>
                  </w14:solidFill>
                </w14:textFill>
              </w:rPr>
            </w:pPr>
          </w:p>
        </w:tc>
        <w:tc>
          <w:tcPr>
            <w:tcW w:w="975" w:type="dxa"/>
            <w:vMerge w:val="continue"/>
            <w:tcBorders>
              <w:top w:val="nil"/>
            </w:tcBorders>
          </w:tcPr>
          <w:p>
            <w:pPr>
              <w:autoSpaceDE w:val="0"/>
              <w:autoSpaceDN w:val="0"/>
              <w:rPr>
                <w:color w:val="000000" w:themeColor="text1"/>
                <w:sz w:val="2"/>
                <w:szCs w:val="2"/>
                <w:highlight w:val="none"/>
                <w14:textFill>
                  <w14:solidFill>
                    <w14:schemeClr w14:val="tx1"/>
                  </w14:solidFill>
                </w14:textFill>
              </w:rPr>
            </w:pPr>
          </w:p>
        </w:tc>
        <w:tc>
          <w:tcPr>
            <w:tcW w:w="2515" w:type="dxa"/>
          </w:tcPr>
          <w:p>
            <w:pPr>
              <w:pStyle w:val="30"/>
              <w:spacing w:before="178"/>
              <w:ind w:left="108"/>
              <w:jc w:val="left"/>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报价唯一</w:t>
            </w:r>
          </w:p>
        </w:tc>
        <w:tc>
          <w:tcPr>
            <w:tcW w:w="5319" w:type="dxa"/>
          </w:tcPr>
          <w:p>
            <w:pPr>
              <w:pStyle w:val="30"/>
              <w:spacing w:before="22"/>
              <w:ind w:left="110"/>
              <w:jc w:val="left"/>
              <w:rPr>
                <w:rFonts w:ascii="Times New Roman" w:hAnsi="Times New Roman" w:eastAsia="宋体" w:cs="Times New Roman"/>
                <w:color w:val="000000" w:themeColor="text1"/>
                <w:sz w:val="21"/>
                <w:highlight w:val="none"/>
                <w:lang w:eastAsia="zh-CN"/>
                <w14:textFill>
                  <w14:solidFill>
                    <w14:schemeClr w14:val="tx1"/>
                  </w14:solidFill>
                </w14:textFill>
              </w:rPr>
            </w:pPr>
            <w:r>
              <w:rPr>
                <w:rFonts w:ascii="Times New Roman" w:hAnsi="Times New Roman" w:eastAsia="宋体" w:cs="Times New Roman"/>
                <w:color w:val="000000" w:themeColor="text1"/>
                <w:sz w:val="21"/>
                <w:highlight w:val="none"/>
                <w:lang w:eastAsia="zh-CN"/>
                <w14:textFill>
                  <w14:solidFill>
                    <w14:schemeClr w14:val="tx1"/>
                  </w14:solidFill>
                </w14:textFill>
              </w:rPr>
              <w:t>其报价未超过采购预算金额，且只有一个有效报价，</w:t>
            </w:r>
          </w:p>
          <w:p>
            <w:pPr>
              <w:pStyle w:val="30"/>
              <w:spacing w:before="43"/>
              <w:ind w:left="110"/>
              <w:jc w:val="left"/>
              <w:rPr>
                <w:rFonts w:ascii="Times New Roman" w:hAnsi="Times New Roman" w:eastAsia="宋体" w:cs="Times New Roman"/>
                <w:color w:val="000000" w:themeColor="text1"/>
                <w:sz w:val="21"/>
                <w:highlight w:val="none"/>
                <w:lang w:eastAsia="zh-CN"/>
                <w14:textFill>
                  <w14:solidFill>
                    <w14:schemeClr w14:val="tx1"/>
                  </w14:solidFill>
                </w14:textFill>
              </w:rPr>
            </w:pPr>
            <w:r>
              <w:rPr>
                <w:rFonts w:ascii="Times New Roman" w:hAnsi="Times New Roman" w:eastAsia="宋体" w:cs="Times New Roman"/>
                <w:color w:val="000000" w:themeColor="text1"/>
                <w:sz w:val="21"/>
                <w:highlight w:val="none"/>
                <w:lang w:eastAsia="zh-CN"/>
                <w14:textFill>
                  <w14:solidFill>
                    <w14:schemeClr w14:val="tx1"/>
                  </w14:solidFill>
                </w14:textFill>
              </w:rPr>
              <w:t>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62" w:type="dxa"/>
            <w:vMerge w:val="restart"/>
          </w:tcPr>
          <w:p>
            <w:pPr>
              <w:pStyle w:val="30"/>
              <w:spacing w:before="2"/>
              <w:jc w:val="left"/>
              <w:rPr>
                <w:rFonts w:ascii="Times New Roman" w:hAnsi="Times New Roman" w:cs="Times New Roman"/>
                <w:b/>
                <w:color w:val="000000" w:themeColor="text1"/>
                <w:highlight w:val="none"/>
                <w:lang w:eastAsia="zh-CN"/>
                <w14:textFill>
                  <w14:solidFill>
                    <w14:schemeClr w14:val="tx1"/>
                  </w14:solidFill>
                </w14:textFill>
              </w:rPr>
            </w:pPr>
          </w:p>
          <w:p>
            <w:pPr>
              <w:pStyle w:val="30"/>
              <w:ind w:left="7"/>
              <w:rPr>
                <w:rFonts w:ascii="Times New Roman" w:hAnsi="Times New Roman" w:cs="Times New Roman"/>
                <w:color w:val="000000" w:themeColor="text1"/>
                <w:sz w:val="2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2</w:t>
            </w:r>
          </w:p>
          <w:p>
            <w:pPr>
              <w:pStyle w:val="30"/>
              <w:jc w:val="left"/>
              <w:rPr>
                <w:rFonts w:ascii="Times New Roman" w:hAnsi="Times New Roman" w:cs="Times New Roman"/>
                <w:b/>
                <w:color w:val="000000" w:themeColor="text1"/>
                <w:sz w:val="20"/>
                <w:highlight w:val="none"/>
                <w:lang w:eastAsia="zh-CN"/>
                <w14:textFill>
                  <w14:solidFill>
                    <w14:schemeClr w14:val="tx1"/>
                  </w14:solidFill>
                </w14:textFill>
              </w:rPr>
            </w:pPr>
          </w:p>
          <w:p>
            <w:pPr>
              <w:pStyle w:val="30"/>
              <w:jc w:val="left"/>
              <w:rPr>
                <w:rFonts w:ascii="Times New Roman" w:hAnsi="Times New Roman" w:cs="Times New Roman"/>
                <w:b/>
                <w:color w:val="000000" w:themeColor="text1"/>
                <w:sz w:val="16"/>
                <w:highlight w:val="none"/>
                <w:lang w:eastAsia="zh-CN"/>
                <w14:textFill>
                  <w14:solidFill>
                    <w14:schemeClr w14:val="tx1"/>
                  </w14:solidFill>
                </w14:textFill>
              </w:rPr>
            </w:pPr>
          </w:p>
          <w:p>
            <w:pPr>
              <w:pStyle w:val="30"/>
              <w:ind w:left="7"/>
              <w:rPr>
                <w:rFonts w:ascii="Times New Roman" w:hAnsi="Times New Roman" w:cs="Times New Roman"/>
                <w:color w:val="000000" w:themeColor="text1"/>
                <w:sz w:val="21"/>
                <w:highlight w:val="none"/>
                <w14:textFill>
                  <w14:solidFill>
                    <w14:schemeClr w14:val="tx1"/>
                  </w14:solidFill>
                </w14:textFill>
              </w:rPr>
            </w:pPr>
          </w:p>
        </w:tc>
        <w:tc>
          <w:tcPr>
            <w:tcW w:w="975" w:type="dxa"/>
            <w:vMerge w:val="restart"/>
            <w:vAlign w:val="center"/>
          </w:tcPr>
          <w:p>
            <w:pPr>
              <w:pStyle w:val="30"/>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完整性审查</w:t>
            </w:r>
          </w:p>
        </w:tc>
        <w:tc>
          <w:tcPr>
            <w:tcW w:w="2515" w:type="dxa"/>
          </w:tcPr>
          <w:p>
            <w:pPr>
              <w:pStyle w:val="30"/>
              <w:spacing w:before="68"/>
              <w:ind w:left="108"/>
              <w:jc w:val="left"/>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投标文件内容</w:t>
            </w:r>
          </w:p>
        </w:tc>
        <w:tc>
          <w:tcPr>
            <w:tcW w:w="5319" w:type="dxa"/>
          </w:tcPr>
          <w:p>
            <w:pPr>
              <w:pStyle w:val="30"/>
              <w:spacing w:before="68"/>
              <w:ind w:left="110" w:right="-15"/>
              <w:jc w:val="left"/>
              <w:rPr>
                <w:rFonts w:ascii="Times New Roman" w:hAnsi="Times New Roman" w:eastAsia="宋体" w:cs="Times New Roman"/>
                <w:color w:val="000000" w:themeColor="text1"/>
                <w:sz w:val="21"/>
                <w:highlight w:val="none"/>
                <w:lang w:eastAsia="zh-CN"/>
                <w14:textFill>
                  <w14:solidFill>
                    <w14:schemeClr w14:val="tx1"/>
                  </w14:solidFill>
                </w14:textFill>
              </w:rPr>
            </w:pPr>
            <w:r>
              <w:rPr>
                <w:rFonts w:ascii="Times New Roman" w:hAnsi="Times New Roman" w:eastAsia="宋体" w:cs="Times New Roman"/>
                <w:color w:val="000000" w:themeColor="text1"/>
                <w:sz w:val="21"/>
                <w:highlight w:val="none"/>
                <w:lang w:eastAsia="zh-CN"/>
                <w14:textFill>
                  <w14:solidFill>
                    <w14:schemeClr w14:val="tx1"/>
                  </w14:solidFill>
                </w14:textFill>
              </w:rPr>
              <w:t>投标文件内容齐全、字迹清晰可辨、无遗漏。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62" w:type="dxa"/>
            <w:vMerge w:val="continue"/>
          </w:tcPr>
          <w:p>
            <w:pPr>
              <w:pStyle w:val="30"/>
              <w:ind w:left="7"/>
              <w:rPr>
                <w:rFonts w:ascii="Times New Roman" w:hAnsi="Times New Roman" w:cs="Times New Roman"/>
                <w:color w:val="000000" w:themeColor="text1"/>
                <w:sz w:val="21"/>
                <w:highlight w:val="none"/>
                <w:lang w:eastAsia="zh-CN"/>
                <w14:textFill>
                  <w14:solidFill>
                    <w14:schemeClr w14:val="tx1"/>
                  </w14:solidFill>
                </w14:textFill>
              </w:rPr>
            </w:pPr>
          </w:p>
        </w:tc>
        <w:tc>
          <w:tcPr>
            <w:tcW w:w="975" w:type="dxa"/>
            <w:vMerge w:val="continue"/>
          </w:tcPr>
          <w:p>
            <w:pPr>
              <w:pStyle w:val="30"/>
              <w:spacing w:before="128" w:line="278" w:lineRule="auto"/>
              <w:ind w:left="285" w:right="166" w:hanging="106"/>
              <w:jc w:val="left"/>
              <w:rPr>
                <w:rFonts w:ascii="Times New Roman" w:hAnsi="Times New Roman" w:eastAsia="宋体" w:cs="Times New Roman"/>
                <w:color w:val="000000" w:themeColor="text1"/>
                <w:sz w:val="21"/>
                <w:highlight w:val="none"/>
                <w:lang w:eastAsia="zh-CN"/>
                <w14:textFill>
                  <w14:solidFill>
                    <w14:schemeClr w14:val="tx1"/>
                  </w14:solidFill>
                </w14:textFill>
              </w:rPr>
            </w:pPr>
          </w:p>
        </w:tc>
        <w:tc>
          <w:tcPr>
            <w:tcW w:w="2515" w:type="dxa"/>
          </w:tcPr>
          <w:p>
            <w:pPr>
              <w:pStyle w:val="30"/>
              <w:spacing w:before="80"/>
              <w:ind w:left="108"/>
              <w:jc w:val="left"/>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投标文件的格式</w:t>
            </w:r>
          </w:p>
        </w:tc>
        <w:tc>
          <w:tcPr>
            <w:tcW w:w="5319" w:type="dxa"/>
          </w:tcPr>
          <w:p>
            <w:pPr>
              <w:pStyle w:val="30"/>
              <w:spacing w:before="80"/>
              <w:ind w:left="110"/>
              <w:jc w:val="left"/>
              <w:rPr>
                <w:rFonts w:ascii="Times New Roman" w:hAnsi="Times New Roman" w:eastAsia="宋体" w:cs="Times New Roman"/>
                <w:color w:val="000000" w:themeColor="text1"/>
                <w:spacing w:val="-16"/>
                <w:sz w:val="21"/>
                <w:highlight w:val="none"/>
                <w:lang w:eastAsia="zh-CN"/>
                <w14:textFill>
                  <w14:solidFill>
                    <w14:schemeClr w14:val="tx1"/>
                  </w14:solidFill>
                </w14:textFill>
              </w:rPr>
            </w:pPr>
            <w:r>
              <w:rPr>
                <w:rFonts w:ascii="Times New Roman" w:hAnsi="Times New Roman" w:eastAsia="宋体" w:cs="Times New Roman"/>
                <w:color w:val="000000" w:themeColor="text1"/>
                <w:sz w:val="21"/>
                <w:highlight w:val="none"/>
                <w:lang w:eastAsia="zh-CN"/>
                <w14:textFill>
                  <w14:solidFill>
                    <w14:schemeClr w14:val="tx1"/>
                  </w14:solidFill>
                </w14:textFill>
              </w:rPr>
              <w:t>投标文件按招标文件规定格式完整提供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662" w:type="dxa"/>
            <w:vMerge w:val="continue"/>
            <w:tcBorders>
              <w:bottom w:val="single" w:color="auto" w:sz="4" w:space="0"/>
            </w:tcBorders>
          </w:tcPr>
          <w:p>
            <w:pPr>
              <w:pStyle w:val="30"/>
              <w:ind w:left="7"/>
              <w:rPr>
                <w:rFonts w:ascii="Times New Roman" w:hAnsi="Times New Roman" w:cs="Times New Roman"/>
                <w:color w:val="000000" w:themeColor="text1"/>
                <w:sz w:val="21"/>
                <w:highlight w:val="none"/>
                <w:lang w:eastAsia="zh-CN"/>
                <w14:textFill>
                  <w14:solidFill>
                    <w14:schemeClr w14:val="tx1"/>
                  </w14:solidFill>
                </w14:textFill>
              </w:rPr>
            </w:pPr>
          </w:p>
        </w:tc>
        <w:tc>
          <w:tcPr>
            <w:tcW w:w="975" w:type="dxa"/>
            <w:vMerge w:val="continue"/>
            <w:tcBorders>
              <w:bottom w:val="single" w:color="auto" w:sz="4" w:space="0"/>
            </w:tcBorders>
          </w:tcPr>
          <w:p>
            <w:pPr>
              <w:pStyle w:val="30"/>
              <w:spacing w:before="150" w:line="278" w:lineRule="auto"/>
              <w:ind w:left="180" w:right="166"/>
              <w:jc w:val="both"/>
              <w:rPr>
                <w:rFonts w:ascii="Times New Roman" w:hAnsi="Times New Roman" w:eastAsia="宋体" w:cs="Times New Roman"/>
                <w:color w:val="000000" w:themeColor="text1"/>
                <w:sz w:val="21"/>
                <w:highlight w:val="none"/>
                <w:lang w:eastAsia="zh-CN"/>
                <w14:textFill>
                  <w14:solidFill>
                    <w14:schemeClr w14:val="tx1"/>
                  </w14:solidFill>
                </w14:textFill>
              </w:rPr>
            </w:pPr>
          </w:p>
        </w:tc>
        <w:tc>
          <w:tcPr>
            <w:tcW w:w="2515" w:type="dxa"/>
            <w:tcBorders>
              <w:bottom w:val="single" w:color="auto" w:sz="4" w:space="0"/>
            </w:tcBorders>
          </w:tcPr>
          <w:p>
            <w:pPr>
              <w:pStyle w:val="30"/>
              <w:spacing w:before="68"/>
              <w:ind w:left="108"/>
              <w:jc w:val="left"/>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投标内容</w:t>
            </w:r>
          </w:p>
        </w:tc>
        <w:tc>
          <w:tcPr>
            <w:tcW w:w="5319" w:type="dxa"/>
          </w:tcPr>
          <w:p>
            <w:pPr>
              <w:pStyle w:val="30"/>
              <w:spacing w:before="68"/>
              <w:ind w:left="110"/>
              <w:jc w:val="left"/>
              <w:rPr>
                <w:rFonts w:ascii="Times New Roman" w:hAnsi="Times New Roman" w:eastAsia="宋体" w:cs="Times New Roman"/>
                <w:color w:val="000000" w:themeColor="text1"/>
                <w:sz w:val="21"/>
                <w:highlight w:val="none"/>
                <w:lang w:eastAsia="zh-CN"/>
                <w14:textFill>
                  <w14:solidFill>
                    <w14:schemeClr w14:val="tx1"/>
                  </w14:solidFill>
                </w14:textFill>
              </w:rPr>
            </w:pPr>
            <w:r>
              <w:rPr>
                <w:rFonts w:ascii="Times New Roman" w:hAnsi="Times New Roman" w:eastAsia="宋体" w:cs="Times New Roman"/>
                <w:color w:val="000000" w:themeColor="text1"/>
                <w:sz w:val="21"/>
                <w:highlight w:val="none"/>
                <w:lang w:eastAsia="zh-CN"/>
                <w14:textFill>
                  <w14:solidFill>
                    <w14:schemeClr w14:val="tx1"/>
                  </w14:solidFill>
                </w14:textFill>
              </w:rPr>
              <w:t>符合招标文件的招标范围。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62" w:type="dxa"/>
            <w:vMerge w:val="restart"/>
            <w:tcBorders>
              <w:top w:val="single" w:color="auto" w:sz="4" w:space="0"/>
            </w:tcBorders>
            <w:vAlign w:val="center"/>
          </w:tcPr>
          <w:p>
            <w:pPr>
              <w:autoSpaceDE w:val="0"/>
              <w:autoSpaceDN w:val="0"/>
              <w:jc w:val="center"/>
              <w:rPr>
                <w:color w:val="000000" w:themeColor="text1"/>
                <w:sz w:val="2"/>
                <w:szCs w:val="2"/>
                <w:highlight w:val="none"/>
                <w14:textFill>
                  <w14:solidFill>
                    <w14:schemeClr w14:val="tx1"/>
                  </w14:solidFill>
                </w14:textFill>
              </w:rPr>
            </w:pPr>
            <w:r>
              <w:rPr>
                <w:color w:val="000000" w:themeColor="text1"/>
                <w:szCs w:val="22"/>
                <w:highlight w:val="none"/>
                <w14:textFill>
                  <w14:solidFill>
                    <w14:schemeClr w14:val="tx1"/>
                  </w14:solidFill>
                </w14:textFill>
              </w:rPr>
              <w:t>3</w:t>
            </w:r>
          </w:p>
        </w:tc>
        <w:tc>
          <w:tcPr>
            <w:tcW w:w="975" w:type="dxa"/>
            <w:vMerge w:val="restart"/>
            <w:tcBorders>
              <w:top w:val="single" w:color="auto" w:sz="4" w:space="0"/>
            </w:tcBorders>
          </w:tcPr>
          <w:p>
            <w:pPr>
              <w:autoSpaceDE w:val="0"/>
              <w:autoSpaceDN w:val="0"/>
              <w:rPr>
                <w:color w:val="000000" w:themeColor="text1"/>
                <w:sz w:val="2"/>
                <w:szCs w:val="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对招标文件的响应程度审查</w:t>
            </w:r>
          </w:p>
        </w:tc>
        <w:tc>
          <w:tcPr>
            <w:tcW w:w="2515" w:type="dxa"/>
            <w:tcBorders>
              <w:top w:val="single" w:color="auto" w:sz="4" w:space="0"/>
            </w:tcBorders>
          </w:tcPr>
          <w:p>
            <w:pPr>
              <w:pStyle w:val="30"/>
              <w:spacing w:before="49"/>
              <w:ind w:left="108"/>
              <w:jc w:val="left"/>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质量技术</w:t>
            </w:r>
          </w:p>
        </w:tc>
        <w:tc>
          <w:tcPr>
            <w:tcW w:w="5319" w:type="dxa"/>
          </w:tcPr>
          <w:p>
            <w:pPr>
              <w:pStyle w:val="30"/>
              <w:spacing w:before="49"/>
              <w:ind w:left="110"/>
              <w:jc w:val="left"/>
              <w:rPr>
                <w:rFonts w:ascii="Times New Roman" w:hAnsi="Times New Roman" w:eastAsia="宋体" w:cs="Times New Roman"/>
                <w:color w:val="000000" w:themeColor="text1"/>
                <w:sz w:val="21"/>
                <w:highlight w:val="none"/>
                <w:lang w:eastAsia="zh-CN"/>
                <w14:textFill>
                  <w14:solidFill>
                    <w14:schemeClr w14:val="tx1"/>
                  </w14:solidFill>
                </w14:textFill>
              </w:rPr>
            </w:pPr>
            <w:r>
              <w:rPr>
                <w:rFonts w:ascii="Times New Roman" w:hAnsi="Times New Roman" w:eastAsia="宋体" w:cs="Times New Roman"/>
                <w:color w:val="000000" w:themeColor="text1"/>
                <w:sz w:val="21"/>
                <w:highlight w:val="none"/>
                <w:lang w:eastAsia="zh-CN"/>
                <w14:textFill>
                  <w14:solidFill>
                    <w14:schemeClr w14:val="tx1"/>
                  </w14:solidFill>
                </w14:textFill>
              </w:rPr>
              <w:t>满足招标文件提出的技术和功能要求。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2" w:type="dxa"/>
            <w:vMerge w:val="continue"/>
          </w:tcPr>
          <w:p>
            <w:pPr>
              <w:autoSpaceDE w:val="0"/>
              <w:autoSpaceDN w:val="0"/>
              <w:rPr>
                <w:color w:val="000000" w:themeColor="text1"/>
                <w:sz w:val="2"/>
                <w:szCs w:val="2"/>
                <w:highlight w:val="none"/>
                <w14:textFill>
                  <w14:solidFill>
                    <w14:schemeClr w14:val="tx1"/>
                  </w14:solidFill>
                </w14:textFill>
              </w:rPr>
            </w:pPr>
          </w:p>
        </w:tc>
        <w:tc>
          <w:tcPr>
            <w:tcW w:w="975" w:type="dxa"/>
            <w:vMerge w:val="continue"/>
          </w:tcPr>
          <w:p>
            <w:pPr>
              <w:autoSpaceDE w:val="0"/>
              <w:autoSpaceDN w:val="0"/>
              <w:rPr>
                <w:color w:val="000000" w:themeColor="text1"/>
                <w:sz w:val="2"/>
                <w:szCs w:val="2"/>
                <w:highlight w:val="none"/>
                <w14:textFill>
                  <w14:solidFill>
                    <w14:schemeClr w14:val="tx1"/>
                  </w14:solidFill>
                </w14:textFill>
              </w:rPr>
            </w:pPr>
          </w:p>
        </w:tc>
        <w:tc>
          <w:tcPr>
            <w:tcW w:w="2515" w:type="dxa"/>
          </w:tcPr>
          <w:p>
            <w:pPr>
              <w:pStyle w:val="30"/>
              <w:spacing w:before="68"/>
              <w:ind w:left="108"/>
              <w:jc w:val="left"/>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交货期</w:t>
            </w:r>
          </w:p>
        </w:tc>
        <w:tc>
          <w:tcPr>
            <w:tcW w:w="5319" w:type="dxa"/>
          </w:tcPr>
          <w:p>
            <w:pPr>
              <w:pStyle w:val="30"/>
              <w:spacing w:before="68"/>
              <w:ind w:left="110"/>
              <w:jc w:val="left"/>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62" w:type="dxa"/>
            <w:vMerge w:val="continue"/>
          </w:tcPr>
          <w:p>
            <w:pPr>
              <w:autoSpaceDE w:val="0"/>
              <w:autoSpaceDN w:val="0"/>
              <w:rPr>
                <w:color w:val="000000" w:themeColor="text1"/>
                <w:sz w:val="2"/>
                <w:szCs w:val="2"/>
                <w:highlight w:val="none"/>
                <w14:textFill>
                  <w14:solidFill>
                    <w14:schemeClr w14:val="tx1"/>
                  </w14:solidFill>
                </w14:textFill>
              </w:rPr>
            </w:pPr>
          </w:p>
        </w:tc>
        <w:tc>
          <w:tcPr>
            <w:tcW w:w="975" w:type="dxa"/>
            <w:vMerge w:val="continue"/>
          </w:tcPr>
          <w:p>
            <w:pPr>
              <w:autoSpaceDE w:val="0"/>
              <w:autoSpaceDN w:val="0"/>
              <w:rPr>
                <w:color w:val="000000" w:themeColor="text1"/>
                <w:sz w:val="2"/>
                <w:szCs w:val="2"/>
                <w:highlight w:val="none"/>
                <w14:textFill>
                  <w14:solidFill>
                    <w14:schemeClr w14:val="tx1"/>
                  </w14:solidFill>
                </w14:textFill>
              </w:rPr>
            </w:pPr>
          </w:p>
        </w:tc>
        <w:tc>
          <w:tcPr>
            <w:tcW w:w="2515" w:type="dxa"/>
          </w:tcPr>
          <w:p>
            <w:pPr>
              <w:pStyle w:val="30"/>
              <w:spacing w:before="22"/>
              <w:ind w:left="108"/>
              <w:jc w:val="left"/>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质保期</w:t>
            </w:r>
          </w:p>
        </w:tc>
        <w:tc>
          <w:tcPr>
            <w:tcW w:w="5319" w:type="dxa"/>
          </w:tcPr>
          <w:p>
            <w:pPr>
              <w:pStyle w:val="30"/>
              <w:spacing w:before="22"/>
              <w:ind w:left="110"/>
              <w:jc w:val="left"/>
              <w:rPr>
                <w:rFonts w:ascii="Times New Roman" w:hAnsi="Times New Roman" w:eastAsia="宋体" w:cs="Times New Roman"/>
                <w:color w:val="000000" w:themeColor="text1"/>
                <w:sz w:val="21"/>
                <w:highlight w:val="none"/>
                <w:lang w:eastAsia="zh-CN"/>
                <w14:textFill>
                  <w14:solidFill>
                    <w14:schemeClr w14:val="tx1"/>
                  </w14:solidFill>
                </w14:textFill>
              </w:rPr>
            </w:pPr>
            <w:r>
              <w:rPr>
                <w:rFonts w:ascii="Times New Roman" w:hAnsi="Times New Roman" w:eastAsia="宋体" w:cs="Times New Roman"/>
                <w:color w:val="000000" w:themeColor="text1"/>
                <w:sz w:val="21"/>
                <w:highlight w:val="none"/>
                <w:lang w:eastAsia="zh-CN"/>
                <w14:textFill>
                  <w14:solidFill>
                    <w14:schemeClr w14:val="tx1"/>
                  </w14:solidFill>
                </w14:textFill>
              </w:rPr>
              <w:t>满足招标文件要求</w:t>
            </w:r>
            <w:r>
              <w:rPr>
                <w:rFonts w:hint="eastAsia" w:ascii="Times New Roman" w:hAnsi="Times New Roman" w:eastAsia="宋体" w:cs="Times New Roman"/>
                <w:color w:val="000000" w:themeColor="text1"/>
                <w:sz w:val="21"/>
                <w:highlight w:val="no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62" w:type="dxa"/>
            <w:vMerge w:val="continue"/>
          </w:tcPr>
          <w:p>
            <w:pPr>
              <w:autoSpaceDE w:val="0"/>
              <w:autoSpaceDN w:val="0"/>
              <w:rPr>
                <w:color w:val="000000" w:themeColor="text1"/>
                <w:sz w:val="2"/>
                <w:szCs w:val="2"/>
                <w:highlight w:val="none"/>
                <w14:textFill>
                  <w14:solidFill>
                    <w14:schemeClr w14:val="tx1"/>
                  </w14:solidFill>
                </w14:textFill>
              </w:rPr>
            </w:pPr>
          </w:p>
        </w:tc>
        <w:tc>
          <w:tcPr>
            <w:tcW w:w="975" w:type="dxa"/>
            <w:vMerge w:val="continue"/>
          </w:tcPr>
          <w:p>
            <w:pPr>
              <w:autoSpaceDE w:val="0"/>
              <w:autoSpaceDN w:val="0"/>
              <w:rPr>
                <w:color w:val="000000" w:themeColor="text1"/>
                <w:sz w:val="2"/>
                <w:szCs w:val="2"/>
                <w:highlight w:val="none"/>
                <w14:textFill>
                  <w14:solidFill>
                    <w14:schemeClr w14:val="tx1"/>
                  </w14:solidFill>
                </w14:textFill>
              </w:rPr>
            </w:pPr>
          </w:p>
        </w:tc>
        <w:tc>
          <w:tcPr>
            <w:tcW w:w="2515" w:type="dxa"/>
          </w:tcPr>
          <w:p>
            <w:pPr>
              <w:pStyle w:val="30"/>
              <w:spacing w:before="22"/>
              <w:ind w:left="108"/>
              <w:jc w:val="left"/>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投标有效期</w:t>
            </w:r>
          </w:p>
        </w:tc>
        <w:tc>
          <w:tcPr>
            <w:tcW w:w="5319" w:type="dxa"/>
          </w:tcPr>
          <w:p>
            <w:pPr>
              <w:pStyle w:val="30"/>
              <w:spacing w:before="22"/>
              <w:ind w:left="110"/>
              <w:jc w:val="left"/>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满足招标文件规定。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62" w:type="dxa"/>
            <w:vMerge w:val="continue"/>
          </w:tcPr>
          <w:p>
            <w:pPr>
              <w:autoSpaceDE w:val="0"/>
              <w:autoSpaceDN w:val="0"/>
              <w:rPr>
                <w:color w:val="000000" w:themeColor="text1"/>
                <w:sz w:val="2"/>
                <w:szCs w:val="2"/>
                <w:highlight w:val="none"/>
                <w14:textFill>
                  <w14:solidFill>
                    <w14:schemeClr w14:val="tx1"/>
                  </w14:solidFill>
                </w14:textFill>
              </w:rPr>
            </w:pPr>
          </w:p>
        </w:tc>
        <w:tc>
          <w:tcPr>
            <w:tcW w:w="975" w:type="dxa"/>
            <w:vMerge w:val="continue"/>
          </w:tcPr>
          <w:p>
            <w:pPr>
              <w:autoSpaceDE w:val="0"/>
              <w:autoSpaceDN w:val="0"/>
              <w:rPr>
                <w:color w:val="000000" w:themeColor="text1"/>
                <w:sz w:val="2"/>
                <w:szCs w:val="2"/>
                <w:highlight w:val="none"/>
                <w14:textFill>
                  <w14:solidFill>
                    <w14:schemeClr w14:val="tx1"/>
                  </w14:solidFill>
                </w14:textFill>
              </w:rPr>
            </w:pPr>
          </w:p>
        </w:tc>
        <w:tc>
          <w:tcPr>
            <w:tcW w:w="2515" w:type="dxa"/>
          </w:tcPr>
          <w:p>
            <w:pPr>
              <w:pStyle w:val="30"/>
              <w:spacing w:before="22"/>
              <w:ind w:left="108"/>
              <w:jc w:val="left"/>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付款方式</w:t>
            </w:r>
          </w:p>
        </w:tc>
        <w:tc>
          <w:tcPr>
            <w:tcW w:w="5319" w:type="dxa"/>
          </w:tcPr>
          <w:p>
            <w:pPr>
              <w:pStyle w:val="30"/>
              <w:spacing w:before="22"/>
              <w:ind w:left="110"/>
              <w:jc w:val="left"/>
              <w:rPr>
                <w:rFonts w:ascii="Times New Roman" w:hAnsi="Times New Roman" w:eastAsia="宋体" w:cs="Times New Roman"/>
                <w:color w:val="000000" w:themeColor="text1"/>
                <w:sz w:val="21"/>
                <w:highlight w:val="none"/>
                <w:lang w:eastAsia="zh-CN"/>
                <w14:textFill>
                  <w14:solidFill>
                    <w14:schemeClr w14:val="tx1"/>
                  </w14:solidFill>
                </w14:textFill>
              </w:rPr>
            </w:pPr>
            <w:r>
              <w:rPr>
                <w:rFonts w:ascii="Times New Roman" w:hAnsi="Times New Roman" w:eastAsia="宋体" w:cs="Times New Roman"/>
                <w:color w:val="000000" w:themeColor="text1"/>
                <w:sz w:val="21"/>
                <w:highlight w:val="none"/>
                <w:lang w:eastAsia="zh-CN"/>
                <w14:textFill>
                  <w14:solidFill>
                    <w14:schemeClr w14:val="tx1"/>
                  </w14:solidFill>
                </w14:textFill>
              </w:rPr>
              <w:t>投标文件承诺的的付款方式满足招标文件要求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62" w:type="dxa"/>
            <w:vMerge w:val="continue"/>
          </w:tcPr>
          <w:p>
            <w:pPr>
              <w:autoSpaceDE w:val="0"/>
              <w:autoSpaceDN w:val="0"/>
              <w:rPr>
                <w:color w:val="000000" w:themeColor="text1"/>
                <w:sz w:val="2"/>
                <w:szCs w:val="2"/>
                <w:highlight w:val="none"/>
                <w14:textFill>
                  <w14:solidFill>
                    <w14:schemeClr w14:val="tx1"/>
                  </w14:solidFill>
                </w14:textFill>
              </w:rPr>
            </w:pPr>
          </w:p>
        </w:tc>
        <w:tc>
          <w:tcPr>
            <w:tcW w:w="975" w:type="dxa"/>
            <w:vMerge w:val="continue"/>
          </w:tcPr>
          <w:p>
            <w:pPr>
              <w:autoSpaceDE w:val="0"/>
              <w:autoSpaceDN w:val="0"/>
              <w:rPr>
                <w:color w:val="000000" w:themeColor="text1"/>
                <w:sz w:val="2"/>
                <w:szCs w:val="2"/>
                <w:highlight w:val="none"/>
                <w14:textFill>
                  <w14:solidFill>
                    <w14:schemeClr w14:val="tx1"/>
                  </w14:solidFill>
                </w14:textFill>
              </w:rPr>
            </w:pPr>
          </w:p>
        </w:tc>
        <w:tc>
          <w:tcPr>
            <w:tcW w:w="2515" w:type="dxa"/>
          </w:tcPr>
          <w:p>
            <w:pPr>
              <w:pStyle w:val="30"/>
              <w:spacing w:before="1"/>
              <w:jc w:val="left"/>
              <w:rPr>
                <w:rFonts w:ascii="Times New Roman" w:hAnsi="Times New Roman" w:cs="Times New Roman"/>
                <w:b/>
                <w:color w:val="000000" w:themeColor="text1"/>
                <w:sz w:val="14"/>
                <w:highlight w:val="none"/>
                <w:lang w:eastAsia="zh-CN"/>
                <w14:textFill>
                  <w14:solidFill>
                    <w14:schemeClr w14:val="tx1"/>
                  </w14:solidFill>
                </w14:textFill>
              </w:rPr>
            </w:pPr>
          </w:p>
          <w:p>
            <w:pPr>
              <w:pStyle w:val="30"/>
              <w:ind w:left="108"/>
              <w:jc w:val="left"/>
              <w:rPr>
                <w:rFonts w:ascii="Times New Roman" w:hAnsi="Times New Roman" w:eastAsia="宋体" w:cs="Times New Roman"/>
                <w:color w:val="000000" w:themeColor="text1"/>
                <w:sz w:val="21"/>
                <w:highlight w:val="none"/>
                <w14:textFill>
                  <w14:solidFill>
                    <w14:schemeClr w14:val="tx1"/>
                  </w14:solidFill>
                </w14:textFill>
              </w:rPr>
            </w:pPr>
            <w:r>
              <w:rPr>
                <w:rFonts w:ascii="Times New Roman" w:hAnsi="Times New Roman" w:eastAsia="宋体" w:cs="Times New Roman"/>
                <w:color w:val="000000" w:themeColor="text1"/>
                <w:sz w:val="21"/>
                <w:highlight w:val="none"/>
                <w14:textFill>
                  <w14:solidFill>
                    <w14:schemeClr w14:val="tx1"/>
                  </w14:solidFill>
                </w14:textFill>
              </w:rPr>
              <w:t>其他</w:t>
            </w:r>
          </w:p>
        </w:tc>
        <w:tc>
          <w:tcPr>
            <w:tcW w:w="5319" w:type="dxa"/>
          </w:tcPr>
          <w:p>
            <w:pPr>
              <w:pStyle w:val="30"/>
              <w:spacing w:before="25"/>
              <w:ind w:left="110"/>
              <w:jc w:val="left"/>
              <w:rPr>
                <w:rFonts w:ascii="Times New Roman" w:hAnsi="Times New Roman" w:eastAsia="宋体" w:cs="Times New Roman"/>
                <w:color w:val="000000" w:themeColor="text1"/>
                <w:sz w:val="21"/>
                <w:highlight w:val="none"/>
                <w:lang w:eastAsia="zh-CN"/>
                <w14:textFill>
                  <w14:solidFill>
                    <w14:schemeClr w14:val="tx1"/>
                  </w14:solidFill>
                </w14:textFill>
              </w:rPr>
            </w:pPr>
            <w:r>
              <w:rPr>
                <w:rFonts w:ascii="Times New Roman" w:hAnsi="Times New Roman" w:eastAsia="宋体" w:cs="Times New Roman"/>
                <w:color w:val="000000" w:themeColor="text1"/>
                <w:sz w:val="21"/>
                <w:highlight w:val="none"/>
                <w:lang w:eastAsia="zh-CN"/>
                <w14:textFill>
                  <w14:solidFill>
                    <w14:schemeClr w14:val="tx1"/>
                  </w14:solidFill>
                </w14:textFill>
              </w:rPr>
              <w:t>投标文件未附有采购人不能接受的附加条件及法律、法规和招标文件规定的其他无效情形。</w:t>
            </w:r>
          </w:p>
        </w:tc>
      </w:tr>
    </w:tbl>
    <w:p>
      <w:pPr>
        <w:adjustRightInd w:val="0"/>
        <w:snapToGrid w:val="0"/>
        <w:spacing w:line="360" w:lineRule="auto"/>
        <w:ind w:firstLine="480"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4.3有下列情形之一时,评标委员会应予废标,并将理由通知所有投标人：</w:t>
      </w:r>
    </w:p>
    <w:p>
      <w:pPr>
        <w:numPr>
          <w:ilvl w:val="0"/>
          <w:numId w:val="15"/>
        </w:numPr>
        <w:adjustRightInd w:val="0"/>
        <w:snapToGrid w:val="0"/>
        <w:spacing w:line="360" w:lineRule="auto"/>
        <w:ind w:firstLine="415"/>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符合专业条件的投标人或者对招标文件作实质性响应的投标人不足三家的；</w:t>
      </w:r>
    </w:p>
    <w:p>
      <w:pPr>
        <w:numPr>
          <w:ilvl w:val="0"/>
          <w:numId w:val="15"/>
        </w:numPr>
        <w:adjustRightInd w:val="0"/>
        <w:snapToGrid w:val="0"/>
        <w:spacing w:line="360" w:lineRule="auto"/>
        <w:ind w:firstLine="415"/>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出现影响招标公正的违法、违规行为的；</w:t>
      </w:r>
    </w:p>
    <w:p>
      <w:pPr>
        <w:numPr>
          <w:ilvl w:val="0"/>
          <w:numId w:val="15"/>
        </w:numPr>
        <w:adjustRightInd w:val="0"/>
        <w:snapToGrid w:val="0"/>
        <w:spacing w:line="360" w:lineRule="auto"/>
        <w:ind w:firstLine="415"/>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投标人的报份均超过了采购预算,采购人不能支付的；</w:t>
      </w:r>
    </w:p>
    <w:p>
      <w:pPr>
        <w:numPr>
          <w:ilvl w:val="0"/>
          <w:numId w:val="15"/>
        </w:numPr>
        <w:adjustRightInd w:val="0"/>
        <w:snapToGrid w:val="0"/>
        <w:spacing w:line="360" w:lineRule="auto"/>
        <w:ind w:firstLine="415"/>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因重大变故，采购任务取消的。</w:t>
      </w:r>
    </w:p>
    <w:p>
      <w:pPr>
        <w:numPr>
          <w:ilvl w:val="0"/>
          <w:numId w:val="15"/>
        </w:numPr>
        <w:adjustRightInd w:val="0"/>
        <w:snapToGrid w:val="0"/>
        <w:spacing w:line="360" w:lineRule="auto"/>
        <w:ind w:firstLine="415"/>
        <w:rPr>
          <w:b/>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废标后，除采购任务取消情形外，招标采购人应当重新组织招标。需要采取其他采购方式的，应当在采购活动开始前获得设区的市、自治州以上人民政府财政部门的批准。</w:t>
      </w:r>
    </w:p>
    <w:p>
      <w:pPr>
        <w:spacing w:line="360" w:lineRule="auto"/>
        <w:ind w:firstLine="482"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必要合格条件：是法律、法规等规定必须满足的必要条件，只进行定性评审，只要有一项不满足，其投标资格将被拒绝</w:t>
      </w:r>
      <w:bookmarkStart w:id="135" w:name="_Toc93747400"/>
      <w:bookmarkStart w:id="136" w:name="_Toc73332653"/>
      <w:bookmarkStart w:id="137" w:name="_Toc106522501"/>
      <w:bookmarkStart w:id="138" w:name="_Toc98943109"/>
      <w:bookmarkStart w:id="139" w:name="_Toc88382162"/>
      <w:bookmarkStart w:id="140" w:name="_Toc121212626"/>
      <w:r>
        <w:rPr>
          <w:b/>
          <w:color w:val="000000" w:themeColor="text1"/>
          <w:sz w:val="24"/>
          <w:szCs w:val="24"/>
          <w:highlight w:val="none"/>
          <w14:textFill>
            <w14:solidFill>
              <w14:schemeClr w14:val="tx1"/>
            </w14:solidFill>
          </w14:textFill>
        </w:rPr>
        <w:t>，证件齐全、满足要求的投标人为有效投标人。</w:t>
      </w:r>
    </w:p>
    <w:p>
      <w:pPr>
        <w:adjustRightInd w:val="0"/>
        <w:snapToGrid w:val="0"/>
        <w:spacing w:line="360" w:lineRule="auto"/>
        <w:ind w:firstLine="354" w:firstLineChars="147"/>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5．</w:t>
      </w:r>
      <w:bookmarkEnd w:id="135"/>
      <w:bookmarkEnd w:id="136"/>
      <w:bookmarkEnd w:id="137"/>
      <w:bookmarkEnd w:id="138"/>
      <w:bookmarkEnd w:id="139"/>
      <w:bookmarkEnd w:id="140"/>
      <w:r>
        <w:rPr>
          <w:b/>
          <w:color w:val="000000" w:themeColor="text1"/>
          <w:sz w:val="24"/>
          <w:highlight w:val="none"/>
          <w14:textFill>
            <w14:solidFill>
              <w14:schemeClr w14:val="tx1"/>
            </w14:solidFill>
          </w14:textFill>
        </w:rPr>
        <w:t>详细评审</w:t>
      </w:r>
    </w:p>
    <w:p>
      <w:pPr>
        <w:adjustRightInd w:val="0"/>
        <w:snapToGrid w:val="0"/>
        <w:spacing w:line="360" w:lineRule="auto"/>
        <w:ind w:firstLine="360" w:firstLineChars="1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5.1根据招标文件的规定，对经初步评审合格的投标文件，进行详细评审，从而进一步确定投标的实质响应性和投标人的履约能力。</w:t>
      </w:r>
    </w:p>
    <w:p>
      <w:pPr>
        <w:adjustRightInd w:val="0"/>
        <w:snapToGrid w:val="0"/>
        <w:spacing w:line="360" w:lineRule="auto"/>
        <w:ind w:firstLine="360" w:firstLineChars="1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5.2本次招标为公开招标，不允许二次报价。</w:t>
      </w:r>
    </w:p>
    <w:p>
      <w:pPr>
        <w:adjustRightInd w:val="0"/>
        <w:snapToGrid w:val="0"/>
        <w:spacing w:line="360" w:lineRule="auto"/>
        <w:ind w:firstLine="360" w:firstLineChars="150"/>
        <w:rPr>
          <w:color w:val="000000" w:themeColor="text1"/>
          <w:sz w:val="24"/>
          <w:szCs w:val="22"/>
          <w:highlight w:val="none"/>
          <w14:textFill>
            <w14:solidFill>
              <w14:schemeClr w14:val="tx1"/>
            </w14:solidFill>
          </w14:textFill>
        </w:rPr>
      </w:pPr>
      <w:r>
        <w:rPr>
          <w:color w:val="000000" w:themeColor="text1"/>
          <w:sz w:val="24"/>
          <w:szCs w:val="22"/>
          <w:highlight w:val="none"/>
          <w14:textFill>
            <w14:solidFill>
              <w14:schemeClr w14:val="tx1"/>
            </w14:solidFill>
          </w14:textFill>
        </w:rPr>
        <w:t>5.3评分标准（满分100分）=投标报价30分+商务</w:t>
      </w:r>
      <w:r>
        <w:rPr>
          <w:rFonts w:hint="eastAsia"/>
          <w:color w:val="000000" w:themeColor="text1"/>
          <w:sz w:val="24"/>
          <w:szCs w:val="22"/>
          <w:highlight w:val="none"/>
          <w14:textFill>
            <w14:solidFill>
              <w14:schemeClr w14:val="tx1"/>
            </w14:solidFill>
          </w14:textFill>
        </w:rPr>
        <w:t>、</w:t>
      </w:r>
      <w:r>
        <w:rPr>
          <w:color w:val="000000" w:themeColor="text1"/>
          <w:sz w:val="24"/>
          <w:szCs w:val="22"/>
          <w:highlight w:val="none"/>
          <w14:textFill>
            <w14:solidFill>
              <w14:schemeClr w14:val="tx1"/>
            </w14:solidFill>
          </w14:textFill>
        </w:rPr>
        <w:t>技术</w:t>
      </w:r>
      <w:r>
        <w:rPr>
          <w:rFonts w:hint="eastAsia"/>
          <w:color w:val="000000" w:themeColor="text1"/>
          <w:sz w:val="24"/>
          <w:szCs w:val="22"/>
          <w:highlight w:val="none"/>
          <w14:textFill>
            <w14:solidFill>
              <w14:schemeClr w14:val="tx1"/>
            </w14:solidFill>
          </w14:textFill>
        </w:rPr>
        <w:t>部分70</w:t>
      </w:r>
      <w:r>
        <w:rPr>
          <w:color w:val="000000" w:themeColor="text1"/>
          <w:sz w:val="24"/>
          <w:szCs w:val="22"/>
          <w:highlight w:val="none"/>
          <w14:textFill>
            <w14:solidFill>
              <w14:schemeClr w14:val="tx1"/>
            </w14:solidFill>
          </w14:textFill>
        </w:rPr>
        <w:t>分，其中投标报价得分=（评标基准价/投标报价）×价格权值×100，评标基准价是指满足采购文件要求且投标价格最低的投标报价。</w:t>
      </w:r>
    </w:p>
    <w:p>
      <w:pPr>
        <w:adjustRightInd w:val="0"/>
        <w:snapToGrid w:val="0"/>
        <w:spacing w:line="360" w:lineRule="auto"/>
        <w:ind w:firstLine="360" w:firstLineChars="15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详细评标表（满分100分）</w:t>
      </w:r>
    </w:p>
    <w:tbl>
      <w:tblPr>
        <w:tblStyle w:val="22"/>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44"/>
        <w:gridCol w:w="6166"/>
        <w:gridCol w:w="1489"/>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综合</w:t>
            </w:r>
          </w:p>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w:t>
            </w:r>
          </w:p>
        </w:tc>
        <w:tc>
          <w:tcPr>
            <w:tcW w:w="7655"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评审细则</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分值</w:t>
            </w:r>
          </w:p>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价格部分</w:t>
            </w:r>
          </w:p>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（30分）</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报价得分=(评标基准价/报价)×30%×100，最高得分为30分。</w:t>
            </w:r>
          </w:p>
          <w:p>
            <w:pPr>
              <w:widowControl/>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注：采用低价优先法计算，即满足招标文件要求且投标价格最低的投标报价为评标基准价，其价格为满分（保留小数点后两位）</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配置、性能指标及技术参数响应程度</w:t>
            </w:r>
          </w:p>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（30分）</w:t>
            </w:r>
          </w:p>
        </w:tc>
        <w:tc>
          <w:tcPr>
            <w:tcW w:w="7655" w:type="dxa"/>
            <w:gridSpan w:val="2"/>
            <w:tcBorders>
              <w:top w:val="single" w:color="auto" w:sz="4" w:space="0"/>
              <w:left w:val="nil"/>
              <w:bottom w:val="single" w:color="auto" w:sz="4" w:space="0"/>
              <w:right w:val="single" w:color="auto" w:sz="4" w:space="0"/>
            </w:tcBorders>
            <w:vAlign w:val="center"/>
          </w:tcPr>
          <w:p>
            <w:pPr>
              <w:rPr>
                <w:highlight w:val="none"/>
              </w:rPr>
            </w:pPr>
            <w:r>
              <w:rPr>
                <w:rFonts w:hint="eastAsia"/>
                <w:highlight w:val="none"/>
                <w:lang w:val="en-US" w:eastAsia="zh-CN"/>
              </w:rPr>
              <w:t>1、</w:t>
            </w:r>
            <w:r>
              <w:rPr>
                <w:rFonts w:hint="eastAsia"/>
                <w:highlight w:val="none"/>
              </w:rPr>
              <w:t>投标产品完全满足招标文件提出的技术参数要求得满分1</w:t>
            </w:r>
            <w:r>
              <w:rPr>
                <w:rFonts w:hint="eastAsia"/>
                <w:highlight w:val="none"/>
                <w:lang w:val="en-US" w:eastAsia="zh-CN"/>
              </w:rPr>
              <w:t>2</w:t>
            </w:r>
            <w:r>
              <w:rPr>
                <w:rFonts w:hint="eastAsia"/>
                <w:highlight w:val="none"/>
              </w:rPr>
              <w:t>分</w:t>
            </w:r>
          </w:p>
          <w:p>
            <w:pPr>
              <w:rPr>
                <w:highlight w:val="none"/>
              </w:rPr>
            </w:pPr>
            <w:r>
              <w:rPr>
                <w:rFonts w:hint="eastAsia"/>
                <w:highlight w:val="none"/>
                <w:lang w:val="en-US" w:eastAsia="zh-CN"/>
              </w:rPr>
              <w:t>2</w:t>
            </w:r>
            <w:r>
              <w:rPr>
                <w:rFonts w:hint="eastAsia"/>
                <w:highlight w:val="none"/>
              </w:rPr>
              <w:t>、</w:t>
            </w:r>
            <w:r>
              <w:rPr>
                <w:rFonts w:hint="eastAsia"/>
                <w:highlight w:val="none"/>
                <w:lang w:eastAsia="zh-CN"/>
              </w:rPr>
              <w:t>☆</w:t>
            </w:r>
            <w:r>
              <w:rPr>
                <w:rFonts w:hint="eastAsia"/>
                <w:highlight w:val="none"/>
              </w:rPr>
              <w:t>号的技术指标为</w:t>
            </w:r>
            <w:r>
              <w:rPr>
                <w:rFonts w:hint="eastAsia"/>
                <w:highlight w:val="none"/>
                <w:lang w:eastAsia="zh-CN"/>
              </w:rPr>
              <w:t>重要</w:t>
            </w:r>
            <w:r>
              <w:rPr>
                <w:rFonts w:hint="eastAsia"/>
                <w:highlight w:val="none"/>
              </w:rPr>
              <w:t>参数，</w:t>
            </w:r>
            <w:r>
              <w:rPr>
                <w:rFonts w:hint="eastAsia"/>
                <w:highlight w:val="none"/>
                <w:lang w:eastAsia="zh-CN"/>
              </w:rPr>
              <w:t>正偏离</w:t>
            </w:r>
            <w:r>
              <w:rPr>
                <w:rFonts w:hint="eastAsia"/>
                <w:highlight w:val="none"/>
              </w:rPr>
              <w:t>每项加2分，最多加</w:t>
            </w:r>
            <w:r>
              <w:rPr>
                <w:rFonts w:hint="eastAsia"/>
                <w:highlight w:val="none"/>
                <w:lang w:val="en-US" w:eastAsia="zh-CN"/>
              </w:rPr>
              <w:t>18</w:t>
            </w:r>
            <w:r>
              <w:rPr>
                <w:rFonts w:hint="eastAsia"/>
                <w:highlight w:val="none"/>
              </w:rPr>
              <w:t>分；负偏离每项扣2分，扣完为止。</w:t>
            </w:r>
          </w:p>
          <w:p>
            <w:pPr>
              <w:rPr>
                <w:highlight w:val="none"/>
              </w:rPr>
            </w:pPr>
            <w:r>
              <w:rPr>
                <w:rFonts w:hint="eastAsia"/>
                <w:highlight w:val="none"/>
              </w:rPr>
              <w:t>需提供证明材料的部分未提供或提供材料不符合技术要求的计1项负偏离，不重复扣分。</w:t>
            </w:r>
          </w:p>
          <w:p>
            <w:pPr>
              <w:widowControl/>
              <w:jc w:val="left"/>
              <w:rPr>
                <w:rFonts w:hint="eastAsia" w:ascii="宋体" w:hAnsi="宋体"/>
                <w:color w:val="000000" w:themeColor="text1"/>
                <w:szCs w:val="21"/>
                <w:highlight w:val="none"/>
                <w14:textFill>
                  <w14:solidFill>
                    <w14:schemeClr w14:val="tx1"/>
                  </w14:solidFill>
                </w14:textFill>
              </w:rPr>
            </w:pPr>
          </w:p>
        </w:tc>
        <w:tc>
          <w:tcPr>
            <w:tcW w:w="9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8"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售后服务体系及保证措施</w:t>
            </w:r>
          </w:p>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分）</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提供质保期内售后服务，供应商根据本项目的采购需求制定售后方案，包括明确的服务内容、详细的售后服务承诺、维修保养方案、措施及技术人员技术支持及咨询服务等，方案完整，逻辑清晰，贴合服务需求，可行性高的每一项得</w:t>
            </w:r>
            <w:r>
              <w:rPr>
                <w:rFonts w:ascii="宋体" w:hAnsi="宋体"/>
                <w:color w:val="000000" w:themeColor="text1"/>
                <w:szCs w:val="21"/>
                <w:highlight w:val="none"/>
                <w14:textFill>
                  <w14:solidFill>
                    <w14:schemeClr w14:val="tx1"/>
                  </w14:solidFill>
                </w14:textFill>
              </w:rPr>
              <w:t>2分</w:t>
            </w:r>
            <w:r>
              <w:rPr>
                <w:rFonts w:hint="eastAsia" w:ascii="宋体" w:hAnsi="宋体"/>
                <w:color w:val="000000" w:themeColor="text1"/>
                <w:szCs w:val="21"/>
                <w:highlight w:val="none"/>
                <w14:textFill>
                  <w14:solidFill>
                    <w14:schemeClr w14:val="tx1"/>
                  </w14:solidFill>
                </w14:textFill>
              </w:rPr>
              <w:t>，最多得</w:t>
            </w: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分；每有一处方案逻辑混乱、描述不清或不符合项目情况的，每一处扣0.5分，扣完为止；未提供不得分。</w:t>
            </w:r>
          </w:p>
          <w:p>
            <w:pPr>
              <w:widowControl/>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售后服务体系完备，有专业技术人员负责售后，提供售后人员清单（包含姓名、联系电话）、身份证复印件、专业技术工程师职称证书复印件等证明文件）。并提供售后人员在所投标单位缴纳近半年的社保证明加盖投标单位公章，每提供一人资料完整的得</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分，最高得分为</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分，不提供不得分。</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项目实施方案</w:t>
            </w:r>
          </w:p>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 xml:space="preserve">分） </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实施方案中包含不限于质量保障措施、项目实施期间安全保障措施、突发事件应急处理预案、按期交货的各环节时间进度安排、项目安装、调试、测试方案等内容，方案完整，逻辑清晰，贴合服务需求，可行性高的每项得</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分，最多得1</w:t>
            </w:r>
            <w:r>
              <w:rPr>
                <w:rFonts w:ascii="宋体" w:hAnsi="宋体"/>
                <w:color w:val="000000" w:themeColor="text1"/>
                <w:szCs w:val="21"/>
                <w:highlight w:val="none"/>
                <w14:textFill>
                  <w14:solidFill>
                    <w14:schemeClr w14:val="tx1"/>
                  </w14:solidFill>
                </w14:textFill>
              </w:rPr>
              <w:t>0分</w:t>
            </w:r>
            <w:r>
              <w:rPr>
                <w:rFonts w:hint="eastAsia" w:ascii="宋体" w:hAnsi="宋体"/>
                <w:color w:val="000000" w:themeColor="text1"/>
                <w:szCs w:val="21"/>
                <w:highlight w:val="none"/>
                <w14:textFill>
                  <w14:solidFill>
                    <w14:schemeClr w14:val="tx1"/>
                  </w14:solidFill>
                </w14:textFill>
              </w:rPr>
              <w:t>；方案每有一处逻辑混乱、不符合本项目服务需求扣1分，扣完为止；未提供不得分。</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培训方案</w:t>
            </w:r>
          </w:p>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分）</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培训计划情况，应含详细合理的培训方案（包含：①培训时间、地点；②培训方式③产品基本原理、操作使用和保养维修）培训方案中包含但不限于以上每项内容，方案完整，逻辑清晰，贴合服务需求，可行性高的每项得</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分，最多得6分；方案合理且可行性较高每项得</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分，最多得3分；方案逻辑混乱，但基本满足本项目服务需求的每项得</w:t>
            </w:r>
            <w:r>
              <w:rPr>
                <w:rFonts w:ascii="宋体" w:hAnsi="宋体"/>
                <w:color w:val="000000" w:themeColor="text1"/>
                <w:szCs w:val="21"/>
                <w:highlight w:val="none"/>
                <w14:textFill>
                  <w14:solidFill>
                    <w14:schemeClr w14:val="tx1"/>
                  </w14:solidFill>
                </w14:textFill>
              </w:rPr>
              <w:t>0.5</w:t>
            </w:r>
            <w:r>
              <w:rPr>
                <w:rFonts w:hint="eastAsia" w:ascii="宋体" w:hAnsi="宋体"/>
                <w:color w:val="000000" w:themeColor="text1"/>
                <w:szCs w:val="21"/>
                <w:highlight w:val="none"/>
                <w14:textFill>
                  <w14:solidFill>
                    <w14:schemeClr w14:val="tx1"/>
                  </w14:solidFill>
                </w14:textFill>
              </w:rPr>
              <w:t>分，最多得1</w:t>
            </w:r>
            <w:r>
              <w:rPr>
                <w:rFonts w:ascii="宋体" w:hAnsi="宋体"/>
                <w:color w:val="000000" w:themeColor="text1"/>
                <w:szCs w:val="21"/>
                <w:highlight w:val="none"/>
                <w14:textFill>
                  <w14:solidFill>
                    <w14:schemeClr w14:val="tx1"/>
                  </w14:solidFill>
                </w14:textFill>
              </w:rPr>
              <w:t>.5分</w:t>
            </w:r>
            <w:r>
              <w:rPr>
                <w:rFonts w:hint="eastAsia" w:ascii="宋体" w:hAnsi="宋体"/>
                <w:color w:val="000000" w:themeColor="text1"/>
                <w:szCs w:val="21"/>
                <w:highlight w:val="none"/>
                <w14:textFill>
                  <w14:solidFill>
                    <w14:schemeClr w14:val="tx1"/>
                  </w14:solidFill>
                </w14:textFill>
              </w:rPr>
              <w:t>；未提供不得分。</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备品备件专用工具</w:t>
            </w:r>
          </w:p>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备品备件及专用工具提供的范围、数量、品质完善，质保期满后易损件、备品备件长期供应价格承诺合理得</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分；范围、数量、品质一般，质保期满后易损件、备品备件长期供应价格承诺合理得</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分；范围、数量、品质一般，质保期满后易损件、备品备件长期供应价格承诺不合理或不提供得0分。</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近三年业绩</w:t>
            </w:r>
          </w:p>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（10分）</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提供自202</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年1月1日至今近三年相关项目销售业绩每提供一个得1分，最高得分为10分。不提供或证明材料不全的得0分。（需提供合同或中标通知书，以合同时间为准）</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ind w:left="107"/>
              <w:jc w:val="center"/>
              <w:rPr>
                <w:rFonts w:hint="eastAsia" w:ascii="宋体" w:hAnsi="宋体"/>
                <w:color w:val="000000" w:themeColor="text1"/>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节能、环境标志产品评标优惠内容（2分）</w:t>
            </w:r>
          </w:p>
        </w:tc>
        <w:tc>
          <w:tcPr>
            <w:tcW w:w="7655" w:type="dxa"/>
            <w:gridSpan w:val="2"/>
            <w:tcBorders>
              <w:top w:val="single" w:color="auto" w:sz="4" w:space="0"/>
              <w:left w:val="nil"/>
              <w:bottom w:val="single" w:color="auto" w:sz="4" w:space="0"/>
              <w:right w:val="single" w:color="auto" w:sz="4" w:space="0"/>
            </w:tcBorders>
            <w:vAlign w:val="center"/>
          </w:tcPr>
          <w:p>
            <w:pPr>
              <w:autoSpaceDE w:val="0"/>
              <w:autoSpaceDN w:val="0"/>
              <w:spacing w:before="43" w:line="276" w:lineRule="auto"/>
              <w:ind w:left="107" w:right="93"/>
              <w:jc w:val="left"/>
              <w:rPr>
                <w:rFonts w:hint="eastAsia"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l、列入市场监管总局组织建立节能产品认证结果信息发布平台产品目录的，每项加0.5分，最多加1分。</w:t>
            </w:r>
          </w:p>
          <w:p>
            <w:pPr>
              <w:autoSpaceDE w:val="0"/>
              <w:autoSpaceDN w:val="0"/>
              <w:spacing w:before="43" w:line="276" w:lineRule="auto"/>
              <w:ind w:left="107" w:right="93"/>
              <w:jc w:val="left"/>
              <w:rPr>
                <w:rFonts w:hint="eastAsia"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2、列入市场监管总局组织的环境标志产品认证结果信息发布平台产品目录的，每项加 0.5分，最多加1分。</w:t>
            </w:r>
          </w:p>
          <w:p>
            <w:pPr>
              <w:jc w:val="left"/>
              <w:rPr>
                <w:rFonts w:hint="eastAsia" w:ascii="宋体" w:hAnsi="宋体"/>
                <w:color w:val="000000" w:themeColor="text1"/>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注：1、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2、提供最近一期《节能产品认证结果信息发布平台产品目录》关于投标产品当前页的打印件；3、提供最近一期《环境标志产品认证结果信息发布平台产品目录》关于投标产品当前页的打印件。</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93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总分</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0266"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spacing w:line="264" w:lineRule="auto"/>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根据中华人民共和国财政部、中华人民共和国工业和信息化部《政府采购促进中小企业发展管理办法》（财库[2020]46号）文件的规定，属于中小企业评标优惠内容及幅度如下：</w:t>
            </w:r>
          </w:p>
          <w:p>
            <w:pPr>
              <w:autoSpaceDE w:val="0"/>
              <w:autoSpaceDN w:val="0"/>
              <w:jc w:val="left"/>
              <w:rPr>
                <w:rFonts w:hint="eastAsia"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（一）中小企业（含中型、小型、微型企业）应当同时符合以下条件：</w:t>
            </w:r>
          </w:p>
          <w:p>
            <w:pPr>
              <w:autoSpaceDE w:val="0"/>
              <w:autoSpaceDN w:val="0"/>
              <w:spacing w:line="266" w:lineRule="auto"/>
              <w:ind w:firstLine="422"/>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pacing w:val="-3"/>
                <w:kern w:val="0"/>
                <w:szCs w:val="21"/>
                <w:highlight w:val="none"/>
                <w14:textFill>
                  <w14:solidFill>
                    <w14:schemeClr w14:val="tx1"/>
                  </w14:solidFill>
                </w14:textFill>
              </w:rPr>
              <w:t>①</w:t>
            </w:r>
            <w:r>
              <w:rPr>
                <w:rFonts w:hint="eastAsia" w:ascii="宋体" w:hAnsi="宋体"/>
                <w:color w:val="000000" w:themeColor="text1"/>
                <w:spacing w:val="-3"/>
                <w:kern w:val="0"/>
                <w:szCs w:val="21"/>
                <w:highlight w:val="none"/>
                <w14:textFill>
                  <w14:solidFill>
                    <w14:schemeClr w14:val="tx1"/>
                  </w14:solidFill>
                </w14:textFill>
              </w:rPr>
              <w:t>符合中小企业划分标准(按《关于印发中小企业划型标准规定的通知》(工信部联企业( 2011)300号）</w:t>
            </w:r>
            <w:r>
              <w:rPr>
                <w:rFonts w:hint="eastAsia" w:ascii="宋体" w:hAnsi="宋体"/>
                <w:color w:val="000000" w:themeColor="text1"/>
                <w:spacing w:val="-2"/>
                <w:kern w:val="0"/>
                <w:szCs w:val="21"/>
                <w:highlight w:val="none"/>
                <w14:textFill>
                  <w14:solidFill>
                    <w14:schemeClr w14:val="tx1"/>
                  </w14:solidFill>
                </w14:textFill>
              </w:rPr>
              <w:t>执行</w:t>
            </w:r>
            <w:r>
              <w:rPr>
                <w:rFonts w:hint="eastAsia" w:ascii="宋体" w:hAnsi="宋体"/>
                <w:color w:val="000000" w:themeColor="text1"/>
                <w:kern w:val="0"/>
                <w:szCs w:val="21"/>
                <w:highlight w:val="none"/>
                <w14:textFill>
                  <w14:solidFill>
                    <w14:schemeClr w14:val="tx1"/>
                  </w14:solidFill>
                </w14:textFill>
              </w:rPr>
              <w:t>）；</w:t>
            </w:r>
          </w:p>
          <w:p>
            <w:pPr>
              <w:autoSpaceDE w:val="0"/>
              <w:autoSpaceDN w:val="0"/>
              <w:spacing w:line="266" w:lineRule="auto"/>
              <w:ind w:firstLine="422"/>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hint="eastAsia" w:ascii="宋体" w:hAnsi="宋体"/>
                <w:color w:val="000000" w:themeColor="text1"/>
                <w:kern w:val="0"/>
                <w:szCs w:val="21"/>
                <w:highlight w:val="none"/>
                <w14:textFill>
                  <w14:solidFill>
                    <w14:schemeClr w14:val="tx1"/>
                  </w14:solidFill>
                </w14:textFill>
              </w:rPr>
              <w:t>提供本企业制造的货物、承担的项目或者服务，或者提供其他中小企业制造的货物。本项所称货物不包括使用大型企业注册商标的货物；</w:t>
            </w:r>
          </w:p>
          <w:p>
            <w:pPr>
              <w:autoSpaceDE w:val="0"/>
              <w:autoSpaceDN w:val="0"/>
              <w:spacing w:line="266"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hint="eastAsia" w:ascii="宋体" w:hAnsi="宋体"/>
                <w:color w:val="000000" w:themeColor="text1"/>
                <w:kern w:val="0"/>
                <w:szCs w:val="21"/>
                <w:highlight w:val="none"/>
                <w14:textFill>
                  <w14:solidFill>
                    <w14:schemeClr w14:val="tx1"/>
                  </w14:solidFill>
                </w14:textFill>
              </w:rPr>
              <w:t>小型、微型企业提供中型企业制造的货物的，视同为中型企业。</w:t>
            </w:r>
          </w:p>
          <w:p>
            <w:pPr>
              <w:autoSpaceDE w:val="0"/>
              <w:autoSpaceDN w:val="0"/>
              <w:jc w:val="left"/>
              <w:rPr>
                <w:rFonts w:hint="eastAsia"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（二）价格扣除办法：</w:t>
            </w:r>
          </w:p>
          <w:p>
            <w:pPr>
              <w:autoSpaceDE w:val="0"/>
              <w:autoSpaceDN w:val="0"/>
              <w:spacing w:line="264" w:lineRule="auto"/>
              <w:ind w:firstLine="48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hint="eastAsia" w:ascii="宋体" w:hAnsi="宋体"/>
                <w:color w:val="000000" w:themeColor="text1"/>
                <w:kern w:val="0"/>
                <w:szCs w:val="21"/>
                <w:highlight w:val="none"/>
                <w14:textFill>
                  <w14:solidFill>
                    <w14:schemeClr w14:val="tx1"/>
                  </w14:solidFill>
                </w14:textFill>
              </w:rPr>
              <w:t>对于非专门面向中小企业的项目，对小型和微型企业（或联合体各方均为小型、微型企业的）产品的价格给予10%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jc w:val="center"/>
              <w:rPr>
                <w:rFonts w:hint="eastAsia"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项目</w:t>
            </w:r>
          </w:p>
        </w:tc>
        <w:tc>
          <w:tcPr>
            <w:tcW w:w="621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jc w:val="center"/>
              <w:rPr>
                <w:rFonts w:hint="eastAsia"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评标内容</w:t>
            </w:r>
          </w:p>
        </w:tc>
        <w:tc>
          <w:tcPr>
            <w:tcW w:w="24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jc w:val="center"/>
              <w:rPr>
                <w:rFonts w:hint="eastAsia"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266"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jc w:val="left"/>
              <w:rPr>
                <w:rFonts w:hint="eastAsia"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（三）小型和微型企业适用价格扣除办法时应提供的相关资料：</w:t>
            </w:r>
          </w:p>
          <w:p>
            <w:pPr>
              <w:autoSpaceDE w:val="0"/>
              <w:autoSpaceDN w:val="0"/>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中小企业（含中型、小型、微型企业）应当同时符合以下条件：</w:t>
            </w:r>
          </w:p>
          <w:p>
            <w:pPr>
              <w:autoSpaceDE w:val="0"/>
              <w:autoSpaceDN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①《中小企业声明函》；符合中小企业划分标准(按《关于印发中小企业划型标准规定的通知》(工信部联企业( 2011)300号）执行）；</w:t>
            </w:r>
          </w:p>
          <w:p>
            <w:pPr>
              <w:autoSpaceDE w:val="0"/>
              <w:autoSpaceDN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②提供本企业制造的货物、承担的项目或者服务，或者提供其他中小企业制造的货物。本项所称货物不包括使用大型企业注册商标的货物；</w:t>
            </w:r>
          </w:p>
          <w:p>
            <w:pPr>
              <w:autoSpaceDE w:val="0"/>
              <w:autoSpaceDN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③小型、微型企业提供中型企业制造的货物的，视同为中型企业。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266"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jc w:val="left"/>
              <w:rPr>
                <w:rFonts w:hint="eastAsia" w:ascii="宋体" w:hAnsi="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b/>
                <w:color w:val="000000" w:themeColor="text1"/>
                <w:kern w:val="0"/>
                <w:szCs w:val="21"/>
                <w:highlight w:val="none"/>
                <w:shd w:val="clear" w:color="auto" w:fill="FFFFFF" w:themeFill="background1"/>
                <w14:textFill>
                  <w14:solidFill>
                    <w14:schemeClr w14:val="tx1"/>
                  </w14:solidFill>
                </w14:textFill>
              </w:rPr>
              <w:t>D：属于享受政府采购支持政策的残疾人福利性单位评标优惠内容及价格扣除幅度按小型、</w:t>
            </w:r>
          </w:p>
          <w:p>
            <w:pPr>
              <w:autoSpaceDE w:val="0"/>
              <w:autoSpaceDN w:val="0"/>
              <w:spacing w:line="310" w:lineRule="atLeast"/>
              <w:jc w:val="left"/>
              <w:rPr>
                <w:rFonts w:hint="eastAsia" w:ascii="宋体" w:hAnsi="宋体"/>
                <w:b/>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b/>
                <w:color w:val="000000" w:themeColor="text1"/>
                <w:spacing w:val="-6"/>
                <w:kern w:val="0"/>
                <w:szCs w:val="21"/>
                <w:highlight w:val="none"/>
                <w:shd w:val="clear" w:color="auto" w:fill="FFFFFF" w:themeFill="background1"/>
                <w14:textFill>
                  <w14:solidFill>
                    <w14:schemeClr w14:val="tx1"/>
                  </w14:solidFill>
                </w14:textFill>
              </w:rPr>
              <w:t>微型企业评标中价格扣除。</w:t>
            </w:r>
            <w:r>
              <w:rPr>
                <w:rFonts w:hint="eastAsia" w:ascii="宋体" w:hAnsi="宋体" w:cs="仿宋"/>
                <w:color w:val="000000" w:themeColor="text1"/>
                <w:kern w:val="0"/>
                <w:szCs w:val="21"/>
                <w:highlight w:val="none"/>
                <w:shd w:val="clear" w:color="auto" w:fill="FFFFFF" w:themeFill="background1"/>
                <w14:textFill>
                  <w14:solidFill>
                    <w14:schemeClr w14:val="tx1"/>
                  </w14:solidFill>
                </w14:textFill>
              </w:rPr>
              <w:t xml:space="preserve"> </w:t>
            </w:r>
            <w:r>
              <w:rPr>
                <w:rFonts w:hint="eastAsia" w:ascii="宋体" w:hAnsi="宋体"/>
                <w:b/>
                <w:color w:val="000000" w:themeColor="text1"/>
                <w:spacing w:val="-6"/>
                <w:kern w:val="0"/>
                <w:szCs w:val="21"/>
                <w:highlight w:val="none"/>
                <w:shd w:val="clear" w:color="auto" w:fill="FFFFFF" w:themeFill="background1"/>
                <w14:textFill>
                  <w14:solidFill>
                    <w14:schemeClr w14:val="tx1"/>
                  </w14:solidFill>
                </w14:textFill>
              </w:rPr>
              <w:t>监狱和戒毒企业参加政府采购活动视同小型、微型企业；残疾人福利性单位属于小型、微型企业的，不重复享受政策。本项目不进行价格扣除。（专门面向中小企业采购项目不享受价格扣除，小微企业已作为资格条件）</w:t>
            </w:r>
          </w:p>
        </w:tc>
      </w:tr>
    </w:tbl>
    <w:p>
      <w:pPr>
        <w:snapToGrid w:val="0"/>
        <w:ind w:firstLine="600" w:firstLineChars="250"/>
        <w:rPr>
          <w:color w:val="000000" w:themeColor="text1"/>
          <w:sz w:val="24"/>
          <w:szCs w:val="30"/>
          <w:highlight w:val="none"/>
          <w14:textFill>
            <w14:solidFill>
              <w14:schemeClr w14:val="tx1"/>
            </w14:solidFill>
          </w14:textFill>
        </w:rPr>
      </w:pPr>
      <w:r>
        <w:rPr>
          <w:color w:val="000000" w:themeColor="text1"/>
          <w:sz w:val="24"/>
          <w:szCs w:val="30"/>
          <w:highlight w:val="none"/>
          <w:shd w:val="clear" w:color="auto" w:fill="FFFFFF" w:themeFill="background1"/>
          <w14:textFill>
            <w14:solidFill>
              <w14:schemeClr w14:val="tx1"/>
            </w14:solidFill>
          </w14:textFill>
        </w:rPr>
        <w:t>项目评审过程中，不得去掉最后报价中的最高报</w:t>
      </w:r>
      <w:r>
        <w:rPr>
          <w:color w:val="000000" w:themeColor="text1"/>
          <w:sz w:val="24"/>
          <w:szCs w:val="30"/>
          <w:highlight w:val="none"/>
          <w14:textFill>
            <w14:solidFill>
              <w14:schemeClr w14:val="tx1"/>
            </w14:solidFill>
          </w14:textFill>
        </w:rPr>
        <w:t>价和最低报价。</w:t>
      </w:r>
    </w:p>
    <w:p>
      <w:pPr>
        <w:adjustRightInd w:val="0"/>
        <w:snapToGrid w:val="0"/>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5.4澄清</w:t>
      </w:r>
    </w:p>
    <w:p>
      <w:pPr>
        <w:adjustRightInd w:val="0"/>
        <w:snapToGrid w:val="0"/>
        <w:ind w:firstLine="6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为有助于投标文件的审查、评价和比较，可要求投标人对招标文件的商务、报价和技术等方面的任何不明确的内容做进一步澄清或对存在的细微偏差予以补正。但不得寻求、提出、允许或接受对招标报价及实质性内容进行更改。在澄清过程中不得向投标人提出不符合招标文件的要求。</w:t>
      </w:r>
    </w:p>
    <w:p>
      <w:pPr>
        <w:adjustRightInd w:val="0"/>
        <w:snapToGrid w:val="0"/>
        <w:ind w:firstLine="6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评标委员会对所有需要澄清或补正的问题，应以书面形式向投标人进行澄清或补正。澄清或补正结果汇总纳入评标报告。</w:t>
      </w:r>
    </w:p>
    <w:p>
      <w:pPr>
        <w:adjustRightInd w:val="0"/>
        <w:snapToGrid w:val="0"/>
        <w:ind w:firstLine="482" w:firstLineChars="200"/>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5.5 评审结果的汇总</w:t>
      </w:r>
    </w:p>
    <w:p>
      <w:pPr>
        <w:adjustRightInd w:val="0"/>
        <w:snapToGrid w:val="0"/>
        <w:ind w:firstLine="6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将每位评委的评分进行统计汇总，计分保留小数点后两位，第三位四舍五入。评委的汇总评分后的算术平均值，确定为该投标人的最终得分。在确定中标候选人顺序时，若有相同的最终评分，则依次按招标报价进行比较，低者顺序居前。</w:t>
      </w:r>
    </w:p>
    <w:p>
      <w:pPr>
        <w:pStyle w:val="12"/>
        <w:adjustRightInd w:val="0"/>
        <w:snapToGrid w:val="0"/>
        <w:spacing w:before="100" w:after="100"/>
        <w:ind w:firstLine="541"/>
        <w:rPr>
          <w:rFonts w:ascii="Times New Roman"/>
          <w:color w:val="000000" w:themeColor="text1"/>
          <w:sz w:val="24"/>
          <w:szCs w:val="24"/>
          <w:highlight w:val="none"/>
          <w14:textFill>
            <w14:solidFill>
              <w14:schemeClr w14:val="tx1"/>
            </w14:solidFill>
          </w14:textFill>
        </w:rPr>
      </w:pPr>
      <w:r>
        <w:rPr>
          <w:rFonts w:ascii="Times New Roman"/>
          <w:color w:val="000000" w:themeColor="text1"/>
          <w:sz w:val="24"/>
          <w:highlight w:val="none"/>
          <w14:textFill>
            <w14:solidFill>
              <w14:schemeClr w14:val="tx1"/>
            </w14:solidFill>
          </w14:textFill>
        </w:rPr>
        <w:t>通过全体评委汇签的方式确定评审结果。根据评标委员会的推荐，投标人得分排列前三名为</w:t>
      </w:r>
      <w:r>
        <w:rPr>
          <w:rFonts w:ascii="Times New Roman"/>
          <w:color w:val="000000" w:themeColor="text1"/>
          <w:sz w:val="24"/>
          <w:szCs w:val="24"/>
          <w:highlight w:val="none"/>
          <w14:textFill>
            <w14:solidFill>
              <w14:schemeClr w14:val="tx1"/>
            </w14:solidFill>
          </w14:textFill>
        </w:rPr>
        <w:t>中标候选人。</w:t>
      </w:r>
    </w:p>
    <w:p>
      <w:pPr>
        <w:spacing w:before="120" w:beforeLines="50" w:after="120" w:afterLines="50"/>
        <w:ind w:firstLine="482" w:firstLineChars="200"/>
        <w:rPr>
          <w:b/>
          <w:color w:val="000000" w:themeColor="text1"/>
          <w:sz w:val="24"/>
          <w:szCs w:val="24"/>
          <w:highlight w:val="none"/>
          <w14:textFill>
            <w14:solidFill>
              <w14:schemeClr w14:val="tx1"/>
            </w14:solidFill>
          </w14:textFill>
        </w:rPr>
      </w:pPr>
      <w:bookmarkStart w:id="141" w:name="_Toc133322777"/>
      <w:r>
        <w:rPr>
          <w:b/>
          <w:color w:val="000000" w:themeColor="text1"/>
          <w:sz w:val="24"/>
          <w:szCs w:val="24"/>
          <w:highlight w:val="none"/>
          <w14:textFill>
            <w14:solidFill>
              <w14:schemeClr w14:val="tx1"/>
            </w14:solidFill>
          </w14:textFill>
        </w:rPr>
        <w:t>6. 确定推荐的中标候选人</w:t>
      </w:r>
      <w:bookmarkEnd w:id="141"/>
    </w:p>
    <w:p>
      <w:pPr>
        <w:adjustRightInd w:val="0"/>
        <w:snapToGrid w:val="0"/>
        <w:ind w:firstLine="482" w:firstLineChars="200"/>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6.1</w:t>
      </w:r>
      <w:r>
        <w:rPr>
          <w:color w:val="000000" w:themeColor="text1"/>
          <w:sz w:val="24"/>
          <w:szCs w:val="24"/>
          <w:highlight w:val="none"/>
          <w14:textFill>
            <w14:solidFill>
              <w14:schemeClr w14:val="tx1"/>
            </w14:solidFill>
          </w14:textFill>
        </w:rPr>
        <w:t>投标文件能够最大限度地满足招标文件中规定的各项综合评价标准。采购人不一定接受最低报价的投标文件。</w:t>
      </w:r>
    </w:p>
    <w:p>
      <w:pPr>
        <w:adjustRightInd w:val="0"/>
        <w:snapToGrid w:val="0"/>
        <w:ind w:firstLine="482" w:firstLineChars="200"/>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6.2</w:t>
      </w:r>
      <w:r>
        <w:rPr>
          <w:color w:val="000000" w:themeColor="text1"/>
          <w:sz w:val="24"/>
          <w:szCs w:val="24"/>
          <w:highlight w:val="none"/>
          <w14:textFill>
            <w14:solidFill>
              <w14:schemeClr w14:val="tx1"/>
            </w14:solidFill>
          </w14:textFill>
        </w:rPr>
        <w:t>采购人根据评标结果选定中标候选人：采购人确定排名第一的中标候选人为中标候选人，但排名第一的中标候选人自动放弃中标或因不可抗力提出不能履行合同时，采购人可以确定排名第二的中标候选人为中标候选人，排名第二的中标候选人因上述同样原因不能签订的，采购人可以确定排名第三的中标候选人为中标候选人。如果前三名均放弃中标资格，采购人则重新组织招标。</w:t>
      </w:r>
    </w:p>
    <w:p>
      <w:pPr>
        <w:spacing w:before="120" w:beforeLines="50" w:after="120" w:afterLines="50"/>
        <w:ind w:firstLine="482" w:firstLineChars="200"/>
        <w:rPr>
          <w:b/>
          <w:color w:val="000000" w:themeColor="text1"/>
          <w:sz w:val="24"/>
          <w:szCs w:val="24"/>
          <w:highlight w:val="none"/>
          <w14:textFill>
            <w14:solidFill>
              <w14:schemeClr w14:val="tx1"/>
            </w14:solidFill>
          </w14:textFill>
        </w:rPr>
      </w:pPr>
      <w:bookmarkStart w:id="142" w:name="_Toc133322778"/>
      <w:r>
        <w:rPr>
          <w:b/>
          <w:color w:val="000000" w:themeColor="text1"/>
          <w:sz w:val="24"/>
          <w:szCs w:val="24"/>
          <w:highlight w:val="none"/>
          <w14:textFill>
            <w14:solidFill>
              <w14:schemeClr w14:val="tx1"/>
            </w14:solidFill>
          </w14:textFill>
        </w:rPr>
        <w:t>7．完成评标报告</w:t>
      </w:r>
      <w:bookmarkEnd w:id="142"/>
    </w:p>
    <w:p>
      <w:pPr>
        <w:adjustRightInd w:val="0"/>
        <w:snapToGrid w:val="0"/>
        <w:ind w:firstLine="480" w:firstLineChars="200"/>
        <w:rPr>
          <w:b/>
          <w:color w:val="000000" w:themeColor="text1"/>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评标委员会按《政府采购货物和服务招标投标管理办法》的规定编制评标报告，对于需要向中</w:t>
      </w:r>
      <w:r>
        <w:rPr>
          <w:color w:val="000000" w:themeColor="text1"/>
          <w:sz w:val="24"/>
          <w:szCs w:val="24"/>
          <w:highlight w:val="none"/>
          <w14:textFill>
            <w14:solidFill>
              <w14:schemeClr w14:val="tx1"/>
            </w14:solidFill>
          </w14:textFill>
        </w:rPr>
        <w:t>标候选人进一步澄清、说明、补正的事宜应纳入评标报告，并由评标委员会主任签字或盖章确认。</w:t>
      </w:r>
    </w:p>
    <w:p>
      <w:pPr>
        <w:spacing w:before="120" w:beforeLines="50" w:after="120" w:afterLines="50"/>
        <w:ind w:firstLine="482" w:firstLineChars="200"/>
        <w:rPr>
          <w:b/>
          <w:color w:val="000000" w:themeColor="text1"/>
          <w:sz w:val="24"/>
          <w:szCs w:val="24"/>
          <w:highlight w:val="none"/>
          <w14:textFill>
            <w14:solidFill>
              <w14:schemeClr w14:val="tx1"/>
            </w14:solidFill>
          </w14:textFill>
        </w:rPr>
      </w:pPr>
      <w:bookmarkStart w:id="143" w:name="_Toc133322779"/>
      <w:r>
        <w:rPr>
          <w:b/>
          <w:color w:val="000000" w:themeColor="text1"/>
          <w:sz w:val="24"/>
          <w:szCs w:val="24"/>
          <w:highlight w:val="none"/>
          <w14:textFill>
            <w14:solidFill>
              <w14:schemeClr w14:val="tx1"/>
            </w14:solidFill>
          </w14:textFill>
        </w:rPr>
        <w:t>8. 评标工作纪律与保密要求</w:t>
      </w:r>
      <w:bookmarkEnd w:id="143"/>
    </w:p>
    <w:p>
      <w:pPr>
        <w:adjustRightInd w:val="0"/>
        <w:snapToGrid w:val="0"/>
        <w:ind w:firstLine="482" w:firstLineChars="200"/>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8.1</w:t>
      </w:r>
      <w:r>
        <w:rPr>
          <w:color w:val="000000" w:themeColor="text1"/>
          <w:sz w:val="24"/>
          <w:szCs w:val="24"/>
          <w:highlight w:val="none"/>
          <w14:textFill>
            <w14:solidFill>
              <w14:schemeClr w14:val="tx1"/>
            </w14:solidFill>
          </w14:textFill>
        </w:rPr>
        <w:t>评标工作应严格按照评标程序和评标细则，遵循公平、公正、科学、择优的原则进行。</w:t>
      </w:r>
    </w:p>
    <w:p>
      <w:pPr>
        <w:adjustRightInd w:val="0"/>
        <w:snapToGrid w:val="0"/>
        <w:ind w:firstLine="482" w:firstLineChars="200"/>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8.2</w:t>
      </w:r>
      <w:r>
        <w:rPr>
          <w:color w:val="000000" w:themeColor="text1"/>
          <w:sz w:val="24"/>
          <w:szCs w:val="24"/>
          <w:highlight w:val="none"/>
          <w14:textFill>
            <w14:solidFill>
              <w14:schemeClr w14:val="tx1"/>
            </w14:solidFill>
          </w14:textFill>
        </w:rPr>
        <w:t>评标委员会成员有下列情形之一的，应当主动提出回避。</w:t>
      </w:r>
    </w:p>
    <w:p>
      <w:pPr>
        <w:adjustRightInd w:val="0"/>
        <w:snapToGrid w:val="0"/>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1、投标人或者投标人主要负责人的近亲属；</w:t>
      </w:r>
    </w:p>
    <w:p>
      <w:pPr>
        <w:adjustRightInd w:val="0"/>
        <w:snapToGrid w:val="0"/>
        <w:ind w:firstLine="480" w:firstLineChars="200"/>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2、项目主管部门或者行政监督</w:t>
      </w:r>
      <w:r>
        <w:rPr>
          <w:color w:val="000000" w:themeColor="text1"/>
          <w:sz w:val="24"/>
          <w:highlight w:val="none"/>
          <w14:textFill>
            <w14:solidFill>
              <w14:schemeClr w14:val="tx1"/>
            </w14:solidFill>
          </w14:textFill>
        </w:rPr>
        <w:t>部门的人员；</w:t>
      </w:r>
    </w:p>
    <w:p>
      <w:pPr>
        <w:adjustRightInd w:val="0"/>
        <w:snapToGrid w:val="0"/>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3、与投标人有经济利益关系，可能影响对投标公正评审的；</w:t>
      </w:r>
    </w:p>
    <w:p>
      <w:pPr>
        <w:tabs>
          <w:tab w:val="left" w:pos="1620"/>
        </w:tabs>
        <w:adjustRightInd w:val="0"/>
        <w:snapToGrid w:val="0"/>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4、曾因在招标、评标以及其他与招标投标有关活动中从事 违法行为而受过行政或刑事处罚的。</w:t>
      </w:r>
    </w:p>
    <w:p>
      <w:pPr>
        <w:tabs>
          <w:tab w:val="left" w:pos="1620"/>
        </w:tabs>
        <w:adjustRightInd w:val="0"/>
        <w:snapToGrid w:val="0"/>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8.3公开开标后，直至宣布授予合同为止，评标人员必须严格遵守保密规定，凡属于审查、澄清、评价的有关资料以及授予合同有关的信息，都不应向投标人或与该评标过程无关的其他人员泄漏。</w:t>
      </w:r>
    </w:p>
    <w:p>
      <w:pPr>
        <w:tabs>
          <w:tab w:val="left" w:pos="1620"/>
        </w:tabs>
        <w:adjustRightInd w:val="0"/>
        <w:snapToGrid w:val="0"/>
        <w:ind w:firstLine="480" w:firstLineChars="200"/>
        <w:jc w:val="center"/>
        <w:rPr>
          <w:color w:val="000000" w:themeColor="text1"/>
          <w:sz w:val="24"/>
          <w:highlight w:val="none"/>
          <w14:textFill>
            <w14:solidFill>
              <w14:schemeClr w14:val="tx1"/>
            </w14:solidFill>
          </w14:textFill>
        </w:rPr>
        <w:sectPr>
          <w:type w:val="nextColumn"/>
          <w:pgSz w:w="12240" w:h="15840"/>
          <w:pgMar w:top="1417" w:right="1020" w:bottom="1417" w:left="1191" w:header="964" w:footer="850" w:gutter="0"/>
          <w:pgNumType w:fmt="decimal"/>
          <w:cols w:space="720" w:num="1"/>
          <w:titlePg/>
          <w:docGrid w:linePitch="312" w:charSpace="0"/>
        </w:sectPr>
      </w:pPr>
      <w:r>
        <w:rPr>
          <w:color w:val="000000" w:themeColor="text1"/>
          <w:sz w:val="24"/>
          <w:highlight w:val="none"/>
          <w14:textFill>
            <w14:solidFill>
              <w14:schemeClr w14:val="tx1"/>
            </w14:solidFill>
          </w14:textFill>
        </w:rPr>
        <w:t>8.4投标人在标书的审查、澄清、评标和比较以及授予合同决定的过程中，对有关人员施加影响的任何企图和行为，都可能导致投标人的投标被废止。</w:t>
      </w:r>
    </w:p>
    <w:p>
      <w:pPr>
        <w:pStyle w:val="2"/>
        <w:jc w:val="center"/>
        <w:rPr>
          <w:color w:val="000000" w:themeColor="text1"/>
          <w:szCs w:val="22"/>
          <w:highlight w:val="none"/>
          <w14:textFill>
            <w14:solidFill>
              <w14:schemeClr w14:val="tx1"/>
            </w14:solidFill>
          </w14:textFill>
        </w:rPr>
      </w:pPr>
      <w:bookmarkStart w:id="144" w:name="_Toc169194758"/>
      <w:r>
        <w:rPr>
          <w:rFonts w:hint="eastAsia"/>
          <w:color w:val="000000" w:themeColor="text1"/>
          <w:szCs w:val="22"/>
          <w:highlight w:val="none"/>
          <w14:textFill>
            <w14:solidFill>
              <w14:schemeClr w14:val="tx1"/>
            </w14:solidFill>
          </w14:textFill>
        </w:rPr>
        <w:t>第七章</w:t>
      </w:r>
      <w:r>
        <w:rPr>
          <w:color w:val="000000" w:themeColor="text1"/>
          <w:szCs w:val="22"/>
          <w:highlight w:val="none"/>
          <w14:textFill>
            <w14:solidFill>
              <w14:schemeClr w14:val="tx1"/>
            </w14:solidFill>
          </w14:textFill>
        </w:rPr>
        <w:t>：货物技术规格、参数与要求</w:t>
      </w:r>
      <w:bookmarkEnd w:id="144"/>
    </w:p>
    <w:p>
      <w:pPr>
        <w:rPr>
          <w:color w:val="000000" w:themeColor="text1"/>
          <w:szCs w:val="22"/>
          <w:highlight w:val="none"/>
          <w14:textFill>
            <w14:solidFill>
              <w14:schemeClr w14:val="tx1"/>
            </w14:solidFill>
          </w14:textFill>
        </w:rPr>
      </w:pPr>
    </w:p>
    <w:tbl>
      <w:tblPr>
        <w:tblStyle w:val="55"/>
        <w:tblW w:w="1541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8"/>
        <w:gridCol w:w="1346"/>
        <w:gridCol w:w="8346"/>
        <w:gridCol w:w="1061"/>
        <w:gridCol w:w="1575"/>
        <w:gridCol w:w="23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738" w:type="dxa"/>
            <w:vAlign w:val="top"/>
          </w:tcPr>
          <w:p>
            <w:pPr>
              <w:pStyle w:val="54"/>
              <w:spacing w:before="220" w:line="222" w:lineRule="auto"/>
              <w:ind w:left="122"/>
              <w:rPr>
                <w:sz w:val="24"/>
                <w:szCs w:val="24"/>
                <w:highlight w:val="none"/>
              </w:rPr>
            </w:pPr>
            <w:r>
              <w:rPr>
                <w:b/>
                <w:bCs/>
                <w:spacing w:val="-5"/>
                <w:sz w:val="24"/>
                <w:szCs w:val="24"/>
                <w:highlight w:val="none"/>
              </w:rPr>
              <w:t>序号</w:t>
            </w:r>
          </w:p>
        </w:tc>
        <w:tc>
          <w:tcPr>
            <w:tcW w:w="1346" w:type="dxa"/>
            <w:vAlign w:val="top"/>
          </w:tcPr>
          <w:p>
            <w:pPr>
              <w:pStyle w:val="54"/>
              <w:spacing w:before="221" w:line="222" w:lineRule="auto"/>
              <w:ind w:left="417"/>
              <w:rPr>
                <w:sz w:val="24"/>
                <w:szCs w:val="24"/>
                <w:highlight w:val="none"/>
              </w:rPr>
            </w:pPr>
            <w:r>
              <w:rPr>
                <w:b/>
                <w:bCs/>
                <w:spacing w:val="-7"/>
                <w:sz w:val="24"/>
                <w:szCs w:val="24"/>
                <w:highlight w:val="none"/>
              </w:rPr>
              <w:t>名称</w:t>
            </w:r>
          </w:p>
        </w:tc>
        <w:tc>
          <w:tcPr>
            <w:tcW w:w="8346" w:type="dxa"/>
            <w:vAlign w:val="top"/>
          </w:tcPr>
          <w:p>
            <w:pPr>
              <w:pStyle w:val="54"/>
              <w:spacing w:before="221" w:line="220" w:lineRule="auto"/>
              <w:ind w:left="3819"/>
              <w:rPr>
                <w:sz w:val="24"/>
                <w:szCs w:val="24"/>
                <w:highlight w:val="none"/>
              </w:rPr>
            </w:pPr>
            <w:r>
              <w:rPr>
                <w:b/>
                <w:bCs/>
                <w:spacing w:val="-6"/>
                <w:sz w:val="24"/>
                <w:szCs w:val="24"/>
                <w:highlight w:val="none"/>
              </w:rPr>
              <w:t>规格</w:t>
            </w:r>
          </w:p>
        </w:tc>
        <w:tc>
          <w:tcPr>
            <w:tcW w:w="1061" w:type="dxa"/>
            <w:vAlign w:val="top"/>
          </w:tcPr>
          <w:p>
            <w:pPr>
              <w:pStyle w:val="54"/>
              <w:spacing w:before="221" w:line="220" w:lineRule="auto"/>
              <w:ind w:left="288"/>
              <w:rPr>
                <w:sz w:val="24"/>
                <w:szCs w:val="24"/>
                <w:highlight w:val="none"/>
              </w:rPr>
            </w:pPr>
            <w:r>
              <w:rPr>
                <w:b/>
                <w:bCs/>
                <w:spacing w:val="-7"/>
                <w:sz w:val="24"/>
                <w:szCs w:val="24"/>
                <w:highlight w:val="none"/>
              </w:rPr>
              <w:t>数量</w:t>
            </w:r>
          </w:p>
        </w:tc>
        <w:tc>
          <w:tcPr>
            <w:tcW w:w="1575" w:type="dxa"/>
            <w:vAlign w:val="top"/>
          </w:tcPr>
          <w:p>
            <w:pPr>
              <w:pStyle w:val="54"/>
              <w:spacing w:before="220" w:line="219" w:lineRule="auto"/>
              <w:ind w:left="536"/>
              <w:rPr>
                <w:sz w:val="24"/>
                <w:szCs w:val="24"/>
                <w:highlight w:val="none"/>
              </w:rPr>
            </w:pPr>
            <w:r>
              <w:rPr>
                <w:b/>
                <w:bCs/>
                <w:spacing w:val="-7"/>
                <w:sz w:val="24"/>
                <w:szCs w:val="24"/>
                <w:highlight w:val="none"/>
              </w:rPr>
              <w:t>单价</w:t>
            </w:r>
          </w:p>
        </w:tc>
        <w:tc>
          <w:tcPr>
            <w:tcW w:w="2351" w:type="dxa"/>
            <w:vAlign w:val="top"/>
          </w:tcPr>
          <w:p>
            <w:pPr>
              <w:pStyle w:val="54"/>
              <w:spacing w:before="221" w:line="221" w:lineRule="auto"/>
              <w:ind w:left="934"/>
              <w:rPr>
                <w:sz w:val="24"/>
                <w:szCs w:val="24"/>
                <w:highlight w:val="none"/>
              </w:rPr>
            </w:pPr>
            <w:r>
              <w:rPr>
                <w:b/>
                <w:bCs/>
                <w:spacing w:val="-17"/>
                <w:sz w:val="24"/>
                <w:szCs w:val="24"/>
                <w:highlight w:val="none"/>
              </w:rPr>
              <w:t>图片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9" w:hRule="atLeast"/>
        </w:trPr>
        <w:tc>
          <w:tcPr>
            <w:tcW w:w="738" w:type="dxa"/>
            <w:vAlign w:val="top"/>
          </w:tcPr>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pStyle w:val="54"/>
              <w:spacing w:before="72" w:line="184" w:lineRule="auto"/>
              <w:ind w:left="326"/>
              <w:rPr>
                <w:sz w:val="22"/>
                <w:szCs w:val="22"/>
                <w:highlight w:val="none"/>
              </w:rPr>
            </w:pPr>
            <w:r>
              <w:rPr>
                <w:sz w:val="22"/>
                <w:szCs w:val="22"/>
                <w:highlight w:val="none"/>
              </w:rPr>
              <w:t>1</w:t>
            </w:r>
          </w:p>
        </w:tc>
        <w:tc>
          <w:tcPr>
            <w:tcW w:w="1346" w:type="dxa"/>
            <w:vAlign w:val="top"/>
          </w:tcPr>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pStyle w:val="54"/>
              <w:spacing w:before="19" w:line="222" w:lineRule="auto"/>
              <w:ind w:left="108"/>
              <w:rPr>
                <w:sz w:val="22"/>
                <w:szCs w:val="22"/>
                <w:highlight w:val="none"/>
              </w:rPr>
            </w:pPr>
            <w:r>
              <w:rPr>
                <w:spacing w:val="-2"/>
                <w:sz w:val="22"/>
                <w:szCs w:val="22"/>
                <w:highlight w:val="none"/>
              </w:rPr>
              <w:t>坐位体前屈</w:t>
            </w:r>
          </w:p>
          <w:p>
            <w:pPr>
              <w:pStyle w:val="54"/>
              <w:spacing w:before="7" w:line="220" w:lineRule="auto"/>
              <w:ind w:left="329"/>
              <w:rPr>
                <w:sz w:val="22"/>
                <w:szCs w:val="22"/>
                <w:highlight w:val="none"/>
              </w:rPr>
            </w:pPr>
            <w:r>
              <w:rPr>
                <w:spacing w:val="-4"/>
                <w:sz w:val="22"/>
                <w:szCs w:val="22"/>
                <w:highlight w:val="none"/>
              </w:rPr>
              <w:t>测试仪</w:t>
            </w:r>
          </w:p>
        </w:tc>
        <w:tc>
          <w:tcPr>
            <w:tcW w:w="8346" w:type="dxa"/>
            <w:vAlign w:val="top"/>
          </w:tcPr>
          <w:p>
            <w:pPr>
              <w:spacing w:line="350" w:lineRule="auto"/>
              <w:rPr>
                <w:rFonts w:ascii="Arial"/>
                <w:sz w:val="21"/>
                <w:highlight w:val="none"/>
              </w:rPr>
            </w:pPr>
          </w:p>
          <w:p>
            <w:pPr>
              <w:pStyle w:val="54"/>
              <w:spacing w:before="59" w:line="219" w:lineRule="auto"/>
              <w:ind w:left="29"/>
              <w:rPr>
                <w:highlight w:val="none"/>
              </w:rPr>
            </w:pPr>
            <w:r>
              <w:rPr>
                <w:spacing w:val="8"/>
                <w:highlight w:val="none"/>
              </w:rPr>
              <w:t>单机:</w:t>
            </w:r>
          </w:p>
          <w:p>
            <w:pPr>
              <w:pStyle w:val="54"/>
              <w:spacing w:before="10" w:line="219" w:lineRule="auto"/>
              <w:ind w:left="40"/>
              <w:rPr>
                <w:highlight w:val="none"/>
              </w:rPr>
            </w:pPr>
            <w:r>
              <w:rPr>
                <w:highlight w:val="none"/>
              </w:rPr>
              <w:t>1.单机采用≥3.5寸320*240分辨率TFT真彩屏，内置电容式触摸按键。</w:t>
            </w:r>
          </w:p>
          <w:p>
            <w:pPr>
              <w:pStyle w:val="54"/>
              <w:spacing w:before="10" w:line="225" w:lineRule="auto"/>
              <w:ind w:left="28" w:right="144" w:firstLine="1"/>
              <w:rPr>
                <w:highlight w:val="none"/>
              </w:rPr>
            </w:pPr>
            <w:r>
              <w:rPr>
                <w:highlight w:val="none"/>
              </w:rPr>
              <w:t>2.单机采用双向光电开关，自动识别手推板前推和回退，手推板可自动回弹归位，具</w:t>
            </w:r>
            <w:r>
              <w:rPr>
                <w:spacing w:val="-1"/>
                <w:highlight w:val="none"/>
              </w:rPr>
              <w:t>有防作弊成绩自</w:t>
            </w:r>
            <w:r>
              <w:rPr>
                <w:highlight w:val="none"/>
              </w:rPr>
              <w:t xml:space="preserve"> </w:t>
            </w:r>
            <w:r>
              <w:rPr>
                <w:spacing w:val="-2"/>
                <w:highlight w:val="none"/>
              </w:rPr>
              <w:t>动锁定功能。</w:t>
            </w:r>
          </w:p>
          <w:p>
            <w:pPr>
              <w:pStyle w:val="54"/>
              <w:spacing w:before="8" w:line="225" w:lineRule="auto"/>
              <w:ind w:left="26" w:right="229" w:firstLine="4"/>
              <w:rPr>
                <w:highlight w:val="none"/>
              </w:rPr>
            </w:pPr>
            <w:r>
              <w:rPr>
                <w:highlight w:val="none"/>
              </w:rPr>
              <w:t>3.单机采用锂电池供电，内置1100mAh锂电池，可持续工作15个小时以上；采用microusb接</w:t>
            </w:r>
            <w:r>
              <w:rPr>
                <w:spacing w:val="-1"/>
                <w:highlight w:val="none"/>
              </w:rPr>
              <w:t>口充电。</w:t>
            </w:r>
            <w:r>
              <w:rPr>
                <w:highlight w:val="none"/>
              </w:rPr>
              <w:t xml:space="preserve"> 4.单机主控显示部分和测试杆间顶针式连接，可灵活自由拆卸，进行充电及日常保</w:t>
            </w:r>
            <w:r>
              <w:rPr>
                <w:spacing w:val="-1"/>
                <w:highlight w:val="none"/>
              </w:rPr>
              <w:t>管维护。</w:t>
            </w:r>
          </w:p>
          <w:p>
            <w:pPr>
              <w:pStyle w:val="54"/>
              <w:spacing w:before="8" w:line="225" w:lineRule="auto"/>
              <w:ind w:left="29" w:right="4134" w:firstLine="2"/>
              <w:rPr>
                <w:highlight w:val="none"/>
              </w:rPr>
            </w:pPr>
            <w:r>
              <w:rPr>
                <w:spacing w:val="-2"/>
                <w:highlight w:val="none"/>
              </w:rPr>
              <w:t>5.带辅助测试床体板，含海绵座垫及硬质蹬脚板。</w:t>
            </w:r>
            <w:r>
              <w:rPr>
                <w:spacing w:val="7"/>
                <w:highlight w:val="none"/>
              </w:rPr>
              <w:t xml:space="preserve"> </w:t>
            </w:r>
            <w:r>
              <w:rPr>
                <w:spacing w:val="8"/>
                <w:highlight w:val="none"/>
              </w:rPr>
              <w:t>主机:</w:t>
            </w:r>
          </w:p>
          <w:p>
            <w:pPr>
              <w:pStyle w:val="54"/>
              <w:spacing w:before="12" w:line="226" w:lineRule="auto"/>
              <w:ind w:left="28" w:right="103" w:firstLine="12"/>
              <w:rPr>
                <w:highlight w:val="none"/>
              </w:rPr>
            </w:pPr>
            <w:r>
              <w:rPr>
                <w:highlight w:val="none"/>
              </w:rPr>
              <w:t>1.主机采用原生Android7.0及以上系统，能够安装APK程序以拓展使用功能及产品升级（可现场演</w:t>
            </w:r>
            <w:r>
              <w:rPr>
                <w:spacing w:val="4"/>
                <w:highlight w:val="none"/>
              </w:rPr>
              <w:t xml:space="preserve">  </w:t>
            </w:r>
            <w:r>
              <w:rPr>
                <w:highlight w:val="none"/>
              </w:rPr>
              <w:t>示</w:t>
            </w:r>
            <w:r>
              <w:rPr>
                <w:spacing w:val="6"/>
                <w:highlight w:val="none"/>
              </w:rPr>
              <w:t>），</w:t>
            </w:r>
            <w:r>
              <w:rPr>
                <w:highlight w:val="none"/>
              </w:rPr>
              <w:t>屏幕采用≥7寸1024×600高清触摸电容屏；主机≥1.0GB以上运行内存，</w:t>
            </w:r>
            <w:r>
              <w:rPr>
                <w:spacing w:val="-66"/>
                <w:highlight w:val="none"/>
              </w:rPr>
              <w:t xml:space="preserve"> </w:t>
            </w:r>
            <w:r>
              <w:rPr>
                <w:highlight w:val="none"/>
              </w:rPr>
              <w:t xml:space="preserve">≥4GB FLASH存储空间 </w:t>
            </w:r>
            <w:r>
              <w:rPr>
                <w:spacing w:val="-1"/>
                <w:highlight w:val="none"/>
              </w:rPr>
              <w:t>。可直插U盘播放测试视频录像。</w:t>
            </w:r>
          </w:p>
          <w:p>
            <w:pPr>
              <w:pStyle w:val="54"/>
              <w:spacing w:before="10" w:line="219" w:lineRule="auto"/>
              <w:ind w:left="29"/>
              <w:rPr>
                <w:highlight w:val="none"/>
              </w:rPr>
            </w:pPr>
            <w:r>
              <w:rPr>
                <w:highlight w:val="none"/>
              </w:rPr>
              <w:t>2.主机采用硅胶按键，经久耐用，适用</w:t>
            </w:r>
            <w:r>
              <w:rPr>
                <w:spacing w:val="-1"/>
                <w:highlight w:val="none"/>
              </w:rPr>
              <w:t>于大规模测试。</w:t>
            </w:r>
          </w:p>
          <w:p>
            <w:pPr>
              <w:pStyle w:val="54"/>
              <w:spacing w:before="10" w:line="219" w:lineRule="auto"/>
              <w:ind w:left="31"/>
              <w:rPr>
                <w:highlight w:val="none"/>
              </w:rPr>
            </w:pPr>
            <w:r>
              <w:rPr>
                <w:spacing w:val="-1"/>
                <w:highlight w:val="none"/>
              </w:rPr>
              <w:t>3.主机内置二维码扫描仪（非外接型</w:t>
            </w:r>
            <w:r>
              <w:rPr>
                <w:spacing w:val="18"/>
                <w:highlight w:val="none"/>
              </w:rPr>
              <w:t>），</w:t>
            </w:r>
            <w:r>
              <w:rPr>
                <w:spacing w:val="-1"/>
                <w:highlight w:val="none"/>
              </w:rPr>
              <w:t>自动识</w:t>
            </w:r>
            <w:r>
              <w:rPr>
                <w:spacing w:val="-2"/>
                <w:highlight w:val="none"/>
              </w:rPr>
              <w:t>别测试者二维码身份信息。</w:t>
            </w:r>
          </w:p>
          <w:p>
            <w:pPr>
              <w:pStyle w:val="54"/>
              <w:spacing w:before="10" w:line="219" w:lineRule="auto"/>
              <w:ind w:left="26"/>
              <w:rPr>
                <w:highlight w:val="none"/>
              </w:rPr>
            </w:pPr>
            <w:r>
              <w:rPr>
                <w:highlight w:val="none"/>
              </w:rPr>
              <w:t>4.主机具有AI语音智能识别功能，可通过语音智能调节屏幕亮度，音量大小，关闭程序等功能。</w:t>
            </w:r>
          </w:p>
          <w:p>
            <w:pPr>
              <w:pStyle w:val="54"/>
              <w:spacing w:before="11" w:line="224" w:lineRule="auto"/>
              <w:ind w:left="29" w:right="31" w:firstLine="2"/>
              <w:rPr>
                <w:highlight w:val="none"/>
              </w:rPr>
            </w:pPr>
            <w:r>
              <w:rPr>
                <w:highlight w:val="none"/>
              </w:rPr>
              <w:t>5.主机具备≥2个USB标准接口（非外接扩展</w:t>
            </w:r>
            <w:r>
              <w:rPr>
                <w:spacing w:val="7"/>
                <w:highlight w:val="none"/>
              </w:rPr>
              <w:t>），</w:t>
            </w:r>
            <w:r>
              <w:rPr>
                <w:highlight w:val="none"/>
              </w:rPr>
              <w:t>可直接插入U盘导入≥100000条测试名单信息，也可</w:t>
            </w:r>
            <w:r>
              <w:rPr>
                <w:spacing w:val="1"/>
                <w:highlight w:val="none"/>
              </w:rPr>
              <w:t xml:space="preserve"> </w:t>
            </w:r>
            <w:r>
              <w:rPr>
                <w:highlight w:val="none"/>
              </w:rPr>
              <w:t>直接导出测试成绩至U盘自动生成Excel表格。主机同时支持学生名单的无线同步和离线导入功能。</w:t>
            </w:r>
          </w:p>
          <w:p>
            <w:pPr>
              <w:pStyle w:val="54"/>
              <w:spacing w:before="9" w:line="227" w:lineRule="auto"/>
              <w:ind w:left="27" w:right="148" w:firstLine="1"/>
              <w:rPr>
                <w:highlight w:val="none"/>
              </w:rPr>
            </w:pPr>
            <w:r>
              <w:rPr>
                <w:highlight w:val="none"/>
              </w:rPr>
              <w:t>6.主机具多种身份识别功能：可通过触摸屏输入、机械键盘输入、非接触</w:t>
            </w:r>
            <w:r>
              <w:rPr>
                <w:spacing w:val="-1"/>
                <w:highlight w:val="none"/>
              </w:rPr>
              <w:t>式IC卡（兼容校园一卡通）</w:t>
            </w:r>
            <w:r>
              <w:rPr>
                <w:highlight w:val="none"/>
              </w:rPr>
              <w:t xml:space="preserve"> 、条码扫描仪等识别方法；输入学号具备自动递增功能；主机菜单具备单项查询</w:t>
            </w:r>
            <w:r>
              <w:rPr>
                <w:spacing w:val="-1"/>
                <w:highlight w:val="none"/>
              </w:rPr>
              <w:t>，集体查询，分组查</w:t>
            </w:r>
            <w:r>
              <w:rPr>
                <w:highlight w:val="none"/>
              </w:rPr>
              <w:t xml:space="preserve"> </w:t>
            </w:r>
            <w:r>
              <w:rPr>
                <w:spacing w:val="-1"/>
                <w:highlight w:val="none"/>
              </w:rPr>
              <w:t>询，具有年级班级组别日期等多种筛选数据方式，查询便捷。</w:t>
            </w:r>
          </w:p>
          <w:p>
            <w:pPr>
              <w:pStyle w:val="54"/>
              <w:spacing w:before="10" w:line="225" w:lineRule="auto"/>
              <w:ind w:left="27" w:right="96" w:firstLine="4"/>
              <w:rPr>
                <w:highlight w:val="none"/>
              </w:rPr>
            </w:pPr>
            <w:r>
              <w:rPr>
                <w:spacing w:val="-1"/>
                <w:highlight w:val="none"/>
              </w:rPr>
              <w:t>7.主机支持U盘直接导入国标和自定义评分标准，主机内嵌国标可以根据年级性别项目进行</w:t>
            </w:r>
            <w:r>
              <w:rPr>
                <w:spacing w:val="-2"/>
                <w:highlight w:val="none"/>
              </w:rPr>
              <w:t>实时评分，</w:t>
            </w:r>
            <w:r>
              <w:rPr>
                <w:highlight w:val="none"/>
              </w:rPr>
              <w:t xml:space="preserve"> 适用于体测；也可以自定义导入评分标准对测试结果进行</w:t>
            </w:r>
            <w:r>
              <w:rPr>
                <w:spacing w:val="-1"/>
                <w:highlight w:val="none"/>
              </w:rPr>
              <w:t>评分，适用于考试。</w:t>
            </w:r>
          </w:p>
          <w:p>
            <w:pPr>
              <w:pStyle w:val="54"/>
              <w:spacing w:before="9" w:line="225" w:lineRule="auto"/>
              <w:ind w:left="35" w:right="132" w:hanging="7"/>
              <w:rPr>
                <w:highlight w:val="none"/>
              </w:rPr>
            </w:pPr>
            <w:r>
              <w:rPr>
                <w:highlight w:val="none"/>
              </w:rPr>
              <w:t>8.主机支持头像管理，主机可以通过U盘批量导入学生头像10000条以上，也可以通过云平台从网络实</w:t>
            </w:r>
            <w:r>
              <w:rPr>
                <w:spacing w:val="7"/>
                <w:highlight w:val="none"/>
              </w:rPr>
              <w:t xml:space="preserve"> </w:t>
            </w:r>
            <w:r>
              <w:rPr>
                <w:spacing w:val="-1"/>
                <w:highlight w:val="none"/>
              </w:rPr>
              <w:t>时无线下载学生头像（可现场演示）。</w:t>
            </w:r>
          </w:p>
          <w:p>
            <w:pPr>
              <w:pStyle w:val="54"/>
              <w:spacing w:before="10" w:line="224" w:lineRule="auto"/>
              <w:ind w:left="41" w:right="144" w:hanging="13"/>
              <w:rPr>
                <w:highlight w:val="none"/>
              </w:rPr>
            </w:pPr>
            <w:r>
              <w:rPr>
                <w:highlight w:val="none"/>
              </w:rPr>
              <w:t>9.主机查询结果能一屏同时显示测试学校、年级、班级、学生姓名、性别、测试成绩、测</w:t>
            </w:r>
            <w:r>
              <w:rPr>
                <w:spacing w:val="-1"/>
                <w:highlight w:val="none"/>
              </w:rPr>
              <w:t>试日期及时</w:t>
            </w:r>
            <w:r>
              <w:rPr>
                <w:highlight w:val="none"/>
              </w:rPr>
              <w:t xml:space="preserve"> 间，方便后期督查。主机具有日志管理，记录操</w:t>
            </w:r>
            <w:r>
              <w:rPr>
                <w:spacing w:val="-1"/>
                <w:highlight w:val="none"/>
              </w:rPr>
              <w:t>作人员在主机上的所有操作，便于异常情况的追溯。</w:t>
            </w:r>
          </w:p>
          <w:p>
            <w:pPr>
              <w:pStyle w:val="54"/>
              <w:spacing w:before="11" w:line="225" w:lineRule="auto"/>
              <w:ind w:left="26" w:right="52" w:firstLine="14"/>
              <w:rPr>
                <w:highlight w:val="none"/>
              </w:rPr>
            </w:pPr>
            <w:r>
              <w:rPr>
                <w:highlight w:val="none"/>
              </w:rPr>
              <w:t>10.主机具有数据备份和恢复功能，可以备份任意时间段体测程序</w:t>
            </w:r>
            <w:r>
              <w:rPr>
                <w:spacing w:val="-1"/>
                <w:highlight w:val="none"/>
              </w:rPr>
              <w:t>里面的所有数据，可以备份多次保存</w:t>
            </w:r>
            <w:r>
              <w:rPr>
                <w:highlight w:val="none"/>
              </w:rPr>
              <w:t xml:space="preserve"> 在存储芯片里面。支持一键恢复，根据日期选择要恢复的备份，自</w:t>
            </w:r>
            <w:r>
              <w:rPr>
                <w:spacing w:val="-1"/>
                <w:highlight w:val="none"/>
              </w:rPr>
              <w:t>动恢复测试数据。</w:t>
            </w:r>
          </w:p>
          <w:p>
            <w:pPr>
              <w:pStyle w:val="54"/>
              <w:spacing w:before="9" w:line="220" w:lineRule="auto"/>
              <w:ind w:left="40"/>
              <w:rPr>
                <w:rFonts w:hint="eastAsia" w:eastAsia="宋体"/>
                <w:highlight w:val="none"/>
                <w:lang w:val="en-US" w:eastAsia="zh-CN"/>
              </w:rPr>
            </w:pPr>
            <w:r>
              <w:rPr>
                <w:spacing w:val="-2"/>
                <w:highlight w:val="none"/>
              </w:rPr>
              <w:t>11.主要技术参数</w:t>
            </w:r>
            <w:r>
              <w:rPr>
                <w:spacing w:val="-1"/>
                <w:highlight w:val="none"/>
              </w:rPr>
              <w:t>★</w:t>
            </w:r>
          </w:p>
          <w:p>
            <w:pPr>
              <w:pStyle w:val="54"/>
              <w:spacing w:before="9" w:line="221" w:lineRule="auto"/>
              <w:ind w:left="28"/>
              <w:rPr>
                <w:highlight w:val="none"/>
              </w:rPr>
            </w:pPr>
            <w:r>
              <w:rPr>
                <w:spacing w:val="3"/>
                <w:highlight w:val="none"/>
              </w:rPr>
              <w:t>测量范围</w:t>
            </w:r>
            <w:r>
              <w:rPr>
                <w:spacing w:val="-11"/>
                <w:highlight w:val="none"/>
              </w:rPr>
              <w:t>：－</w:t>
            </w:r>
            <w:r>
              <w:rPr>
                <w:spacing w:val="3"/>
                <w:highlight w:val="none"/>
              </w:rPr>
              <w:t>20</w:t>
            </w:r>
            <w:r>
              <w:rPr>
                <w:highlight w:val="none"/>
              </w:rPr>
              <w:t>cm</w:t>
            </w:r>
            <w:r>
              <w:rPr>
                <w:spacing w:val="3"/>
                <w:highlight w:val="none"/>
              </w:rPr>
              <w:t>～40</w:t>
            </w:r>
            <w:r>
              <w:rPr>
                <w:highlight w:val="none"/>
              </w:rPr>
              <w:t>cm</w:t>
            </w:r>
          </w:p>
          <w:p>
            <w:pPr>
              <w:pStyle w:val="54"/>
              <w:spacing w:before="10" w:line="225" w:lineRule="auto"/>
              <w:ind w:left="29" w:right="6890"/>
              <w:rPr>
                <w:highlight w:val="none"/>
              </w:rPr>
            </w:pPr>
            <w:r>
              <w:rPr>
                <w:spacing w:val="-1"/>
                <w:highlight w:val="none"/>
              </w:rPr>
              <w:t>分度值：0.1cm</w:t>
            </w:r>
            <w:r>
              <w:rPr>
                <w:spacing w:val="6"/>
                <w:highlight w:val="none"/>
              </w:rPr>
              <w:t xml:space="preserve"> </w:t>
            </w:r>
            <w:r>
              <w:rPr>
                <w:spacing w:val="-3"/>
                <w:highlight w:val="none"/>
              </w:rPr>
              <w:t>误差：</w:t>
            </w:r>
            <w:r>
              <w:rPr>
                <w:spacing w:val="14"/>
                <w:highlight w:val="none"/>
              </w:rPr>
              <w:t xml:space="preserve"> </w:t>
            </w:r>
            <w:r>
              <w:rPr>
                <w:spacing w:val="-3"/>
                <w:highlight w:val="none"/>
              </w:rPr>
              <w:t>0cm</w:t>
            </w:r>
          </w:p>
        </w:tc>
        <w:tc>
          <w:tcPr>
            <w:tcW w:w="1061" w:type="dxa"/>
            <w:vAlign w:val="top"/>
          </w:tcPr>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pStyle w:val="54"/>
              <w:spacing w:before="78" w:line="184" w:lineRule="auto"/>
              <w:ind w:left="487"/>
              <w:rPr>
                <w:rFonts w:hint="eastAsia" w:eastAsia="宋体"/>
                <w:sz w:val="24"/>
                <w:szCs w:val="24"/>
                <w:highlight w:val="none"/>
                <w:lang w:eastAsia="zh-CN"/>
              </w:rPr>
            </w:pPr>
            <w:r>
              <w:rPr>
                <w:rFonts w:hint="eastAsia"/>
                <w:sz w:val="24"/>
                <w:szCs w:val="24"/>
                <w:highlight w:val="none"/>
                <w:lang w:val="en-US" w:eastAsia="zh-CN"/>
              </w:rPr>
              <w:t>2</w:t>
            </w:r>
          </w:p>
        </w:tc>
        <w:tc>
          <w:tcPr>
            <w:tcW w:w="1575" w:type="dxa"/>
            <w:vAlign w:val="top"/>
          </w:tcPr>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pStyle w:val="54"/>
              <w:spacing w:before="78" w:line="221" w:lineRule="auto"/>
              <w:ind w:left="425"/>
              <w:rPr>
                <w:rFonts w:hint="default" w:eastAsia="宋体"/>
                <w:sz w:val="24"/>
                <w:szCs w:val="24"/>
                <w:highlight w:val="none"/>
                <w:lang w:val="en-US" w:eastAsia="zh-CN"/>
              </w:rPr>
            </w:pPr>
          </w:p>
        </w:tc>
        <w:tc>
          <w:tcPr>
            <w:tcW w:w="2351" w:type="dxa"/>
            <w:vAlign w:val="top"/>
          </w:tcPr>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287" w:lineRule="exact"/>
              <w:ind w:firstLine="294"/>
              <w:rPr>
                <w:highlight w:val="none"/>
              </w:rPr>
            </w:pPr>
            <w:r>
              <w:rPr>
                <w:position w:val="-45"/>
                <w:highlight w:val="none"/>
              </w:rPr>
              <w:drawing>
                <wp:inline distT="0" distB="0" distL="0" distR="0">
                  <wp:extent cx="1095375" cy="1452245"/>
                  <wp:effectExtent l="0" t="0" r="9525" b="1460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1095756" cy="1452372"/>
                          </a:xfrm>
                          <a:prstGeom prst="rect">
                            <a:avLst/>
                          </a:prstGeom>
                        </pic:spPr>
                      </pic:pic>
                    </a:graphicData>
                  </a:graphic>
                </wp:inline>
              </w:drawing>
            </w:r>
          </w:p>
        </w:tc>
      </w:tr>
    </w:tbl>
    <w:p>
      <w:pPr>
        <w:rPr>
          <w:rFonts w:ascii="Arial"/>
          <w:sz w:val="21"/>
          <w:highlight w:val="none"/>
        </w:rPr>
      </w:pPr>
    </w:p>
    <w:p>
      <w:pPr>
        <w:rPr>
          <w:rFonts w:ascii="Arial" w:hAnsi="Arial" w:eastAsia="Arial" w:cs="Arial"/>
          <w:sz w:val="21"/>
          <w:szCs w:val="21"/>
          <w:highlight w:val="none"/>
        </w:rPr>
        <w:sectPr>
          <w:type w:val="nextColumn"/>
          <w:pgSz w:w="16837" w:h="11905"/>
          <w:pgMar w:top="1011" w:right="1463" w:bottom="0" w:left="386" w:header="0" w:footer="0" w:gutter="0"/>
          <w:pgNumType w:fmt="decimal"/>
          <w:cols w:space="720" w:num="1"/>
        </w:sectPr>
      </w:pPr>
    </w:p>
    <w:p>
      <w:pPr>
        <w:spacing w:before="176"/>
        <w:rPr>
          <w:highlight w:val="none"/>
        </w:rPr>
      </w:pPr>
    </w:p>
    <w:tbl>
      <w:tblPr>
        <w:tblStyle w:val="55"/>
        <w:tblW w:w="157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6"/>
        <w:gridCol w:w="1379"/>
        <w:gridCol w:w="8552"/>
        <w:gridCol w:w="1088"/>
        <w:gridCol w:w="1614"/>
        <w:gridCol w:w="24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3" w:hRule="atLeast"/>
        </w:trPr>
        <w:tc>
          <w:tcPr>
            <w:tcW w:w="756" w:type="dxa"/>
            <w:vAlign w:val="top"/>
          </w:tcPr>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pStyle w:val="54"/>
              <w:spacing w:before="71" w:line="183" w:lineRule="auto"/>
              <w:ind w:left="312"/>
              <w:rPr>
                <w:sz w:val="22"/>
                <w:szCs w:val="22"/>
                <w:highlight w:val="none"/>
              </w:rPr>
            </w:pPr>
            <w:r>
              <w:rPr>
                <w:sz w:val="22"/>
                <w:szCs w:val="22"/>
                <w:highlight w:val="none"/>
              </w:rPr>
              <w:t>2</w:t>
            </w:r>
          </w:p>
        </w:tc>
        <w:tc>
          <w:tcPr>
            <w:tcW w:w="1379" w:type="dxa"/>
            <w:vAlign w:val="top"/>
          </w:tcPr>
          <w:p>
            <w:pPr>
              <w:spacing w:line="244"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pStyle w:val="54"/>
              <w:spacing w:before="19" w:line="221" w:lineRule="auto"/>
              <w:ind w:left="107"/>
              <w:rPr>
                <w:sz w:val="22"/>
                <w:szCs w:val="22"/>
                <w:highlight w:val="none"/>
              </w:rPr>
            </w:pPr>
            <w:r>
              <w:rPr>
                <w:spacing w:val="-2"/>
                <w:sz w:val="22"/>
                <w:szCs w:val="22"/>
                <w:highlight w:val="none"/>
              </w:rPr>
              <w:t>立定跳远测</w:t>
            </w:r>
          </w:p>
          <w:p>
            <w:pPr>
              <w:pStyle w:val="54"/>
              <w:spacing w:before="7" w:line="220" w:lineRule="auto"/>
              <w:ind w:left="438"/>
              <w:rPr>
                <w:sz w:val="22"/>
                <w:szCs w:val="22"/>
                <w:highlight w:val="none"/>
              </w:rPr>
            </w:pPr>
            <w:r>
              <w:rPr>
                <w:spacing w:val="-5"/>
                <w:sz w:val="22"/>
                <w:szCs w:val="22"/>
                <w:highlight w:val="none"/>
              </w:rPr>
              <w:t>试仪</w:t>
            </w:r>
          </w:p>
        </w:tc>
        <w:tc>
          <w:tcPr>
            <w:tcW w:w="8552" w:type="dxa"/>
            <w:vAlign w:val="top"/>
          </w:tcPr>
          <w:p>
            <w:pPr>
              <w:pStyle w:val="54"/>
              <w:spacing w:before="83" w:line="219" w:lineRule="auto"/>
              <w:ind w:left="29"/>
              <w:rPr>
                <w:highlight w:val="none"/>
              </w:rPr>
            </w:pPr>
            <w:r>
              <w:rPr>
                <w:spacing w:val="8"/>
                <w:highlight w:val="none"/>
              </w:rPr>
              <w:t>单机:</w:t>
            </w:r>
          </w:p>
          <w:p>
            <w:pPr>
              <w:pStyle w:val="54"/>
              <w:spacing w:before="10" w:line="225" w:lineRule="auto"/>
              <w:ind w:left="26" w:right="144" w:firstLine="14"/>
              <w:rPr>
                <w:highlight w:val="none"/>
              </w:rPr>
            </w:pPr>
            <w:r>
              <w:rPr>
                <w:highlight w:val="none"/>
              </w:rPr>
              <w:t>1.采用红外线非接触传感器测量的原理自动测量立定跳远的</w:t>
            </w:r>
            <w:r>
              <w:rPr>
                <w:spacing w:val="-1"/>
                <w:highlight w:val="none"/>
              </w:rPr>
              <w:t>距离，反映人体下肢爆发力水平，测试数</w:t>
            </w:r>
            <w:r>
              <w:rPr>
                <w:highlight w:val="none"/>
              </w:rPr>
              <w:t xml:space="preserve"> </w:t>
            </w:r>
            <w:r>
              <w:rPr>
                <w:spacing w:val="-1"/>
                <w:highlight w:val="none"/>
              </w:rPr>
              <w:t>据准确，经久耐用；</w:t>
            </w:r>
          </w:p>
          <w:p>
            <w:pPr>
              <w:pStyle w:val="54"/>
              <w:spacing w:before="8" w:line="225" w:lineRule="auto"/>
              <w:ind w:left="26" w:right="40" w:firstLine="2"/>
              <w:rPr>
                <w:highlight w:val="none"/>
              </w:rPr>
            </w:pPr>
            <w:r>
              <w:rPr>
                <w:highlight w:val="none"/>
              </w:rPr>
              <w:t>2.采用≥96×16规格的LED点阵屏幕显示测试成绩，可显示中文、英文、数字和其它符号；配有红外</w:t>
            </w:r>
            <w:r>
              <w:rPr>
                <w:spacing w:val="7"/>
                <w:highlight w:val="none"/>
              </w:rPr>
              <w:t xml:space="preserve"> </w:t>
            </w:r>
            <w:r>
              <w:rPr>
                <w:spacing w:val="-1"/>
                <w:highlight w:val="none"/>
              </w:rPr>
              <w:t>遥控器，操作距离达2米以上。</w:t>
            </w:r>
          </w:p>
          <w:p>
            <w:pPr>
              <w:pStyle w:val="54"/>
              <w:spacing w:before="10" w:line="224" w:lineRule="auto"/>
              <w:ind w:left="31" w:right="36"/>
              <w:rPr>
                <w:highlight w:val="none"/>
              </w:rPr>
            </w:pPr>
            <w:r>
              <w:rPr>
                <w:highlight w:val="none"/>
              </w:rPr>
              <w:t>3.采用≥3.75×</w:t>
            </w:r>
            <w:r>
              <w:rPr>
                <w:spacing w:val="-70"/>
                <w:highlight w:val="none"/>
              </w:rPr>
              <w:t xml:space="preserve"> </w:t>
            </w:r>
            <w:r>
              <w:rPr>
                <w:highlight w:val="none"/>
              </w:rPr>
              <w:t>1.1m专用防滑橡胶测试垫，环保安全，粘着力好，抗钉能力强</w:t>
            </w:r>
            <w:r>
              <w:rPr>
                <w:spacing w:val="-1"/>
                <w:highlight w:val="none"/>
              </w:rPr>
              <w:t>，耐磨性能好,具有非</w:t>
            </w:r>
            <w:r>
              <w:rPr>
                <w:highlight w:val="none"/>
              </w:rPr>
              <w:t xml:space="preserve"> </w:t>
            </w:r>
            <w:r>
              <w:rPr>
                <w:spacing w:val="-1"/>
                <w:highlight w:val="none"/>
              </w:rPr>
              <w:t>凡的抗老化、抗紫外线能力，达到使用年限后还可重复利用。</w:t>
            </w:r>
          </w:p>
          <w:p>
            <w:pPr>
              <w:pStyle w:val="54"/>
              <w:spacing w:before="10" w:line="225" w:lineRule="auto"/>
              <w:ind w:left="32" w:right="54" w:hanging="6"/>
              <w:rPr>
                <w:highlight w:val="none"/>
              </w:rPr>
            </w:pPr>
            <w:r>
              <w:rPr>
                <w:highlight w:val="none"/>
              </w:rPr>
              <w:t>4.测试仪单一起跳线全量程测试，有踩线犯规语音、显示屏显示双重提示功能，可设定测试</w:t>
            </w:r>
            <w:r>
              <w:rPr>
                <w:spacing w:val="-1"/>
                <w:highlight w:val="none"/>
              </w:rPr>
              <w:t>次数为1</w:t>
            </w:r>
            <w:r>
              <w:rPr>
                <w:highlight w:val="none"/>
              </w:rPr>
              <w:t xml:space="preserve"> </w:t>
            </w:r>
            <w:r>
              <w:rPr>
                <w:spacing w:val="2"/>
                <w:highlight w:val="none"/>
              </w:rPr>
              <w:t>~3次，自动显示最好成绩；测试垫具备防滑减震功能，防止出现意外伤害；</w:t>
            </w:r>
          </w:p>
          <w:p>
            <w:pPr>
              <w:pStyle w:val="54"/>
              <w:spacing w:before="9" w:line="219" w:lineRule="auto"/>
              <w:ind w:left="29"/>
              <w:rPr>
                <w:highlight w:val="none"/>
              </w:rPr>
            </w:pPr>
            <w:r>
              <w:rPr>
                <w:spacing w:val="8"/>
                <w:highlight w:val="none"/>
              </w:rPr>
              <w:t>主机:</w:t>
            </w:r>
          </w:p>
          <w:p>
            <w:pPr>
              <w:pStyle w:val="54"/>
              <w:spacing w:before="9" w:line="227" w:lineRule="auto"/>
              <w:ind w:left="28" w:right="103" w:firstLine="12"/>
              <w:rPr>
                <w:highlight w:val="none"/>
              </w:rPr>
            </w:pPr>
            <w:r>
              <w:rPr>
                <w:highlight w:val="none"/>
              </w:rPr>
              <w:t>1.主机采用原生Android7.0及以上系统，能够安装APK程序以拓展使用功能及产品升级（可现场演</w:t>
            </w:r>
            <w:r>
              <w:rPr>
                <w:spacing w:val="4"/>
                <w:highlight w:val="none"/>
              </w:rPr>
              <w:t xml:space="preserve">  </w:t>
            </w:r>
            <w:r>
              <w:rPr>
                <w:highlight w:val="none"/>
              </w:rPr>
              <w:t>示</w:t>
            </w:r>
            <w:r>
              <w:rPr>
                <w:spacing w:val="6"/>
                <w:highlight w:val="none"/>
              </w:rPr>
              <w:t>），</w:t>
            </w:r>
            <w:r>
              <w:rPr>
                <w:highlight w:val="none"/>
              </w:rPr>
              <w:t>屏幕采用≥7吋1024×600高清触摸电容屏；主机≥1.0GB以上运行内存，</w:t>
            </w:r>
            <w:r>
              <w:rPr>
                <w:spacing w:val="-66"/>
                <w:highlight w:val="none"/>
              </w:rPr>
              <w:t xml:space="preserve"> </w:t>
            </w:r>
            <w:r>
              <w:rPr>
                <w:highlight w:val="none"/>
              </w:rPr>
              <w:t xml:space="preserve">≥4GB FLASH存储空间 </w:t>
            </w:r>
            <w:r>
              <w:rPr>
                <w:spacing w:val="-1"/>
                <w:highlight w:val="none"/>
              </w:rPr>
              <w:t>。可直插U盘播放测试视频录像。</w:t>
            </w:r>
          </w:p>
          <w:p>
            <w:pPr>
              <w:pStyle w:val="54"/>
              <w:spacing w:before="10" w:line="219" w:lineRule="auto"/>
              <w:ind w:left="29"/>
              <w:rPr>
                <w:highlight w:val="none"/>
              </w:rPr>
            </w:pPr>
            <w:r>
              <w:rPr>
                <w:highlight w:val="none"/>
              </w:rPr>
              <w:t>2.主机采用硅胶按键，经久耐用，适用</w:t>
            </w:r>
            <w:r>
              <w:rPr>
                <w:spacing w:val="-1"/>
                <w:highlight w:val="none"/>
              </w:rPr>
              <w:t>于大规模测试。</w:t>
            </w:r>
          </w:p>
          <w:p>
            <w:pPr>
              <w:pStyle w:val="54"/>
              <w:spacing w:before="11" w:line="219" w:lineRule="auto"/>
              <w:ind w:left="31"/>
              <w:rPr>
                <w:highlight w:val="none"/>
              </w:rPr>
            </w:pPr>
            <w:r>
              <w:rPr>
                <w:spacing w:val="-1"/>
                <w:highlight w:val="none"/>
              </w:rPr>
              <w:t>3.主机内置二维码扫描仪（非外接型</w:t>
            </w:r>
            <w:r>
              <w:rPr>
                <w:spacing w:val="18"/>
                <w:highlight w:val="none"/>
              </w:rPr>
              <w:t>），</w:t>
            </w:r>
            <w:r>
              <w:rPr>
                <w:spacing w:val="-1"/>
                <w:highlight w:val="none"/>
              </w:rPr>
              <w:t>自动识</w:t>
            </w:r>
            <w:r>
              <w:rPr>
                <w:spacing w:val="-2"/>
                <w:highlight w:val="none"/>
              </w:rPr>
              <w:t>别测试者二维码身份信息。</w:t>
            </w:r>
          </w:p>
          <w:p>
            <w:pPr>
              <w:pStyle w:val="54"/>
              <w:spacing w:before="10" w:line="219" w:lineRule="auto"/>
              <w:ind w:left="26"/>
              <w:rPr>
                <w:highlight w:val="none"/>
              </w:rPr>
            </w:pPr>
            <w:r>
              <w:rPr>
                <w:highlight w:val="none"/>
              </w:rPr>
              <w:t>4.主机具有AI语音智能识别功能，可通过语音智能控制调节屏幕亮度，音量大小，关闭程序等功能。</w:t>
            </w:r>
          </w:p>
          <w:p>
            <w:pPr>
              <w:pStyle w:val="54"/>
              <w:spacing w:before="10" w:line="225" w:lineRule="auto"/>
              <w:ind w:left="29" w:right="31" w:firstLine="2"/>
              <w:rPr>
                <w:highlight w:val="none"/>
              </w:rPr>
            </w:pPr>
            <w:r>
              <w:rPr>
                <w:highlight w:val="none"/>
              </w:rPr>
              <w:t>5.主机具备≥2个USB标准接口（非外接扩展</w:t>
            </w:r>
            <w:r>
              <w:rPr>
                <w:spacing w:val="7"/>
                <w:highlight w:val="none"/>
              </w:rPr>
              <w:t>），</w:t>
            </w:r>
            <w:r>
              <w:rPr>
                <w:highlight w:val="none"/>
              </w:rPr>
              <w:t>可直接插入U盘导入≥100000条测试名单信息，也可</w:t>
            </w:r>
            <w:r>
              <w:rPr>
                <w:spacing w:val="1"/>
                <w:highlight w:val="none"/>
              </w:rPr>
              <w:t xml:space="preserve"> </w:t>
            </w:r>
            <w:r>
              <w:rPr>
                <w:highlight w:val="none"/>
              </w:rPr>
              <w:t>直接导出测试成绩至U盘自动生成Excel表格。主机同时支持学生名单的无线同步和离线导入功能。</w:t>
            </w:r>
          </w:p>
          <w:p>
            <w:pPr>
              <w:pStyle w:val="54"/>
              <w:spacing w:before="8" w:line="225" w:lineRule="auto"/>
              <w:ind w:left="31" w:right="3954" w:hanging="2"/>
              <w:rPr>
                <w:highlight w:val="none"/>
              </w:rPr>
            </w:pPr>
            <w:r>
              <w:rPr>
                <w:spacing w:val="-2"/>
                <w:highlight w:val="none"/>
              </w:rPr>
              <w:t>6.可扩展人脸识别设备，自动识别测试者身份信息，</w:t>
            </w:r>
            <w:r>
              <w:rPr>
                <w:spacing w:val="12"/>
                <w:highlight w:val="none"/>
              </w:rPr>
              <w:t xml:space="preserve"> </w:t>
            </w:r>
            <w:r>
              <w:rPr>
                <w:spacing w:val="-2"/>
                <w:highlight w:val="none"/>
              </w:rPr>
              <w:t>7.可选配刷身份证，主机自动获取测试者身份信息。</w:t>
            </w:r>
          </w:p>
          <w:p>
            <w:pPr>
              <w:pStyle w:val="54"/>
              <w:spacing w:before="12" w:line="226" w:lineRule="auto"/>
              <w:ind w:left="27" w:right="148"/>
              <w:rPr>
                <w:highlight w:val="none"/>
              </w:rPr>
            </w:pPr>
            <w:r>
              <w:rPr>
                <w:highlight w:val="none"/>
              </w:rPr>
              <w:t>8.主机具多种身份识别功能：可通过触摸屏输入、机械键盘输入、非接触式</w:t>
            </w:r>
            <w:r>
              <w:rPr>
                <w:spacing w:val="-1"/>
                <w:highlight w:val="none"/>
              </w:rPr>
              <w:t>IC卡（兼容校园一卡通）</w:t>
            </w:r>
            <w:r>
              <w:rPr>
                <w:highlight w:val="none"/>
              </w:rPr>
              <w:t xml:space="preserve"> 、条码扫描仪等识别方法；输入学号具备自动递增功能；主机菜单具备单项查询</w:t>
            </w:r>
            <w:r>
              <w:rPr>
                <w:spacing w:val="-1"/>
                <w:highlight w:val="none"/>
              </w:rPr>
              <w:t>，集体查询，分组查</w:t>
            </w:r>
            <w:r>
              <w:rPr>
                <w:highlight w:val="none"/>
              </w:rPr>
              <w:t xml:space="preserve"> </w:t>
            </w:r>
            <w:r>
              <w:rPr>
                <w:spacing w:val="-1"/>
                <w:highlight w:val="none"/>
              </w:rPr>
              <w:t>询，具有年级班级组别日期等多种筛选数据方式，查询便捷。</w:t>
            </w:r>
          </w:p>
          <w:p>
            <w:pPr>
              <w:pStyle w:val="54"/>
              <w:spacing w:before="11" w:line="219" w:lineRule="auto"/>
              <w:ind w:left="28"/>
              <w:rPr>
                <w:highlight w:val="none"/>
              </w:rPr>
            </w:pPr>
            <w:r>
              <w:rPr>
                <w:highlight w:val="none"/>
              </w:rPr>
              <w:t>9.主机支持U盘直接导入国标和自定义评分标准，主机内嵌国标可以根据年级性别项目进行实时</w:t>
            </w:r>
            <w:r>
              <w:rPr>
                <w:spacing w:val="-1"/>
                <w:highlight w:val="none"/>
              </w:rPr>
              <w:t>评分，</w:t>
            </w:r>
          </w:p>
          <w:p>
            <w:pPr>
              <w:pStyle w:val="54"/>
              <w:spacing w:before="8" w:line="225" w:lineRule="auto"/>
              <w:ind w:left="40" w:right="1978" w:hanging="13"/>
              <w:rPr>
                <w:highlight w:val="none"/>
              </w:rPr>
            </w:pPr>
            <w:r>
              <w:rPr>
                <w:spacing w:val="-1"/>
                <w:highlight w:val="none"/>
              </w:rPr>
              <w:t>适用于体测；也可以自定义导入评分标准对测试结果进行评分，适</w:t>
            </w:r>
            <w:r>
              <w:rPr>
                <w:spacing w:val="-2"/>
                <w:highlight w:val="none"/>
              </w:rPr>
              <w:t>用于考试。</w:t>
            </w:r>
            <w:r>
              <w:rPr>
                <w:highlight w:val="none"/>
              </w:rPr>
              <w:t xml:space="preserve"> 10.主机支持头像管理，主机可以通过U盘批量导入学生头像10000</w:t>
            </w:r>
            <w:r>
              <w:rPr>
                <w:spacing w:val="-1"/>
                <w:highlight w:val="none"/>
              </w:rPr>
              <w:t>条以上。</w:t>
            </w:r>
          </w:p>
          <w:p>
            <w:pPr>
              <w:pStyle w:val="54"/>
              <w:spacing w:before="11" w:line="224" w:lineRule="auto"/>
              <w:ind w:left="40" w:right="52"/>
              <w:rPr>
                <w:highlight w:val="none"/>
              </w:rPr>
            </w:pPr>
            <w:r>
              <w:rPr>
                <w:highlight w:val="none"/>
              </w:rPr>
              <w:t>11.主机查询结果能一屏同时显示测试学校、年级、班级、学生姓</w:t>
            </w:r>
            <w:r>
              <w:rPr>
                <w:spacing w:val="-1"/>
                <w:highlight w:val="none"/>
              </w:rPr>
              <w:t>名、性别、测试成绩、测试日期及时</w:t>
            </w:r>
            <w:r>
              <w:rPr>
                <w:highlight w:val="none"/>
              </w:rPr>
              <w:t xml:space="preserve"> 间，方便后期督查。主机具有日志管理，记录操</w:t>
            </w:r>
            <w:r>
              <w:rPr>
                <w:spacing w:val="-1"/>
                <w:highlight w:val="none"/>
              </w:rPr>
              <w:t>作人员在主机上的所有操作，便于异常情况的追溯。</w:t>
            </w:r>
          </w:p>
          <w:p>
            <w:pPr>
              <w:pStyle w:val="54"/>
              <w:spacing w:before="11" w:line="225" w:lineRule="auto"/>
              <w:ind w:left="26" w:right="52" w:firstLine="14"/>
              <w:rPr>
                <w:highlight w:val="none"/>
              </w:rPr>
            </w:pPr>
            <w:r>
              <w:rPr>
                <w:highlight w:val="none"/>
              </w:rPr>
              <w:t>12.主机具有数据备份和恢复功能，可以备份任意时间段体测程序</w:t>
            </w:r>
            <w:r>
              <w:rPr>
                <w:spacing w:val="-1"/>
                <w:highlight w:val="none"/>
              </w:rPr>
              <w:t>里面的所有数据，可以备份多次保存</w:t>
            </w:r>
            <w:r>
              <w:rPr>
                <w:highlight w:val="none"/>
              </w:rPr>
              <w:t xml:space="preserve"> 在存储芯片里面。支持一键恢复，根据日期选择要恢复的备份，自</w:t>
            </w:r>
            <w:r>
              <w:rPr>
                <w:spacing w:val="-1"/>
                <w:highlight w:val="none"/>
              </w:rPr>
              <w:t>动恢复测试数据。</w:t>
            </w:r>
          </w:p>
          <w:p>
            <w:pPr>
              <w:pStyle w:val="54"/>
              <w:spacing w:before="8" w:line="227" w:lineRule="auto"/>
              <w:ind w:left="27" w:right="6712" w:firstLine="13"/>
              <w:jc w:val="both"/>
              <w:rPr>
                <w:spacing w:val="-2"/>
                <w:highlight w:val="none"/>
              </w:rPr>
            </w:pPr>
            <w:r>
              <w:rPr>
                <w:spacing w:val="-2"/>
                <w:highlight w:val="none"/>
              </w:rPr>
              <w:t>13.主要技术参数</w:t>
            </w:r>
            <w:r>
              <w:rPr>
                <w:spacing w:val="-1"/>
                <w:highlight w:val="none"/>
              </w:rPr>
              <w:t>★</w:t>
            </w:r>
          </w:p>
          <w:p>
            <w:pPr>
              <w:pStyle w:val="54"/>
              <w:spacing w:before="8" w:line="227" w:lineRule="auto"/>
              <w:ind w:left="27" w:right="6712" w:firstLine="13"/>
              <w:jc w:val="both"/>
              <w:rPr>
                <w:highlight w:val="none"/>
              </w:rPr>
            </w:pPr>
            <w:r>
              <w:rPr>
                <w:highlight w:val="none"/>
              </w:rPr>
              <w:t>量程：0～320cm</w:t>
            </w:r>
            <w:r>
              <w:rPr>
                <w:spacing w:val="1"/>
                <w:highlight w:val="none"/>
              </w:rPr>
              <w:t xml:space="preserve">  </w:t>
            </w:r>
            <w:r>
              <w:rPr>
                <w:spacing w:val="-1"/>
                <w:highlight w:val="none"/>
              </w:rPr>
              <w:t>分度值：1cm</w:t>
            </w:r>
          </w:p>
          <w:p>
            <w:pPr>
              <w:pStyle w:val="54"/>
              <w:spacing w:before="8" w:line="222" w:lineRule="auto"/>
              <w:ind w:left="29"/>
              <w:rPr>
                <w:highlight w:val="none"/>
              </w:rPr>
            </w:pPr>
            <w:r>
              <w:rPr>
                <w:spacing w:val="-1"/>
                <w:highlight w:val="none"/>
              </w:rPr>
              <w:t>误差：0cm</w:t>
            </w:r>
          </w:p>
        </w:tc>
        <w:tc>
          <w:tcPr>
            <w:tcW w:w="1088" w:type="dxa"/>
            <w:vAlign w:val="top"/>
          </w:tcPr>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pStyle w:val="54"/>
              <w:spacing w:before="78" w:line="184" w:lineRule="auto"/>
              <w:ind w:left="487"/>
              <w:rPr>
                <w:rFonts w:hint="eastAsia" w:eastAsia="宋体"/>
                <w:sz w:val="24"/>
                <w:szCs w:val="24"/>
                <w:highlight w:val="none"/>
                <w:lang w:eastAsia="zh-CN"/>
              </w:rPr>
            </w:pPr>
            <w:r>
              <w:rPr>
                <w:rFonts w:hint="eastAsia"/>
                <w:sz w:val="24"/>
                <w:szCs w:val="24"/>
                <w:highlight w:val="none"/>
                <w:lang w:val="en-US" w:eastAsia="zh-CN"/>
              </w:rPr>
              <w:t>2</w:t>
            </w:r>
          </w:p>
        </w:tc>
        <w:tc>
          <w:tcPr>
            <w:tcW w:w="1614" w:type="dxa"/>
            <w:vAlign w:val="top"/>
          </w:tcPr>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pStyle w:val="54"/>
              <w:spacing w:before="78" w:line="221" w:lineRule="auto"/>
              <w:ind w:left="377"/>
              <w:rPr>
                <w:rFonts w:hint="default" w:eastAsia="宋体"/>
                <w:sz w:val="24"/>
                <w:szCs w:val="24"/>
                <w:highlight w:val="none"/>
                <w:lang w:val="en-US" w:eastAsia="zh-CN"/>
              </w:rPr>
            </w:pPr>
          </w:p>
        </w:tc>
        <w:tc>
          <w:tcPr>
            <w:tcW w:w="2409" w:type="dxa"/>
            <w:vAlign w:val="top"/>
          </w:tcPr>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1" w:lineRule="auto"/>
              <w:rPr>
                <w:rFonts w:ascii="Arial"/>
                <w:sz w:val="21"/>
                <w:highlight w:val="none"/>
              </w:rPr>
            </w:pPr>
          </w:p>
          <w:p>
            <w:pPr>
              <w:spacing w:line="2618" w:lineRule="exact"/>
              <w:ind w:firstLine="56"/>
              <w:rPr>
                <w:highlight w:val="none"/>
              </w:rPr>
            </w:pPr>
            <w:r>
              <w:rPr>
                <w:position w:val="-52"/>
                <w:highlight w:val="none"/>
              </w:rPr>
              <w:drawing>
                <wp:inline distT="0" distB="0" distL="0" distR="0">
                  <wp:extent cx="1310640" cy="1662430"/>
                  <wp:effectExtent l="0" t="0" r="3810" b="1397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1310640" cy="1662684"/>
                          </a:xfrm>
                          <a:prstGeom prst="rect">
                            <a:avLst/>
                          </a:prstGeom>
                        </pic:spPr>
                      </pic:pic>
                    </a:graphicData>
                  </a:graphic>
                </wp:inline>
              </w:drawing>
            </w:r>
          </w:p>
        </w:tc>
      </w:tr>
    </w:tbl>
    <w:p>
      <w:pPr>
        <w:rPr>
          <w:rFonts w:ascii="Arial"/>
          <w:sz w:val="21"/>
          <w:highlight w:val="none"/>
        </w:rPr>
      </w:pPr>
    </w:p>
    <w:p>
      <w:pPr>
        <w:rPr>
          <w:rFonts w:ascii="Arial" w:hAnsi="Arial" w:eastAsia="Arial" w:cs="Arial"/>
          <w:sz w:val="21"/>
          <w:szCs w:val="21"/>
          <w:highlight w:val="none"/>
        </w:rPr>
        <w:sectPr>
          <w:pgSz w:w="16837" w:h="11905"/>
          <w:pgMar w:top="1011" w:right="1463" w:bottom="0" w:left="386" w:header="0" w:footer="0" w:gutter="0"/>
          <w:pgNumType w:fmt="decimal"/>
          <w:cols w:space="720" w:num="1"/>
        </w:sectPr>
      </w:pPr>
    </w:p>
    <w:p>
      <w:pPr>
        <w:spacing w:before="176"/>
        <w:rPr>
          <w:highlight w:val="none"/>
        </w:rPr>
      </w:pPr>
    </w:p>
    <w:tbl>
      <w:tblPr>
        <w:tblStyle w:val="55"/>
        <w:tblW w:w="157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3"/>
        <w:gridCol w:w="1374"/>
        <w:gridCol w:w="8519"/>
        <w:gridCol w:w="1083"/>
        <w:gridCol w:w="1608"/>
        <w:gridCol w:w="24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1" w:hRule="atLeast"/>
        </w:trPr>
        <w:tc>
          <w:tcPr>
            <w:tcW w:w="753" w:type="dxa"/>
            <w:vAlign w:val="top"/>
          </w:tcPr>
          <w:p>
            <w:pPr>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pStyle w:val="54"/>
              <w:spacing w:before="71" w:line="183" w:lineRule="auto"/>
              <w:ind w:left="314"/>
              <w:rPr>
                <w:sz w:val="22"/>
                <w:szCs w:val="22"/>
                <w:highlight w:val="none"/>
              </w:rPr>
            </w:pPr>
            <w:r>
              <w:rPr>
                <w:sz w:val="22"/>
                <w:szCs w:val="22"/>
                <w:highlight w:val="none"/>
              </w:rPr>
              <w:t>3</w:t>
            </w:r>
          </w:p>
        </w:tc>
        <w:tc>
          <w:tcPr>
            <w:tcW w:w="1374" w:type="dxa"/>
            <w:vAlign w:val="top"/>
          </w:tcPr>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pStyle w:val="54"/>
              <w:spacing w:before="71" w:line="216" w:lineRule="auto"/>
              <w:ind w:left="52" w:right="56" w:firstLine="156"/>
              <w:rPr>
                <w:sz w:val="22"/>
                <w:szCs w:val="22"/>
                <w:highlight w:val="none"/>
              </w:rPr>
            </w:pPr>
            <w:r>
              <w:rPr>
                <w:sz w:val="22"/>
                <w:szCs w:val="22"/>
                <w:highlight w:val="none"/>
              </w:rPr>
              <w:t xml:space="preserve"> </w:t>
            </w:r>
            <w:r>
              <w:rPr>
                <w:spacing w:val="9"/>
                <w:sz w:val="22"/>
                <w:szCs w:val="22"/>
                <w:highlight w:val="none"/>
              </w:rPr>
              <w:t>五十米跑测</w:t>
            </w:r>
            <w:r>
              <w:rPr>
                <w:sz w:val="22"/>
                <w:szCs w:val="22"/>
                <w:highlight w:val="none"/>
              </w:rPr>
              <w:t xml:space="preserve"> </w:t>
            </w:r>
            <w:r>
              <w:rPr>
                <w:spacing w:val="-5"/>
                <w:sz w:val="22"/>
                <w:szCs w:val="22"/>
                <w:highlight w:val="none"/>
              </w:rPr>
              <w:t>试仪（6人）</w:t>
            </w:r>
          </w:p>
        </w:tc>
        <w:tc>
          <w:tcPr>
            <w:tcW w:w="8519" w:type="dxa"/>
            <w:vAlign w:val="top"/>
          </w:tcPr>
          <w:p>
            <w:pPr>
              <w:pStyle w:val="54"/>
              <w:spacing w:before="201" w:line="219" w:lineRule="auto"/>
              <w:ind w:left="29"/>
              <w:rPr>
                <w:highlight w:val="none"/>
              </w:rPr>
            </w:pPr>
            <w:r>
              <w:rPr>
                <w:spacing w:val="8"/>
                <w:highlight w:val="none"/>
              </w:rPr>
              <w:t>单机:</w:t>
            </w:r>
          </w:p>
          <w:p>
            <w:pPr>
              <w:pStyle w:val="54"/>
              <w:spacing w:before="8" w:line="226" w:lineRule="auto"/>
              <w:ind w:left="29" w:right="438" w:firstLine="11"/>
              <w:rPr>
                <w:highlight w:val="none"/>
              </w:rPr>
            </w:pPr>
            <w:r>
              <w:rPr>
                <w:spacing w:val="-2"/>
                <w:highlight w:val="none"/>
              </w:rPr>
              <w:t>1.</w:t>
            </w:r>
            <w:r>
              <w:rPr>
                <w:spacing w:val="-42"/>
                <w:highlight w:val="none"/>
              </w:rPr>
              <w:t xml:space="preserve"> </w:t>
            </w:r>
            <w:r>
              <w:rPr>
                <w:spacing w:val="-2"/>
                <w:highlight w:val="none"/>
              </w:rPr>
              <w:t>自动测量50米跑的时间,测试受试者速度，反应速度、灵敏素质及神经系统灵活性的发展水平。</w:t>
            </w:r>
            <w:r>
              <w:rPr>
                <w:highlight w:val="none"/>
              </w:rPr>
              <w:t xml:space="preserve"> 2.主机具有抢跑重置功能，可扩展测试100米、150米、200米、400米跑等项目。</w:t>
            </w:r>
          </w:p>
          <w:p>
            <w:pPr>
              <w:pStyle w:val="54"/>
              <w:spacing w:before="8" w:line="221" w:lineRule="auto"/>
              <w:ind w:left="31"/>
              <w:rPr>
                <w:highlight w:val="none"/>
              </w:rPr>
            </w:pPr>
            <w:r>
              <w:rPr>
                <w:spacing w:val="-1"/>
                <w:highlight w:val="none"/>
              </w:rPr>
              <w:t>3.标准配置4人同测。</w:t>
            </w:r>
          </w:p>
          <w:p>
            <w:pPr>
              <w:pStyle w:val="54"/>
              <w:spacing w:before="6" w:line="226" w:lineRule="auto"/>
              <w:ind w:left="28" w:right="5394" w:hanging="2"/>
              <w:rPr>
                <w:highlight w:val="none"/>
              </w:rPr>
            </w:pPr>
            <w:r>
              <w:rPr>
                <w:spacing w:val="-3"/>
                <w:highlight w:val="none"/>
              </w:rPr>
              <w:t>4.测试仪具备起跑犯规检测功能。</w:t>
            </w:r>
            <w:r>
              <w:rPr>
                <w:spacing w:val="14"/>
                <w:highlight w:val="none"/>
              </w:rPr>
              <w:t xml:space="preserve"> </w:t>
            </w:r>
            <w:r>
              <w:rPr>
                <w:spacing w:val="8"/>
                <w:highlight w:val="none"/>
              </w:rPr>
              <w:t>主机:</w:t>
            </w:r>
          </w:p>
          <w:p>
            <w:pPr>
              <w:pStyle w:val="54"/>
              <w:spacing w:before="9" w:line="227" w:lineRule="auto"/>
              <w:ind w:left="28" w:right="103" w:firstLine="12"/>
              <w:rPr>
                <w:highlight w:val="none"/>
              </w:rPr>
            </w:pPr>
            <w:r>
              <w:rPr>
                <w:highlight w:val="none"/>
              </w:rPr>
              <w:t>1.主机采用原生Android7.0及以上系统，能够安装APK程序以拓展使用功能及产品升级（可现场演</w:t>
            </w:r>
            <w:r>
              <w:rPr>
                <w:spacing w:val="4"/>
                <w:highlight w:val="none"/>
              </w:rPr>
              <w:t xml:space="preserve">  </w:t>
            </w:r>
            <w:r>
              <w:rPr>
                <w:highlight w:val="none"/>
              </w:rPr>
              <w:t>示</w:t>
            </w:r>
            <w:r>
              <w:rPr>
                <w:spacing w:val="6"/>
                <w:highlight w:val="none"/>
              </w:rPr>
              <w:t>），</w:t>
            </w:r>
            <w:r>
              <w:rPr>
                <w:highlight w:val="none"/>
              </w:rPr>
              <w:t>屏幕采用≥7吋1024×600高清触摸电容屏；主机≥1.0GB以上运行内存，</w:t>
            </w:r>
            <w:r>
              <w:rPr>
                <w:spacing w:val="-66"/>
                <w:highlight w:val="none"/>
              </w:rPr>
              <w:t xml:space="preserve"> </w:t>
            </w:r>
            <w:r>
              <w:rPr>
                <w:highlight w:val="none"/>
              </w:rPr>
              <w:t xml:space="preserve">≥4GB FLASH存储空间 </w:t>
            </w:r>
            <w:r>
              <w:rPr>
                <w:spacing w:val="-1"/>
                <w:highlight w:val="none"/>
              </w:rPr>
              <w:t>。可直插U盘播放测试视频录像。</w:t>
            </w:r>
          </w:p>
          <w:p>
            <w:pPr>
              <w:pStyle w:val="54"/>
              <w:spacing w:before="8" w:line="219" w:lineRule="auto"/>
              <w:ind w:left="29"/>
              <w:rPr>
                <w:highlight w:val="none"/>
              </w:rPr>
            </w:pPr>
            <w:r>
              <w:rPr>
                <w:highlight w:val="none"/>
              </w:rPr>
              <w:t>2.主机采用硅胶按键，经久耐用，适用</w:t>
            </w:r>
            <w:r>
              <w:rPr>
                <w:spacing w:val="-1"/>
                <w:highlight w:val="none"/>
              </w:rPr>
              <w:t>于大规模测试。</w:t>
            </w:r>
          </w:p>
          <w:p>
            <w:pPr>
              <w:pStyle w:val="54"/>
              <w:spacing w:before="10" w:line="219" w:lineRule="auto"/>
              <w:ind w:left="31"/>
              <w:rPr>
                <w:highlight w:val="none"/>
              </w:rPr>
            </w:pPr>
            <w:r>
              <w:rPr>
                <w:spacing w:val="-1"/>
                <w:highlight w:val="none"/>
              </w:rPr>
              <w:t>3.主机内置二维码扫描仪（非外接型</w:t>
            </w:r>
            <w:r>
              <w:rPr>
                <w:spacing w:val="18"/>
                <w:highlight w:val="none"/>
              </w:rPr>
              <w:t>），</w:t>
            </w:r>
            <w:r>
              <w:rPr>
                <w:spacing w:val="-1"/>
                <w:highlight w:val="none"/>
              </w:rPr>
              <w:t>自动识</w:t>
            </w:r>
            <w:r>
              <w:rPr>
                <w:spacing w:val="-2"/>
                <w:highlight w:val="none"/>
              </w:rPr>
              <w:t>别测试者二维码身份信息。</w:t>
            </w:r>
          </w:p>
          <w:p>
            <w:pPr>
              <w:pStyle w:val="54"/>
              <w:spacing w:before="12" w:line="219" w:lineRule="auto"/>
              <w:ind w:left="26"/>
              <w:rPr>
                <w:highlight w:val="none"/>
              </w:rPr>
            </w:pPr>
            <w:r>
              <w:rPr>
                <w:highlight w:val="none"/>
              </w:rPr>
              <w:t>4.主机具有AI语音智能识别功能，可通过语音智能控制调节屏幕亮度，音量大小，关闭程序等功能。</w:t>
            </w:r>
          </w:p>
          <w:p>
            <w:pPr>
              <w:pStyle w:val="54"/>
              <w:spacing w:before="10" w:line="224" w:lineRule="auto"/>
              <w:ind w:left="29" w:right="31" w:firstLine="2"/>
              <w:rPr>
                <w:highlight w:val="none"/>
              </w:rPr>
            </w:pPr>
            <w:r>
              <w:rPr>
                <w:highlight w:val="none"/>
              </w:rPr>
              <w:t>5.主机具备≥2个USB标准接口（非外接扩展</w:t>
            </w:r>
            <w:r>
              <w:rPr>
                <w:spacing w:val="7"/>
                <w:highlight w:val="none"/>
              </w:rPr>
              <w:t>），</w:t>
            </w:r>
            <w:r>
              <w:rPr>
                <w:highlight w:val="none"/>
              </w:rPr>
              <w:t>可直接插入U盘导入≥100000条测试名单信息，也可</w:t>
            </w:r>
            <w:r>
              <w:rPr>
                <w:spacing w:val="1"/>
                <w:highlight w:val="none"/>
              </w:rPr>
              <w:t xml:space="preserve"> </w:t>
            </w:r>
            <w:r>
              <w:rPr>
                <w:highlight w:val="none"/>
              </w:rPr>
              <w:t>直接导出测试成绩至U盘自动生成Excel表格。主机同时支持学生名单的无线同步和离线导入功能。</w:t>
            </w:r>
          </w:p>
          <w:p>
            <w:pPr>
              <w:pStyle w:val="54"/>
              <w:spacing w:before="12" w:line="224" w:lineRule="auto"/>
              <w:ind w:left="31" w:right="3954" w:hanging="2"/>
              <w:rPr>
                <w:highlight w:val="none"/>
              </w:rPr>
            </w:pPr>
            <w:r>
              <w:rPr>
                <w:spacing w:val="-2"/>
                <w:highlight w:val="none"/>
              </w:rPr>
              <w:t>6.可扩展人脸识别设备，自动识别测试者身份信息，</w:t>
            </w:r>
            <w:r>
              <w:rPr>
                <w:spacing w:val="12"/>
                <w:highlight w:val="none"/>
              </w:rPr>
              <w:t xml:space="preserve"> </w:t>
            </w:r>
            <w:r>
              <w:rPr>
                <w:spacing w:val="-2"/>
                <w:highlight w:val="none"/>
              </w:rPr>
              <w:t>7.可选配刷身份证，主机自动获取测试者身份信息。</w:t>
            </w:r>
          </w:p>
          <w:p>
            <w:pPr>
              <w:pStyle w:val="54"/>
              <w:spacing w:before="9" w:line="227" w:lineRule="auto"/>
              <w:ind w:left="27" w:right="148"/>
              <w:rPr>
                <w:highlight w:val="none"/>
              </w:rPr>
            </w:pPr>
            <w:r>
              <w:rPr>
                <w:highlight w:val="none"/>
              </w:rPr>
              <w:t>8.主机具多种身份识别功能：可通过触摸屏输入、机械键盘输入、非接触式</w:t>
            </w:r>
            <w:r>
              <w:rPr>
                <w:spacing w:val="-1"/>
                <w:highlight w:val="none"/>
              </w:rPr>
              <w:t>IC卡（兼容校园一卡通）</w:t>
            </w:r>
            <w:r>
              <w:rPr>
                <w:highlight w:val="none"/>
              </w:rPr>
              <w:t xml:space="preserve"> 、条码扫描仪等识别方法；输入学号具备自动递增功能；主机菜单具备单项查询</w:t>
            </w:r>
            <w:r>
              <w:rPr>
                <w:spacing w:val="-1"/>
                <w:highlight w:val="none"/>
              </w:rPr>
              <w:t>，集体查询，分组查</w:t>
            </w:r>
            <w:r>
              <w:rPr>
                <w:highlight w:val="none"/>
              </w:rPr>
              <w:t xml:space="preserve"> </w:t>
            </w:r>
            <w:r>
              <w:rPr>
                <w:spacing w:val="-1"/>
                <w:highlight w:val="none"/>
              </w:rPr>
              <w:t>询，具有年级班级组别日期等多种筛选数据方式，查询便捷。</w:t>
            </w:r>
          </w:p>
          <w:p>
            <w:pPr>
              <w:pStyle w:val="54"/>
              <w:spacing w:before="8" w:line="226" w:lineRule="auto"/>
              <w:ind w:left="29" w:right="232" w:hanging="1"/>
              <w:rPr>
                <w:highlight w:val="none"/>
              </w:rPr>
            </w:pPr>
            <w:r>
              <w:rPr>
                <w:highlight w:val="none"/>
              </w:rPr>
              <w:t>9.主机支持U盘直接导入国标和自定义评分标准，主机内嵌国标可以根据年级性别项目进行</w:t>
            </w:r>
            <w:r>
              <w:rPr>
                <w:spacing w:val="-1"/>
                <w:highlight w:val="none"/>
              </w:rPr>
              <w:t>实时评</w:t>
            </w:r>
            <w:r>
              <w:rPr>
                <w:highlight w:val="none"/>
              </w:rPr>
              <w:t xml:space="preserve"> 分，适用于体测；也可以自定义导入评分标准对测试结果</w:t>
            </w:r>
            <w:r>
              <w:rPr>
                <w:spacing w:val="-1"/>
                <w:highlight w:val="none"/>
              </w:rPr>
              <w:t>进行评分，适用于考试。</w:t>
            </w:r>
          </w:p>
          <w:p>
            <w:pPr>
              <w:pStyle w:val="54"/>
              <w:spacing w:before="9" w:line="219" w:lineRule="auto"/>
              <w:ind w:left="40"/>
              <w:rPr>
                <w:highlight w:val="none"/>
              </w:rPr>
            </w:pPr>
            <w:r>
              <w:rPr>
                <w:highlight w:val="none"/>
              </w:rPr>
              <w:t>10.主机支持头像管理，主机可以通过U盘批量导入学生头像10000</w:t>
            </w:r>
            <w:r>
              <w:rPr>
                <w:spacing w:val="-1"/>
                <w:highlight w:val="none"/>
              </w:rPr>
              <w:t>条以上。</w:t>
            </w:r>
          </w:p>
          <w:p>
            <w:pPr>
              <w:pStyle w:val="54"/>
              <w:spacing w:before="8" w:line="226" w:lineRule="auto"/>
              <w:ind w:left="40" w:right="52"/>
              <w:rPr>
                <w:highlight w:val="none"/>
              </w:rPr>
            </w:pPr>
            <w:r>
              <w:rPr>
                <w:highlight w:val="none"/>
              </w:rPr>
              <w:t>11.主机查询结果能一屏同时显示测试学校、年级、班级、学生姓</w:t>
            </w:r>
            <w:r>
              <w:rPr>
                <w:spacing w:val="-1"/>
                <w:highlight w:val="none"/>
              </w:rPr>
              <w:t>名、性别、测试成绩、测试日期及时</w:t>
            </w:r>
            <w:r>
              <w:rPr>
                <w:highlight w:val="none"/>
              </w:rPr>
              <w:t xml:space="preserve"> 间，方便后期督查。主机具有日志管理，记录操</w:t>
            </w:r>
            <w:r>
              <w:rPr>
                <w:spacing w:val="-1"/>
                <w:highlight w:val="none"/>
              </w:rPr>
              <w:t>作人员在主机上的所有操作，便于异常情况的追溯。</w:t>
            </w:r>
          </w:p>
          <w:p>
            <w:pPr>
              <w:pStyle w:val="54"/>
              <w:spacing w:before="10" w:line="224" w:lineRule="auto"/>
              <w:ind w:left="26" w:right="52" w:firstLine="14"/>
              <w:rPr>
                <w:highlight w:val="none"/>
              </w:rPr>
            </w:pPr>
            <w:r>
              <w:rPr>
                <w:highlight w:val="none"/>
              </w:rPr>
              <w:t>12.主机具有数据备份和恢复功能，可以备份任意时间段体测程序</w:t>
            </w:r>
            <w:r>
              <w:rPr>
                <w:spacing w:val="-1"/>
                <w:highlight w:val="none"/>
              </w:rPr>
              <w:t>里面的所有数据，可以备份多次保存</w:t>
            </w:r>
            <w:r>
              <w:rPr>
                <w:highlight w:val="none"/>
              </w:rPr>
              <w:t xml:space="preserve"> 在存储芯片里面。支持一键恢复，根据日期选择要恢复的备份，自</w:t>
            </w:r>
            <w:r>
              <w:rPr>
                <w:spacing w:val="-1"/>
                <w:highlight w:val="none"/>
              </w:rPr>
              <w:t>动恢复测试数据。</w:t>
            </w:r>
          </w:p>
          <w:p>
            <w:pPr>
              <w:pStyle w:val="54"/>
              <w:spacing w:before="11" w:line="220" w:lineRule="auto"/>
              <w:ind w:left="40"/>
              <w:rPr>
                <w:highlight w:val="none"/>
              </w:rPr>
            </w:pPr>
            <w:r>
              <w:rPr>
                <w:spacing w:val="-2"/>
                <w:highlight w:val="none"/>
              </w:rPr>
              <w:t>13.主要技术参数</w:t>
            </w:r>
            <w:r>
              <w:rPr>
                <w:spacing w:val="-1"/>
                <w:highlight w:val="none"/>
              </w:rPr>
              <w:t>★</w:t>
            </w:r>
            <w:r>
              <w:rPr>
                <w:spacing w:val="-2"/>
                <w:highlight w:val="none"/>
              </w:rPr>
              <w:t>：</w:t>
            </w:r>
          </w:p>
          <w:p>
            <w:pPr>
              <w:pStyle w:val="54"/>
              <w:spacing w:before="9" w:line="224" w:lineRule="auto"/>
              <w:ind w:left="569" w:right="5522" w:firstLine="7"/>
              <w:rPr>
                <w:highlight w:val="none"/>
              </w:rPr>
            </w:pPr>
            <w:r>
              <w:rPr>
                <w:highlight w:val="none"/>
              </w:rPr>
              <w:t>测量范围：0S～9999.99S</w:t>
            </w:r>
            <w:r>
              <w:rPr>
                <w:spacing w:val="8"/>
                <w:highlight w:val="none"/>
              </w:rPr>
              <w:t xml:space="preserve"> </w:t>
            </w:r>
            <w:r>
              <w:rPr>
                <w:spacing w:val="-1"/>
                <w:highlight w:val="none"/>
              </w:rPr>
              <w:t>分度值：0.01s</w:t>
            </w:r>
          </w:p>
          <w:p>
            <w:pPr>
              <w:pStyle w:val="54"/>
              <w:spacing w:before="11" w:line="222" w:lineRule="auto"/>
              <w:ind w:left="569"/>
              <w:rPr>
                <w:highlight w:val="none"/>
              </w:rPr>
            </w:pPr>
            <w:r>
              <w:rPr>
                <w:spacing w:val="-2"/>
                <w:highlight w:val="none"/>
              </w:rPr>
              <w:t>误差：0s</w:t>
            </w:r>
          </w:p>
        </w:tc>
        <w:tc>
          <w:tcPr>
            <w:tcW w:w="1083" w:type="dxa"/>
            <w:vAlign w:val="top"/>
          </w:tcPr>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spacing w:line="241" w:lineRule="auto"/>
              <w:rPr>
                <w:rFonts w:ascii="Arial"/>
                <w:sz w:val="21"/>
                <w:highlight w:val="none"/>
              </w:rPr>
            </w:pPr>
          </w:p>
          <w:p>
            <w:pPr>
              <w:pStyle w:val="54"/>
              <w:spacing w:before="78" w:line="184" w:lineRule="auto"/>
              <w:ind w:left="487"/>
              <w:rPr>
                <w:rFonts w:hint="eastAsia" w:eastAsia="宋体"/>
                <w:sz w:val="24"/>
                <w:szCs w:val="24"/>
                <w:highlight w:val="none"/>
                <w:lang w:eastAsia="zh-CN"/>
              </w:rPr>
            </w:pPr>
            <w:r>
              <w:rPr>
                <w:rFonts w:hint="eastAsia"/>
                <w:sz w:val="24"/>
                <w:szCs w:val="24"/>
                <w:highlight w:val="none"/>
                <w:lang w:val="en-US" w:eastAsia="zh-CN"/>
              </w:rPr>
              <w:t>2</w:t>
            </w:r>
          </w:p>
        </w:tc>
        <w:tc>
          <w:tcPr>
            <w:tcW w:w="1608" w:type="dxa"/>
            <w:vAlign w:val="top"/>
          </w:tcPr>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pStyle w:val="54"/>
              <w:spacing w:before="78" w:line="221" w:lineRule="auto"/>
              <w:ind w:left="377"/>
              <w:rPr>
                <w:rFonts w:hint="default" w:eastAsia="宋体"/>
                <w:sz w:val="24"/>
                <w:szCs w:val="24"/>
                <w:highlight w:val="none"/>
                <w:lang w:val="en-US" w:eastAsia="zh-CN"/>
              </w:rPr>
            </w:pPr>
          </w:p>
        </w:tc>
        <w:tc>
          <w:tcPr>
            <w:tcW w:w="2400" w:type="dxa"/>
            <w:vAlign w:val="top"/>
          </w:tcPr>
          <w:p>
            <w:pPr>
              <w:spacing w:line="255" w:lineRule="auto"/>
              <w:rPr>
                <w:rFonts w:ascii="Arial"/>
                <w:sz w:val="21"/>
                <w:highlight w:val="none"/>
              </w:rPr>
            </w:pPr>
          </w:p>
          <w:p>
            <w:pPr>
              <w:spacing w:line="255"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spacing w:line="2219" w:lineRule="exact"/>
              <w:ind w:firstLine="280"/>
              <w:rPr>
                <w:highlight w:val="none"/>
              </w:rPr>
            </w:pPr>
            <w:r>
              <w:rPr>
                <w:position w:val="-44"/>
                <w:highlight w:val="none"/>
              </w:rPr>
              <w:drawing>
                <wp:inline distT="0" distB="0" distL="0" distR="0">
                  <wp:extent cx="1075690" cy="1408430"/>
                  <wp:effectExtent l="0" t="0" r="10160" b="127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1076035" cy="1408991"/>
                          </a:xfrm>
                          <a:prstGeom prst="rect">
                            <a:avLst/>
                          </a:prstGeom>
                        </pic:spPr>
                      </pic:pic>
                    </a:graphicData>
                  </a:graphic>
                </wp:inline>
              </w:drawing>
            </w:r>
          </w:p>
        </w:tc>
      </w:tr>
    </w:tbl>
    <w:p>
      <w:pPr>
        <w:rPr>
          <w:rFonts w:ascii="Arial"/>
          <w:sz w:val="21"/>
          <w:highlight w:val="none"/>
        </w:rPr>
      </w:pPr>
    </w:p>
    <w:p>
      <w:pPr>
        <w:rPr>
          <w:rFonts w:ascii="Arial" w:hAnsi="Arial" w:eastAsia="Arial" w:cs="Arial"/>
          <w:sz w:val="21"/>
          <w:szCs w:val="21"/>
          <w:highlight w:val="none"/>
        </w:rPr>
        <w:sectPr>
          <w:pgSz w:w="16837" w:h="11905"/>
          <w:pgMar w:top="1011" w:right="1463" w:bottom="0" w:left="386" w:header="0" w:footer="0" w:gutter="0"/>
          <w:pgNumType w:fmt="decimal"/>
          <w:cols w:space="720" w:num="1"/>
        </w:sectPr>
      </w:pPr>
    </w:p>
    <w:p>
      <w:pPr>
        <w:spacing w:before="176"/>
        <w:rPr>
          <w:highlight w:val="none"/>
        </w:rPr>
      </w:pPr>
    </w:p>
    <w:tbl>
      <w:tblPr>
        <w:tblStyle w:val="55"/>
        <w:tblW w:w="159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8627"/>
        <w:gridCol w:w="1097"/>
        <w:gridCol w:w="1628"/>
        <w:gridCol w:w="2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183" w:hRule="atLeast"/>
        </w:trPr>
        <w:tc>
          <w:tcPr>
            <w:tcW w:w="763" w:type="dxa"/>
            <w:vAlign w:val="top"/>
          </w:tcPr>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pStyle w:val="54"/>
              <w:spacing w:before="71" w:line="183" w:lineRule="auto"/>
              <w:ind w:left="309"/>
              <w:rPr>
                <w:sz w:val="22"/>
                <w:szCs w:val="22"/>
                <w:highlight w:val="none"/>
              </w:rPr>
            </w:pPr>
            <w:r>
              <w:rPr>
                <w:sz w:val="22"/>
                <w:szCs w:val="22"/>
                <w:highlight w:val="none"/>
              </w:rPr>
              <w:t>4</w:t>
            </w:r>
          </w:p>
        </w:tc>
        <w:tc>
          <w:tcPr>
            <w:tcW w:w="1391" w:type="dxa"/>
            <w:vAlign w:val="top"/>
          </w:tcPr>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1" w:lineRule="auto"/>
              <w:rPr>
                <w:rFonts w:ascii="Arial"/>
                <w:sz w:val="21"/>
                <w:highlight w:val="none"/>
              </w:rPr>
            </w:pPr>
          </w:p>
          <w:p>
            <w:pPr>
              <w:pStyle w:val="54"/>
              <w:spacing w:before="19" w:line="222" w:lineRule="auto"/>
              <w:ind w:left="110"/>
              <w:rPr>
                <w:sz w:val="22"/>
                <w:szCs w:val="22"/>
                <w:highlight w:val="none"/>
              </w:rPr>
            </w:pPr>
            <w:r>
              <w:rPr>
                <w:spacing w:val="-3"/>
                <w:sz w:val="22"/>
                <w:szCs w:val="22"/>
                <w:highlight w:val="none"/>
              </w:rPr>
              <w:t>足球运球测</w:t>
            </w:r>
          </w:p>
          <w:p>
            <w:pPr>
              <w:pStyle w:val="54"/>
              <w:spacing w:before="7" w:line="220" w:lineRule="auto"/>
              <w:ind w:left="438"/>
              <w:rPr>
                <w:sz w:val="22"/>
                <w:szCs w:val="22"/>
                <w:highlight w:val="none"/>
              </w:rPr>
            </w:pPr>
            <w:r>
              <w:rPr>
                <w:spacing w:val="-5"/>
                <w:sz w:val="22"/>
                <w:szCs w:val="22"/>
                <w:highlight w:val="none"/>
              </w:rPr>
              <w:t>试仪</w:t>
            </w:r>
          </w:p>
        </w:tc>
        <w:tc>
          <w:tcPr>
            <w:tcW w:w="8627" w:type="dxa"/>
            <w:vAlign w:val="top"/>
          </w:tcPr>
          <w:p>
            <w:pPr>
              <w:spacing w:line="292" w:lineRule="auto"/>
              <w:rPr>
                <w:rFonts w:ascii="Arial"/>
                <w:sz w:val="21"/>
                <w:highlight w:val="none"/>
              </w:rPr>
            </w:pPr>
          </w:p>
          <w:p>
            <w:pPr>
              <w:pStyle w:val="54"/>
              <w:spacing w:before="58" w:line="219" w:lineRule="auto"/>
              <w:ind w:left="29"/>
              <w:rPr>
                <w:highlight w:val="none"/>
              </w:rPr>
            </w:pPr>
            <w:r>
              <w:rPr>
                <w:spacing w:val="8"/>
                <w:highlight w:val="none"/>
              </w:rPr>
              <w:t>单机:</w:t>
            </w:r>
          </w:p>
          <w:p>
            <w:pPr>
              <w:pStyle w:val="54"/>
              <w:spacing w:before="9" w:line="219" w:lineRule="auto"/>
              <w:ind w:left="40"/>
              <w:rPr>
                <w:highlight w:val="none"/>
              </w:rPr>
            </w:pPr>
            <w:r>
              <w:rPr>
                <w:spacing w:val="-1"/>
                <w:highlight w:val="none"/>
              </w:rPr>
              <w:t>1.测试受试者的位移速度和身体协调平衡能力，终点采用红外感应检测计时；</w:t>
            </w:r>
          </w:p>
          <w:p>
            <w:pPr>
              <w:pStyle w:val="54"/>
              <w:spacing w:before="10" w:line="220" w:lineRule="auto"/>
              <w:ind w:left="29"/>
              <w:rPr>
                <w:highlight w:val="none"/>
              </w:rPr>
            </w:pPr>
            <w:r>
              <w:rPr>
                <w:highlight w:val="none"/>
              </w:rPr>
              <w:t>2.可选配≥96*32分辨率的无线 LED点阵大显示屏，阳光下清晰可见，可与测试感应探头无线连接，</w:t>
            </w:r>
          </w:p>
          <w:p>
            <w:pPr>
              <w:pStyle w:val="54"/>
              <w:spacing w:before="9" w:line="112" w:lineRule="auto"/>
              <w:ind w:left="31" w:right="4154"/>
              <w:rPr>
                <w:highlight w:val="none"/>
              </w:rPr>
            </w:pPr>
            <w:r>
              <w:rPr>
                <w:spacing w:val="-7"/>
                <w:highlight w:val="none"/>
              </w:rPr>
              <w:t>也可与主机无线连接，无任何冗</w:t>
            </w:r>
            <w:r>
              <w:rPr>
                <w:spacing w:val="-7"/>
                <w:position w:val="-22"/>
                <w:highlight w:val="none"/>
              </w:rPr>
              <w:t>~</w:t>
            </w:r>
            <w:r>
              <w:rPr>
                <w:spacing w:val="-7"/>
                <w:highlight w:val="none"/>
              </w:rPr>
              <w:t>长线束干扰磕绊；</w:t>
            </w:r>
            <w:r>
              <w:rPr>
                <w:spacing w:val="12"/>
                <w:highlight w:val="none"/>
              </w:rPr>
              <w:t xml:space="preserve"> </w:t>
            </w:r>
            <w:r>
              <w:rPr>
                <w:highlight w:val="none"/>
              </w:rPr>
              <w:t>3.标配1人测试，每人可测试1 2次。</w:t>
            </w:r>
          </w:p>
          <w:p>
            <w:pPr>
              <w:pStyle w:val="54"/>
              <w:spacing w:before="9" w:line="225" w:lineRule="auto"/>
              <w:ind w:left="28" w:right="4134" w:hanging="2"/>
              <w:rPr>
                <w:highlight w:val="none"/>
              </w:rPr>
            </w:pPr>
            <w:r>
              <w:rPr>
                <w:spacing w:val="-2"/>
                <w:highlight w:val="none"/>
              </w:rPr>
              <w:t>4.可配置起点感应触发计时，无需抢跑犯规检测。</w:t>
            </w:r>
            <w:r>
              <w:rPr>
                <w:spacing w:val="12"/>
                <w:highlight w:val="none"/>
              </w:rPr>
              <w:t xml:space="preserve"> </w:t>
            </w:r>
            <w:r>
              <w:rPr>
                <w:spacing w:val="8"/>
                <w:highlight w:val="none"/>
              </w:rPr>
              <w:t>主机:</w:t>
            </w:r>
          </w:p>
          <w:p>
            <w:pPr>
              <w:pStyle w:val="54"/>
              <w:spacing w:before="9" w:line="227" w:lineRule="auto"/>
              <w:ind w:left="28" w:right="103" w:firstLine="12"/>
              <w:rPr>
                <w:highlight w:val="none"/>
              </w:rPr>
            </w:pPr>
            <w:r>
              <w:rPr>
                <w:highlight w:val="none"/>
              </w:rPr>
              <w:t>1.主机采用原生Android7.0及以上系统，能够安装APK程序以拓展使用功能及产品升级（可现场演</w:t>
            </w:r>
            <w:r>
              <w:rPr>
                <w:spacing w:val="4"/>
                <w:highlight w:val="none"/>
              </w:rPr>
              <w:t xml:space="preserve">  </w:t>
            </w:r>
            <w:r>
              <w:rPr>
                <w:highlight w:val="none"/>
              </w:rPr>
              <w:t>示</w:t>
            </w:r>
            <w:r>
              <w:rPr>
                <w:spacing w:val="6"/>
                <w:highlight w:val="none"/>
              </w:rPr>
              <w:t>），</w:t>
            </w:r>
            <w:r>
              <w:rPr>
                <w:highlight w:val="none"/>
              </w:rPr>
              <w:t>屏幕采用≥7吋1024×600高清触摸电容屏；主机≥1.0GB以上运行内存，</w:t>
            </w:r>
            <w:r>
              <w:rPr>
                <w:spacing w:val="-66"/>
                <w:highlight w:val="none"/>
              </w:rPr>
              <w:t xml:space="preserve"> </w:t>
            </w:r>
            <w:r>
              <w:rPr>
                <w:highlight w:val="none"/>
              </w:rPr>
              <w:t xml:space="preserve">≥4GB FLASH存储空间 </w:t>
            </w:r>
            <w:r>
              <w:rPr>
                <w:spacing w:val="-1"/>
                <w:highlight w:val="none"/>
              </w:rPr>
              <w:t>。可直插U盘播放测试视频录像。</w:t>
            </w:r>
          </w:p>
          <w:p>
            <w:pPr>
              <w:pStyle w:val="54"/>
              <w:spacing w:before="8" w:line="219" w:lineRule="auto"/>
              <w:ind w:left="29"/>
              <w:rPr>
                <w:highlight w:val="none"/>
              </w:rPr>
            </w:pPr>
            <w:r>
              <w:rPr>
                <w:highlight w:val="none"/>
              </w:rPr>
              <w:t>2.主机采用硅胶按键，经久耐用，适用</w:t>
            </w:r>
            <w:r>
              <w:rPr>
                <w:spacing w:val="-1"/>
                <w:highlight w:val="none"/>
              </w:rPr>
              <w:t>于大规模测试。</w:t>
            </w:r>
          </w:p>
          <w:p>
            <w:pPr>
              <w:pStyle w:val="54"/>
              <w:spacing w:before="11" w:line="219" w:lineRule="auto"/>
              <w:ind w:left="31"/>
              <w:rPr>
                <w:highlight w:val="none"/>
              </w:rPr>
            </w:pPr>
            <w:r>
              <w:rPr>
                <w:spacing w:val="-1"/>
                <w:highlight w:val="none"/>
              </w:rPr>
              <w:t>3.主机内置二维码扫描仪（非外接型</w:t>
            </w:r>
            <w:r>
              <w:rPr>
                <w:spacing w:val="18"/>
                <w:highlight w:val="none"/>
              </w:rPr>
              <w:t>），</w:t>
            </w:r>
            <w:r>
              <w:rPr>
                <w:spacing w:val="-1"/>
                <w:highlight w:val="none"/>
              </w:rPr>
              <w:t>自动识</w:t>
            </w:r>
            <w:r>
              <w:rPr>
                <w:spacing w:val="-2"/>
                <w:highlight w:val="none"/>
              </w:rPr>
              <w:t>别测试者二维码身份信息。</w:t>
            </w:r>
          </w:p>
          <w:p>
            <w:pPr>
              <w:pStyle w:val="54"/>
              <w:spacing w:before="11" w:line="219" w:lineRule="auto"/>
              <w:ind w:left="26"/>
              <w:rPr>
                <w:highlight w:val="none"/>
              </w:rPr>
            </w:pPr>
            <w:r>
              <w:rPr>
                <w:highlight w:val="none"/>
              </w:rPr>
              <w:t>4.主机具有AI语音智能识别功能，可通过语音智能控制调节屏幕亮度，音量大小，关闭程序等功能。</w:t>
            </w:r>
          </w:p>
          <w:p>
            <w:pPr>
              <w:pStyle w:val="54"/>
              <w:spacing w:before="9" w:line="225" w:lineRule="auto"/>
              <w:ind w:left="29" w:right="31" w:firstLine="2"/>
              <w:rPr>
                <w:highlight w:val="none"/>
              </w:rPr>
            </w:pPr>
            <w:r>
              <w:rPr>
                <w:highlight w:val="none"/>
              </w:rPr>
              <w:t>5.主机具备≥2个USB标准接口（非外接扩展</w:t>
            </w:r>
            <w:r>
              <w:rPr>
                <w:spacing w:val="7"/>
                <w:highlight w:val="none"/>
              </w:rPr>
              <w:t>），</w:t>
            </w:r>
            <w:r>
              <w:rPr>
                <w:highlight w:val="none"/>
              </w:rPr>
              <w:t>可直接插入U盘导入≥100000条测试名单信息，也可</w:t>
            </w:r>
            <w:r>
              <w:rPr>
                <w:spacing w:val="1"/>
                <w:highlight w:val="none"/>
              </w:rPr>
              <w:t xml:space="preserve"> </w:t>
            </w:r>
            <w:r>
              <w:rPr>
                <w:highlight w:val="none"/>
              </w:rPr>
              <w:t>直接导出测试成绩至U盘自动生成Excel表格。主机同时支持学生名单的无线同步和离线导入功能。</w:t>
            </w:r>
          </w:p>
          <w:p>
            <w:pPr>
              <w:pStyle w:val="54"/>
              <w:spacing w:before="11" w:line="224" w:lineRule="auto"/>
              <w:ind w:left="31" w:right="3954" w:hanging="2"/>
              <w:rPr>
                <w:highlight w:val="none"/>
              </w:rPr>
            </w:pPr>
            <w:r>
              <w:rPr>
                <w:spacing w:val="-2"/>
                <w:highlight w:val="none"/>
              </w:rPr>
              <w:t>6.可扩展人脸识别设备，自动识别测试者身份信息，</w:t>
            </w:r>
            <w:r>
              <w:rPr>
                <w:spacing w:val="12"/>
                <w:highlight w:val="none"/>
              </w:rPr>
              <w:t xml:space="preserve"> </w:t>
            </w:r>
            <w:r>
              <w:rPr>
                <w:spacing w:val="-2"/>
                <w:highlight w:val="none"/>
              </w:rPr>
              <w:t>7.可选配刷身份证，主机自动获取测试者身份信息。</w:t>
            </w:r>
          </w:p>
          <w:p>
            <w:pPr>
              <w:pStyle w:val="54"/>
              <w:spacing w:before="8" w:line="227" w:lineRule="auto"/>
              <w:ind w:left="27" w:right="148"/>
              <w:rPr>
                <w:highlight w:val="none"/>
              </w:rPr>
            </w:pPr>
            <w:r>
              <w:rPr>
                <w:highlight w:val="none"/>
              </w:rPr>
              <w:t>8.主机具多种身份识别功能：可通过触摸屏输入、机械键盘输入、非接触式</w:t>
            </w:r>
            <w:r>
              <w:rPr>
                <w:spacing w:val="-1"/>
                <w:highlight w:val="none"/>
              </w:rPr>
              <w:t>IC卡（兼容校园一卡通）</w:t>
            </w:r>
            <w:r>
              <w:rPr>
                <w:highlight w:val="none"/>
              </w:rPr>
              <w:t xml:space="preserve"> 、条码扫描仪等识别方法；输入学号具备自动递增功能；主机菜单具备单项查询</w:t>
            </w:r>
            <w:r>
              <w:rPr>
                <w:spacing w:val="-1"/>
                <w:highlight w:val="none"/>
              </w:rPr>
              <w:t>，集体查询，分组查</w:t>
            </w:r>
            <w:r>
              <w:rPr>
                <w:highlight w:val="none"/>
              </w:rPr>
              <w:t xml:space="preserve"> </w:t>
            </w:r>
            <w:r>
              <w:rPr>
                <w:spacing w:val="-1"/>
                <w:highlight w:val="none"/>
              </w:rPr>
              <w:t>询，具有年级班级组别日期等多种筛选数据方式，查询便捷。</w:t>
            </w:r>
          </w:p>
          <w:p>
            <w:pPr>
              <w:pStyle w:val="54"/>
              <w:spacing w:before="11" w:line="225" w:lineRule="auto"/>
              <w:ind w:left="29" w:right="232" w:hanging="1"/>
              <w:rPr>
                <w:highlight w:val="none"/>
              </w:rPr>
            </w:pPr>
            <w:r>
              <w:rPr>
                <w:highlight w:val="none"/>
              </w:rPr>
              <w:t>9.主机支持U盘直接导入国标和自定义评分标准，主机内嵌国标可以根据年级性别项目进行</w:t>
            </w:r>
            <w:r>
              <w:rPr>
                <w:spacing w:val="-1"/>
                <w:highlight w:val="none"/>
              </w:rPr>
              <w:t>实时评</w:t>
            </w:r>
            <w:r>
              <w:rPr>
                <w:highlight w:val="none"/>
              </w:rPr>
              <w:t xml:space="preserve"> 分，适用于体测；也可以自定义导入评分标准对测试结果</w:t>
            </w:r>
            <w:r>
              <w:rPr>
                <w:spacing w:val="-1"/>
                <w:highlight w:val="none"/>
              </w:rPr>
              <w:t>进行评分，适用于考试。</w:t>
            </w:r>
          </w:p>
          <w:p>
            <w:pPr>
              <w:pStyle w:val="54"/>
              <w:spacing w:before="8" w:line="219" w:lineRule="auto"/>
              <w:ind w:left="40"/>
              <w:rPr>
                <w:highlight w:val="none"/>
              </w:rPr>
            </w:pPr>
            <w:r>
              <w:rPr>
                <w:highlight w:val="none"/>
              </w:rPr>
              <w:t>10.主机支持头像管理，主机可以通过U盘批量导入学生头像10000</w:t>
            </w:r>
            <w:r>
              <w:rPr>
                <w:spacing w:val="-1"/>
                <w:highlight w:val="none"/>
              </w:rPr>
              <w:t>条以上。</w:t>
            </w:r>
          </w:p>
          <w:p>
            <w:pPr>
              <w:pStyle w:val="54"/>
              <w:spacing w:before="11" w:line="225" w:lineRule="auto"/>
              <w:ind w:left="40" w:right="52"/>
              <w:rPr>
                <w:highlight w:val="none"/>
              </w:rPr>
            </w:pPr>
            <w:r>
              <w:rPr>
                <w:highlight w:val="none"/>
              </w:rPr>
              <w:t>11.主机查询结果能一屏同时显示测试学校、年级、班级、学生姓</w:t>
            </w:r>
            <w:r>
              <w:rPr>
                <w:spacing w:val="-1"/>
                <w:highlight w:val="none"/>
              </w:rPr>
              <w:t>名、性别、测试成绩、测试日期及时</w:t>
            </w:r>
            <w:r>
              <w:rPr>
                <w:highlight w:val="none"/>
              </w:rPr>
              <w:t xml:space="preserve"> 间，方便后期督查。主机具有日志管理，记录操</w:t>
            </w:r>
            <w:r>
              <w:rPr>
                <w:spacing w:val="-1"/>
                <w:highlight w:val="none"/>
              </w:rPr>
              <w:t>作人员在主机上的所有操作，便于异常情况的追溯。</w:t>
            </w:r>
          </w:p>
          <w:p>
            <w:pPr>
              <w:pStyle w:val="54"/>
              <w:spacing w:before="9" w:line="225" w:lineRule="auto"/>
              <w:ind w:left="26" w:right="52" w:firstLine="14"/>
              <w:rPr>
                <w:highlight w:val="none"/>
              </w:rPr>
            </w:pPr>
            <w:r>
              <w:rPr>
                <w:highlight w:val="none"/>
              </w:rPr>
              <w:t>12.主机具有数据备份和恢复功能，可以备份任意时间段体测程序</w:t>
            </w:r>
            <w:r>
              <w:rPr>
                <w:spacing w:val="-1"/>
                <w:highlight w:val="none"/>
              </w:rPr>
              <w:t>里面的所有数据，可以备份多次保存</w:t>
            </w:r>
            <w:r>
              <w:rPr>
                <w:highlight w:val="none"/>
              </w:rPr>
              <w:t xml:space="preserve"> 在存储芯片里面。支持一键恢复，根据日期选择要恢复的备份，自</w:t>
            </w:r>
            <w:r>
              <w:rPr>
                <w:spacing w:val="-1"/>
                <w:highlight w:val="none"/>
              </w:rPr>
              <w:t>动恢复测试数据。</w:t>
            </w:r>
          </w:p>
          <w:p>
            <w:pPr>
              <w:pStyle w:val="54"/>
              <w:spacing w:before="10" w:line="220" w:lineRule="auto"/>
              <w:ind w:left="40"/>
              <w:rPr>
                <w:highlight w:val="none"/>
              </w:rPr>
            </w:pPr>
            <w:r>
              <w:rPr>
                <w:spacing w:val="-2"/>
                <w:highlight w:val="none"/>
              </w:rPr>
              <w:t>13.主要技术参数</w:t>
            </w:r>
            <w:r>
              <w:rPr>
                <w:spacing w:val="-1"/>
                <w:highlight w:val="none"/>
              </w:rPr>
              <w:t>★</w:t>
            </w:r>
            <w:r>
              <w:rPr>
                <w:spacing w:val="-2"/>
                <w:highlight w:val="none"/>
              </w:rPr>
              <w:t>：</w:t>
            </w:r>
          </w:p>
          <w:p>
            <w:pPr>
              <w:pStyle w:val="54"/>
              <w:spacing w:before="8" w:line="221" w:lineRule="auto"/>
              <w:ind w:left="577"/>
              <w:rPr>
                <w:highlight w:val="none"/>
              </w:rPr>
            </w:pPr>
            <w:r>
              <w:rPr>
                <w:highlight w:val="none"/>
              </w:rPr>
              <w:t>测量范围：0～9999.99S</w:t>
            </w:r>
          </w:p>
          <w:p>
            <w:pPr>
              <w:pStyle w:val="54"/>
              <w:spacing w:before="9" w:line="220" w:lineRule="auto"/>
              <w:ind w:left="569"/>
              <w:rPr>
                <w:highlight w:val="none"/>
              </w:rPr>
            </w:pPr>
            <w:r>
              <w:rPr>
                <w:spacing w:val="-2"/>
                <w:highlight w:val="none"/>
              </w:rPr>
              <w:t>分度值：0.01s</w:t>
            </w:r>
            <w:r>
              <w:rPr>
                <w:spacing w:val="4"/>
                <w:highlight w:val="none"/>
              </w:rPr>
              <w:t xml:space="preserve">    </w:t>
            </w:r>
            <w:r>
              <w:rPr>
                <w:spacing w:val="-2"/>
                <w:highlight w:val="none"/>
              </w:rPr>
              <w:t>误差：</w:t>
            </w:r>
            <w:r>
              <w:rPr>
                <w:spacing w:val="-59"/>
                <w:highlight w:val="none"/>
              </w:rPr>
              <w:t xml:space="preserve"> </w:t>
            </w:r>
            <w:r>
              <w:rPr>
                <w:spacing w:val="-2"/>
                <w:highlight w:val="none"/>
              </w:rPr>
              <w:t>±0.1%</w:t>
            </w:r>
          </w:p>
        </w:tc>
        <w:tc>
          <w:tcPr>
            <w:tcW w:w="1097" w:type="dxa"/>
            <w:vAlign w:val="top"/>
          </w:tcPr>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pStyle w:val="54"/>
              <w:spacing w:before="78" w:line="184" w:lineRule="auto"/>
              <w:ind w:left="487"/>
              <w:rPr>
                <w:rFonts w:hint="eastAsia" w:eastAsia="宋体"/>
                <w:sz w:val="24"/>
                <w:szCs w:val="24"/>
                <w:highlight w:val="none"/>
                <w:lang w:eastAsia="zh-CN"/>
              </w:rPr>
            </w:pPr>
            <w:r>
              <w:rPr>
                <w:rFonts w:hint="eastAsia"/>
                <w:sz w:val="24"/>
                <w:szCs w:val="24"/>
                <w:highlight w:val="none"/>
                <w:lang w:val="en-US" w:eastAsia="zh-CN"/>
              </w:rPr>
              <w:t>2</w:t>
            </w:r>
          </w:p>
        </w:tc>
        <w:tc>
          <w:tcPr>
            <w:tcW w:w="1628" w:type="dxa"/>
            <w:vAlign w:val="top"/>
          </w:tcPr>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pStyle w:val="54"/>
              <w:spacing w:before="78" w:line="221" w:lineRule="auto"/>
              <w:ind w:left="420"/>
              <w:rPr>
                <w:rFonts w:hint="default" w:eastAsia="宋体"/>
                <w:sz w:val="24"/>
                <w:szCs w:val="24"/>
                <w:highlight w:val="none"/>
                <w:lang w:val="en-US" w:eastAsia="zh-CN"/>
              </w:rPr>
            </w:pPr>
          </w:p>
        </w:tc>
        <w:tc>
          <w:tcPr>
            <w:tcW w:w="2430" w:type="dxa"/>
            <w:vAlign w:val="top"/>
          </w:tcPr>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3470" w:lineRule="exact"/>
              <w:ind w:firstLine="474"/>
              <w:rPr>
                <w:highlight w:val="none"/>
              </w:rPr>
            </w:pPr>
            <w:r>
              <w:rPr>
                <w:position w:val="-69"/>
                <w:highlight w:val="none"/>
              </w:rPr>
              <w:drawing>
                <wp:inline distT="0" distB="0" distL="0" distR="0">
                  <wp:extent cx="923290" cy="2203450"/>
                  <wp:effectExtent l="0" t="0" r="10160" b="635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
                          <a:stretch>
                            <a:fillRect/>
                          </a:stretch>
                        </pic:blipFill>
                        <pic:spPr>
                          <a:xfrm>
                            <a:off x="0" y="0"/>
                            <a:ext cx="923596" cy="2203553"/>
                          </a:xfrm>
                          <a:prstGeom prst="rect">
                            <a:avLst/>
                          </a:prstGeom>
                        </pic:spPr>
                      </pic:pic>
                    </a:graphicData>
                  </a:graphic>
                </wp:inline>
              </w:drawing>
            </w:r>
          </w:p>
        </w:tc>
      </w:tr>
    </w:tbl>
    <w:p>
      <w:pPr>
        <w:rPr>
          <w:rFonts w:ascii="Arial"/>
          <w:sz w:val="21"/>
          <w:highlight w:val="none"/>
        </w:rPr>
      </w:pPr>
    </w:p>
    <w:p>
      <w:pPr>
        <w:rPr>
          <w:rFonts w:ascii="Arial" w:hAnsi="Arial" w:eastAsia="Arial" w:cs="Arial"/>
          <w:sz w:val="21"/>
          <w:szCs w:val="21"/>
          <w:highlight w:val="none"/>
        </w:rPr>
        <w:sectPr>
          <w:pgSz w:w="16837" w:h="11905"/>
          <w:pgMar w:top="1011" w:right="1463" w:bottom="0" w:left="386" w:header="0" w:footer="0" w:gutter="0"/>
          <w:pgNumType w:fmt="decimal"/>
          <w:cols w:space="720" w:num="1"/>
        </w:sectPr>
      </w:pPr>
    </w:p>
    <w:p>
      <w:pPr>
        <w:spacing w:before="176"/>
        <w:rPr>
          <w:highlight w:val="none"/>
        </w:rPr>
      </w:pPr>
    </w:p>
    <w:tbl>
      <w:tblPr>
        <w:tblStyle w:val="55"/>
        <w:tblW w:w="159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1394"/>
        <w:gridCol w:w="8649"/>
        <w:gridCol w:w="1100"/>
        <w:gridCol w:w="1633"/>
        <w:gridCol w:w="2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3" w:hRule="atLeast"/>
        </w:trPr>
        <w:tc>
          <w:tcPr>
            <w:tcW w:w="765" w:type="dxa"/>
            <w:vAlign w:val="top"/>
          </w:tcPr>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7" w:lineRule="auto"/>
              <w:rPr>
                <w:rFonts w:ascii="Arial"/>
                <w:sz w:val="21"/>
                <w:highlight w:val="none"/>
              </w:rPr>
            </w:pPr>
          </w:p>
          <w:p>
            <w:pPr>
              <w:pStyle w:val="54"/>
              <w:spacing w:before="71" w:line="182" w:lineRule="auto"/>
              <w:ind w:left="314"/>
              <w:rPr>
                <w:sz w:val="22"/>
                <w:szCs w:val="22"/>
                <w:highlight w:val="none"/>
              </w:rPr>
            </w:pPr>
            <w:r>
              <w:rPr>
                <w:sz w:val="22"/>
                <w:szCs w:val="22"/>
                <w:highlight w:val="none"/>
              </w:rPr>
              <w:t>5</w:t>
            </w:r>
          </w:p>
        </w:tc>
        <w:tc>
          <w:tcPr>
            <w:tcW w:w="1394" w:type="dxa"/>
            <w:vAlign w:val="top"/>
          </w:tcPr>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pStyle w:val="54"/>
              <w:spacing w:before="17" w:line="222" w:lineRule="auto"/>
              <w:ind w:left="108"/>
              <w:rPr>
                <w:sz w:val="22"/>
                <w:szCs w:val="22"/>
                <w:highlight w:val="none"/>
              </w:rPr>
            </w:pPr>
            <w:r>
              <w:rPr>
                <w:spacing w:val="-2"/>
                <w:sz w:val="22"/>
                <w:szCs w:val="22"/>
                <w:highlight w:val="none"/>
              </w:rPr>
              <w:t>篮球运球测</w:t>
            </w:r>
          </w:p>
          <w:p>
            <w:pPr>
              <w:pStyle w:val="54"/>
              <w:spacing w:before="10" w:line="220" w:lineRule="auto"/>
              <w:ind w:left="438"/>
              <w:rPr>
                <w:sz w:val="22"/>
                <w:szCs w:val="22"/>
                <w:highlight w:val="none"/>
              </w:rPr>
            </w:pPr>
            <w:r>
              <w:rPr>
                <w:spacing w:val="-5"/>
                <w:sz w:val="22"/>
                <w:szCs w:val="22"/>
                <w:highlight w:val="none"/>
              </w:rPr>
              <w:t>试仪</w:t>
            </w:r>
          </w:p>
        </w:tc>
        <w:tc>
          <w:tcPr>
            <w:tcW w:w="8649" w:type="dxa"/>
            <w:vAlign w:val="top"/>
          </w:tcPr>
          <w:p>
            <w:pPr>
              <w:pStyle w:val="54"/>
              <w:spacing w:before="74" w:line="219" w:lineRule="auto"/>
              <w:ind w:left="29"/>
              <w:rPr>
                <w:highlight w:val="none"/>
              </w:rPr>
            </w:pPr>
            <w:r>
              <w:rPr>
                <w:spacing w:val="8"/>
                <w:highlight w:val="none"/>
              </w:rPr>
              <w:t>单机:</w:t>
            </w:r>
          </w:p>
          <w:p>
            <w:pPr>
              <w:pStyle w:val="54"/>
              <w:spacing w:before="9" w:line="219" w:lineRule="auto"/>
              <w:ind w:left="40"/>
              <w:rPr>
                <w:highlight w:val="none"/>
              </w:rPr>
            </w:pPr>
            <w:r>
              <w:rPr>
                <w:spacing w:val="-1"/>
                <w:highlight w:val="none"/>
              </w:rPr>
              <w:t>1.测试受试者的位移速度、身体协调平衡能力和弹跳能力；</w:t>
            </w:r>
          </w:p>
          <w:p>
            <w:pPr>
              <w:pStyle w:val="54"/>
              <w:spacing w:before="8" w:line="226" w:lineRule="auto"/>
              <w:ind w:left="30" w:right="80" w:hanging="1"/>
              <w:rPr>
                <w:highlight w:val="none"/>
              </w:rPr>
            </w:pPr>
            <w:r>
              <w:rPr>
                <w:spacing w:val="-1"/>
                <w:highlight w:val="none"/>
              </w:rPr>
              <w:t>2.可选配≥96*32分辨率的无线 LED点阵大显示屏，阳光下清晰可见，可与测试感应探头无线连接，</w:t>
            </w:r>
            <w:r>
              <w:rPr>
                <w:spacing w:val="18"/>
                <w:highlight w:val="none"/>
              </w:rPr>
              <w:t xml:space="preserve"> </w:t>
            </w:r>
            <w:r>
              <w:rPr>
                <w:spacing w:val="-1"/>
                <w:highlight w:val="none"/>
              </w:rPr>
              <w:t>也可与主机无线连接，无任何冗长线束干扰磕绊；</w:t>
            </w:r>
          </w:p>
          <w:p>
            <w:pPr>
              <w:pStyle w:val="54"/>
              <w:spacing w:before="10" w:line="225" w:lineRule="auto"/>
              <w:ind w:left="35" w:right="144" w:hanging="4"/>
              <w:rPr>
                <w:highlight w:val="none"/>
              </w:rPr>
            </w:pPr>
            <w:r>
              <w:rPr>
                <w:highlight w:val="none"/>
              </w:rPr>
              <w:t>3.折返点具有犯规检测装置，设备对未到达折回点的能自动判定为无成绩；终点采</w:t>
            </w:r>
            <w:r>
              <w:rPr>
                <w:spacing w:val="-1"/>
                <w:highlight w:val="none"/>
              </w:rPr>
              <w:t>用红外感应检测计</w:t>
            </w:r>
            <w:r>
              <w:rPr>
                <w:highlight w:val="none"/>
              </w:rPr>
              <w:t xml:space="preserve"> </w:t>
            </w:r>
            <w:r>
              <w:rPr>
                <w:spacing w:val="-8"/>
                <w:highlight w:val="none"/>
              </w:rPr>
              <w:t>时。</w:t>
            </w:r>
          </w:p>
          <w:p>
            <w:pPr>
              <w:pStyle w:val="54"/>
              <w:spacing w:before="9" w:line="241" w:lineRule="exact"/>
              <w:ind w:left="26"/>
              <w:rPr>
                <w:highlight w:val="none"/>
              </w:rPr>
            </w:pPr>
            <w:r>
              <w:rPr>
                <w:spacing w:val="-5"/>
                <w:position w:val="4"/>
                <w:highlight w:val="none"/>
              </w:rPr>
              <w:t>4.起点感应触发计时，无需抢跑</w:t>
            </w:r>
            <w:r>
              <w:rPr>
                <w:spacing w:val="-5"/>
                <w:position w:val="-18"/>
                <w:highlight w:val="none"/>
              </w:rPr>
              <w:t>~</w:t>
            </w:r>
            <w:r>
              <w:rPr>
                <w:spacing w:val="-5"/>
                <w:position w:val="4"/>
                <w:highlight w:val="none"/>
              </w:rPr>
              <w:t>犯规检测。</w:t>
            </w:r>
          </w:p>
          <w:p>
            <w:pPr>
              <w:pStyle w:val="54"/>
              <w:spacing w:before="1" w:line="214" w:lineRule="auto"/>
              <w:ind w:left="29" w:right="5206" w:firstLine="2"/>
              <w:rPr>
                <w:highlight w:val="none"/>
              </w:rPr>
            </w:pPr>
            <w:r>
              <w:rPr>
                <w:spacing w:val="-2"/>
                <w:highlight w:val="none"/>
              </w:rPr>
              <w:t>5.标配1人测试，每人可测试1 2次。</w:t>
            </w:r>
            <w:r>
              <w:rPr>
                <w:spacing w:val="7"/>
                <w:highlight w:val="none"/>
              </w:rPr>
              <w:t xml:space="preserve"> </w:t>
            </w:r>
            <w:r>
              <w:rPr>
                <w:spacing w:val="8"/>
                <w:highlight w:val="none"/>
              </w:rPr>
              <w:t>主机:</w:t>
            </w:r>
          </w:p>
          <w:p>
            <w:pPr>
              <w:pStyle w:val="54"/>
              <w:spacing w:before="11" w:line="226" w:lineRule="auto"/>
              <w:ind w:left="28" w:right="103" w:firstLine="12"/>
              <w:rPr>
                <w:highlight w:val="none"/>
              </w:rPr>
            </w:pPr>
            <w:r>
              <w:rPr>
                <w:highlight w:val="none"/>
              </w:rPr>
              <w:t>1.主机采用原生Android7.0及以上系统，能够安装APK程序以拓展使用功能及产品升级（可现场演</w:t>
            </w:r>
            <w:r>
              <w:rPr>
                <w:spacing w:val="4"/>
                <w:highlight w:val="none"/>
              </w:rPr>
              <w:t xml:space="preserve">  </w:t>
            </w:r>
            <w:r>
              <w:rPr>
                <w:highlight w:val="none"/>
              </w:rPr>
              <w:t>示</w:t>
            </w:r>
            <w:r>
              <w:rPr>
                <w:spacing w:val="6"/>
                <w:highlight w:val="none"/>
              </w:rPr>
              <w:t>），</w:t>
            </w:r>
            <w:r>
              <w:rPr>
                <w:highlight w:val="none"/>
              </w:rPr>
              <w:t>屏幕采用≥7吋1024×600高清触摸电容屏；主机≥1.0GB以上运行内存，</w:t>
            </w:r>
            <w:r>
              <w:rPr>
                <w:spacing w:val="-66"/>
                <w:highlight w:val="none"/>
              </w:rPr>
              <w:t xml:space="preserve"> </w:t>
            </w:r>
            <w:r>
              <w:rPr>
                <w:highlight w:val="none"/>
              </w:rPr>
              <w:t xml:space="preserve">≥4GB FLASH存储空间 </w:t>
            </w:r>
            <w:r>
              <w:rPr>
                <w:spacing w:val="-1"/>
                <w:highlight w:val="none"/>
              </w:rPr>
              <w:t>。可直插U盘播放测试视频录像。</w:t>
            </w:r>
          </w:p>
          <w:p>
            <w:pPr>
              <w:pStyle w:val="54"/>
              <w:spacing w:before="12" w:line="219" w:lineRule="auto"/>
              <w:ind w:left="29"/>
              <w:rPr>
                <w:highlight w:val="none"/>
              </w:rPr>
            </w:pPr>
            <w:r>
              <w:rPr>
                <w:highlight w:val="none"/>
              </w:rPr>
              <w:t>2.主机采用硅胶按键，经久耐用，适用</w:t>
            </w:r>
            <w:r>
              <w:rPr>
                <w:spacing w:val="-1"/>
                <w:highlight w:val="none"/>
              </w:rPr>
              <w:t>于大规模测试。</w:t>
            </w:r>
          </w:p>
          <w:p>
            <w:pPr>
              <w:pStyle w:val="54"/>
              <w:spacing w:before="9" w:line="219" w:lineRule="auto"/>
              <w:ind w:left="31"/>
              <w:rPr>
                <w:highlight w:val="none"/>
              </w:rPr>
            </w:pPr>
            <w:r>
              <w:rPr>
                <w:spacing w:val="-1"/>
                <w:highlight w:val="none"/>
              </w:rPr>
              <w:t>3.主机内置二维码扫描仪（非外接型</w:t>
            </w:r>
            <w:r>
              <w:rPr>
                <w:spacing w:val="18"/>
                <w:highlight w:val="none"/>
              </w:rPr>
              <w:t>），</w:t>
            </w:r>
            <w:r>
              <w:rPr>
                <w:spacing w:val="-1"/>
                <w:highlight w:val="none"/>
              </w:rPr>
              <w:t>自动</w:t>
            </w:r>
            <w:r>
              <w:rPr>
                <w:spacing w:val="-2"/>
                <w:highlight w:val="none"/>
              </w:rPr>
              <w:t>识别测试者二维码身份信息。</w:t>
            </w:r>
          </w:p>
          <w:p>
            <w:pPr>
              <w:pStyle w:val="54"/>
              <w:spacing w:before="10" w:line="219" w:lineRule="auto"/>
              <w:ind w:left="26"/>
              <w:rPr>
                <w:highlight w:val="none"/>
              </w:rPr>
            </w:pPr>
            <w:r>
              <w:rPr>
                <w:highlight w:val="none"/>
              </w:rPr>
              <w:t>4.主机具有AI语音智能识别功能，可通过语音智能控制调节屏幕亮度，音量大小，关闭程序等功能</w:t>
            </w:r>
          </w:p>
          <w:p>
            <w:pPr>
              <w:pStyle w:val="54"/>
              <w:spacing w:before="127" w:line="92" w:lineRule="exact"/>
              <w:ind w:left="45"/>
              <w:rPr>
                <w:highlight w:val="none"/>
              </w:rPr>
            </w:pPr>
            <w:r>
              <w:rPr>
                <w:position w:val="1"/>
                <w:highlight w:val="none"/>
              </w:rPr>
              <w:t>。</w:t>
            </w:r>
          </w:p>
          <w:p>
            <w:pPr>
              <w:pStyle w:val="54"/>
              <w:spacing w:before="16" w:line="224" w:lineRule="auto"/>
              <w:ind w:left="29" w:right="31" w:firstLine="2"/>
              <w:rPr>
                <w:highlight w:val="none"/>
              </w:rPr>
            </w:pPr>
            <w:r>
              <w:rPr>
                <w:highlight w:val="none"/>
              </w:rPr>
              <w:t>5.主机具备≥2个USB标准接口（非外接扩展</w:t>
            </w:r>
            <w:r>
              <w:rPr>
                <w:spacing w:val="7"/>
                <w:highlight w:val="none"/>
              </w:rPr>
              <w:t>），</w:t>
            </w:r>
            <w:r>
              <w:rPr>
                <w:highlight w:val="none"/>
              </w:rPr>
              <w:t>可直接插入U盘导入≥100000条测试名单信息，也可</w:t>
            </w:r>
            <w:r>
              <w:rPr>
                <w:spacing w:val="1"/>
                <w:highlight w:val="none"/>
              </w:rPr>
              <w:t xml:space="preserve"> </w:t>
            </w:r>
            <w:r>
              <w:rPr>
                <w:highlight w:val="none"/>
              </w:rPr>
              <w:t>直接导出测试成绩至U盘自动生成Excel表格。主机同时支持学生名单的无线同步和离线导入功能。</w:t>
            </w:r>
          </w:p>
          <w:p>
            <w:pPr>
              <w:pStyle w:val="54"/>
              <w:spacing w:before="12" w:line="224" w:lineRule="auto"/>
              <w:ind w:left="31" w:right="3954" w:hanging="2"/>
              <w:rPr>
                <w:highlight w:val="none"/>
              </w:rPr>
            </w:pPr>
            <w:r>
              <w:rPr>
                <w:spacing w:val="-2"/>
                <w:highlight w:val="none"/>
              </w:rPr>
              <w:t>6.可扩展人脸识别设备，自动识别测试者身份信息，</w:t>
            </w:r>
            <w:r>
              <w:rPr>
                <w:spacing w:val="12"/>
                <w:highlight w:val="none"/>
              </w:rPr>
              <w:t xml:space="preserve"> </w:t>
            </w:r>
            <w:r>
              <w:rPr>
                <w:spacing w:val="-2"/>
                <w:highlight w:val="none"/>
              </w:rPr>
              <w:t>7.可选配刷身份证，主机自动获取测试者身份信息。</w:t>
            </w:r>
          </w:p>
          <w:p>
            <w:pPr>
              <w:pStyle w:val="54"/>
              <w:spacing w:before="9" w:line="227" w:lineRule="auto"/>
              <w:ind w:left="27" w:right="148"/>
              <w:rPr>
                <w:highlight w:val="none"/>
              </w:rPr>
            </w:pPr>
            <w:r>
              <w:rPr>
                <w:highlight w:val="none"/>
              </w:rPr>
              <w:t>8.主机具多种身份识别功能：可通过触摸屏输入、机械键盘输入、非接触式</w:t>
            </w:r>
            <w:r>
              <w:rPr>
                <w:spacing w:val="-1"/>
                <w:highlight w:val="none"/>
              </w:rPr>
              <w:t>IC卡（兼容校园一卡通）</w:t>
            </w:r>
            <w:r>
              <w:rPr>
                <w:highlight w:val="none"/>
              </w:rPr>
              <w:t xml:space="preserve"> 、条码扫描仪等识别方法；输入学号具备自动递增功能；主机菜单具备单项查询</w:t>
            </w:r>
            <w:r>
              <w:rPr>
                <w:spacing w:val="-1"/>
                <w:highlight w:val="none"/>
              </w:rPr>
              <w:t>，集体查询，分组查</w:t>
            </w:r>
            <w:r>
              <w:rPr>
                <w:highlight w:val="none"/>
              </w:rPr>
              <w:t xml:space="preserve"> </w:t>
            </w:r>
            <w:r>
              <w:rPr>
                <w:spacing w:val="-1"/>
                <w:highlight w:val="none"/>
              </w:rPr>
              <w:t>询，具有年级班级组别日期等多种筛选数据方式，查询便捷。</w:t>
            </w:r>
          </w:p>
          <w:p>
            <w:pPr>
              <w:pStyle w:val="54"/>
              <w:spacing w:before="8" w:line="226" w:lineRule="auto"/>
              <w:ind w:left="29" w:right="232" w:hanging="1"/>
              <w:rPr>
                <w:highlight w:val="none"/>
              </w:rPr>
            </w:pPr>
            <w:r>
              <w:rPr>
                <w:highlight w:val="none"/>
              </w:rPr>
              <w:t>9.主机支持U盘直接导入国标和自定义评分标准，主机内嵌国标可以根据年级性别项目进行</w:t>
            </w:r>
            <w:r>
              <w:rPr>
                <w:spacing w:val="-1"/>
                <w:highlight w:val="none"/>
              </w:rPr>
              <w:t>实时评</w:t>
            </w:r>
            <w:r>
              <w:rPr>
                <w:highlight w:val="none"/>
              </w:rPr>
              <w:t xml:space="preserve"> 分，适用于体测；也可以自定义导入评分标准对测试结果</w:t>
            </w:r>
            <w:r>
              <w:rPr>
                <w:spacing w:val="-1"/>
                <w:highlight w:val="none"/>
              </w:rPr>
              <w:t>进行评分，适用于考试。</w:t>
            </w:r>
          </w:p>
          <w:p>
            <w:pPr>
              <w:pStyle w:val="54"/>
              <w:spacing w:before="9" w:line="219" w:lineRule="auto"/>
              <w:ind w:left="40"/>
              <w:rPr>
                <w:highlight w:val="none"/>
              </w:rPr>
            </w:pPr>
            <w:r>
              <w:rPr>
                <w:highlight w:val="none"/>
              </w:rPr>
              <w:t>10.主机支持头像管理，主机可以通过U盘批量导入学生头像10000</w:t>
            </w:r>
            <w:r>
              <w:rPr>
                <w:spacing w:val="-1"/>
                <w:highlight w:val="none"/>
              </w:rPr>
              <w:t>条以上。</w:t>
            </w:r>
          </w:p>
          <w:p>
            <w:pPr>
              <w:pStyle w:val="54"/>
              <w:spacing w:before="8" w:line="226" w:lineRule="auto"/>
              <w:ind w:left="40" w:right="52"/>
              <w:rPr>
                <w:highlight w:val="none"/>
              </w:rPr>
            </w:pPr>
            <w:r>
              <w:rPr>
                <w:highlight w:val="none"/>
              </w:rPr>
              <w:t>11.主机查询结果能一屏同时显示测试学校、年级、班级、学生姓</w:t>
            </w:r>
            <w:r>
              <w:rPr>
                <w:spacing w:val="-1"/>
                <w:highlight w:val="none"/>
              </w:rPr>
              <w:t>名、性别、测试成绩、测试日期及时</w:t>
            </w:r>
            <w:r>
              <w:rPr>
                <w:highlight w:val="none"/>
              </w:rPr>
              <w:t xml:space="preserve"> 间，方便后期督查。主机具有日志管理，记录操</w:t>
            </w:r>
            <w:r>
              <w:rPr>
                <w:spacing w:val="-1"/>
                <w:highlight w:val="none"/>
              </w:rPr>
              <w:t>作人员在主机上的所有操作，便于异常情况的追溯。</w:t>
            </w:r>
          </w:p>
          <w:p>
            <w:pPr>
              <w:pStyle w:val="54"/>
              <w:spacing w:before="10" w:line="224" w:lineRule="auto"/>
              <w:ind w:left="26" w:right="52" w:firstLine="14"/>
              <w:rPr>
                <w:highlight w:val="none"/>
              </w:rPr>
            </w:pPr>
            <w:r>
              <w:rPr>
                <w:highlight w:val="none"/>
              </w:rPr>
              <w:t>12.主机具有数据备份和恢复功能，可以备份任意时间段体测程序</w:t>
            </w:r>
            <w:r>
              <w:rPr>
                <w:spacing w:val="-1"/>
                <w:highlight w:val="none"/>
              </w:rPr>
              <w:t>里面的所有数据，可以备份多次保存</w:t>
            </w:r>
            <w:r>
              <w:rPr>
                <w:highlight w:val="none"/>
              </w:rPr>
              <w:t xml:space="preserve"> 在存储芯片里面。支持一键恢复，根据日期选择要恢复的备份，自</w:t>
            </w:r>
            <w:r>
              <w:rPr>
                <w:spacing w:val="-1"/>
                <w:highlight w:val="none"/>
              </w:rPr>
              <w:t>动恢复测试数据。</w:t>
            </w:r>
          </w:p>
          <w:p>
            <w:pPr>
              <w:pStyle w:val="54"/>
              <w:spacing w:before="12" w:line="220" w:lineRule="auto"/>
              <w:ind w:left="40"/>
              <w:rPr>
                <w:highlight w:val="none"/>
              </w:rPr>
            </w:pPr>
            <w:r>
              <w:rPr>
                <w:spacing w:val="-2"/>
                <w:highlight w:val="none"/>
              </w:rPr>
              <w:t>13.主要技术参数</w:t>
            </w:r>
            <w:r>
              <w:rPr>
                <w:spacing w:val="-1"/>
                <w:highlight w:val="none"/>
              </w:rPr>
              <w:t>★</w:t>
            </w:r>
            <w:r>
              <w:rPr>
                <w:spacing w:val="-2"/>
                <w:highlight w:val="none"/>
              </w:rPr>
              <w:t>：</w:t>
            </w:r>
          </w:p>
          <w:p>
            <w:pPr>
              <w:pStyle w:val="54"/>
              <w:spacing w:before="9" w:line="224" w:lineRule="auto"/>
              <w:ind w:left="569" w:right="5614" w:firstLine="7"/>
              <w:rPr>
                <w:highlight w:val="none"/>
              </w:rPr>
            </w:pPr>
            <w:r>
              <w:rPr>
                <w:highlight w:val="none"/>
              </w:rPr>
              <w:t>测量范围：0～9999.99S</w:t>
            </w:r>
            <w:r>
              <w:rPr>
                <w:spacing w:val="6"/>
                <w:highlight w:val="none"/>
              </w:rPr>
              <w:t xml:space="preserve"> </w:t>
            </w:r>
            <w:r>
              <w:rPr>
                <w:spacing w:val="-1"/>
                <w:highlight w:val="none"/>
              </w:rPr>
              <w:t>分度值：0.01s</w:t>
            </w:r>
          </w:p>
          <w:p>
            <w:pPr>
              <w:pStyle w:val="54"/>
              <w:spacing w:before="11" w:line="222" w:lineRule="auto"/>
              <w:ind w:left="485"/>
              <w:rPr>
                <w:highlight w:val="none"/>
              </w:rPr>
            </w:pPr>
            <w:r>
              <w:rPr>
                <w:spacing w:val="-4"/>
                <w:highlight w:val="none"/>
              </w:rPr>
              <w:t>误差：</w:t>
            </w:r>
            <w:r>
              <w:rPr>
                <w:spacing w:val="-62"/>
                <w:highlight w:val="none"/>
              </w:rPr>
              <w:t xml:space="preserve"> </w:t>
            </w:r>
            <w:r>
              <w:rPr>
                <w:spacing w:val="-4"/>
                <w:highlight w:val="none"/>
              </w:rPr>
              <w:t>±0.2%</w:t>
            </w:r>
          </w:p>
        </w:tc>
        <w:tc>
          <w:tcPr>
            <w:tcW w:w="1100" w:type="dxa"/>
            <w:vAlign w:val="top"/>
          </w:tcPr>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pStyle w:val="54"/>
              <w:spacing w:before="78" w:line="184" w:lineRule="auto"/>
              <w:ind w:left="487"/>
              <w:rPr>
                <w:rFonts w:hint="eastAsia" w:eastAsia="宋体"/>
                <w:sz w:val="24"/>
                <w:szCs w:val="24"/>
                <w:highlight w:val="none"/>
                <w:lang w:eastAsia="zh-CN"/>
              </w:rPr>
            </w:pPr>
            <w:r>
              <w:rPr>
                <w:rFonts w:hint="eastAsia"/>
                <w:sz w:val="24"/>
                <w:szCs w:val="24"/>
                <w:highlight w:val="none"/>
                <w:lang w:val="en-US" w:eastAsia="zh-CN"/>
              </w:rPr>
              <w:t>2</w:t>
            </w:r>
          </w:p>
        </w:tc>
        <w:tc>
          <w:tcPr>
            <w:tcW w:w="1633" w:type="dxa"/>
            <w:vAlign w:val="top"/>
          </w:tcPr>
          <w:p>
            <w:pPr>
              <w:spacing w:line="242" w:lineRule="auto"/>
              <w:rPr>
                <w:rFonts w:ascii="Arial"/>
                <w:sz w:val="21"/>
                <w:highlight w:val="none"/>
              </w:rPr>
            </w:pPr>
          </w:p>
          <w:p>
            <w:pPr>
              <w:spacing w:line="242"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pStyle w:val="54"/>
              <w:spacing w:before="78" w:line="221" w:lineRule="auto"/>
              <w:ind w:left="420"/>
              <w:rPr>
                <w:rFonts w:hint="default" w:eastAsia="宋体"/>
                <w:sz w:val="24"/>
                <w:szCs w:val="24"/>
                <w:highlight w:val="none"/>
                <w:lang w:val="en-US" w:eastAsia="zh-CN"/>
              </w:rPr>
            </w:pPr>
          </w:p>
        </w:tc>
        <w:tc>
          <w:tcPr>
            <w:tcW w:w="2436" w:type="dxa"/>
            <w:vAlign w:val="top"/>
          </w:tcPr>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3" w:lineRule="auto"/>
              <w:rPr>
                <w:rFonts w:ascii="Arial"/>
                <w:sz w:val="21"/>
                <w:highlight w:val="none"/>
              </w:rPr>
            </w:pPr>
          </w:p>
          <w:p>
            <w:pPr>
              <w:spacing w:line="3140" w:lineRule="exact"/>
              <w:ind w:firstLine="261"/>
              <w:rPr>
                <w:highlight w:val="none"/>
              </w:rPr>
            </w:pPr>
            <w:r>
              <w:rPr>
                <w:position w:val="-62"/>
                <w:highlight w:val="none"/>
              </w:rPr>
              <w:drawing>
                <wp:inline distT="0" distB="0" distL="0" distR="0">
                  <wp:extent cx="1069340" cy="1993265"/>
                  <wp:effectExtent l="0" t="0" r="0" b="698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1069393" cy="1993666"/>
                          </a:xfrm>
                          <a:prstGeom prst="rect">
                            <a:avLst/>
                          </a:prstGeom>
                        </pic:spPr>
                      </pic:pic>
                    </a:graphicData>
                  </a:graphic>
                </wp:inline>
              </w:drawing>
            </w:r>
          </w:p>
        </w:tc>
      </w:tr>
    </w:tbl>
    <w:p>
      <w:pPr>
        <w:rPr>
          <w:rFonts w:ascii="Arial"/>
          <w:sz w:val="21"/>
          <w:highlight w:val="none"/>
        </w:rPr>
      </w:pPr>
    </w:p>
    <w:p>
      <w:pPr>
        <w:rPr>
          <w:rFonts w:ascii="Arial" w:hAnsi="Arial" w:eastAsia="Arial" w:cs="Arial"/>
          <w:sz w:val="21"/>
          <w:szCs w:val="21"/>
          <w:highlight w:val="none"/>
        </w:rPr>
        <w:sectPr>
          <w:pgSz w:w="16837" w:h="11905"/>
          <w:pgMar w:top="1011" w:right="1463" w:bottom="0" w:left="386" w:header="0" w:footer="0" w:gutter="0"/>
          <w:pgNumType w:fmt="decimal"/>
          <w:cols w:space="720" w:num="1"/>
        </w:sectPr>
      </w:pPr>
    </w:p>
    <w:p>
      <w:pPr>
        <w:spacing w:before="176"/>
        <w:rPr>
          <w:highlight w:val="none"/>
        </w:rPr>
      </w:pPr>
    </w:p>
    <w:tbl>
      <w:tblPr>
        <w:tblStyle w:val="55"/>
        <w:tblW w:w="158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7"/>
        <w:gridCol w:w="1381"/>
        <w:gridCol w:w="8563"/>
        <w:gridCol w:w="1089"/>
        <w:gridCol w:w="1616"/>
        <w:gridCol w:w="2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37" w:hRule="atLeast"/>
        </w:trPr>
        <w:tc>
          <w:tcPr>
            <w:tcW w:w="757" w:type="dxa"/>
            <w:vAlign w:val="top"/>
          </w:tcPr>
          <w:p>
            <w:pPr>
              <w:spacing w:line="244" w:lineRule="auto"/>
              <w:rPr>
                <w:rFonts w:ascii="Arial"/>
                <w:sz w:val="21"/>
                <w:highlight w:val="none"/>
              </w:rPr>
            </w:pPr>
          </w:p>
          <w:p>
            <w:pPr>
              <w:spacing w:line="244"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pStyle w:val="54"/>
              <w:spacing w:before="71" w:line="183" w:lineRule="auto"/>
              <w:ind w:left="311"/>
              <w:rPr>
                <w:sz w:val="22"/>
                <w:szCs w:val="22"/>
                <w:highlight w:val="none"/>
              </w:rPr>
            </w:pPr>
            <w:r>
              <w:rPr>
                <w:sz w:val="22"/>
                <w:szCs w:val="22"/>
                <w:highlight w:val="none"/>
              </w:rPr>
              <w:t>6</w:t>
            </w:r>
          </w:p>
        </w:tc>
        <w:tc>
          <w:tcPr>
            <w:tcW w:w="1381" w:type="dxa"/>
            <w:vAlign w:val="top"/>
          </w:tcPr>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4" w:lineRule="auto"/>
              <w:rPr>
                <w:rFonts w:ascii="Arial"/>
                <w:sz w:val="21"/>
                <w:highlight w:val="none"/>
              </w:rPr>
            </w:pPr>
          </w:p>
          <w:p>
            <w:pPr>
              <w:pStyle w:val="54"/>
              <w:spacing w:before="17" w:line="221" w:lineRule="auto"/>
              <w:ind w:left="112"/>
              <w:rPr>
                <w:sz w:val="22"/>
                <w:szCs w:val="22"/>
                <w:highlight w:val="none"/>
              </w:rPr>
            </w:pPr>
            <w:r>
              <w:rPr>
                <w:spacing w:val="-3"/>
                <w:sz w:val="22"/>
                <w:szCs w:val="22"/>
                <w:highlight w:val="none"/>
              </w:rPr>
              <w:t>实心球测试</w:t>
            </w:r>
          </w:p>
          <w:p>
            <w:pPr>
              <w:pStyle w:val="54"/>
              <w:spacing w:before="8" w:line="220" w:lineRule="auto"/>
              <w:ind w:left="547"/>
              <w:rPr>
                <w:sz w:val="22"/>
                <w:szCs w:val="22"/>
                <w:highlight w:val="none"/>
              </w:rPr>
            </w:pPr>
            <w:r>
              <w:rPr>
                <w:sz w:val="22"/>
                <w:szCs w:val="22"/>
                <w:highlight w:val="none"/>
              </w:rPr>
              <w:t>仪</w:t>
            </w:r>
          </w:p>
        </w:tc>
        <w:tc>
          <w:tcPr>
            <w:tcW w:w="8563" w:type="dxa"/>
            <w:vAlign w:val="top"/>
          </w:tcPr>
          <w:p>
            <w:pPr>
              <w:pStyle w:val="54"/>
              <w:spacing w:before="167" w:line="219" w:lineRule="auto"/>
              <w:ind w:left="29"/>
              <w:rPr>
                <w:highlight w:val="none"/>
              </w:rPr>
            </w:pPr>
            <w:r>
              <w:rPr>
                <w:spacing w:val="8"/>
                <w:highlight w:val="none"/>
              </w:rPr>
              <w:t>单机:</w:t>
            </w:r>
          </w:p>
          <w:p>
            <w:pPr>
              <w:pStyle w:val="54"/>
              <w:spacing w:before="9" w:line="219" w:lineRule="auto"/>
              <w:ind w:left="40"/>
              <w:rPr>
                <w:highlight w:val="none"/>
              </w:rPr>
            </w:pPr>
            <w:r>
              <w:rPr>
                <w:spacing w:val="-2"/>
                <w:highlight w:val="none"/>
              </w:rPr>
              <w:t>1.反映人体上肢爆发力水平，</w:t>
            </w:r>
          </w:p>
          <w:p>
            <w:pPr>
              <w:pStyle w:val="54"/>
              <w:spacing w:before="12" w:line="219" w:lineRule="auto"/>
              <w:ind w:left="29"/>
              <w:rPr>
                <w:highlight w:val="none"/>
              </w:rPr>
            </w:pPr>
            <w:r>
              <w:rPr>
                <w:highlight w:val="none"/>
              </w:rPr>
              <w:t>2.采用红外线非接触传感器测量原理，自动测量投掷实心球的距离，测试数据准</w:t>
            </w:r>
            <w:r>
              <w:rPr>
                <w:spacing w:val="-1"/>
                <w:highlight w:val="none"/>
              </w:rPr>
              <w:t>确，经久耐用。</w:t>
            </w:r>
          </w:p>
          <w:p>
            <w:pPr>
              <w:pStyle w:val="54"/>
              <w:spacing w:before="8" w:line="225" w:lineRule="auto"/>
              <w:ind w:left="26" w:right="40" w:firstLine="4"/>
              <w:rPr>
                <w:highlight w:val="none"/>
              </w:rPr>
            </w:pPr>
            <w:r>
              <w:rPr>
                <w:highlight w:val="none"/>
              </w:rPr>
              <w:t>3.采用≥96×16规格的LED点阵屏幕显示测试成绩，可显示中文、英文、数字和其它符号；配有红外</w:t>
            </w:r>
            <w:r>
              <w:rPr>
                <w:spacing w:val="6"/>
                <w:highlight w:val="none"/>
              </w:rPr>
              <w:t xml:space="preserve"> </w:t>
            </w:r>
            <w:r>
              <w:rPr>
                <w:spacing w:val="-1"/>
                <w:highlight w:val="none"/>
              </w:rPr>
              <w:t>遥控器，操作距离达2米以上。</w:t>
            </w:r>
          </w:p>
          <w:p>
            <w:pPr>
              <w:pStyle w:val="54"/>
              <w:spacing w:before="11" w:line="224" w:lineRule="auto"/>
              <w:ind w:left="28" w:right="319" w:hanging="2"/>
              <w:rPr>
                <w:highlight w:val="none"/>
              </w:rPr>
            </w:pPr>
            <w:r>
              <w:rPr>
                <w:highlight w:val="none"/>
              </w:rPr>
              <w:t>4.红外测试杆能保证≥8米长度、</w:t>
            </w:r>
            <w:r>
              <w:rPr>
                <w:spacing w:val="-65"/>
                <w:highlight w:val="none"/>
              </w:rPr>
              <w:t xml:space="preserve"> </w:t>
            </w:r>
            <w:r>
              <w:rPr>
                <w:highlight w:val="none"/>
              </w:rPr>
              <w:t>≥5米宽</w:t>
            </w:r>
            <w:r>
              <w:rPr>
                <w:spacing w:val="-1"/>
                <w:highlight w:val="none"/>
              </w:rPr>
              <w:t>度的有效测量感应范围，男女采用同一投掷线，无需切</w:t>
            </w:r>
            <w:r>
              <w:rPr>
                <w:highlight w:val="none"/>
              </w:rPr>
              <w:t xml:space="preserve"> </w:t>
            </w:r>
            <w:r>
              <w:rPr>
                <w:spacing w:val="-1"/>
                <w:highlight w:val="none"/>
              </w:rPr>
              <w:t>换，带起投犯规功能。</w:t>
            </w:r>
          </w:p>
          <w:p>
            <w:pPr>
              <w:pStyle w:val="54"/>
              <w:spacing w:before="10" w:line="219" w:lineRule="auto"/>
              <w:ind w:left="29"/>
              <w:rPr>
                <w:highlight w:val="none"/>
              </w:rPr>
            </w:pPr>
            <w:r>
              <w:rPr>
                <w:spacing w:val="8"/>
                <w:highlight w:val="none"/>
              </w:rPr>
              <w:t>主机:</w:t>
            </w:r>
          </w:p>
          <w:p>
            <w:pPr>
              <w:pStyle w:val="54"/>
              <w:spacing w:before="11" w:line="226" w:lineRule="auto"/>
              <w:ind w:left="28" w:right="103" w:firstLine="12"/>
              <w:rPr>
                <w:highlight w:val="none"/>
              </w:rPr>
            </w:pPr>
            <w:r>
              <w:rPr>
                <w:highlight w:val="none"/>
              </w:rPr>
              <w:t>1.主机采用原生Android7.0及以上系统，能够安装APK程序以拓展使用功能及产品升级（可现场演</w:t>
            </w:r>
            <w:r>
              <w:rPr>
                <w:spacing w:val="4"/>
                <w:highlight w:val="none"/>
              </w:rPr>
              <w:t xml:space="preserve">  </w:t>
            </w:r>
            <w:r>
              <w:rPr>
                <w:highlight w:val="none"/>
              </w:rPr>
              <w:t>示</w:t>
            </w:r>
            <w:r>
              <w:rPr>
                <w:spacing w:val="6"/>
                <w:highlight w:val="none"/>
              </w:rPr>
              <w:t>），</w:t>
            </w:r>
            <w:r>
              <w:rPr>
                <w:highlight w:val="none"/>
              </w:rPr>
              <w:t>屏幕采用≥7吋1024×600高清触摸电容屏；主机≥1.0GB以上运行内存，</w:t>
            </w:r>
            <w:r>
              <w:rPr>
                <w:spacing w:val="-66"/>
                <w:highlight w:val="none"/>
              </w:rPr>
              <w:t xml:space="preserve"> </w:t>
            </w:r>
            <w:r>
              <w:rPr>
                <w:highlight w:val="none"/>
              </w:rPr>
              <w:t xml:space="preserve">≥4GB FLASH存储空间 </w:t>
            </w:r>
            <w:r>
              <w:rPr>
                <w:spacing w:val="-1"/>
                <w:highlight w:val="none"/>
              </w:rPr>
              <w:t>。可直插U盘播放测试视频录像。</w:t>
            </w:r>
          </w:p>
          <w:p>
            <w:pPr>
              <w:pStyle w:val="54"/>
              <w:spacing w:before="11" w:line="219" w:lineRule="auto"/>
              <w:ind w:left="29"/>
              <w:rPr>
                <w:highlight w:val="none"/>
              </w:rPr>
            </w:pPr>
            <w:r>
              <w:rPr>
                <w:highlight w:val="none"/>
              </w:rPr>
              <w:t>2.主机采用硅胶按键，经久耐用，适用</w:t>
            </w:r>
            <w:r>
              <w:rPr>
                <w:spacing w:val="-1"/>
                <w:highlight w:val="none"/>
              </w:rPr>
              <w:t>于大规模测试。</w:t>
            </w:r>
          </w:p>
          <w:p>
            <w:pPr>
              <w:pStyle w:val="54"/>
              <w:spacing w:before="10" w:line="219" w:lineRule="auto"/>
              <w:ind w:left="31"/>
              <w:rPr>
                <w:highlight w:val="none"/>
              </w:rPr>
            </w:pPr>
            <w:r>
              <w:rPr>
                <w:spacing w:val="-1"/>
                <w:highlight w:val="none"/>
              </w:rPr>
              <w:t>3.主机内置二维码扫描仪（非外接型</w:t>
            </w:r>
            <w:r>
              <w:rPr>
                <w:spacing w:val="18"/>
                <w:highlight w:val="none"/>
              </w:rPr>
              <w:t>），</w:t>
            </w:r>
            <w:r>
              <w:rPr>
                <w:spacing w:val="-1"/>
                <w:highlight w:val="none"/>
              </w:rPr>
              <w:t>自动</w:t>
            </w:r>
            <w:r>
              <w:rPr>
                <w:spacing w:val="-2"/>
                <w:highlight w:val="none"/>
              </w:rPr>
              <w:t>识别测试者二维码身份信息。</w:t>
            </w:r>
          </w:p>
          <w:p>
            <w:pPr>
              <w:pStyle w:val="54"/>
              <w:spacing w:before="10" w:line="219" w:lineRule="auto"/>
              <w:ind w:left="26"/>
              <w:rPr>
                <w:highlight w:val="none"/>
              </w:rPr>
            </w:pPr>
            <w:r>
              <w:rPr>
                <w:highlight w:val="none"/>
              </w:rPr>
              <w:t>4.主机具有AI语音智能识别功能，可通过语音智能控制调节屏幕亮度，音量大小，关闭程序等功能</w:t>
            </w:r>
          </w:p>
          <w:p>
            <w:pPr>
              <w:pStyle w:val="54"/>
              <w:spacing w:before="126" w:line="92" w:lineRule="exact"/>
              <w:ind w:left="45"/>
              <w:rPr>
                <w:highlight w:val="none"/>
              </w:rPr>
            </w:pPr>
            <w:r>
              <w:rPr>
                <w:position w:val="1"/>
                <w:highlight w:val="none"/>
              </w:rPr>
              <w:t>。</w:t>
            </w:r>
          </w:p>
          <w:p>
            <w:pPr>
              <w:pStyle w:val="54"/>
              <w:spacing w:before="15" w:line="225" w:lineRule="auto"/>
              <w:ind w:left="29" w:right="31" w:firstLine="2"/>
              <w:rPr>
                <w:highlight w:val="none"/>
              </w:rPr>
            </w:pPr>
            <w:r>
              <w:rPr>
                <w:highlight w:val="none"/>
              </w:rPr>
              <w:t>5.主机具备≥2个USB标准接口（非外接扩展</w:t>
            </w:r>
            <w:r>
              <w:rPr>
                <w:spacing w:val="7"/>
                <w:highlight w:val="none"/>
              </w:rPr>
              <w:t>），</w:t>
            </w:r>
            <w:r>
              <w:rPr>
                <w:highlight w:val="none"/>
              </w:rPr>
              <w:t>可直接插入U盘导入≥100000条测试名单信息，也可</w:t>
            </w:r>
            <w:r>
              <w:rPr>
                <w:spacing w:val="1"/>
                <w:highlight w:val="none"/>
              </w:rPr>
              <w:t xml:space="preserve"> </w:t>
            </w:r>
            <w:r>
              <w:rPr>
                <w:highlight w:val="none"/>
              </w:rPr>
              <w:t>直接导出测试成绩至U盘自动生成Excel表格。主机同时支持学生名单的无线同步和离线导入功能。</w:t>
            </w:r>
          </w:p>
          <w:p>
            <w:pPr>
              <w:pStyle w:val="54"/>
              <w:spacing w:before="12" w:line="224" w:lineRule="auto"/>
              <w:ind w:left="31" w:right="3954" w:hanging="2"/>
              <w:rPr>
                <w:highlight w:val="none"/>
              </w:rPr>
            </w:pPr>
            <w:r>
              <w:rPr>
                <w:spacing w:val="-2"/>
                <w:highlight w:val="none"/>
              </w:rPr>
              <w:t>6.可扩展人脸识别设备，自动识别测试者身份信息，</w:t>
            </w:r>
            <w:r>
              <w:rPr>
                <w:spacing w:val="12"/>
                <w:highlight w:val="none"/>
              </w:rPr>
              <w:t xml:space="preserve"> </w:t>
            </w:r>
            <w:r>
              <w:rPr>
                <w:spacing w:val="-2"/>
                <w:highlight w:val="none"/>
              </w:rPr>
              <w:t>7.可选配刷身份证，主机自动获取测试者身份信息。</w:t>
            </w:r>
          </w:p>
          <w:p>
            <w:pPr>
              <w:pStyle w:val="54"/>
              <w:spacing w:before="8" w:line="227" w:lineRule="auto"/>
              <w:ind w:left="27" w:right="148"/>
              <w:rPr>
                <w:highlight w:val="none"/>
              </w:rPr>
            </w:pPr>
            <w:r>
              <w:rPr>
                <w:highlight w:val="none"/>
              </w:rPr>
              <w:t>8.主机具多种身份识别功能：可通过触摸屏输入、机械键盘输入、非接触式</w:t>
            </w:r>
            <w:r>
              <w:rPr>
                <w:spacing w:val="-1"/>
                <w:highlight w:val="none"/>
              </w:rPr>
              <w:t>IC卡（兼容校园一卡通）</w:t>
            </w:r>
            <w:r>
              <w:rPr>
                <w:highlight w:val="none"/>
              </w:rPr>
              <w:t xml:space="preserve"> 、条码扫描仪等识别方法；输入学号具备自动递增功能；主机菜单具备单项查询</w:t>
            </w:r>
            <w:r>
              <w:rPr>
                <w:spacing w:val="-1"/>
                <w:highlight w:val="none"/>
              </w:rPr>
              <w:t>，集体查询，分组查</w:t>
            </w:r>
            <w:r>
              <w:rPr>
                <w:highlight w:val="none"/>
              </w:rPr>
              <w:t xml:space="preserve"> </w:t>
            </w:r>
            <w:r>
              <w:rPr>
                <w:spacing w:val="-1"/>
                <w:highlight w:val="none"/>
              </w:rPr>
              <w:t>询，具有年级班级组别日期等多种筛选数据方式，查询便捷。</w:t>
            </w:r>
          </w:p>
          <w:p>
            <w:pPr>
              <w:pStyle w:val="54"/>
              <w:spacing w:before="10" w:line="225" w:lineRule="auto"/>
              <w:ind w:left="29" w:right="232" w:hanging="1"/>
              <w:rPr>
                <w:highlight w:val="none"/>
              </w:rPr>
            </w:pPr>
            <w:r>
              <w:rPr>
                <w:highlight w:val="none"/>
              </w:rPr>
              <w:t>9.主机支持U盘直接导入国标和自定义评分标准，主机内嵌国标可以根据年级性别项目进行</w:t>
            </w:r>
            <w:r>
              <w:rPr>
                <w:spacing w:val="-1"/>
                <w:highlight w:val="none"/>
              </w:rPr>
              <w:t>实时评</w:t>
            </w:r>
            <w:r>
              <w:rPr>
                <w:highlight w:val="none"/>
              </w:rPr>
              <w:t xml:space="preserve"> 分，适用于体测；也可以自定义导入评分标准对测试结果</w:t>
            </w:r>
            <w:r>
              <w:rPr>
                <w:spacing w:val="-1"/>
                <w:highlight w:val="none"/>
              </w:rPr>
              <w:t>进行评分，适用于考试。</w:t>
            </w:r>
          </w:p>
          <w:p>
            <w:pPr>
              <w:pStyle w:val="54"/>
              <w:spacing w:before="9" w:line="219" w:lineRule="auto"/>
              <w:ind w:left="40"/>
              <w:rPr>
                <w:highlight w:val="none"/>
              </w:rPr>
            </w:pPr>
            <w:r>
              <w:rPr>
                <w:highlight w:val="none"/>
              </w:rPr>
              <w:t>10.主机支持头像管理，主机可以通过U盘批量导入学生头像10000</w:t>
            </w:r>
            <w:r>
              <w:rPr>
                <w:spacing w:val="-1"/>
                <w:highlight w:val="none"/>
              </w:rPr>
              <w:t>条以上。</w:t>
            </w:r>
          </w:p>
          <w:p>
            <w:pPr>
              <w:pStyle w:val="54"/>
              <w:spacing w:before="11" w:line="225" w:lineRule="auto"/>
              <w:ind w:left="40" w:right="52"/>
              <w:rPr>
                <w:highlight w:val="none"/>
              </w:rPr>
            </w:pPr>
            <w:r>
              <w:rPr>
                <w:highlight w:val="none"/>
              </w:rPr>
              <w:t>11.主机查询结果能一屏同时显示测试学校、年级、班级、学生姓</w:t>
            </w:r>
            <w:r>
              <w:rPr>
                <w:spacing w:val="-1"/>
                <w:highlight w:val="none"/>
              </w:rPr>
              <w:t>名、性别、测试成绩、测试日期及时</w:t>
            </w:r>
            <w:r>
              <w:rPr>
                <w:highlight w:val="none"/>
              </w:rPr>
              <w:t xml:space="preserve"> 间，方便后期督查。主机具有日志管理，记录操</w:t>
            </w:r>
            <w:r>
              <w:rPr>
                <w:spacing w:val="-1"/>
                <w:highlight w:val="none"/>
              </w:rPr>
              <w:t>作人员在主机上的所有操作，便于异常情况的追溯。</w:t>
            </w:r>
          </w:p>
          <w:p>
            <w:pPr>
              <w:pStyle w:val="54"/>
              <w:spacing w:before="8" w:line="225" w:lineRule="auto"/>
              <w:ind w:left="26" w:right="52" w:firstLine="14"/>
              <w:rPr>
                <w:highlight w:val="none"/>
              </w:rPr>
            </w:pPr>
            <w:r>
              <w:rPr>
                <w:highlight w:val="none"/>
              </w:rPr>
              <w:t>12.主机具有数据备份和恢复功能，可以备份任意时间段体测程序</w:t>
            </w:r>
            <w:r>
              <w:rPr>
                <w:spacing w:val="-1"/>
                <w:highlight w:val="none"/>
              </w:rPr>
              <w:t>里面的所有数据，可以备份多次保存</w:t>
            </w:r>
            <w:r>
              <w:rPr>
                <w:highlight w:val="none"/>
              </w:rPr>
              <w:t xml:space="preserve"> 在存储芯片里面。支持一键恢复，根据日期选择要恢复的备份，自</w:t>
            </w:r>
            <w:r>
              <w:rPr>
                <w:spacing w:val="-1"/>
                <w:highlight w:val="none"/>
              </w:rPr>
              <w:t>动恢复测试数据。</w:t>
            </w:r>
          </w:p>
          <w:p>
            <w:pPr>
              <w:pStyle w:val="54"/>
              <w:spacing w:before="11" w:line="220" w:lineRule="auto"/>
              <w:ind w:left="40"/>
              <w:rPr>
                <w:highlight w:val="none"/>
              </w:rPr>
            </w:pPr>
            <w:r>
              <w:rPr>
                <w:spacing w:val="-2"/>
                <w:highlight w:val="none"/>
              </w:rPr>
              <w:t>13.主要技术参数</w:t>
            </w:r>
            <w:r>
              <w:rPr>
                <w:spacing w:val="-1"/>
                <w:highlight w:val="none"/>
              </w:rPr>
              <w:t>★</w:t>
            </w:r>
            <w:r>
              <w:rPr>
                <w:spacing w:val="-2"/>
                <w:highlight w:val="none"/>
              </w:rPr>
              <w:t>：</w:t>
            </w:r>
          </w:p>
          <w:p>
            <w:pPr>
              <w:pStyle w:val="54"/>
              <w:spacing w:before="8" w:line="225" w:lineRule="auto"/>
              <w:ind w:left="302" w:right="6350" w:hanging="1"/>
              <w:rPr>
                <w:highlight w:val="none"/>
              </w:rPr>
            </w:pPr>
            <w:r>
              <w:rPr>
                <w:spacing w:val="-1"/>
                <w:highlight w:val="none"/>
              </w:rPr>
              <w:t>测量范围：0～40m</w:t>
            </w:r>
            <w:r>
              <w:rPr>
                <w:spacing w:val="6"/>
                <w:highlight w:val="none"/>
              </w:rPr>
              <w:t xml:space="preserve"> </w:t>
            </w:r>
            <w:r>
              <w:rPr>
                <w:spacing w:val="-1"/>
                <w:highlight w:val="none"/>
              </w:rPr>
              <w:t>分度值：0.01m</w:t>
            </w:r>
          </w:p>
          <w:p>
            <w:pPr>
              <w:pStyle w:val="54"/>
              <w:spacing w:before="10" w:line="222" w:lineRule="auto"/>
              <w:ind w:left="29"/>
              <w:rPr>
                <w:highlight w:val="none"/>
              </w:rPr>
            </w:pPr>
            <w:r>
              <w:rPr>
                <w:spacing w:val="-4"/>
                <w:highlight w:val="none"/>
              </w:rPr>
              <w:t>误差：</w:t>
            </w:r>
            <w:r>
              <w:rPr>
                <w:spacing w:val="14"/>
                <w:highlight w:val="none"/>
              </w:rPr>
              <w:t xml:space="preserve"> </w:t>
            </w:r>
            <w:r>
              <w:rPr>
                <w:spacing w:val="-4"/>
                <w:highlight w:val="none"/>
              </w:rPr>
              <w:t>0m</w:t>
            </w:r>
          </w:p>
        </w:tc>
        <w:tc>
          <w:tcPr>
            <w:tcW w:w="1089" w:type="dxa"/>
            <w:vAlign w:val="top"/>
          </w:tcPr>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5" w:lineRule="auto"/>
              <w:rPr>
                <w:rFonts w:ascii="Arial"/>
                <w:sz w:val="21"/>
                <w:highlight w:val="none"/>
              </w:rPr>
            </w:pPr>
          </w:p>
          <w:p>
            <w:pPr>
              <w:pStyle w:val="54"/>
              <w:spacing w:before="78" w:line="184" w:lineRule="auto"/>
              <w:ind w:left="487"/>
              <w:rPr>
                <w:rFonts w:hint="eastAsia" w:eastAsia="宋体"/>
                <w:sz w:val="24"/>
                <w:szCs w:val="24"/>
                <w:highlight w:val="none"/>
                <w:lang w:eastAsia="zh-CN"/>
              </w:rPr>
            </w:pPr>
            <w:r>
              <w:rPr>
                <w:rFonts w:hint="eastAsia"/>
                <w:sz w:val="24"/>
                <w:szCs w:val="24"/>
                <w:highlight w:val="none"/>
                <w:lang w:val="en-US" w:eastAsia="zh-CN"/>
              </w:rPr>
              <w:t>2</w:t>
            </w:r>
          </w:p>
        </w:tc>
        <w:tc>
          <w:tcPr>
            <w:tcW w:w="1616" w:type="dxa"/>
            <w:vAlign w:val="top"/>
          </w:tcPr>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pStyle w:val="54"/>
              <w:spacing w:before="78" w:line="221" w:lineRule="auto"/>
              <w:ind w:left="377"/>
              <w:rPr>
                <w:rFonts w:hint="default" w:eastAsia="宋体"/>
                <w:sz w:val="24"/>
                <w:szCs w:val="24"/>
                <w:highlight w:val="none"/>
                <w:lang w:val="en-US" w:eastAsia="zh-CN"/>
              </w:rPr>
            </w:pPr>
          </w:p>
        </w:tc>
        <w:tc>
          <w:tcPr>
            <w:tcW w:w="2412" w:type="dxa"/>
            <w:vAlign w:val="top"/>
          </w:tcPr>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974" w:lineRule="exact"/>
              <w:ind w:firstLine="361"/>
              <w:rPr>
                <w:highlight w:val="none"/>
              </w:rPr>
            </w:pPr>
            <w:r>
              <w:rPr>
                <w:position w:val="-59"/>
                <w:highlight w:val="none"/>
              </w:rPr>
              <w:drawing>
                <wp:inline distT="0" distB="0" distL="0" distR="0">
                  <wp:extent cx="1041400" cy="1887855"/>
                  <wp:effectExtent l="0" t="0" r="6350" b="1714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1041623" cy="1887940"/>
                          </a:xfrm>
                          <a:prstGeom prst="rect">
                            <a:avLst/>
                          </a:prstGeom>
                        </pic:spPr>
                      </pic:pic>
                    </a:graphicData>
                  </a:graphic>
                </wp:inline>
              </w:drawing>
            </w:r>
          </w:p>
        </w:tc>
      </w:tr>
    </w:tbl>
    <w:p>
      <w:pPr>
        <w:rPr>
          <w:rFonts w:ascii="Arial"/>
          <w:sz w:val="21"/>
          <w:highlight w:val="none"/>
        </w:rPr>
      </w:pPr>
    </w:p>
    <w:p>
      <w:pPr>
        <w:rPr>
          <w:rFonts w:ascii="Arial" w:hAnsi="Arial" w:eastAsia="Arial" w:cs="Arial"/>
          <w:sz w:val="21"/>
          <w:szCs w:val="21"/>
          <w:highlight w:val="none"/>
        </w:rPr>
        <w:sectPr>
          <w:pgSz w:w="16837" w:h="11905"/>
          <w:pgMar w:top="1011" w:right="1463" w:bottom="0" w:left="386" w:header="0" w:footer="0" w:gutter="0"/>
          <w:pgNumType w:fmt="decimal"/>
          <w:cols w:space="720" w:num="1"/>
        </w:sectPr>
      </w:pPr>
    </w:p>
    <w:p>
      <w:pPr>
        <w:spacing w:before="176"/>
        <w:rPr>
          <w:highlight w:val="none"/>
        </w:rPr>
      </w:pPr>
    </w:p>
    <w:tbl>
      <w:tblPr>
        <w:tblStyle w:val="55"/>
        <w:tblW w:w="159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4"/>
        <w:gridCol w:w="1393"/>
        <w:gridCol w:w="8638"/>
        <w:gridCol w:w="1099"/>
        <w:gridCol w:w="1630"/>
        <w:gridCol w:w="24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64" w:hRule="atLeast"/>
        </w:trPr>
        <w:tc>
          <w:tcPr>
            <w:tcW w:w="764" w:type="dxa"/>
            <w:vAlign w:val="top"/>
          </w:tcPr>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7" w:lineRule="auto"/>
              <w:rPr>
                <w:rFonts w:ascii="Arial"/>
                <w:sz w:val="21"/>
                <w:highlight w:val="none"/>
              </w:rPr>
            </w:pPr>
          </w:p>
          <w:p>
            <w:pPr>
              <w:pStyle w:val="54"/>
              <w:spacing w:before="71" w:line="182" w:lineRule="auto"/>
              <w:ind w:left="315"/>
              <w:rPr>
                <w:sz w:val="22"/>
                <w:szCs w:val="22"/>
                <w:highlight w:val="none"/>
              </w:rPr>
            </w:pPr>
            <w:r>
              <w:rPr>
                <w:sz w:val="22"/>
                <w:szCs w:val="22"/>
                <w:highlight w:val="none"/>
              </w:rPr>
              <w:t>7</w:t>
            </w:r>
          </w:p>
        </w:tc>
        <w:tc>
          <w:tcPr>
            <w:tcW w:w="1393" w:type="dxa"/>
            <w:vAlign w:val="top"/>
          </w:tcPr>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pStyle w:val="54"/>
              <w:spacing w:before="17" w:line="222" w:lineRule="auto"/>
              <w:ind w:left="107"/>
              <w:rPr>
                <w:sz w:val="22"/>
                <w:szCs w:val="22"/>
                <w:highlight w:val="none"/>
              </w:rPr>
            </w:pPr>
            <w:r>
              <w:rPr>
                <w:spacing w:val="-2"/>
                <w:sz w:val="22"/>
                <w:szCs w:val="22"/>
                <w:highlight w:val="none"/>
              </w:rPr>
              <w:t>排球垫球测</w:t>
            </w:r>
          </w:p>
          <w:p>
            <w:pPr>
              <w:pStyle w:val="54"/>
              <w:spacing w:before="10" w:line="220" w:lineRule="auto"/>
              <w:ind w:left="438"/>
              <w:rPr>
                <w:sz w:val="22"/>
                <w:szCs w:val="22"/>
                <w:highlight w:val="none"/>
              </w:rPr>
            </w:pPr>
            <w:r>
              <w:rPr>
                <w:spacing w:val="-5"/>
                <w:sz w:val="22"/>
                <w:szCs w:val="22"/>
                <w:highlight w:val="none"/>
              </w:rPr>
              <w:t>试仪</w:t>
            </w:r>
          </w:p>
        </w:tc>
        <w:tc>
          <w:tcPr>
            <w:tcW w:w="8638" w:type="dxa"/>
            <w:vAlign w:val="top"/>
          </w:tcPr>
          <w:p>
            <w:pPr>
              <w:pStyle w:val="54"/>
              <w:spacing w:before="184" w:line="219" w:lineRule="auto"/>
              <w:ind w:left="29"/>
              <w:rPr>
                <w:highlight w:val="none"/>
              </w:rPr>
            </w:pPr>
            <w:r>
              <w:rPr>
                <w:spacing w:val="8"/>
                <w:highlight w:val="none"/>
              </w:rPr>
              <w:t>单机:</w:t>
            </w:r>
          </w:p>
          <w:p>
            <w:pPr>
              <w:pStyle w:val="54"/>
              <w:spacing w:before="12" w:line="220" w:lineRule="auto"/>
              <w:ind w:left="40"/>
              <w:rPr>
                <w:highlight w:val="none"/>
              </w:rPr>
            </w:pPr>
            <w:r>
              <w:rPr>
                <w:spacing w:val="-1"/>
                <w:highlight w:val="none"/>
              </w:rPr>
              <w:t>1.测试受试者的手腕力量和身体协调平衡能力；</w:t>
            </w:r>
          </w:p>
          <w:p>
            <w:pPr>
              <w:pStyle w:val="54"/>
              <w:spacing w:before="7" w:line="225" w:lineRule="auto"/>
              <w:ind w:left="29" w:right="188"/>
              <w:rPr>
                <w:highlight w:val="none"/>
              </w:rPr>
            </w:pPr>
            <w:r>
              <w:rPr>
                <w:spacing w:val="-1"/>
                <w:highlight w:val="none"/>
              </w:rPr>
              <w:t>2.采用红外线非接触传感器测量的原理，测量杆之间采用无线通讯技术，两杆之间无任何</w:t>
            </w:r>
            <w:r>
              <w:rPr>
                <w:spacing w:val="-2"/>
                <w:highlight w:val="none"/>
              </w:rPr>
              <w:t>线束连接，</w:t>
            </w:r>
            <w:r>
              <w:rPr>
                <w:highlight w:val="none"/>
              </w:rPr>
              <w:t xml:space="preserve"> 可与 LED显示屏无线连接；</w:t>
            </w:r>
          </w:p>
          <w:p>
            <w:pPr>
              <w:pStyle w:val="54"/>
              <w:spacing w:before="10" w:line="221" w:lineRule="auto"/>
              <w:ind w:left="31"/>
              <w:rPr>
                <w:highlight w:val="none"/>
              </w:rPr>
            </w:pPr>
            <w:r>
              <w:rPr>
                <w:highlight w:val="none"/>
              </w:rPr>
              <w:t>3.测试方式：对空垫球，测试感应距离≥3m*3m。</w:t>
            </w:r>
          </w:p>
          <w:p>
            <w:pPr>
              <w:pStyle w:val="54"/>
              <w:spacing w:before="7" w:line="224" w:lineRule="auto"/>
              <w:ind w:left="27" w:right="36" w:hanging="1"/>
              <w:rPr>
                <w:highlight w:val="none"/>
              </w:rPr>
            </w:pPr>
            <w:r>
              <w:rPr>
                <w:highlight w:val="none"/>
              </w:rPr>
              <w:t>4.标配有≥96*32分辨率的无线 LED点阵大显示屏，阳光下清晰可见，可与主机无线连接，无任何冗</w:t>
            </w:r>
            <w:r>
              <w:rPr>
                <w:spacing w:val="14"/>
                <w:highlight w:val="none"/>
              </w:rPr>
              <w:t xml:space="preserve"> </w:t>
            </w:r>
            <w:r>
              <w:rPr>
                <w:spacing w:val="-1"/>
                <w:highlight w:val="none"/>
              </w:rPr>
              <w:t>长线束干扰磕绊；</w:t>
            </w:r>
          </w:p>
          <w:p>
            <w:pPr>
              <w:pStyle w:val="54"/>
              <w:spacing w:before="12" w:line="224" w:lineRule="auto"/>
              <w:ind w:left="29" w:right="905" w:firstLine="2"/>
              <w:rPr>
                <w:highlight w:val="none"/>
              </w:rPr>
            </w:pPr>
            <w:r>
              <w:rPr>
                <w:spacing w:val="-2"/>
                <w:highlight w:val="none"/>
              </w:rPr>
              <w:t>5.</w:t>
            </w:r>
            <w:r>
              <w:rPr>
                <w:spacing w:val="-52"/>
                <w:highlight w:val="none"/>
              </w:rPr>
              <w:t xml:space="preserve"> </w:t>
            </w:r>
            <w:r>
              <w:rPr>
                <w:spacing w:val="-2"/>
                <w:highlight w:val="none"/>
              </w:rPr>
              <w:t>自动计算排球通过的次数，每人可测试1～2次，可查看每次测试结果，自动记录</w:t>
            </w:r>
            <w:r>
              <w:rPr>
                <w:spacing w:val="-3"/>
                <w:highlight w:val="none"/>
              </w:rPr>
              <w:t>最大值；</w:t>
            </w:r>
            <w:r>
              <w:rPr>
                <w:highlight w:val="none"/>
              </w:rPr>
              <w:t xml:space="preserve"> </w:t>
            </w:r>
            <w:r>
              <w:rPr>
                <w:spacing w:val="8"/>
                <w:highlight w:val="none"/>
              </w:rPr>
              <w:t>主机:</w:t>
            </w:r>
          </w:p>
          <w:p>
            <w:pPr>
              <w:pStyle w:val="54"/>
              <w:spacing w:before="9" w:line="227" w:lineRule="auto"/>
              <w:ind w:left="28" w:right="103" w:firstLine="12"/>
              <w:rPr>
                <w:highlight w:val="none"/>
              </w:rPr>
            </w:pPr>
            <w:r>
              <w:rPr>
                <w:highlight w:val="none"/>
              </w:rPr>
              <w:t>1.主机采用原生Android7.0及以上系统，能够安装APK程序以拓展使用功能及产品升级（可现场演</w:t>
            </w:r>
            <w:r>
              <w:rPr>
                <w:spacing w:val="4"/>
                <w:highlight w:val="none"/>
              </w:rPr>
              <w:t xml:space="preserve">  </w:t>
            </w:r>
            <w:r>
              <w:rPr>
                <w:highlight w:val="none"/>
              </w:rPr>
              <w:t>示</w:t>
            </w:r>
            <w:r>
              <w:rPr>
                <w:spacing w:val="6"/>
                <w:highlight w:val="none"/>
              </w:rPr>
              <w:t>），</w:t>
            </w:r>
            <w:r>
              <w:rPr>
                <w:highlight w:val="none"/>
              </w:rPr>
              <w:t>屏幕采用≥7吋1024×600高清触摸电容屏；主机≥1.0GB以上运行内存，</w:t>
            </w:r>
            <w:r>
              <w:rPr>
                <w:spacing w:val="-66"/>
                <w:highlight w:val="none"/>
              </w:rPr>
              <w:t xml:space="preserve"> </w:t>
            </w:r>
            <w:r>
              <w:rPr>
                <w:highlight w:val="none"/>
              </w:rPr>
              <w:t xml:space="preserve">≥4GB FLASH存储空间 </w:t>
            </w:r>
            <w:r>
              <w:rPr>
                <w:spacing w:val="-1"/>
                <w:highlight w:val="none"/>
              </w:rPr>
              <w:t>。可直插U盘播放测试视频录像。</w:t>
            </w:r>
          </w:p>
          <w:p>
            <w:pPr>
              <w:pStyle w:val="54"/>
              <w:spacing w:before="9" w:line="219" w:lineRule="auto"/>
              <w:ind w:left="29"/>
              <w:rPr>
                <w:highlight w:val="none"/>
              </w:rPr>
            </w:pPr>
            <w:r>
              <w:rPr>
                <w:highlight w:val="none"/>
              </w:rPr>
              <w:t>2.主机采用硅胶按键，经久耐用，适用</w:t>
            </w:r>
            <w:r>
              <w:rPr>
                <w:spacing w:val="-1"/>
                <w:highlight w:val="none"/>
              </w:rPr>
              <w:t>于大规模测试。</w:t>
            </w:r>
          </w:p>
          <w:p>
            <w:pPr>
              <w:pStyle w:val="54"/>
              <w:spacing w:before="12" w:line="219" w:lineRule="auto"/>
              <w:ind w:left="31"/>
              <w:rPr>
                <w:highlight w:val="none"/>
              </w:rPr>
            </w:pPr>
            <w:r>
              <w:rPr>
                <w:spacing w:val="-1"/>
                <w:highlight w:val="none"/>
              </w:rPr>
              <w:t>3.主机内置二维码扫描仪（非外接型</w:t>
            </w:r>
            <w:r>
              <w:rPr>
                <w:spacing w:val="18"/>
                <w:highlight w:val="none"/>
              </w:rPr>
              <w:t>），</w:t>
            </w:r>
            <w:r>
              <w:rPr>
                <w:spacing w:val="-1"/>
                <w:highlight w:val="none"/>
              </w:rPr>
              <w:t>自动识</w:t>
            </w:r>
            <w:r>
              <w:rPr>
                <w:spacing w:val="-2"/>
                <w:highlight w:val="none"/>
              </w:rPr>
              <w:t>别测试者二维码身份信息。</w:t>
            </w:r>
          </w:p>
          <w:p>
            <w:pPr>
              <w:pStyle w:val="54"/>
              <w:spacing w:before="10" w:line="219" w:lineRule="auto"/>
              <w:ind w:left="26"/>
              <w:rPr>
                <w:highlight w:val="none"/>
              </w:rPr>
            </w:pPr>
            <w:r>
              <w:rPr>
                <w:highlight w:val="none"/>
              </w:rPr>
              <w:t>4.主机具有AI语音智能识别功能，可通过语音智能控制调节屏幕亮度，音量大小，关闭程序等功能。</w:t>
            </w:r>
          </w:p>
          <w:p>
            <w:pPr>
              <w:pStyle w:val="54"/>
              <w:spacing w:before="8" w:line="226" w:lineRule="auto"/>
              <w:ind w:left="29" w:right="31" w:firstLine="2"/>
              <w:rPr>
                <w:highlight w:val="none"/>
              </w:rPr>
            </w:pPr>
            <w:r>
              <w:rPr>
                <w:highlight w:val="none"/>
              </w:rPr>
              <w:t>5.主机具备≥2个USB标准接口（非外接扩展</w:t>
            </w:r>
            <w:r>
              <w:rPr>
                <w:spacing w:val="7"/>
                <w:highlight w:val="none"/>
              </w:rPr>
              <w:t>），</w:t>
            </w:r>
            <w:r>
              <w:rPr>
                <w:highlight w:val="none"/>
              </w:rPr>
              <w:t>可直接插入U盘导入≥100000条测试名单信息，也可</w:t>
            </w:r>
            <w:r>
              <w:rPr>
                <w:spacing w:val="1"/>
                <w:highlight w:val="none"/>
              </w:rPr>
              <w:t xml:space="preserve"> </w:t>
            </w:r>
            <w:r>
              <w:rPr>
                <w:highlight w:val="none"/>
              </w:rPr>
              <w:t>直接导出测试成绩至U盘自动生成Excel表格。主机同时支持学生名单的无线同步和离线导入功能。</w:t>
            </w:r>
          </w:p>
          <w:p>
            <w:pPr>
              <w:pStyle w:val="54"/>
              <w:spacing w:before="9" w:line="224" w:lineRule="auto"/>
              <w:ind w:left="31" w:right="3954" w:hanging="2"/>
              <w:rPr>
                <w:highlight w:val="none"/>
              </w:rPr>
            </w:pPr>
            <w:r>
              <w:rPr>
                <w:spacing w:val="-2"/>
                <w:highlight w:val="none"/>
              </w:rPr>
              <w:t>6.可扩展人脸识别设备，自动识别测试者身份信息，</w:t>
            </w:r>
            <w:r>
              <w:rPr>
                <w:spacing w:val="12"/>
                <w:highlight w:val="none"/>
              </w:rPr>
              <w:t xml:space="preserve"> </w:t>
            </w:r>
            <w:r>
              <w:rPr>
                <w:spacing w:val="-2"/>
                <w:highlight w:val="none"/>
              </w:rPr>
              <w:t>7.可选配刷身份证，主机自动获取测试者身份信息。</w:t>
            </w:r>
          </w:p>
          <w:p>
            <w:pPr>
              <w:pStyle w:val="54"/>
              <w:spacing w:before="12" w:line="226" w:lineRule="auto"/>
              <w:ind w:left="27" w:right="148"/>
              <w:rPr>
                <w:highlight w:val="none"/>
              </w:rPr>
            </w:pPr>
            <w:r>
              <w:rPr>
                <w:highlight w:val="none"/>
              </w:rPr>
              <w:t>8.主机具多种身份识别功能：可通过触摸屏输入、机械键盘输入、非接触式</w:t>
            </w:r>
            <w:r>
              <w:rPr>
                <w:spacing w:val="-1"/>
                <w:highlight w:val="none"/>
              </w:rPr>
              <w:t>IC卡（兼容校园一卡通）</w:t>
            </w:r>
            <w:r>
              <w:rPr>
                <w:highlight w:val="none"/>
              </w:rPr>
              <w:t xml:space="preserve"> 、条码扫描仪等识别方法；输入学号具备自动递增功能；主机菜单具备单项查询</w:t>
            </w:r>
            <w:r>
              <w:rPr>
                <w:spacing w:val="-1"/>
                <w:highlight w:val="none"/>
              </w:rPr>
              <w:t>，集体查询，分组查</w:t>
            </w:r>
            <w:r>
              <w:rPr>
                <w:highlight w:val="none"/>
              </w:rPr>
              <w:t xml:space="preserve"> </w:t>
            </w:r>
            <w:r>
              <w:rPr>
                <w:spacing w:val="-1"/>
                <w:highlight w:val="none"/>
              </w:rPr>
              <w:t>询，具有年级班级组别日期等多种筛选数据方式，查询便捷。</w:t>
            </w:r>
          </w:p>
          <w:p>
            <w:pPr>
              <w:pStyle w:val="54"/>
              <w:spacing w:before="12" w:line="219" w:lineRule="auto"/>
              <w:ind w:left="28"/>
              <w:rPr>
                <w:highlight w:val="none"/>
              </w:rPr>
            </w:pPr>
            <w:r>
              <w:rPr>
                <w:highlight w:val="none"/>
              </w:rPr>
              <w:t>9.主机支持U盘直接导入国标和自定义评分标准，主机内嵌国标可以根据年级性别项目进行</w:t>
            </w:r>
            <w:r>
              <w:rPr>
                <w:spacing w:val="-1"/>
                <w:highlight w:val="none"/>
              </w:rPr>
              <w:t>实时评</w:t>
            </w:r>
          </w:p>
          <w:p>
            <w:pPr>
              <w:pStyle w:val="54"/>
              <w:spacing w:before="9" w:line="224" w:lineRule="auto"/>
              <w:ind w:left="40" w:right="1618" w:hanging="11"/>
              <w:rPr>
                <w:highlight w:val="none"/>
              </w:rPr>
            </w:pPr>
            <w:r>
              <w:rPr>
                <w:spacing w:val="-1"/>
                <w:highlight w:val="none"/>
              </w:rPr>
              <w:t>分，适用于体测；也可以自定义导入评分标准对测试结果进行评分，适</w:t>
            </w:r>
            <w:r>
              <w:rPr>
                <w:spacing w:val="-2"/>
                <w:highlight w:val="none"/>
              </w:rPr>
              <w:t>用于考试。</w:t>
            </w:r>
            <w:r>
              <w:rPr>
                <w:highlight w:val="none"/>
              </w:rPr>
              <w:t xml:space="preserve"> 10.主机支持头像管理，主机可以通过U盘批量导入学生头像10000</w:t>
            </w:r>
            <w:r>
              <w:rPr>
                <w:spacing w:val="-1"/>
                <w:highlight w:val="none"/>
              </w:rPr>
              <w:t>条以上。</w:t>
            </w:r>
          </w:p>
          <w:p>
            <w:pPr>
              <w:pStyle w:val="54"/>
              <w:spacing w:before="12" w:line="224" w:lineRule="auto"/>
              <w:ind w:left="40" w:right="52"/>
              <w:rPr>
                <w:highlight w:val="none"/>
              </w:rPr>
            </w:pPr>
            <w:r>
              <w:rPr>
                <w:highlight w:val="none"/>
              </w:rPr>
              <w:t>11.主机查询结果能一屏同时显示测试学校、年级、班级、学生姓</w:t>
            </w:r>
            <w:r>
              <w:rPr>
                <w:spacing w:val="-1"/>
                <w:highlight w:val="none"/>
              </w:rPr>
              <w:t>名、性别、测试成绩、测试日期及时</w:t>
            </w:r>
            <w:r>
              <w:rPr>
                <w:highlight w:val="none"/>
              </w:rPr>
              <w:t xml:space="preserve"> 间，方便后期督查。主机具有日志管理，记录操</w:t>
            </w:r>
            <w:r>
              <w:rPr>
                <w:spacing w:val="-1"/>
                <w:highlight w:val="none"/>
              </w:rPr>
              <w:t>作人员在主机上的所有操作，便于异常情况的追溯。</w:t>
            </w:r>
          </w:p>
          <w:p>
            <w:pPr>
              <w:pStyle w:val="54"/>
              <w:spacing w:before="9" w:line="226" w:lineRule="auto"/>
              <w:ind w:left="26" w:right="52" w:firstLine="14"/>
              <w:rPr>
                <w:highlight w:val="none"/>
              </w:rPr>
            </w:pPr>
            <w:r>
              <w:rPr>
                <w:highlight w:val="none"/>
              </w:rPr>
              <w:t>12.主机具有数据备份和恢复功能，可以备份任意时间段体测程序</w:t>
            </w:r>
            <w:r>
              <w:rPr>
                <w:spacing w:val="-1"/>
                <w:highlight w:val="none"/>
              </w:rPr>
              <w:t>里面的所有数据，可以备份多次保存</w:t>
            </w:r>
            <w:r>
              <w:rPr>
                <w:highlight w:val="none"/>
              </w:rPr>
              <w:t xml:space="preserve"> 在存储芯片里面。支持一键恢复，根据日期选择要恢复的备份，自</w:t>
            </w:r>
            <w:r>
              <w:rPr>
                <w:spacing w:val="-1"/>
                <w:highlight w:val="none"/>
              </w:rPr>
              <w:t>动恢复测试数据。</w:t>
            </w:r>
          </w:p>
          <w:p>
            <w:pPr>
              <w:pStyle w:val="54"/>
              <w:spacing w:before="9" w:line="220" w:lineRule="auto"/>
              <w:ind w:left="40"/>
              <w:rPr>
                <w:highlight w:val="none"/>
              </w:rPr>
            </w:pPr>
            <w:r>
              <w:rPr>
                <w:spacing w:val="-2"/>
                <w:highlight w:val="none"/>
              </w:rPr>
              <w:t>13.主要技术参数</w:t>
            </w:r>
            <w:r>
              <w:rPr>
                <w:spacing w:val="-1"/>
                <w:highlight w:val="none"/>
              </w:rPr>
              <w:t>★</w:t>
            </w:r>
            <w:r>
              <w:rPr>
                <w:spacing w:val="-2"/>
                <w:highlight w:val="none"/>
              </w:rPr>
              <w:t>：</w:t>
            </w:r>
          </w:p>
          <w:p>
            <w:pPr>
              <w:pStyle w:val="54"/>
              <w:spacing w:before="8" w:line="226" w:lineRule="auto"/>
              <w:ind w:left="569" w:right="5800" w:firstLine="7"/>
              <w:rPr>
                <w:highlight w:val="none"/>
              </w:rPr>
            </w:pPr>
            <w:r>
              <w:rPr>
                <w:highlight w:val="none"/>
              </w:rPr>
              <w:t xml:space="preserve">测量范围：0～9999次 </w:t>
            </w:r>
            <w:r>
              <w:rPr>
                <w:spacing w:val="-2"/>
                <w:highlight w:val="none"/>
              </w:rPr>
              <w:t>分度值：1次</w:t>
            </w:r>
          </w:p>
          <w:p>
            <w:pPr>
              <w:pStyle w:val="54"/>
              <w:spacing w:before="9" w:line="220" w:lineRule="auto"/>
              <w:ind w:left="578"/>
              <w:rPr>
                <w:highlight w:val="none"/>
              </w:rPr>
            </w:pPr>
            <w:r>
              <w:rPr>
                <w:spacing w:val="-2"/>
                <w:highlight w:val="none"/>
              </w:rPr>
              <w:t>误差：0次</w:t>
            </w:r>
          </w:p>
        </w:tc>
        <w:tc>
          <w:tcPr>
            <w:tcW w:w="1099" w:type="dxa"/>
            <w:vAlign w:val="top"/>
          </w:tcPr>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pStyle w:val="54"/>
              <w:spacing w:before="78" w:line="184" w:lineRule="auto"/>
              <w:ind w:left="487"/>
              <w:rPr>
                <w:rFonts w:hint="eastAsia" w:eastAsia="宋体"/>
                <w:sz w:val="24"/>
                <w:szCs w:val="24"/>
                <w:highlight w:val="none"/>
                <w:lang w:eastAsia="zh-CN"/>
              </w:rPr>
            </w:pPr>
            <w:r>
              <w:rPr>
                <w:rFonts w:hint="eastAsia"/>
                <w:sz w:val="24"/>
                <w:szCs w:val="24"/>
                <w:highlight w:val="none"/>
                <w:lang w:val="en-US" w:eastAsia="zh-CN"/>
              </w:rPr>
              <w:t>2</w:t>
            </w:r>
          </w:p>
        </w:tc>
        <w:tc>
          <w:tcPr>
            <w:tcW w:w="1630" w:type="dxa"/>
            <w:vAlign w:val="top"/>
          </w:tcPr>
          <w:p>
            <w:pPr>
              <w:spacing w:line="242" w:lineRule="auto"/>
              <w:rPr>
                <w:rFonts w:ascii="Arial"/>
                <w:sz w:val="21"/>
                <w:highlight w:val="none"/>
              </w:rPr>
            </w:pPr>
          </w:p>
          <w:p>
            <w:pPr>
              <w:spacing w:line="242"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pStyle w:val="54"/>
              <w:spacing w:before="78" w:line="221" w:lineRule="auto"/>
              <w:ind w:left="377"/>
              <w:rPr>
                <w:rFonts w:hint="default" w:eastAsia="宋体"/>
                <w:sz w:val="24"/>
                <w:szCs w:val="24"/>
                <w:highlight w:val="none"/>
                <w:lang w:val="en-US" w:eastAsia="zh-CN"/>
              </w:rPr>
            </w:pPr>
          </w:p>
        </w:tc>
        <w:tc>
          <w:tcPr>
            <w:tcW w:w="2433" w:type="dxa"/>
            <w:vAlign w:val="top"/>
          </w:tcPr>
          <w:p>
            <w:pPr>
              <w:spacing w:before="102" w:line="3791" w:lineRule="exact"/>
              <w:ind w:firstLine="229"/>
              <w:rPr>
                <w:highlight w:val="none"/>
              </w:rPr>
            </w:pPr>
            <w:r>
              <w:rPr>
                <w:position w:val="-75"/>
                <w:highlight w:val="none"/>
              </w:rPr>
              <w:drawing>
                <wp:inline distT="0" distB="0" distL="0" distR="0">
                  <wp:extent cx="1050290" cy="2407285"/>
                  <wp:effectExtent l="0" t="0" r="16510" b="1206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6"/>
                          <a:stretch>
                            <a:fillRect/>
                          </a:stretch>
                        </pic:blipFill>
                        <pic:spPr>
                          <a:xfrm>
                            <a:off x="0" y="0"/>
                            <a:ext cx="1050856" cy="2407322"/>
                          </a:xfrm>
                          <a:prstGeom prst="rect">
                            <a:avLst/>
                          </a:prstGeom>
                        </pic:spPr>
                      </pic:pic>
                    </a:graphicData>
                  </a:graphic>
                </wp:inline>
              </w:drawing>
            </w:r>
          </w:p>
        </w:tc>
      </w:tr>
    </w:tbl>
    <w:p>
      <w:pPr>
        <w:rPr>
          <w:rFonts w:ascii="Arial"/>
          <w:sz w:val="21"/>
          <w:highlight w:val="none"/>
        </w:rPr>
      </w:pPr>
    </w:p>
    <w:p>
      <w:pPr>
        <w:rPr>
          <w:rFonts w:ascii="Arial" w:hAnsi="Arial" w:eastAsia="Arial" w:cs="Arial"/>
          <w:sz w:val="21"/>
          <w:szCs w:val="21"/>
          <w:highlight w:val="none"/>
        </w:rPr>
        <w:sectPr>
          <w:pgSz w:w="16837" w:h="11905"/>
          <w:pgMar w:top="1011" w:right="1463" w:bottom="0" w:left="386" w:header="0" w:footer="0" w:gutter="0"/>
          <w:pgNumType w:fmt="decimal"/>
          <w:cols w:space="720" w:num="1"/>
        </w:sectPr>
      </w:pPr>
    </w:p>
    <w:p>
      <w:pPr>
        <w:spacing w:before="176"/>
        <w:rPr>
          <w:highlight w:val="none"/>
        </w:rPr>
      </w:pPr>
    </w:p>
    <w:tbl>
      <w:tblPr>
        <w:tblStyle w:val="55"/>
        <w:tblW w:w="159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6"/>
        <w:gridCol w:w="1396"/>
        <w:gridCol w:w="8660"/>
        <w:gridCol w:w="1101"/>
        <w:gridCol w:w="1635"/>
        <w:gridCol w:w="24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66" w:type="dxa"/>
            <w:vAlign w:val="top"/>
          </w:tcPr>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pStyle w:val="54"/>
              <w:spacing w:before="72" w:line="183" w:lineRule="auto"/>
              <w:ind w:left="311"/>
              <w:rPr>
                <w:sz w:val="22"/>
                <w:szCs w:val="22"/>
                <w:highlight w:val="none"/>
              </w:rPr>
            </w:pPr>
            <w:r>
              <w:rPr>
                <w:sz w:val="22"/>
                <w:szCs w:val="22"/>
                <w:highlight w:val="none"/>
              </w:rPr>
              <w:t>8</w:t>
            </w:r>
          </w:p>
        </w:tc>
        <w:tc>
          <w:tcPr>
            <w:tcW w:w="1396" w:type="dxa"/>
            <w:vAlign w:val="top"/>
          </w:tcPr>
          <w:p>
            <w:pPr>
              <w:spacing w:line="245" w:lineRule="auto"/>
              <w:rPr>
                <w:rFonts w:ascii="Arial"/>
                <w:sz w:val="21"/>
                <w:highlight w:val="none"/>
              </w:rPr>
            </w:pPr>
          </w:p>
          <w:p>
            <w:pPr>
              <w:spacing w:line="245"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pStyle w:val="54"/>
              <w:spacing w:before="19" w:line="220" w:lineRule="auto"/>
              <w:ind w:left="108"/>
              <w:rPr>
                <w:sz w:val="22"/>
                <w:szCs w:val="22"/>
                <w:highlight w:val="none"/>
              </w:rPr>
            </w:pPr>
            <w:r>
              <w:rPr>
                <w:spacing w:val="-2"/>
                <w:sz w:val="22"/>
                <w:szCs w:val="22"/>
                <w:highlight w:val="none"/>
              </w:rPr>
              <w:t>跳绳测试仪</w:t>
            </w:r>
          </w:p>
          <w:p>
            <w:pPr>
              <w:pStyle w:val="54"/>
              <w:spacing w:before="10" w:line="223" w:lineRule="auto"/>
              <w:ind w:left="226"/>
              <w:rPr>
                <w:sz w:val="22"/>
                <w:szCs w:val="22"/>
                <w:highlight w:val="none"/>
              </w:rPr>
            </w:pPr>
            <w:r>
              <w:rPr>
                <w:spacing w:val="-4"/>
                <w:sz w:val="22"/>
                <w:szCs w:val="22"/>
                <w:highlight w:val="none"/>
              </w:rPr>
              <w:t>（10人）</w:t>
            </w:r>
          </w:p>
        </w:tc>
        <w:tc>
          <w:tcPr>
            <w:tcW w:w="8660" w:type="dxa"/>
            <w:vAlign w:val="top"/>
          </w:tcPr>
          <w:p>
            <w:pPr>
              <w:pStyle w:val="54"/>
              <w:spacing w:before="184" w:line="219" w:lineRule="auto"/>
              <w:ind w:left="29"/>
              <w:rPr>
                <w:highlight w:val="none"/>
              </w:rPr>
            </w:pPr>
            <w:r>
              <w:rPr>
                <w:spacing w:val="8"/>
                <w:highlight w:val="none"/>
              </w:rPr>
              <w:t>单机:</w:t>
            </w:r>
          </w:p>
          <w:p>
            <w:pPr>
              <w:pStyle w:val="54"/>
              <w:spacing w:before="9" w:line="220" w:lineRule="auto"/>
              <w:ind w:left="40"/>
              <w:rPr>
                <w:highlight w:val="none"/>
              </w:rPr>
            </w:pPr>
            <w:r>
              <w:rPr>
                <w:spacing w:val="-1"/>
                <w:highlight w:val="none"/>
              </w:rPr>
              <w:t>1.测试受试者的下肢力量和身体协调能力；</w:t>
            </w:r>
          </w:p>
          <w:p>
            <w:pPr>
              <w:pStyle w:val="54"/>
              <w:spacing w:before="10" w:line="226" w:lineRule="auto"/>
              <w:ind w:left="26" w:right="2342" w:firstLine="2"/>
              <w:jc w:val="both"/>
              <w:rPr>
                <w:highlight w:val="none"/>
              </w:rPr>
            </w:pPr>
            <w:r>
              <w:rPr>
                <w:spacing w:val="-1"/>
                <w:highlight w:val="none"/>
              </w:rPr>
              <w:t>2.测试仪测试仪采用OLED自发光显示屏，能与主</w:t>
            </w:r>
            <w:r>
              <w:rPr>
                <w:spacing w:val="-2"/>
                <w:highlight w:val="none"/>
              </w:rPr>
              <w:t>机同步显示测试数据；</w:t>
            </w:r>
            <w:r>
              <w:rPr>
                <w:highlight w:val="none"/>
              </w:rPr>
              <w:t xml:space="preserve"> </w:t>
            </w:r>
            <w:r>
              <w:rPr>
                <w:spacing w:val="-1"/>
                <w:highlight w:val="none"/>
              </w:rPr>
              <w:t>3.按键采用尾端设计，防误触，一键式操作，使用简</w:t>
            </w:r>
            <w:r>
              <w:rPr>
                <w:spacing w:val="-2"/>
                <w:highlight w:val="none"/>
              </w:rPr>
              <w:t>便，带蜂鸣器提醒；</w:t>
            </w:r>
            <w:r>
              <w:rPr>
                <w:highlight w:val="none"/>
              </w:rPr>
              <w:t xml:space="preserve"> 4.可充电锂电池供电，充电两小时能满足12小时以上连续工作；</w:t>
            </w:r>
          </w:p>
          <w:p>
            <w:pPr>
              <w:pStyle w:val="54"/>
              <w:spacing w:before="10" w:line="225" w:lineRule="auto"/>
              <w:ind w:left="29" w:right="6289" w:firstLine="2"/>
              <w:rPr>
                <w:highlight w:val="none"/>
              </w:rPr>
            </w:pPr>
            <w:r>
              <w:rPr>
                <w:spacing w:val="-3"/>
                <w:highlight w:val="none"/>
              </w:rPr>
              <w:t>5.标准配置10人同测。</w:t>
            </w:r>
            <w:r>
              <w:rPr>
                <w:spacing w:val="3"/>
                <w:highlight w:val="none"/>
              </w:rPr>
              <w:t xml:space="preserve"> </w:t>
            </w:r>
            <w:r>
              <w:rPr>
                <w:spacing w:val="8"/>
                <w:highlight w:val="none"/>
              </w:rPr>
              <w:t>主机:</w:t>
            </w:r>
          </w:p>
          <w:p>
            <w:pPr>
              <w:pStyle w:val="54"/>
              <w:spacing w:before="8" w:line="227" w:lineRule="auto"/>
              <w:ind w:left="28" w:right="103" w:firstLine="12"/>
              <w:rPr>
                <w:highlight w:val="none"/>
              </w:rPr>
            </w:pPr>
            <w:r>
              <w:rPr>
                <w:highlight w:val="none"/>
              </w:rPr>
              <w:t>1.主机采用原生Android7.0及以上系统，能够安装APK程序以拓展使用功能及产品升级（可现场演</w:t>
            </w:r>
            <w:r>
              <w:rPr>
                <w:spacing w:val="4"/>
                <w:highlight w:val="none"/>
              </w:rPr>
              <w:t xml:space="preserve">  </w:t>
            </w:r>
            <w:r>
              <w:rPr>
                <w:highlight w:val="none"/>
              </w:rPr>
              <w:t>示</w:t>
            </w:r>
            <w:r>
              <w:rPr>
                <w:spacing w:val="6"/>
                <w:highlight w:val="none"/>
              </w:rPr>
              <w:t>），</w:t>
            </w:r>
            <w:r>
              <w:rPr>
                <w:highlight w:val="none"/>
              </w:rPr>
              <w:t>屏幕采用≥7吋1024×600高清触摸电容屏；主机≥1.0GB以上运行内存，</w:t>
            </w:r>
            <w:r>
              <w:rPr>
                <w:spacing w:val="-66"/>
                <w:highlight w:val="none"/>
              </w:rPr>
              <w:t xml:space="preserve"> </w:t>
            </w:r>
            <w:r>
              <w:rPr>
                <w:highlight w:val="none"/>
              </w:rPr>
              <w:t xml:space="preserve">≥4GB FLASH存储空间 </w:t>
            </w:r>
            <w:r>
              <w:rPr>
                <w:spacing w:val="-1"/>
                <w:highlight w:val="none"/>
              </w:rPr>
              <w:t>。可直插U盘播放测试视频录像。</w:t>
            </w:r>
          </w:p>
          <w:p>
            <w:pPr>
              <w:pStyle w:val="54"/>
              <w:spacing w:before="8" w:line="219" w:lineRule="auto"/>
              <w:ind w:left="29"/>
              <w:rPr>
                <w:highlight w:val="none"/>
              </w:rPr>
            </w:pPr>
            <w:r>
              <w:rPr>
                <w:highlight w:val="none"/>
              </w:rPr>
              <w:t>2.主机采用硅胶按键，经久耐用，适用</w:t>
            </w:r>
            <w:r>
              <w:rPr>
                <w:spacing w:val="-1"/>
                <w:highlight w:val="none"/>
              </w:rPr>
              <w:t>于大规模测试。</w:t>
            </w:r>
          </w:p>
          <w:p>
            <w:pPr>
              <w:pStyle w:val="54"/>
              <w:spacing w:before="10" w:line="219" w:lineRule="auto"/>
              <w:ind w:left="31"/>
              <w:rPr>
                <w:highlight w:val="none"/>
              </w:rPr>
            </w:pPr>
            <w:r>
              <w:rPr>
                <w:spacing w:val="-1"/>
                <w:highlight w:val="none"/>
              </w:rPr>
              <w:t>3.主机内置二维码扫描仪（非外接型</w:t>
            </w:r>
            <w:r>
              <w:rPr>
                <w:spacing w:val="18"/>
                <w:highlight w:val="none"/>
              </w:rPr>
              <w:t>），</w:t>
            </w:r>
            <w:r>
              <w:rPr>
                <w:spacing w:val="-1"/>
                <w:highlight w:val="none"/>
              </w:rPr>
              <w:t>自动识</w:t>
            </w:r>
            <w:r>
              <w:rPr>
                <w:spacing w:val="-2"/>
                <w:highlight w:val="none"/>
              </w:rPr>
              <w:t>别测试者二维码身份信息。</w:t>
            </w:r>
          </w:p>
          <w:p>
            <w:pPr>
              <w:pStyle w:val="54"/>
              <w:spacing w:before="12" w:line="219" w:lineRule="auto"/>
              <w:ind w:left="26"/>
              <w:rPr>
                <w:highlight w:val="none"/>
              </w:rPr>
            </w:pPr>
            <w:r>
              <w:rPr>
                <w:highlight w:val="none"/>
              </w:rPr>
              <w:t>4.主机具有AI语音智能识别功能，可通过语音智能控制调节屏幕亮度，音量大小，关闭程序等功能。</w:t>
            </w:r>
          </w:p>
          <w:p>
            <w:pPr>
              <w:pStyle w:val="54"/>
              <w:spacing w:before="8" w:line="225" w:lineRule="auto"/>
              <w:ind w:left="29" w:right="31" w:firstLine="2"/>
              <w:rPr>
                <w:highlight w:val="none"/>
              </w:rPr>
            </w:pPr>
            <w:r>
              <w:rPr>
                <w:highlight w:val="none"/>
              </w:rPr>
              <w:t>5.主机具备≥2个USB标准接口（非外接扩展</w:t>
            </w:r>
            <w:r>
              <w:rPr>
                <w:spacing w:val="7"/>
                <w:highlight w:val="none"/>
              </w:rPr>
              <w:t>），</w:t>
            </w:r>
            <w:r>
              <w:rPr>
                <w:highlight w:val="none"/>
              </w:rPr>
              <w:t>可直接插入U盘导入≥100000条测试名单信息，也可</w:t>
            </w:r>
            <w:r>
              <w:rPr>
                <w:spacing w:val="1"/>
                <w:highlight w:val="none"/>
              </w:rPr>
              <w:t xml:space="preserve"> </w:t>
            </w:r>
            <w:r>
              <w:rPr>
                <w:highlight w:val="none"/>
              </w:rPr>
              <w:t>直接导出测试成绩至U盘自动生成Excel表格。主机同时支持学生名单的无线同步和离线导入功能。</w:t>
            </w:r>
          </w:p>
          <w:p>
            <w:pPr>
              <w:pStyle w:val="54"/>
              <w:spacing w:before="11" w:line="224" w:lineRule="auto"/>
              <w:ind w:left="31" w:right="3954" w:hanging="2"/>
              <w:rPr>
                <w:highlight w:val="none"/>
              </w:rPr>
            </w:pPr>
            <w:r>
              <w:rPr>
                <w:spacing w:val="-2"/>
                <w:highlight w:val="none"/>
              </w:rPr>
              <w:t>6.可扩展人脸识别设备，自动识别测试者身份信息，</w:t>
            </w:r>
            <w:r>
              <w:rPr>
                <w:spacing w:val="12"/>
                <w:highlight w:val="none"/>
              </w:rPr>
              <w:t xml:space="preserve"> </w:t>
            </w:r>
            <w:r>
              <w:rPr>
                <w:spacing w:val="-2"/>
                <w:highlight w:val="none"/>
              </w:rPr>
              <w:t>7.可选配刷身份证，主机自动获取测试者身份信息。</w:t>
            </w:r>
          </w:p>
          <w:p>
            <w:pPr>
              <w:pStyle w:val="54"/>
              <w:spacing w:before="9" w:line="227" w:lineRule="auto"/>
              <w:ind w:left="27" w:right="148"/>
              <w:rPr>
                <w:highlight w:val="none"/>
              </w:rPr>
            </w:pPr>
            <w:r>
              <w:rPr>
                <w:highlight w:val="none"/>
              </w:rPr>
              <w:t>8.主机具多种身份识别功能：可通过触摸屏输入、机械键盘输入、非接触式</w:t>
            </w:r>
            <w:r>
              <w:rPr>
                <w:spacing w:val="-1"/>
                <w:highlight w:val="none"/>
              </w:rPr>
              <w:t>IC卡（兼容校园一卡通）</w:t>
            </w:r>
            <w:r>
              <w:rPr>
                <w:highlight w:val="none"/>
              </w:rPr>
              <w:t xml:space="preserve"> 、条码扫描仪等识别方法；输入学号具备自动递增功能；主机菜单具备单项查询</w:t>
            </w:r>
            <w:r>
              <w:rPr>
                <w:spacing w:val="-1"/>
                <w:highlight w:val="none"/>
              </w:rPr>
              <w:t>，集体查询，分组查</w:t>
            </w:r>
            <w:r>
              <w:rPr>
                <w:highlight w:val="none"/>
              </w:rPr>
              <w:t xml:space="preserve"> </w:t>
            </w:r>
            <w:r>
              <w:rPr>
                <w:spacing w:val="-1"/>
                <w:highlight w:val="none"/>
              </w:rPr>
              <w:t>询，具有年级班级组别日期等多种筛选数据方式，查询便捷。</w:t>
            </w:r>
          </w:p>
          <w:p>
            <w:pPr>
              <w:pStyle w:val="54"/>
              <w:spacing w:before="10" w:line="225" w:lineRule="auto"/>
              <w:ind w:left="29" w:right="232" w:hanging="1"/>
              <w:rPr>
                <w:highlight w:val="none"/>
              </w:rPr>
            </w:pPr>
            <w:r>
              <w:rPr>
                <w:highlight w:val="none"/>
              </w:rPr>
              <w:t>9.主机支持U盘直接导入国标和自定义评分标准，主机内嵌国标可以根据年级性别项目进行</w:t>
            </w:r>
            <w:r>
              <w:rPr>
                <w:spacing w:val="-1"/>
                <w:highlight w:val="none"/>
              </w:rPr>
              <w:t>实时评</w:t>
            </w:r>
            <w:r>
              <w:rPr>
                <w:highlight w:val="none"/>
              </w:rPr>
              <w:t xml:space="preserve"> 分，适用于体测；也可以自定义导入评分标准对测试结果</w:t>
            </w:r>
            <w:r>
              <w:rPr>
                <w:spacing w:val="-1"/>
                <w:highlight w:val="none"/>
              </w:rPr>
              <w:t>进行评分，适用于考试。</w:t>
            </w:r>
          </w:p>
          <w:p>
            <w:pPr>
              <w:pStyle w:val="54"/>
              <w:spacing w:before="9" w:line="219" w:lineRule="auto"/>
              <w:ind w:left="40"/>
              <w:rPr>
                <w:highlight w:val="none"/>
              </w:rPr>
            </w:pPr>
            <w:r>
              <w:rPr>
                <w:highlight w:val="none"/>
              </w:rPr>
              <w:t>10.主机支持头像管理，主机可以通过U盘批量导入学生头像10000</w:t>
            </w:r>
            <w:r>
              <w:rPr>
                <w:spacing w:val="-1"/>
                <w:highlight w:val="none"/>
              </w:rPr>
              <w:t>条以上。</w:t>
            </w:r>
          </w:p>
          <w:p>
            <w:pPr>
              <w:pStyle w:val="54"/>
              <w:spacing w:before="10" w:line="225" w:lineRule="auto"/>
              <w:ind w:left="40" w:right="52"/>
              <w:rPr>
                <w:highlight w:val="none"/>
              </w:rPr>
            </w:pPr>
            <w:r>
              <w:rPr>
                <w:highlight w:val="none"/>
              </w:rPr>
              <w:t>11.主机查询结果能一屏同时显示测试学校、年级、班级、学生姓</w:t>
            </w:r>
            <w:r>
              <w:rPr>
                <w:spacing w:val="-1"/>
                <w:highlight w:val="none"/>
              </w:rPr>
              <w:t>名、性别、测试成绩、测试日期及时</w:t>
            </w:r>
            <w:r>
              <w:rPr>
                <w:highlight w:val="none"/>
              </w:rPr>
              <w:t xml:space="preserve"> 间，方便后期督查。主机具有日志管理，记录操</w:t>
            </w:r>
            <w:r>
              <w:rPr>
                <w:spacing w:val="-1"/>
                <w:highlight w:val="none"/>
              </w:rPr>
              <w:t>作人员在主机上的所有操作，便于异常情况的追溯。</w:t>
            </w:r>
          </w:p>
          <w:p>
            <w:pPr>
              <w:pStyle w:val="54"/>
              <w:spacing w:before="9" w:line="225" w:lineRule="auto"/>
              <w:ind w:left="26" w:right="52" w:firstLine="14"/>
              <w:rPr>
                <w:highlight w:val="none"/>
              </w:rPr>
            </w:pPr>
            <w:r>
              <w:rPr>
                <w:highlight w:val="none"/>
              </w:rPr>
              <w:t>12.主机具有数据备份和恢复功能，可以备份任意时间段体测程序</w:t>
            </w:r>
            <w:r>
              <w:rPr>
                <w:spacing w:val="-1"/>
                <w:highlight w:val="none"/>
              </w:rPr>
              <w:t>里面的所有数据，可以备份多次保存</w:t>
            </w:r>
            <w:r>
              <w:rPr>
                <w:highlight w:val="none"/>
              </w:rPr>
              <w:t xml:space="preserve"> 在存储芯片里面。支持一键恢复，根据日期选择要恢复的备份，自</w:t>
            </w:r>
            <w:r>
              <w:rPr>
                <w:spacing w:val="-1"/>
                <w:highlight w:val="none"/>
              </w:rPr>
              <w:t>动恢复测试数据。</w:t>
            </w:r>
          </w:p>
          <w:p>
            <w:pPr>
              <w:pStyle w:val="54"/>
              <w:spacing w:before="11" w:line="220" w:lineRule="auto"/>
              <w:ind w:left="40"/>
              <w:rPr>
                <w:highlight w:val="none"/>
              </w:rPr>
            </w:pPr>
            <w:r>
              <w:rPr>
                <w:spacing w:val="-2"/>
                <w:highlight w:val="none"/>
              </w:rPr>
              <w:t>13.主要技术参数</w:t>
            </w:r>
            <w:r>
              <w:rPr>
                <w:spacing w:val="-1"/>
                <w:highlight w:val="none"/>
              </w:rPr>
              <w:t>★</w:t>
            </w:r>
            <w:r>
              <w:rPr>
                <w:spacing w:val="-2"/>
                <w:highlight w:val="none"/>
              </w:rPr>
              <w:t>：</w:t>
            </w:r>
          </w:p>
          <w:p>
            <w:pPr>
              <w:pStyle w:val="54"/>
              <w:spacing w:before="8" w:line="225" w:lineRule="auto"/>
              <w:ind w:left="569" w:right="5800" w:firstLine="7"/>
              <w:rPr>
                <w:highlight w:val="none"/>
              </w:rPr>
            </w:pPr>
            <w:r>
              <w:rPr>
                <w:highlight w:val="none"/>
              </w:rPr>
              <w:t xml:space="preserve">测量范围：0～9999次 </w:t>
            </w:r>
            <w:r>
              <w:rPr>
                <w:spacing w:val="-2"/>
                <w:highlight w:val="none"/>
              </w:rPr>
              <w:t>分度值：1次</w:t>
            </w:r>
          </w:p>
          <w:p>
            <w:pPr>
              <w:pStyle w:val="54"/>
              <w:spacing w:before="10" w:line="222" w:lineRule="auto"/>
              <w:ind w:left="569"/>
              <w:rPr>
                <w:highlight w:val="none"/>
              </w:rPr>
            </w:pPr>
            <w:r>
              <w:rPr>
                <w:spacing w:val="-8"/>
                <w:highlight w:val="none"/>
              </w:rPr>
              <w:t>误差：</w:t>
            </w:r>
            <w:r>
              <w:rPr>
                <w:spacing w:val="32"/>
                <w:highlight w:val="none"/>
              </w:rPr>
              <w:t xml:space="preserve"> </w:t>
            </w:r>
            <w:r>
              <w:rPr>
                <w:spacing w:val="-8"/>
                <w:highlight w:val="none"/>
              </w:rPr>
              <w:t>±</w:t>
            </w:r>
            <w:r>
              <w:rPr>
                <w:spacing w:val="-69"/>
                <w:highlight w:val="none"/>
              </w:rPr>
              <w:t xml:space="preserve"> </w:t>
            </w:r>
            <w:r>
              <w:rPr>
                <w:spacing w:val="-8"/>
                <w:highlight w:val="none"/>
              </w:rPr>
              <w:t>1</w:t>
            </w:r>
          </w:p>
        </w:tc>
        <w:tc>
          <w:tcPr>
            <w:tcW w:w="1101" w:type="dxa"/>
            <w:vAlign w:val="top"/>
          </w:tcPr>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pStyle w:val="54"/>
              <w:spacing w:before="78" w:line="184" w:lineRule="auto"/>
              <w:ind w:left="487"/>
              <w:rPr>
                <w:rFonts w:hint="eastAsia" w:eastAsia="宋体"/>
                <w:sz w:val="24"/>
                <w:szCs w:val="24"/>
                <w:highlight w:val="none"/>
                <w:lang w:eastAsia="zh-CN"/>
              </w:rPr>
            </w:pPr>
            <w:r>
              <w:rPr>
                <w:rFonts w:hint="eastAsia"/>
                <w:sz w:val="24"/>
                <w:szCs w:val="24"/>
                <w:highlight w:val="none"/>
                <w:lang w:val="en-US" w:eastAsia="zh-CN"/>
              </w:rPr>
              <w:t>4</w:t>
            </w:r>
          </w:p>
        </w:tc>
        <w:tc>
          <w:tcPr>
            <w:tcW w:w="1635" w:type="dxa"/>
            <w:vAlign w:val="top"/>
          </w:tcPr>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5" w:lineRule="auto"/>
              <w:rPr>
                <w:rFonts w:ascii="Arial"/>
                <w:sz w:val="21"/>
                <w:highlight w:val="none"/>
              </w:rPr>
            </w:pPr>
          </w:p>
          <w:p>
            <w:pPr>
              <w:pStyle w:val="54"/>
              <w:spacing w:before="78" w:line="221" w:lineRule="auto"/>
              <w:rPr>
                <w:rFonts w:hint="default" w:eastAsia="宋体"/>
                <w:sz w:val="24"/>
                <w:szCs w:val="24"/>
                <w:highlight w:val="none"/>
                <w:lang w:val="en-US" w:eastAsia="zh-CN"/>
              </w:rPr>
            </w:pPr>
          </w:p>
        </w:tc>
        <w:tc>
          <w:tcPr>
            <w:tcW w:w="2439" w:type="dxa"/>
            <w:vAlign w:val="top"/>
          </w:tcPr>
          <w:p>
            <w:pPr>
              <w:spacing w:line="258" w:lineRule="auto"/>
              <w:rPr>
                <w:rFonts w:ascii="Arial"/>
                <w:sz w:val="21"/>
                <w:highlight w:val="none"/>
              </w:rPr>
            </w:pPr>
          </w:p>
          <w:p>
            <w:pPr>
              <w:spacing w:line="258"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709" w:lineRule="exact"/>
              <w:ind w:firstLine="201"/>
              <w:rPr>
                <w:highlight w:val="none"/>
              </w:rPr>
            </w:pPr>
            <w:r>
              <w:rPr>
                <w:position w:val="-54"/>
                <w:highlight w:val="none"/>
              </w:rPr>
              <w:drawing>
                <wp:inline distT="0" distB="0" distL="0" distR="0">
                  <wp:extent cx="1185545" cy="1719580"/>
                  <wp:effectExtent l="0" t="0" r="14605" b="1397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7"/>
                          <a:stretch>
                            <a:fillRect/>
                          </a:stretch>
                        </pic:blipFill>
                        <pic:spPr>
                          <a:xfrm>
                            <a:off x="0" y="0"/>
                            <a:ext cx="1185922" cy="1719965"/>
                          </a:xfrm>
                          <a:prstGeom prst="rect">
                            <a:avLst/>
                          </a:prstGeom>
                        </pic:spPr>
                      </pic:pic>
                    </a:graphicData>
                  </a:graphic>
                </wp:inline>
              </w:drawing>
            </w:r>
          </w:p>
        </w:tc>
      </w:tr>
    </w:tbl>
    <w:p>
      <w:pPr>
        <w:rPr>
          <w:rFonts w:ascii="Arial"/>
          <w:sz w:val="21"/>
          <w:highlight w:val="none"/>
        </w:rPr>
      </w:pPr>
    </w:p>
    <w:p>
      <w:pPr>
        <w:rPr>
          <w:rFonts w:ascii="Arial" w:hAnsi="Arial" w:eastAsia="Arial" w:cs="Arial"/>
          <w:sz w:val="21"/>
          <w:szCs w:val="21"/>
          <w:highlight w:val="none"/>
        </w:rPr>
        <w:sectPr>
          <w:pgSz w:w="16837" w:h="11905"/>
          <w:pgMar w:top="1011" w:right="1463" w:bottom="0" w:left="386" w:header="0" w:footer="0" w:gutter="0"/>
          <w:pgNumType w:fmt="decimal"/>
          <w:cols w:space="720" w:num="1"/>
        </w:sectPr>
      </w:pPr>
    </w:p>
    <w:p>
      <w:pPr>
        <w:spacing w:before="176"/>
        <w:rPr>
          <w:highlight w:val="none"/>
        </w:rPr>
      </w:pPr>
    </w:p>
    <w:tbl>
      <w:tblPr>
        <w:tblStyle w:val="55"/>
        <w:tblW w:w="149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7"/>
        <w:gridCol w:w="1307"/>
        <w:gridCol w:w="8104"/>
        <w:gridCol w:w="1031"/>
        <w:gridCol w:w="1530"/>
        <w:gridCol w:w="22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26" w:hRule="atLeast"/>
        </w:trPr>
        <w:tc>
          <w:tcPr>
            <w:tcW w:w="717" w:type="dxa"/>
            <w:vAlign w:val="top"/>
          </w:tcPr>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pStyle w:val="54"/>
              <w:spacing w:before="71" w:line="183" w:lineRule="auto"/>
              <w:ind w:left="311"/>
              <w:rPr>
                <w:sz w:val="22"/>
                <w:szCs w:val="22"/>
                <w:highlight w:val="none"/>
              </w:rPr>
            </w:pPr>
            <w:r>
              <w:rPr>
                <w:sz w:val="22"/>
                <w:szCs w:val="22"/>
                <w:highlight w:val="none"/>
              </w:rPr>
              <w:t>9</w:t>
            </w:r>
          </w:p>
        </w:tc>
        <w:tc>
          <w:tcPr>
            <w:tcW w:w="1307" w:type="dxa"/>
            <w:vAlign w:val="top"/>
          </w:tcPr>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pStyle w:val="54"/>
              <w:spacing w:before="18" w:line="220" w:lineRule="auto"/>
              <w:ind w:left="127"/>
              <w:rPr>
                <w:sz w:val="22"/>
                <w:szCs w:val="22"/>
                <w:highlight w:val="none"/>
              </w:rPr>
            </w:pPr>
            <w:r>
              <w:rPr>
                <w:spacing w:val="-6"/>
                <w:sz w:val="22"/>
                <w:szCs w:val="22"/>
                <w:highlight w:val="none"/>
              </w:rPr>
              <w:t>中长跑跑步</w:t>
            </w:r>
          </w:p>
          <w:p>
            <w:pPr>
              <w:pStyle w:val="54"/>
              <w:spacing w:before="9" w:line="220" w:lineRule="auto"/>
              <w:ind w:left="329"/>
              <w:rPr>
                <w:sz w:val="22"/>
                <w:szCs w:val="22"/>
                <w:highlight w:val="none"/>
              </w:rPr>
            </w:pPr>
            <w:r>
              <w:rPr>
                <w:spacing w:val="-4"/>
                <w:sz w:val="22"/>
                <w:szCs w:val="22"/>
                <w:highlight w:val="none"/>
              </w:rPr>
              <w:t>测试仪</w:t>
            </w:r>
          </w:p>
          <w:p>
            <w:pPr>
              <w:pStyle w:val="54"/>
              <w:spacing w:before="10" w:line="222" w:lineRule="auto"/>
              <w:ind w:left="115"/>
              <w:rPr>
                <w:sz w:val="22"/>
                <w:szCs w:val="22"/>
                <w:highlight w:val="none"/>
              </w:rPr>
            </w:pPr>
            <w:r>
              <w:rPr>
                <w:spacing w:val="-3"/>
                <w:sz w:val="22"/>
                <w:szCs w:val="22"/>
                <w:highlight w:val="none"/>
              </w:rPr>
              <w:t>（20人测）</w:t>
            </w:r>
          </w:p>
        </w:tc>
        <w:tc>
          <w:tcPr>
            <w:tcW w:w="8104" w:type="dxa"/>
            <w:vAlign w:val="top"/>
          </w:tcPr>
          <w:p>
            <w:pPr>
              <w:pStyle w:val="54"/>
              <w:spacing w:before="12" w:line="224" w:lineRule="auto"/>
              <w:ind w:left="28" w:right="52" w:firstLine="2"/>
              <w:rPr>
                <w:highlight w:val="none"/>
              </w:rPr>
            </w:pPr>
            <w:r>
              <w:rPr>
                <w:highlight w:val="none"/>
              </w:rPr>
              <w:t>单机:</w:t>
            </w:r>
          </w:p>
          <w:p>
            <w:pPr>
              <w:pStyle w:val="54"/>
              <w:spacing w:before="12" w:line="224" w:lineRule="auto"/>
              <w:ind w:left="28" w:right="52" w:firstLine="2"/>
              <w:rPr>
                <w:highlight w:val="none"/>
              </w:rPr>
            </w:pPr>
            <w:r>
              <w:rPr>
                <w:highlight w:val="none"/>
              </w:rPr>
              <w:t>1. 自动测量800、1000米跑的时间，测试受试者耐力素质的发展水平和灵敏度，特别是心血管呼吸系统 的机能及肌肉耐力；</w:t>
            </w:r>
          </w:p>
          <w:p>
            <w:pPr>
              <w:pStyle w:val="54"/>
              <w:spacing w:before="12" w:line="224" w:lineRule="auto"/>
              <w:ind w:left="28" w:right="52" w:firstLine="2"/>
              <w:rPr>
                <w:highlight w:val="none"/>
              </w:rPr>
            </w:pPr>
            <w:r>
              <w:rPr>
                <w:highlight w:val="none"/>
              </w:rPr>
              <w:t>2.采用穿戴式带编号背心，内置无线计圈计时卡（含芯片电池），标签塑封防摔抗震，接收器可以同 时处理100个芯片（具体数量根据需求配置），数据可靠无漏。</w:t>
            </w:r>
          </w:p>
          <w:p>
            <w:pPr>
              <w:pStyle w:val="54"/>
              <w:spacing w:before="12" w:line="224" w:lineRule="auto"/>
              <w:ind w:left="28" w:right="52" w:firstLine="2"/>
              <w:rPr>
                <w:highlight w:val="none"/>
              </w:rPr>
            </w:pPr>
            <w:r>
              <w:rPr>
                <w:highlight w:val="none"/>
              </w:rPr>
              <w:t>3.终点采用≥5米防水地毯，内置感应线圈。地毯为环保无公害材质，地毯材质柔软，脚感舒适不影响 测试成绩，可快速圈起便于收纳。</w:t>
            </w:r>
          </w:p>
          <w:p>
            <w:pPr>
              <w:pStyle w:val="54"/>
              <w:spacing w:before="12" w:line="224" w:lineRule="auto"/>
              <w:ind w:left="28" w:right="52" w:firstLine="2"/>
              <w:rPr>
                <w:highlight w:val="none"/>
              </w:rPr>
            </w:pPr>
            <w:r>
              <w:rPr>
                <w:highlight w:val="none"/>
              </w:rPr>
              <w:t>4.具有抢跑重置功能，无需重新录入测试者信息；可扩展测试1500、3000、5000米跑等项目；可实现 多组别套跑功能。</w:t>
            </w:r>
          </w:p>
          <w:p>
            <w:pPr>
              <w:pStyle w:val="54"/>
              <w:spacing w:before="12" w:line="224" w:lineRule="auto"/>
              <w:ind w:left="28" w:right="52" w:firstLine="2"/>
              <w:rPr>
                <w:highlight w:val="none"/>
              </w:rPr>
            </w:pPr>
            <w:r>
              <w:rPr>
                <w:highlight w:val="none"/>
              </w:rPr>
              <w:t>5.可根~据跑道200、250、300、400米以及不标准跑道设置计圈；常规配置10人测试,可按需拓展增加配 置10 100人同时测试，自动计时和自动记圈。</w:t>
            </w:r>
          </w:p>
          <w:p>
            <w:pPr>
              <w:pStyle w:val="54"/>
              <w:spacing w:before="12" w:line="224" w:lineRule="auto"/>
              <w:ind w:left="28" w:right="52" w:firstLine="2"/>
              <w:rPr>
                <w:highlight w:val="none"/>
              </w:rPr>
            </w:pPr>
            <w:r>
              <w:rPr>
                <w:highlight w:val="none"/>
              </w:rPr>
              <w:t>主机:</w:t>
            </w:r>
          </w:p>
          <w:p>
            <w:pPr>
              <w:pStyle w:val="54"/>
              <w:spacing w:before="12" w:line="224" w:lineRule="auto"/>
              <w:ind w:left="28" w:right="52" w:firstLine="2"/>
              <w:rPr>
                <w:highlight w:val="none"/>
              </w:rPr>
            </w:pPr>
            <w:r>
              <w:rPr>
                <w:highlight w:val="none"/>
              </w:rPr>
              <w:t>1.主机采用原生Android7.0及以上系统，能够安装APK程序以拓展使用功能及产品升级（可现场演  示），屏幕采用≥7吋1024×600高清触摸电容屏；主机≥1.0GB以上运行内存， ≥4GB FLASH存储空间 。可直插U盘播放测试视频录像。</w:t>
            </w:r>
          </w:p>
          <w:p>
            <w:pPr>
              <w:pStyle w:val="54"/>
              <w:spacing w:before="12" w:line="224" w:lineRule="auto"/>
              <w:ind w:left="28" w:right="52" w:firstLine="2"/>
              <w:rPr>
                <w:highlight w:val="none"/>
              </w:rPr>
            </w:pPr>
            <w:r>
              <w:rPr>
                <w:highlight w:val="none"/>
              </w:rPr>
              <w:t>2.主机采用硅胶按键，经久耐用，适用于大规模测试。</w:t>
            </w:r>
          </w:p>
          <w:p>
            <w:pPr>
              <w:pStyle w:val="54"/>
              <w:spacing w:before="12" w:line="224" w:lineRule="auto"/>
              <w:ind w:left="28" w:right="52" w:firstLine="2"/>
              <w:rPr>
                <w:highlight w:val="none"/>
              </w:rPr>
            </w:pPr>
            <w:r>
              <w:rPr>
                <w:highlight w:val="none"/>
              </w:rPr>
              <w:t>3.主机内置二维码扫描仪（非外接型），自动识别测试者二维码身份信息。</w:t>
            </w:r>
          </w:p>
          <w:p>
            <w:pPr>
              <w:pStyle w:val="54"/>
              <w:spacing w:before="12" w:line="224" w:lineRule="auto"/>
              <w:ind w:left="28" w:right="52" w:firstLine="2"/>
              <w:rPr>
                <w:highlight w:val="none"/>
              </w:rPr>
            </w:pPr>
            <w:r>
              <w:rPr>
                <w:highlight w:val="none"/>
              </w:rPr>
              <w:t>4.主机具有AI语音智能识别功能，可通过语音智能控制调节屏幕亮度，音量大小，关闭程序等功能。</w:t>
            </w:r>
          </w:p>
          <w:p>
            <w:pPr>
              <w:pStyle w:val="54"/>
              <w:spacing w:before="12" w:line="224" w:lineRule="auto"/>
              <w:ind w:left="28" w:right="52" w:firstLine="2"/>
              <w:rPr>
                <w:highlight w:val="none"/>
              </w:rPr>
            </w:pPr>
            <w:r>
              <w:rPr>
                <w:highlight w:val="none"/>
              </w:rPr>
              <w:t>5.主机具备≥2个USB标准接口（非外接扩展），可直接插入U盘导入≥100000条测试名单信息，也可 直接导出测试成绩至U盘自动生成Excel表格。主机同时支持学生名单的无线同步和离线导入功能。</w:t>
            </w:r>
          </w:p>
          <w:p>
            <w:pPr>
              <w:pStyle w:val="54"/>
              <w:spacing w:before="12" w:line="224" w:lineRule="auto"/>
              <w:ind w:left="28" w:right="52" w:firstLine="2"/>
              <w:rPr>
                <w:highlight w:val="none"/>
              </w:rPr>
            </w:pPr>
            <w:r>
              <w:rPr>
                <w:highlight w:val="none"/>
              </w:rPr>
              <w:t>6.可扩展人脸识别设备，自动识别测试者身份信息， 7.可选配刷身份证，主机自动获取测试者身份信息。</w:t>
            </w:r>
          </w:p>
          <w:p>
            <w:pPr>
              <w:pStyle w:val="54"/>
              <w:spacing w:before="12" w:line="224" w:lineRule="auto"/>
              <w:ind w:left="28" w:right="52" w:firstLine="2"/>
              <w:rPr>
                <w:highlight w:val="none"/>
              </w:rPr>
            </w:pPr>
            <w:r>
              <w:rPr>
                <w:highlight w:val="none"/>
              </w:rPr>
              <w:t>8.主机具多种身份识别功能：可通过触摸屏输入、机械键盘输入、非接触式IC卡（兼容校园一卡通） 、条码扫描仪等识别方法；输入学号具备自动递增功能；主机菜单具备单项查询，集体查询，分组查 询，具有年级班级组别日期等多种筛选数据方式，查询便捷。</w:t>
            </w:r>
          </w:p>
          <w:p>
            <w:pPr>
              <w:pStyle w:val="54"/>
              <w:spacing w:before="12" w:line="224" w:lineRule="auto"/>
              <w:ind w:left="28" w:right="52" w:firstLine="2"/>
              <w:rPr>
                <w:highlight w:val="none"/>
              </w:rPr>
            </w:pPr>
            <w:r>
              <w:rPr>
                <w:highlight w:val="none"/>
              </w:rPr>
              <w:t>9.主机支持U盘直接导入国标和自定义评分标准，主机内嵌国标可以根据年级性别项目进行实时评 分，适用于体测；也可以自定义导入评分标准对测试结果进行评分，适用于考试。</w:t>
            </w:r>
          </w:p>
          <w:p>
            <w:pPr>
              <w:pStyle w:val="54"/>
              <w:spacing w:before="12" w:line="224" w:lineRule="auto"/>
              <w:ind w:left="28" w:right="52" w:firstLine="2"/>
              <w:rPr>
                <w:highlight w:val="none"/>
              </w:rPr>
            </w:pPr>
            <w:r>
              <w:rPr>
                <w:highlight w:val="none"/>
              </w:rPr>
              <w:t>10.主机支持头像管理，主机可以通过U盘批量导入学生头像10000条以上。</w:t>
            </w:r>
          </w:p>
          <w:p>
            <w:pPr>
              <w:pStyle w:val="54"/>
              <w:spacing w:before="12" w:line="224" w:lineRule="auto"/>
              <w:ind w:left="28" w:right="52" w:firstLine="2"/>
              <w:rPr>
                <w:highlight w:val="none"/>
              </w:rPr>
            </w:pPr>
            <w:r>
              <w:rPr>
                <w:highlight w:val="none"/>
              </w:rPr>
              <w:t>11.主机查询结果能一屏同时显示测试学校、年级、班级、学生姓名、性别、测试成绩、测试日期及时 间，方便后期督查。主机具有日志管理，记录操作人员在主机上的所有操作，便于异常情况的追溯。</w:t>
            </w:r>
          </w:p>
          <w:p>
            <w:pPr>
              <w:pStyle w:val="54"/>
              <w:spacing w:before="12" w:line="224" w:lineRule="auto"/>
              <w:ind w:left="28" w:right="52" w:firstLine="2"/>
              <w:rPr>
                <w:highlight w:val="none"/>
              </w:rPr>
            </w:pPr>
            <w:r>
              <w:rPr>
                <w:highlight w:val="none"/>
              </w:rPr>
              <w:t>12.主机具有数据备份和恢复功能，可以备份任意时间段体测程序里面的所有数据，可以备份多次保存 在存储芯片里面。支持一键恢复，根据日期选择要恢复的备份，自动恢复测试数据。</w:t>
            </w:r>
          </w:p>
          <w:p>
            <w:pPr>
              <w:pStyle w:val="54"/>
              <w:spacing w:before="12" w:line="224" w:lineRule="auto"/>
              <w:ind w:left="28" w:right="52" w:firstLine="2"/>
              <w:rPr>
                <w:highlight w:val="none"/>
              </w:rPr>
            </w:pPr>
            <w:r>
              <w:rPr>
                <w:highlight w:val="none"/>
              </w:rPr>
              <w:t>13.主要技术参数</w:t>
            </w:r>
            <w:r>
              <w:rPr>
                <w:spacing w:val="-1"/>
                <w:highlight w:val="none"/>
              </w:rPr>
              <w:t>★</w:t>
            </w:r>
            <w:r>
              <w:rPr>
                <w:highlight w:val="none"/>
              </w:rPr>
              <w:t>：</w:t>
            </w:r>
          </w:p>
          <w:p>
            <w:pPr>
              <w:pStyle w:val="54"/>
              <w:spacing w:before="12" w:line="224" w:lineRule="auto"/>
              <w:ind w:left="28" w:right="52" w:firstLine="2"/>
              <w:rPr>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page">
                        <wp:posOffset>320040</wp:posOffset>
                      </wp:positionH>
                      <wp:positionV relativeFrom="page">
                        <wp:posOffset>4872355</wp:posOffset>
                      </wp:positionV>
                      <wp:extent cx="767715"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7715" cy="161925"/>
                              </a:xfrm>
                              <a:prstGeom prst="rect">
                                <a:avLst/>
                              </a:prstGeom>
                              <a:noFill/>
                              <a:ln>
                                <a:noFill/>
                              </a:ln>
                            </wps:spPr>
                            <wps:txbx>
                              <w:txbxContent>
                                <w:p>
                                  <w:pPr>
                                    <w:pStyle w:val="54"/>
                                    <w:spacing w:before="20" w:line="220" w:lineRule="auto"/>
                                    <w:ind w:left="20"/>
                                  </w:pPr>
                                  <w:r>
                                    <w:rPr>
                                      <w:spacing w:val="-4"/>
                                    </w:rPr>
                                    <w:t>分度值</w:t>
                                  </w:r>
                                  <w:r>
                                    <w:rPr>
                                      <w:spacing w:val="6"/>
                                    </w:rPr>
                                    <w:t xml:space="preserve">  </w:t>
                                  </w:r>
                                  <w:r>
                                    <w:rPr>
                                      <w:spacing w:val="-4"/>
                                    </w:rPr>
                                    <w:t>0</w:t>
                                  </w:r>
                                  <w:r>
                                    <w:rPr>
                                      <w:spacing w:val="13"/>
                                    </w:rPr>
                                    <w:t xml:space="preserve"> </w:t>
                                  </w:r>
                                  <w:r>
                                    <w:rPr>
                                      <w:spacing w:val="-4"/>
                                    </w:rPr>
                                    <w:t>01s</w:t>
                                  </w:r>
                                </w:p>
                              </w:txbxContent>
                            </wps:txbx>
                            <wps:bodyPr lIns="0" tIns="0" rIns="0" bIns="0" upright="1"/>
                          </wps:wsp>
                        </a:graphicData>
                      </a:graphic>
                    </wp:anchor>
                  </w:drawing>
                </mc:Choice>
                <mc:Fallback>
                  <w:pict>
                    <v:shape id="_x0000_s1026" o:spid="_x0000_s1026" o:spt="202" type="#_x0000_t202" style="position:absolute;left:0pt;margin-left:25.2pt;margin-top:383.65pt;height:12.75pt;width:60.45pt;mso-position-horizontal-relative:page;mso-position-vertical-relative:page;z-index:251659264;mso-width-relative:page;mso-height-relative:page;" filled="f" stroked="f" coordsize="21600,21600" o:gfxdata="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SUzB42QAAAAoBAAAPAAAAAAAAAAEAIAAAACIAAABkcnMvZG93bnJldi54bWxQSwEC&#10;FAAUAAAACACHTuJAnERJi7oBAABxAwAADgAAAAAAAAABACAAAAAoAQAAZHJzL2Uyb0RvYy54bWxQ&#10;SwUGAAAAAAYABgBZAQAAVAUAAAAA&#10;">
                      <v:fill on="f" focussize="0,0"/>
                      <v:stroke on="f"/>
                      <v:imagedata o:title=""/>
                      <o:lock v:ext="edit" aspectratio="f"/>
                      <v:textbox inset="0mm,0mm,0mm,0mm">
                        <w:txbxContent>
                          <w:p>
                            <w:pPr>
                              <w:pStyle w:val="54"/>
                              <w:spacing w:before="20" w:line="220" w:lineRule="auto"/>
                              <w:ind w:left="20"/>
                            </w:pPr>
                            <w:r>
                              <w:rPr>
                                <w:spacing w:val="-4"/>
                              </w:rPr>
                              <w:t>分度值</w:t>
                            </w:r>
                            <w:r>
                              <w:rPr>
                                <w:spacing w:val="6"/>
                              </w:rPr>
                              <w:t xml:space="preserve">  </w:t>
                            </w:r>
                            <w:r>
                              <w:rPr>
                                <w:spacing w:val="-4"/>
                              </w:rPr>
                              <w:t>0</w:t>
                            </w:r>
                            <w:r>
                              <w:rPr>
                                <w:spacing w:val="13"/>
                              </w:rPr>
                              <w:t xml:space="preserve"> </w:t>
                            </w:r>
                            <w:r>
                              <w:rPr>
                                <w:spacing w:val="-4"/>
                              </w:rPr>
                              <w:t>01s</w:t>
                            </w:r>
                          </w:p>
                        </w:txbxContent>
                      </v:textbox>
                    </v:shape>
                  </w:pict>
                </mc:Fallback>
              </mc:AlternateContent>
            </w:r>
            <w:r>
              <w:rPr>
                <w:highlight w:val="none"/>
              </w:rPr>
              <w:t>测量范围：0～9999.99S</w:t>
            </w:r>
          </w:p>
        </w:tc>
        <w:tc>
          <w:tcPr>
            <w:tcW w:w="1031" w:type="dxa"/>
            <w:vAlign w:val="top"/>
          </w:tcPr>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pStyle w:val="54"/>
              <w:spacing w:before="78" w:line="184" w:lineRule="auto"/>
              <w:ind w:left="487"/>
              <w:rPr>
                <w:rFonts w:hint="eastAsia" w:eastAsia="宋体"/>
                <w:sz w:val="24"/>
                <w:szCs w:val="24"/>
                <w:highlight w:val="none"/>
                <w:lang w:eastAsia="zh-CN"/>
              </w:rPr>
            </w:pPr>
            <w:r>
              <w:rPr>
                <w:rFonts w:hint="eastAsia"/>
                <w:sz w:val="24"/>
                <w:szCs w:val="24"/>
                <w:highlight w:val="none"/>
                <w:lang w:val="en-US" w:eastAsia="zh-CN"/>
              </w:rPr>
              <w:t>2</w:t>
            </w:r>
          </w:p>
        </w:tc>
        <w:tc>
          <w:tcPr>
            <w:tcW w:w="1530" w:type="dxa"/>
            <w:vAlign w:val="top"/>
          </w:tcPr>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pStyle w:val="54"/>
              <w:spacing w:before="78" w:line="221" w:lineRule="auto"/>
              <w:ind w:left="377"/>
              <w:rPr>
                <w:rFonts w:hint="default" w:eastAsia="宋体"/>
                <w:sz w:val="24"/>
                <w:szCs w:val="24"/>
                <w:highlight w:val="none"/>
                <w:lang w:val="en-US" w:eastAsia="zh-CN"/>
              </w:rPr>
            </w:pPr>
          </w:p>
        </w:tc>
        <w:tc>
          <w:tcPr>
            <w:tcW w:w="2283" w:type="dxa"/>
            <w:vAlign w:val="top"/>
          </w:tcPr>
          <w:p>
            <w:pPr>
              <w:spacing w:line="290" w:lineRule="auto"/>
              <w:rPr>
                <w:rFonts w:ascii="Arial"/>
                <w:sz w:val="21"/>
                <w:highlight w:val="none"/>
              </w:rPr>
            </w:pPr>
          </w:p>
          <w:p>
            <w:pPr>
              <w:spacing w:line="291" w:lineRule="auto"/>
              <w:rPr>
                <w:rFonts w:ascii="Arial"/>
                <w:sz w:val="21"/>
                <w:highlight w:val="none"/>
              </w:rPr>
            </w:pPr>
          </w:p>
          <w:p>
            <w:pPr>
              <w:spacing w:line="3278" w:lineRule="exact"/>
              <w:ind w:firstLine="131"/>
              <w:rPr>
                <w:highlight w:val="none"/>
              </w:rPr>
            </w:pPr>
            <w:r>
              <w:rPr>
                <w:position w:val="-65"/>
                <w:highlight w:val="none"/>
              </w:rPr>
              <w:drawing>
                <wp:inline distT="0" distB="0" distL="0" distR="0">
                  <wp:extent cx="1135380" cy="2081530"/>
                  <wp:effectExtent l="0" t="0" r="7620" b="1397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8"/>
                          <a:stretch>
                            <a:fillRect/>
                          </a:stretch>
                        </pic:blipFill>
                        <pic:spPr>
                          <a:xfrm>
                            <a:off x="0" y="0"/>
                            <a:ext cx="1135380" cy="2081783"/>
                          </a:xfrm>
                          <a:prstGeom prst="rect">
                            <a:avLst/>
                          </a:prstGeom>
                        </pic:spPr>
                      </pic:pic>
                    </a:graphicData>
                  </a:graphic>
                </wp:inline>
              </w:drawing>
            </w:r>
          </w:p>
        </w:tc>
      </w:tr>
    </w:tbl>
    <w:p>
      <w:pPr>
        <w:rPr>
          <w:color w:val="000000" w:themeColor="text1"/>
          <w:highlight w:val="none"/>
          <w14:textFill>
            <w14:solidFill>
              <w14:schemeClr w14:val="tx1"/>
            </w14:solidFill>
          </w14:textFill>
        </w:rPr>
      </w:pPr>
    </w:p>
    <w:sectPr>
      <w:headerReference r:id="rId7" w:type="default"/>
      <w:footerReference r:id="rId8" w:type="default"/>
      <w:type w:val="nextColumn"/>
      <w:pgSz w:w="16840" w:h="11910" w:orient="landscape"/>
      <w:pgMar w:top="1260" w:right="1380" w:bottom="640" w:left="1300" w:header="877" w:footer="111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YaHei-Bold">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roma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rPr>
        <w:rFonts w:eastAsia="黑体"/>
      </w:rPr>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5"/>
                            <w:rPr>
                              <w:rStyle w:val="26"/>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fdNWD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gtKLDM48NOP76efv0+/&#10;vpFFsqfzUGHVvce62L93PS7NlAdMJtW9DCa9UQ/BezT3eDZX9JHw9FG5vF5cUcLxqlyU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H3TVgzgEAAJcDAAAOAAAAAAAAAAEAIAAAAB8BAABkcnMv&#10;ZTJvRG9jLnhtbFBLBQYAAAAABgAGAFkBAABfBQAAAAA=&#10;">
              <v:fill on="f" focussize="0,0"/>
              <v:stroke on="f"/>
              <v:imagedata o:title=""/>
              <o:lock v:ext="edit" aspectratio="f"/>
              <v:textbox inset="0mm,0mm,0mm,0mm" style="mso-fit-shape-to-text:t;">
                <w:txbxContent>
                  <w:p>
                    <w:pPr>
                      <w:pStyle w:val="15"/>
                      <w:rPr>
                        <w:rStyle w:val="26"/>
                      </w:rP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22"/>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FE70A"/>
    <w:multiLevelType w:val="singleLevel"/>
    <w:tmpl w:val="985FE70A"/>
    <w:lvl w:ilvl="0" w:tentative="0">
      <w:start w:val="1"/>
      <w:numFmt w:val="decimal"/>
      <w:suff w:val="nothing"/>
      <w:lvlText w:val="%1．"/>
      <w:lvlJc w:val="left"/>
      <w:pPr>
        <w:ind w:left="168" w:firstLine="400"/>
      </w:pPr>
      <w:rPr>
        <w:rFonts w:hint="default"/>
      </w:rPr>
    </w:lvl>
  </w:abstractNum>
  <w:abstractNum w:abstractNumId="1">
    <w:nsid w:val="98EA63B7"/>
    <w:multiLevelType w:val="singleLevel"/>
    <w:tmpl w:val="98EA63B7"/>
    <w:lvl w:ilvl="0" w:tentative="0">
      <w:start w:val="6"/>
      <w:numFmt w:val="chineseCounting"/>
      <w:suff w:val="nothing"/>
      <w:lvlText w:val="%1、"/>
      <w:lvlJc w:val="left"/>
      <w:rPr>
        <w:rFonts w:hint="eastAsia"/>
      </w:rPr>
    </w:lvl>
  </w:abstractNum>
  <w:abstractNum w:abstractNumId="2">
    <w:nsid w:val="993A766A"/>
    <w:multiLevelType w:val="singleLevel"/>
    <w:tmpl w:val="993A766A"/>
    <w:lvl w:ilvl="0" w:tentative="0">
      <w:start w:val="1"/>
      <w:numFmt w:val="decimal"/>
      <w:lvlText w:val="%1)"/>
      <w:lvlJc w:val="left"/>
      <w:pPr>
        <w:ind w:left="425" w:hanging="425"/>
      </w:pPr>
      <w:rPr>
        <w:rFonts w:hint="default"/>
      </w:rPr>
    </w:lvl>
  </w:abstractNum>
  <w:abstractNum w:abstractNumId="3">
    <w:nsid w:val="B4BC68A7"/>
    <w:multiLevelType w:val="singleLevel"/>
    <w:tmpl w:val="B4BC68A7"/>
    <w:lvl w:ilvl="0" w:tentative="0">
      <w:start w:val="1"/>
      <w:numFmt w:val="decimal"/>
      <w:lvlText w:val="%1)"/>
      <w:lvlJc w:val="left"/>
      <w:pPr>
        <w:ind w:left="425" w:hanging="425"/>
      </w:pPr>
      <w:rPr>
        <w:rFonts w:hint="default"/>
      </w:rPr>
    </w:lvl>
  </w:abstractNum>
  <w:abstractNum w:abstractNumId="4">
    <w:nsid w:val="023D7AED"/>
    <w:multiLevelType w:val="multilevel"/>
    <w:tmpl w:val="023D7AED"/>
    <w:lvl w:ilvl="0" w:tentative="0">
      <w:start w:val="1"/>
      <w:numFmt w:val="japaneseCounting"/>
      <w:lvlText w:val="%1、"/>
      <w:lvlJc w:val="left"/>
      <w:pPr>
        <w:ind w:left="177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4DE747D"/>
    <w:multiLevelType w:val="multilevel"/>
    <w:tmpl w:val="34DE747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2A0E39"/>
    <w:multiLevelType w:val="multilevel"/>
    <w:tmpl w:val="372A0E39"/>
    <w:lvl w:ilvl="0" w:tentative="0">
      <w:start w:val="1"/>
      <w:numFmt w:val="decimal"/>
      <w:lvlText w:val="(%1)"/>
      <w:lvlJc w:val="left"/>
      <w:pPr>
        <w:ind w:left="589" w:hanging="362"/>
      </w:pPr>
      <w:rPr>
        <w:rFonts w:hint="default" w:ascii="宋体" w:hAnsi="宋体" w:eastAsia="宋体" w:cs="宋体"/>
        <w:spacing w:val="-1"/>
        <w:w w:val="100"/>
        <w:sz w:val="22"/>
        <w:szCs w:val="22"/>
      </w:rPr>
    </w:lvl>
    <w:lvl w:ilvl="1" w:tentative="0">
      <w:start w:val="0"/>
      <w:numFmt w:val="bullet"/>
      <w:lvlText w:val="•"/>
      <w:lvlJc w:val="left"/>
      <w:pPr>
        <w:ind w:left="1468" w:hanging="362"/>
      </w:pPr>
      <w:rPr>
        <w:rFonts w:hint="default"/>
      </w:rPr>
    </w:lvl>
    <w:lvl w:ilvl="2" w:tentative="0">
      <w:start w:val="0"/>
      <w:numFmt w:val="bullet"/>
      <w:lvlText w:val="•"/>
      <w:lvlJc w:val="left"/>
      <w:pPr>
        <w:ind w:left="2357" w:hanging="362"/>
      </w:pPr>
      <w:rPr>
        <w:rFonts w:hint="default"/>
      </w:rPr>
    </w:lvl>
    <w:lvl w:ilvl="3" w:tentative="0">
      <w:start w:val="0"/>
      <w:numFmt w:val="bullet"/>
      <w:lvlText w:val="•"/>
      <w:lvlJc w:val="left"/>
      <w:pPr>
        <w:ind w:left="3245" w:hanging="362"/>
      </w:pPr>
      <w:rPr>
        <w:rFonts w:hint="default"/>
      </w:rPr>
    </w:lvl>
    <w:lvl w:ilvl="4" w:tentative="0">
      <w:start w:val="0"/>
      <w:numFmt w:val="bullet"/>
      <w:lvlText w:val="•"/>
      <w:lvlJc w:val="left"/>
      <w:pPr>
        <w:ind w:left="4134" w:hanging="362"/>
      </w:pPr>
      <w:rPr>
        <w:rFonts w:hint="default"/>
      </w:rPr>
    </w:lvl>
    <w:lvl w:ilvl="5" w:tentative="0">
      <w:start w:val="0"/>
      <w:numFmt w:val="bullet"/>
      <w:lvlText w:val="•"/>
      <w:lvlJc w:val="left"/>
      <w:pPr>
        <w:ind w:left="5022" w:hanging="362"/>
      </w:pPr>
      <w:rPr>
        <w:rFonts w:hint="default"/>
      </w:rPr>
    </w:lvl>
    <w:lvl w:ilvl="6" w:tentative="0">
      <w:start w:val="0"/>
      <w:numFmt w:val="bullet"/>
      <w:lvlText w:val="•"/>
      <w:lvlJc w:val="left"/>
      <w:pPr>
        <w:ind w:left="5911" w:hanging="362"/>
      </w:pPr>
      <w:rPr>
        <w:rFonts w:hint="default"/>
      </w:rPr>
    </w:lvl>
    <w:lvl w:ilvl="7" w:tentative="0">
      <w:start w:val="0"/>
      <w:numFmt w:val="bullet"/>
      <w:lvlText w:val="•"/>
      <w:lvlJc w:val="left"/>
      <w:pPr>
        <w:ind w:left="6799" w:hanging="362"/>
      </w:pPr>
      <w:rPr>
        <w:rFonts w:hint="default"/>
      </w:rPr>
    </w:lvl>
    <w:lvl w:ilvl="8" w:tentative="0">
      <w:start w:val="0"/>
      <w:numFmt w:val="bullet"/>
      <w:lvlText w:val="•"/>
      <w:lvlJc w:val="left"/>
      <w:pPr>
        <w:ind w:left="7688" w:hanging="362"/>
      </w:pPr>
      <w:rPr>
        <w:rFonts w:hint="default"/>
      </w:rPr>
    </w:lvl>
  </w:abstractNum>
  <w:abstractNum w:abstractNumId="7">
    <w:nsid w:val="39D677E3"/>
    <w:multiLevelType w:val="multilevel"/>
    <w:tmpl w:val="39D677E3"/>
    <w:lvl w:ilvl="0" w:tentative="0">
      <w:start w:val="1"/>
      <w:numFmt w:val="decimal"/>
      <w:lvlText w:val="%1)"/>
      <w:lvlJc w:val="left"/>
      <w:pPr>
        <w:ind w:left="589" w:hanging="242"/>
      </w:pPr>
      <w:rPr>
        <w:rFonts w:hint="default" w:ascii="宋体" w:hAnsi="宋体" w:eastAsia="宋体" w:cs="宋体"/>
        <w:spacing w:val="-1"/>
        <w:w w:val="100"/>
        <w:sz w:val="22"/>
        <w:szCs w:val="22"/>
      </w:rPr>
    </w:lvl>
    <w:lvl w:ilvl="1" w:tentative="0">
      <w:start w:val="0"/>
      <w:numFmt w:val="bullet"/>
      <w:lvlText w:val="•"/>
      <w:lvlJc w:val="left"/>
      <w:pPr>
        <w:ind w:left="1468" w:hanging="242"/>
      </w:pPr>
      <w:rPr>
        <w:rFonts w:hint="default"/>
      </w:rPr>
    </w:lvl>
    <w:lvl w:ilvl="2" w:tentative="0">
      <w:start w:val="0"/>
      <w:numFmt w:val="bullet"/>
      <w:lvlText w:val="•"/>
      <w:lvlJc w:val="left"/>
      <w:pPr>
        <w:ind w:left="2357" w:hanging="242"/>
      </w:pPr>
      <w:rPr>
        <w:rFonts w:hint="default"/>
      </w:rPr>
    </w:lvl>
    <w:lvl w:ilvl="3" w:tentative="0">
      <w:start w:val="0"/>
      <w:numFmt w:val="bullet"/>
      <w:lvlText w:val="•"/>
      <w:lvlJc w:val="left"/>
      <w:pPr>
        <w:ind w:left="3245" w:hanging="242"/>
      </w:pPr>
      <w:rPr>
        <w:rFonts w:hint="default"/>
      </w:rPr>
    </w:lvl>
    <w:lvl w:ilvl="4" w:tentative="0">
      <w:start w:val="0"/>
      <w:numFmt w:val="bullet"/>
      <w:lvlText w:val="•"/>
      <w:lvlJc w:val="left"/>
      <w:pPr>
        <w:ind w:left="4134" w:hanging="242"/>
      </w:pPr>
      <w:rPr>
        <w:rFonts w:hint="default"/>
      </w:rPr>
    </w:lvl>
    <w:lvl w:ilvl="5" w:tentative="0">
      <w:start w:val="0"/>
      <w:numFmt w:val="bullet"/>
      <w:lvlText w:val="•"/>
      <w:lvlJc w:val="left"/>
      <w:pPr>
        <w:ind w:left="5022" w:hanging="242"/>
      </w:pPr>
      <w:rPr>
        <w:rFonts w:hint="default"/>
      </w:rPr>
    </w:lvl>
    <w:lvl w:ilvl="6" w:tentative="0">
      <w:start w:val="0"/>
      <w:numFmt w:val="bullet"/>
      <w:lvlText w:val="•"/>
      <w:lvlJc w:val="left"/>
      <w:pPr>
        <w:ind w:left="5911" w:hanging="242"/>
      </w:pPr>
      <w:rPr>
        <w:rFonts w:hint="default"/>
      </w:rPr>
    </w:lvl>
    <w:lvl w:ilvl="7" w:tentative="0">
      <w:start w:val="0"/>
      <w:numFmt w:val="bullet"/>
      <w:lvlText w:val="•"/>
      <w:lvlJc w:val="left"/>
      <w:pPr>
        <w:ind w:left="6799" w:hanging="242"/>
      </w:pPr>
      <w:rPr>
        <w:rFonts w:hint="default"/>
      </w:rPr>
    </w:lvl>
    <w:lvl w:ilvl="8" w:tentative="0">
      <w:start w:val="0"/>
      <w:numFmt w:val="bullet"/>
      <w:lvlText w:val="•"/>
      <w:lvlJc w:val="left"/>
      <w:pPr>
        <w:ind w:left="7688" w:hanging="242"/>
      </w:pPr>
      <w:rPr>
        <w:rFonts w:hint="default"/>
      </w:rPr>
    </w:lvl>
  </w:abstractNum>
  <w:abstractNum w:abstractNumId="8">
    <w:nsid w:val="3BD7548F"/>
    <w:multiLevelType w:val="multilevel"/>
    <w:tmpl w:val="3BD7548F"/>
    <w:lvl w:ilvl="0" w:tentative="0">
      <w:start w:val="1"/>
      <w:numFmt w:val="decimal"/>
      <w:lvlText w:val="（%1）."/>
      <w:lvlJc w:val="left"/>
      <w:pPr>
        <w:ind w:left="440" w:hanging="440"/>
      </w:pPr>
      <w:rPr>
        <w:rFonts w:hint="eastAsia"/>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43734D15"/>
    <w:multiLevelType w:val="multilevel"/>
    <w:tmpl w:val="43734D15"/>
    <w:lvl w:ilvl="0" w:tentative="0">
      <w:start w:val="1"/>
      <w:numFmt w:val="decimal"/>
      <w:lvlText w:val="（%1）."/>
      <w:lvlJc w:val="left"/>
      <w:pPr>
        <w:ind w:left="965" w:hanging="440"/>
      </w:pPr>
      <w:rPr>
        <w:rFonts w:hint="eastAsia"/>
      </w:rPr>
    </w:lvl>
    <w:lvl w:ilvl="1" w:tentative="0">
      <w:start w:val="1"/>
      <w:numFmt w:val="lowerLetter"/>
      <w:lvlText w:val="%2)"/>
      <w:lvlJc w:val="left"/>
      <w:pPr>
        <w:ind w:left="1405" w:hanging="440"/>
      </w:pPr>
    </w:lvl>
    <w:lvl w:ilvl="2" w:tentative="0">
      <w:start w:val="1"/>
      <w:numFmt w:val="lowerRoman"/>
      <w:lvlText w:val="%3."/>
      <w:lvlJc w:val="right"/>
      <w:pPr>
        <w:ind w:left="1845" w:hanging="440"/>
      </w:pPr>
    </w:lvl>
    <w:lvl w:ilvl="3" w:tentative="0">
      <w:start w:val="1"/>
      <w:numFmt w:val="decimal"/>
      <w:lvlText w:val="%4."/>
      <w:lvlJc w:val="left"/>
      <w:pPr>
        <w:ind w:left="2285" w:hanging="440"/>
      </w:pPr>
    </w:lvl>
    <w:lvl w:ilvl="4" w:tentative="0">
      <w:start w:val="1"/>
      <w:numFmt w:val="lowerLetter"/>
      <w:lvlText w:val="%5)"/>
      <w:lvlJc w:val="left"/>
      <w:pPr>
        <w:ind w:left="2725" w:hanging="440"/>
      </w:pPr>
    </w:lvl>
    <w:lvl w:ilvl="5" w:tentative="0">
      <w:start w:val="1"/>
      <w:numFmt w:val="lowerRoman"/>
      <w:lvlText w:val="%6."/>
      <w:lvlJc w:val="right"/>
      <w:pPr>
        <w:ind w:left="3165" w:hanging="440"/>
      </w:pPr>
    </w:lvl>
    <w:lvl w:ilvl="6" w:tentative="0">
      <w:start w:val="1"/>
      <w:numFmt w:val="decimal"/>
      <w:lvlText w:val="%7."/>
      <w:lvlJc w:val="left"/>
      <w:pPr>
        <w:ind w:left="3605" w:hanging="440"/>
      </w:pPr>
    </w:lvl>
    <w:lvl w:ilvl="7" w:tentative="0">
      <w:start w:val="1"/>
      <w:numFmt w:val="lowerLetter"/>
      <w:lvlText w:val="%8)"/>
      <w:lvlJc w:val="left"/>
      <w:pPr>
        <w:ind w:left="4045" w:hanging="440"/>
      </w:pPr>
    </w:lvl>
    <w:lvl w:ilvl="8" w:tentative="0">
      <w:start w:val="1"/>
      <w:numFmt w:val="lowerRoman"/>
      <w:lvlText w:val="%9."/>
      <w:lvlJc w:val="right"/>
      <w:pPr>
        <w:ind w:left="4485" w:hanging="440"/>
      </w:pPr>
    </w:lvl>
  </w:abstractNum>
  <w:abstractNum w:abstractNumId="10">
    <w:nsid w:val="4BE303D7"/>
    <w:multiLevelType w:val="multilevel"/>
    <w:tmpl w:val="4BE303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FE8367E"/>
    <w:multiLevelType w:val="multilevel"/>
    <w:tmpl w:val="4FE836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2E50C7F"/>
    <w:multiLevelType w:val="singleLevel"/>
    <w:tmpl w:val="52E50C7F"/>
    <w:lvl w:ilvl="0" w:tentative="0">
      <w:start w:val="1"/>
      <w:numFmt w:val="decimal"/>
      <w:lvlText w:val="%1)"/>
      <w:lvlJc w:val="left"/>
      <w:pPr>
        <w:ind w:left="425" w:hanging="425"/>
      </w:pPr>
      <w:rPr>
        <w:rFonts w:hint="default"/>
      </w:rPr>
    </w:lvl>
  </w:abstractNum>
  <w:abstractNum w:abstractNumId="13">
    <w:nsid w:val="7B56126D"/>
    <w:multiLevelType w:val="singleLevel"/>
    <w:tmpl w:val="7B56126D"/>
    <w:lvl w:ilvl="0" w:tentative="0">
      <w:start w:val="1"/>
      <w:numFmt w:val="decimal"/>
      <w:lvlText w:val="%1)"/>
      <w:lvlJc w:val="left"/>
      <w:pPr>
        <w:ind w:left="425" w:hanging="425"/>
      </w:pPr>
      <w:rPr>
        <w:rFonts w:hint="default"/>
      </w:rPr>
    </w:lvl>
  </w:abstractNum>
  <w:abstractNum w:abstractNumId="14">
    <w:nsid w:val="7F367213"/>
    <w:multiLevelType w:val="singleLevel"/>
    <w:tmpl w:val="7F367213"/>
    <w:lvl w:ilvl="0" w:tentative="0">
      <w:start w:val="1"/>
      <w:numFmt w:val="decimal"/>
      <w:lvlText w:val="%1)"/>
      <w:lvlJc w:val="left"/>
      <w:pPr>
        <w:ind w:left="425" w:hanging="425"/>
      </w:pPr>
      <w:rPr>
        <w:rFonts w:hint="default"/>
      </w:rPr>
    </w:lvl>
  </w:abstractNum>
  <w:num w:numId="1">
    <w:abstractNumId w:val="8"/>
  </w:num>
  <w:num w:numId="2">
    <w:abstractNumId w:val="1"/>
  </w:num>
  <w:num w:numId="3">
    <w:abstractNumId w:val="9"/>
  </w:num>
  <w:num w:numId="4">
    <w:abstractNumId w:val="5"/>
  </w:num>
  <w:num w:numId="5">
    <w:abstractNumId w:val="10"/>
  </w:num>
  <w:num w:numId="6">
    <w:abstractNumId w:val="13"/>
  </w:num>
  <w:num w:numId="7">
    <w:abstractNumId w:val="2"/>
  </w:num>
  <w:num w:numId="8">
    <w:abstractNumId w:val="3"/>
  </w:num>
  <w:num w:numId="9">
    <w:abstractNumId w:val="14"/>
  </w:num>
  <w:num w:numId="10">
    <w:abstractNumId w:val="4"/>
  </w:num>
  <w:num w:numId="11">
    <w:abstractNumId w:val="11"/>
  </w:num>
  <w:num w:numId="12">
    <w:abstractNumId w:val="6"/>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dit="readOnly" w:formatting="1" w:enforcement="1" w:cryptProviderType="rsaFull" w:cryptAlgorithmClass="hash" w:cryptAlgorithmType="typeAny" w:cryptAlgorithmSid="4" w:cryptSpinCount="0" w:hash="tqnVlQK9jbmwAXMGyFyXGlvDjm8=" w:salt="zNxYwcBECh1Rz9nkVAs0L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2ZmYzOTA3MThmZmVkM2ViNTBjNjM2NTc3MzcyYzIifQ=="/>
    <w:docVar w:name="KSO_WPS_MARK_KEY" w:val="a917bd51-8f87-4352-83fb-a03332e5f6b2"/>
  </w:docVars>
  <w:rsids>
    <w:rsidRoot w:val="16B56AFE"/>
    <w:rsid w:val="000129F3"/>
    <w:rsid w:val="000130AD"/>
    <w:rsid w:val="0002660A"/>
    <w:rsid w:val="00054CEB"/>
    <w:rsid w:val="00070839"/>
    <w:rsid w:val="000B2757"/>
    <w:rsid w:val="000B36F0"/>
    <w:rsid w:val="000D6E10"/>
    <w:rsid w:val="0010155C"/>
    <w:rsid w:val="00101950"/>
    <w:rsid w:val="0010560A"/>
    <w:rsid w:val="00115A67"/>
    <w:rsid w:val="0014524D"/>
    <w:rsid w:val="0015649D"/>
    <w:rsid w:val="0015744C"/>
    <w:rsid w:val="001867BE"/>
    <w:rsid w:val="00196DD6"/>
    <w:rsid w:val="001B743B"/>
    <w:rsid w:val="00226781"/>
    <w:rsid w:val="0024566F"/>
    <w:rsid w:val="0025234D"/>
    <w:rsid w:val="00272DBA"/>
    <w:rsid w:val="0027421C"/>
    <w:rsid w:val="0028385E"/>
    <w:rsid w:val="002D4483"/>
    <w:rsid w:val="00331AE8"/>
    <w:rsid w:val="0034477B"/>
    <w:rsid w:val="00362864"/>
    <w:rsid w:val="003643EB"/>
    <w:rsid w:val="003644D0"/>
    <w:rsid w:val="00376AA2"/>
    <w:rsid w:val="00382557"/>
    <w:rsid w:val="00391B6E"/>
    <w:rsid w:val="00397BED"/>
    <w:rsid w:val="003A014B"/>
    <w:rsid w:val="003B1B84"/>
    <w:rsid w:val="003E65DA"/>
    <w:rsid w:val="00425355"/>
    <w:rsid w:val="00445F90"/>
    <w:rsid w:val="00453B31"/>
    <w:rsid w:val="004712A7"/>
    <w:rsid w:val="004B0312"/>
    <w:rsid w:val="005067E6"/>
    <w:rsid w:val="005171FA"/>
    <w:rsid w:val="005243D6"/>
    <w:rsid w:val="005333AF"/>
    <w:rsid w:val="00546158"/>
    <w:rsid w:val="005629CB"/>
    <w:rsid w:val="005A5593"/>
    <w:rsid w:val="005B0483"/>
    <w:rsid w:val="005B51B2"/>
    <w:rsid w:val="005C5FE5"/>
    <w:rsid w:val="005D045B"/>
    <w:rsid w:val="005D5EFD"/>
    <w:rsid w:val="005D7A5E"/>
    <w:rsid w:val="005E1805"/>
    <w:rsid w:val="005F1860"/>
    <w:rsid w:val="00604E6F"/>
    <w:rsid w:val="006163CC"/>
    <w:rsid w:val="00616DC4"/>
    <w:rsid w:val="006214B1"/>
    <w:rsid w:val="00632DA1"/>
    <w:rsid w:val="0065640B"/>
    <w:rsid w:val="00657CDE"/>
    <w:rsid w:val="006664D8"/>
    <w:rsid w:val="0067773F"/>
    <w:rsid w:val="0068736B"/>
    <w:rsid w:val="006C4E06"/>
    <w:rsid w:val="006E242C"/>
    <w:rsid w:val="007564C9"/>
    <w:rsid w:val="00760CB8"/>
    <w:rsid w:val="0076199C"/>
    <w:rsid w:val="0077354C"/>
    <w:rsid w:val="007765B0"/>
    <w:rsid w:val="00786183"/>
    <w:rsid w:val="007E0FFA"/>
    <w:rsid w:val="008044ED"/>
    <w:rsid w:val="00806F08"/>
    <w:rsid w:val="00816206"/>
    <w:rsid w:val="0084419C"/>
    <w:rsid w:val="0085542F"/>
    <w:rsid w:val="00861721"/>
    <w:rsid w:val="00880D09"/>
    <w:rsid w:val="00891CA7"/>
    <w:rsid w:val="0089596B"/>
    <w:rsid w:val="008A3EB9"/>
    <w:rsid w:val="008B75C8"/>
    <w:rsid w:val="008B7D9F"/>
    <w:rsid w:val="008C72DA"/>
    <w:rsid w:val="008F222E"/>
    <w:rsid w:val="009127CC"/>
    <w:rsid w:val="009218BA"/>
    <w:rsid w:val="0094001B"/>
    <w:rsid w:val="00954326"/>
    <w:rsid w:val="009616B5"/>
    <w:rsid w:val="009836B5"/>
    <w:rsid w:val="00984932"/>
    <w:rsid w:val="009870C6"/>
    <w:rsid w:val="00995852"/>
    <w:rsid w:val="00997D30"/>
    <w:rsid w:val="009B4618"/>
    <w:rsid w:val="009D6BFE"/>
    <w:rsid w:val="009F5D20"/>
    <w:rsid w:val="00A25EE5"/>
    <w:rsid w:val="00A82D00"/>
    <w:rsid w:val="00A901F0"/>
    <w:rsid w:val="00AD5D1D"/>
    <w:rsid w:val="00AF2D5B"/>
    <w:rsid w:val="00B32A9A"/>
    <w:rsid w:val="00B32DC9"/>
    <w:rsid w:val="00B36BEF"/>
    <w:rsid w:val="00B4540C"/>
    <w:rsid w:val="00B504F5"/>
    <w:rsid w:val="00B73914"/>
    <w:rsid w:val="00B83A9C"/>
    <w:rsid w:val="00BA09D8"/>
    <w:rsid w:val="00BC6B87"/>
    <w:rsid w:val="00BD2EDA"/>
    <w:rsid w:val="00BE14A6"/>
    <w:rsid w:val="00BE2F13"/>
    <w:rsid w:val="00BE7844"/>
    <w:rsid w:val="00BF049A"/>
    <w:rsid w:val="00BF077E"/>
    <w:rsid w:val="00BF1011"/>
    <w:rsid w:val="00C00CDE"/>
    <w:rsid w:val="00C046DC"/>
    <w:rsid w:val="00C136B5"/>
    <w:rsid w:val="00C24632"/>
    <w:rsid w:val="00C24A2D"/>
    <w:rsid w:val="00C73661"/>
    <w:rsid w:val="00CA5F97"/>
    <w:rsid w:val="00CB1EA1"/>
    <w:rsid w:val="00CB7729"/>
    <w:rsid w:val="00CD36E7"/>
    <w:rsid w:val="00CD390B"/>
    <w:rsid w:val="00CE75D5"/>
    <w:rsid w:val="00D11763"/>
    <w:rsid w:val="00D22865"/>
    <w:rsid w:val="00D67B3D"/>
    <w:rsid w:val="00D96B71"/>
    <w:rsid w:val="00DA2135"/>
    <w:rsid w:val="00DA3B32"/>
    <w:rsid w:val="00DD1DBC"/>
    <w:rsid w:val="00DF0133"/>
    <w:rsid w:val="00E3563F"/>
    <w:rsid w:val="00E379CA"/>
    <w:rsid w:val="00E468F4"/>
    <w:rsid w:val="00E52251"/>
    <w:rsid w:val="00E611B8"/>
    <w:rsid w:val="00E87D16"/>
    <w:rsid w:val="00E959B2"/>
    <w:rsid w:val="00EB1355"/>
    <w:rsid w:val="00ED0929"/>
    <w:rsid w:val="00ED7C28"/>
    <w:rsid w:val="00F05F0D"/>
    <w:rsid w:val="00F27441"/>
    <w:rsid w:val="00F345EA"/>
    <w:rsid w:val="00F40C31"/>
    <w:rsid w:val="00F42DF0"/>
    <w:rsid w:val="00F44DC3"/>
    <w:rsid w:val="00F63DB6"/>
    <w:rsid w:val="00F778F9"/>
    <w:rsid w:val="00F96F90"/>
    <w:rsid w:val="00FB7959"/>
    <w:rsid w:val="00FB7FEB"/>
    <w:rsid w:val="00FC0154"/>
    <w:rsid w:val="00FC3930"/>
    <w:rsid w:val="00FE145D"/>
    <w:rsid w:val="01056EE5"/>
    <w:rsid w:val="011E0236"/>
    <w:rsid w:val="01722330"/>
    <w:rsid w:val="01995B0E"/>
    <w:rsid w:val="01BB3CD7"/>
    <w:rsid w:val="01BF37C7"/>
    <w:rsid w:val="01F66ABD"/>
    <w:rsid w:val="01F94576"/>
    <w:rsid w:val="021D673F"/>
    <w:rsid w:val="027436C1"/>
    <w:rsid w:val="029167E5"/>
    <w:rsid w:val="02A24F36"/>
    <w:rsid w:val="0323516F"/>
    <w:rsid w:val="03463A74"/>
    <w:rsid w:val="037D4AC6"/>
    <w:rsid w:val="03A52548"/>
    <w:rsid w:val="03E378E1"/>
    <w:rsid w:val="041462BE"/>
    <w:rsid w:val="04253689"/>
    <w:rsid w:val="044A30F0"/>
    <w:rsid w:val="04B62533"/>
    <w:rsid w:val="04DA26C6"/>
    <w:rsid w:val="05123C0E"/>
    <w:rsid w:val="051C2CDE"/>
    <w:rsid w:val="053C512E"/>
    <w:rsid w:val="059E1945"/>
    <w:rsid w:val="05A52CD4"/>
    <w:rsid w:val="061D09FE"/>
    <w:rsid w:val="06273D23"/>
    <w:rsid w:val="0659586C"/>
    <w:rsid w:val="068E3768"/>
    <w:rsid w:val="076217D8"/>
    <w:rsid w:val="07C9333F"/>
    <w:rsid w:val="07D72EEC"/>
    <w:rsid w:val="07E13D6B"/>
    <w:rsid w:val="08631D51"/>
    <w:rsid w:val="08D44436"/>
    <w:rsid w:val="08DD09D6"/>
    <w:rsid w:val="08E154C3"/>
    <w:rsid w:val="09C53944"/>
    <w:rsid w:val="09E638BB"/>
    <w:rsid w:val="09FB55B8"/>
    <w:rsid w:val="0A2A626A"/>
    <w:rsid w:val="0A8F5D00"/>
    <w:rsid w:val="0B1B1342"/>
    <w:rsid w:val="0B1F0E32"/>
    <w:rsid w:val="0B1F688F"/>
    <w:rsid w:val="0B380146"/>
    <w:rsid w:val="0B6D4294"/>
    <w:rsid w:val="0B9577B1"/>
    <w:rsid w:val="0BA23811"/>
    <w:rsid w:val="0C654F6B"/>
    <w:rsid w:val="0C741652"/>
    <w:rsid w:val="0C9E047D"/>
    <w:rsid w:val="0CAF268A"/>
    <w:rsid w:val="0CDB021D"/>
    <w:rsid w:val="0D093B48"/>
    <w:rsid w:val="0D5A0848"/>
    <w:rsid w:val="0D793368"/>
    <w:rsid w:val="0D837F7A"/>
    <w:rsid w:val="0D984ECC"/>
    <w:rsid w:val="0D997DB3"/>
    <w:rsid w:val="0DC43F13"/>
    <w:rsid w:val="0DE14AC5"/>
    <w:rsid w:val="0E001542"/>
    <w:rsid w:val="0F4F5A5E"/>
    <w:rsid w:val="0F5A4B2F"/>
    <w:rsid w:val="0FA7589A"/>
    <w:rsid w:val="10090303"/>
    <w:rsid w:val="10120F66"/>
    <w:rsid w:val="10153FE4"/>
    <w:rsid w:val="10574B71"/>
    <w:rsid w:val="105D063E"/>
    <w:rsid w:val="107514F4"/>
    <w:rsid w:val="10A77DC5"/>
    <w:rsid w:val="11276C93"/>
    <w:rsid w:val="11BA7B07"/>
    <w:rsid w:val="130152C1"/>
    <w:rsid w:val="132D60B6"/>
    <w:rsid w:val="135F0966"/>
    <w:rsid w:val="13A11A65"/>
    <w:rsid w:val="14103A0E"/>
    <w:rsid w:val="14340BC3"/>
    <w:rsid w:val="14C173FE"/>
    <w:rsid w:val="151E2FAF"/>
    <w:rsid w:val="155618F4"/>
    <w:rsid w:val="15A26B88"/>
    <w:rsid w:val="15B876CE"/>
    <w:rsid w:val="15E909BB"/>
    <w:rsid w:val="16287735"/>
    <w:rsid w:val="16640041"/>
    <w:rsid w:val="1676354C"/>
    <w:rsid w:val="16897AA8"/>
    <w:rsid w:val="16B56AFE"/>
    <w:rsid w:val="16CD3CE7"/>
    <w:rsid w:val="16E178E4"/>
    <w:rsid w:val="176C18A3"/>
    <w:rsid w:val="17735D07"/>
    <w:rsid w:val="17881EF7"/>
    <w:rsid w:val="17884203"/>
    <w:rsid w:val="17914E66"/>
    <w:rsid w:val="17AA5F28"/>
    <w:rsid w:val="18003D99"/>
    <w:rsid w:val="18AB1F57"/>
    <w:rsid w:val="18F953B8"/>
    <w:rsid w:val="194C75C1"/>
    <w:rsid w:val="19AF3CC9"/>
    <w:rsid w:val="19B66E06"/>
    <w:rsid w:val="19BC6185"/>
    <w:rsid w:val="1A4107F9"/>
    <w:rsid w:val="1A7C004F"/>
    <w:rsid w:val="1AFE6CB6"/>
    <w:rsid w:val="1B252495"/>
    <w:rsid w:val="1B5F456D"/>
    <w:rsid w:val="1B754A9E"/>
    <w:rsid w:val="1BB138FD"/>
    <w:rsid w:val="1BD16179"/>
    <w:rsid w:val="1BD6553D"/>
    <w:rsid w:val="1BDA0D46"/>
    <w:rsid w:val="1C112A19"/>
    <w:rsid w:val="1C8651B5"/>
    <w:rsid w:val="1CCD1001"/>
    <w:rsid w:val="1CDC3027"/>
    <w:rsid w:val="1CE323C3"/>
    <w:rsid w:val="1D65301C"/>
    <w:rsid w:val="1D7E40DE"/>
    <w:rsid w:val="1E480248"/>
    <w:rsid w:val="1E5B61CE"/>
    <w:rsid w:val="1E650DFA"/>
    <w:rsid w:val="1E65704C"/>
    <w:rsid w:val="1EA23DFC"/>
    <w:rsid w:val="201E74B3"/>
    <w:rsid w:val="20586E69"/>
    <w:rsid w:val="20A21E92"/>
    <w:rsid w:val="21244F9D"/>
    <w:rsid w:val="21282005"/>
    <w:rsid w:val="21470C8B"/>
    <w:rsid w:val="21493791"/>
    <w:rsid w:val="21692045"/>
    <w:rsid w:val="21C61BB0"/>
    <w:rsid w:val="22683697"/>
    <w:rsid w:val="229121BE"/>
    <w:rsid w:val="23425BAE"/>
    <w:rsid w:val="23BF2D5B"/>
    <w:rsid w:val="244020ED"/>
    <w:rsid w:val="248D2E59"/>
    <w:rsid w:val="24AA3A0B"/>
    <w:rsid w:val="24ED38F7"/>
    <w:rsid w:val="255A71DF"/>
    <w:rsid w:val="258778A8"/>
    <w:rsid w:val="25B6018D"/>
    <w:rsid w:val="25C97EC1"/>
    <w:rsid w:val="25D36F91"/>
    <w:rsid w:val="25ED1E01"/>
    <w:rsid w:val="25FF1B34"/>
    <w:rsid w:val="261C66B1"/>
    <w:rsid w:val="262D66A1"/>
    <w:rsid w:val="2650413E"/>
    <w:rsid w:val="265A320F"/>
    <w:rsid w:val="26A6792C"/>
    <w:rsid w:val="26C93092"/>
    <w:rsid w:val="27D36DD5"/>
    <w:rsid w:val="27D75D5F"/>
    <w:rsid w:val="28520641"/>
    <w:rsid w:val="287A2552"/>
    <w:rsid w:val="29565F0F"/>
    <w:rsid w:val="295959FF"/>
    <w:rsid w:val="297575F0"/>
    <w:rsid w:val="29954C89"/>
    <w:rsid w:val="29DD03DE"/>
    <w:rsid w:val="29E259F5"/>
    <w:rsid w:val="2A8D07E5"/>
    <w:rsid w:val="2AA53387"/>
    <w:rsid w:val="2AAF1D7B"/>
    <w:rsid w:val="2ADC0696"/>
    <w:rsid w:val="2B980A61"/>
    <w:rsid w:val="2B9F2E83"/>
    <w:rsid w:val="2BD575BF"/>
    <w:rsid w:val="2C48780C"/>
    <w:rsid w:val="2C532BDA"/>
    <w:rsid w:val="2D1C121E"/>
    <w:rsid w:val="2D3E7147"/>
    <w:rsid w:val="2D7B5F44"/>
    <w:rsid w:val="2D9C5EBB"/>
    <w:rsid w:val="2DAA05D8"/>
    <w:rsid w:val="2DD35D80"/>
    <w:rsid w:val="2E220EFD"/>
    <w:rsid w:val="2E310CF9"/>
    <w:rsid w:val="2E5D1AEE"/>
    <w:rsid w:val="2EBA32FB"/>
    <w:rsid w:val="2EC8340B"/>
    <w:rsid w:val="2F34132A"/>
    <w:rsid w:val="2F4B5DEA"/>
    <w:rsid w:val="2F7964B4"/>
    <w:rsid w:val="2F7B047E"/>
    <w:rsid w:val="2F917CA1"/>
    <w:rsid w:val="2F9A766B"/>
    <w:rsid w:val="30564A47"/>
    <w:rsid w:val="307F3F9D"/>
    <w:rsid w:val="308560E4"/>
    <w:rsid w:val="31046251"/>
    <w:rsid w:val="31132938"/>
    <w:rsid w:val="317038E6"/>
    <w:rsid w:val="31833619"/>
    <w:rsid w:val="31B41A25"/>
    <w:rsid w:val="31CC3212"/>
    <w:rsid w:val="31DE2F46"/>
    <w:rsid w:val="322C5A5F"/>
    <w:rsid w:val="32BD2B5B"/>
    <w:rsid w:val="32EA1198"/>
    <w:rsid w:val="32ED594C"/>
    <w:rsid w:val="3325474D"/>
    <w:rsid w:val="333170A5"/>
    <w:rsid w:val="33354DE7"/>
    <w:rsid w:val="33375901"/>
    <w:rsid w:val="33A9593E"/>
    <w:rsid w:val="33BB353F"/>
    <w:rsid w:val="33C543BD"/>
    <w:rsid w:val="33E201FB"/>
    <w:rsid w:val="341E1D1F"/>
    <w:rsid w:val="34433534"/>
    <w:rsid w:val="344572AC"/>
    <w:rsid w:val="3457535B"/>
    <w:rsid w:val="348576A9"/>
    <w:rsid w:val="34C91C8B"/>
    <w:rsid w:val="34CE7BD5"/>
    <w:rsid w:val="34FD7B87"/>
    <w:rsid w:val="35411630"/>
    <w:rsid w:val="358C602E"/>
    <w:rsid w:val="362C0724"/>
    <w:rsid w:val="365274F8"/>
    <w:rsid w:val="36742BDD"/>
    <w:rsid w:val="36E27034"/>
    <w:rsid w:val="3729371C"/>
    <w:rsid w:val="37537F32"/>
    <w:rsid w:val="37661A13"/>
    <w:rsid w:val="38123949"/>
    <w:rsid w:val="383218F5"/>
    <w:rsid w:val="38673C95"/>
    <w:rsid w:val="386756DF"/>
    <w:rsid w:val="386D6DD1"/>
    <w:rsid w:val="38E928FC"/>
    <w:rsid w:val="39094D4C"/>
    <w:rsid w:val="395A1104"/>
    <w:rsid w:val="39663F4D"/>
    <w:rsid w:val="398E5251"/>
    <w:rsid w:val="39AC56D7"/>
    <w:rsid w:val="39D013C6"/>
    <w:rsid w:val="3A2F2590"/>
    <w:rsid w:val="3AB64A60"/>
    <w:rsid w:val="3B6E4C22"/>
    <w:rsid w:val="3C0D4642"/>
    <w:rsid w:val="3C0F6D52"/>
    <w:rsid w:val="3C97571E"/>
    <w:rsid w:val="3CBB635D"/>
    <w:rsid w:val="3CF4186F"/>
    <w:rsid w:val="3D4D2D2E"/>
    <w:rsid w:val="3DBF59D9"/>
    <w:rsid w:val="3DF02037"/>
    <w:rsid w:val="3E4B1963"/>
    <w:rsid w:val="3E5720B6"/>
    <w:rsid w:val="3E594080"/>
    <w:rsid w:val="3E76169E"/>
    <w:rsid w:val="3F012022"/>
    <w:rsid w:val="3F656A54"/>
    <w:rsid w:val="3F9410E8"/>
    <w:rsid w:val="3F942E96"/>
    <w:rsid w:val="3FC76DC7"/>
    <w:rsid w:val="3FED48D1"/>
    <w:rsid w:val="3FEF0ECD"/>
    <w:rsid w:val="3FF33C41"/>
    <w:rsid w:val="406D7554"/>
    <w:rsid w:val="40D43E92"/>
    <w:rsid w:val="40E63BC5"/>
    <w:rsid w:val="41AF045B"/>
    <w:rsid w:val="42240501"/>
    <w:rsid w:val="42664FBD"/>
    <w:rsid w:val="42672AE3"/>
    <w:rsid w:val="42B51AA1"/>
    <w:rsid w:val="42EB0DF4"/>
    <w:rsid w:val="42EB54C2"/>
    <w:rsid w:val="42F97BDF"/>
    <w:rsid w:val="43523C38"/>
    <w:rsid w:val="43A37B4B"/>
    <w:rsid w:val="43BE4985"/>
    <w:rsid w:val="441647C1"/>
    <w:rsid w:val="44823C05"/>
    <w:rsid w:val="449F47B6"/>
    <w:rsid w:val="44AD2514"/>
    <w:rsid w:val="44E16B7D"/>
    <w:rsid w:val="44F63392"/>
    <w:rsid w:val="46236D21"/>
    <w:rsid w:val="468062BD"/>
    <w:rsid w:val="46CB051C"/>
    <w:rsid w:val="46F80C5B"/>
    <w:rsid w:val="471C20EE"/>
    <w:rsid w:val="471D19C3"/>
    <w:rsid w:val="47694C08"/>
    <w:rsid w:val="487D2092"/>
    <w:rsid w:val="48A64365"/>
    <w:rsid w:val="49060960"/>
    <w:rsid w:val="492344CB"/>
    <w:rsid w:val="492E7EB7"/>
    <w:rsid w:val="49AD5280"/>
    <w:rsid w:val="49E50EBD"/>
    <w:rsid w:val="4A007AA5"/>
    <w:rsid w:val="4A801F8A"/>
    <w:rsid w:val="4AF018C8"/>
    <w:rsid w:val="4AFD3FE5"/>
    <w:rsid w:val="4B441C14"/>
    <w:rsid w:val="4B5514A9"/>
    <w:rsid w:val="4BD25472"/>
    <w:rsid w:val="4C1C66ED"/>
    <w:rsid w:val="4D491763"/>
    <w:rsid w:val="4D7A0AC0"/>
    <w:rsid w:val="4D986247"/>
    <w:rsid w:val="4DB90697"/>
    <w:rsid w:val="4DF543C9"/>
    <w:rsid w:val="4E255D2C"/>
    <w:rsid w:val="4E4837C9"/>
    <w:rsid w:val="4EA07161"/>
    <w:rsid w:val="4EA65045"/>
    <w:rsid w:val="4EC372F3"/>
    <w:rsid w:val="4EDE7C89"/>
    <w:rsid w:val="4F0748AF"/>
    <w:rsid w:val="4F1A33B7"/>
    <w:rsid w:val="4F361873"/>
    <w:rsid w:val="4FD9F06C"/>
    <w:rsid w:val="50487AB0"/>
    <w:rsid w:val="504E2498"/>
    <w:rsid w:val="507765E7"/>
    <w:rsid w:val="507F724A"/>
    <w:rsid w:val="51466967"/>
    <w:rsid w:val="514C1822"/>
    <w:rsid w:val="51954F77"/>
    <w:rsid w:val="51C15D6C"/>
    <w:rsid w:val="51F36142"/>
    <w:rsid w:val="521C11F4"/>
    <w:rsid w:val="522956BF"/>
    <w:rsid w:val="52481FEA"/>
    <w:rsid w:val="5274745F"/>
    <w:rsid w:val="52903990"/>
    <w:rsid w:val="52B15DE1"/>
    <w:rsid w:val="52EF6909"/>
    <w:rsid w:val="52F738E1"/>
    <w:rsid w:val="53422EDD"/>
    <w:rsid w:val="5365778B"/>
    <w:rsid w:val="536B6DE8"/>
    <w:rsid w:val="53B60D2E"/>
    <w:rsid w:val="53CC6C4A"/>
    <w:rsid w:val="541A79B6"/>
    <w:rsid w:val="5516017D"/>
    <w:rsid w:val="55774994"/>
    <w:rsid w:val="56350AD5"/>
    <w:rsid w:val="56AB0FBE"/>
    <w:rsid w:val="56E10C5F"/>
    <w:rsid w:val="56F02C50"/>
    <w:rsid w:val="57826C71"/>
    <w:rsid w:val="57D72CAA"/>
    <w:rsid w:val="57DF519E"/>
    <w:rsid w:val="582D6052"/>
    <w:rsid w:val="583F79EB"/>
    <w:rsid w:val="58784BB1"/>
    <w:rsid w:val="58935F89"/>
    <w:rsid w:val="59146777"/>
    <w:rsid w:val="592A1811"/>
    <w:rsid w:val="5A1D3D5C"/>
    <w:rsid w:val="5A315A59"/>
    <w:rsid w:val="5A5A6D5E"/>
    <w:rsid w:val="5A7140A7"/>
    <w:rsid w:val="5A92474A"/>
    <w:rsid w:val="5AB67D0C"/>
    <w:rsid w:val="5B3D5329"/>
    <w:rsid w:val="5BCB7030"/>
    <w:rsid w:val="5BCC5A39"/>
    <w:rsid w:val="5BE663CF"/>
    <w:rsid w:val="5C133668"/>
    <w:rsid w:val="5C18017C"/>
    <w:rsid w:val="5C2313D1"/>
    <w:rsid w:val="5C723078"/>
    <w:rsid w:val="5CE84AF5"/>
    <w:rsid w:val="5D3E1BDF"/>
    <w:rsid w:val="5D600B2F"/>
    <w:rsid w:val="5D6F2B20"/>
    <w:rsid w:val="5D8A5BAC"/>
    <w:rsid w:val="5E3B6EA6"/>
    <w:rsid w:val="5E4A0E97"/>
    <w:rsid w:val="5EB36D08"/>
    <w:rsid w:val="5EBF1885"/>
    <w:rsid w:val="5F337B7D"/>
    <w:rsid w:val="5FE315A4"/>
    <w:rsid w:val="600A2FD4"/>
    <w:rsid w:val="601B0D3D"/>
    <w:rsid w:val="60477D84"/>
    <w:rsid w:val="60B1138B"/>
    <w:rsid w:val="60C2565D"/>
    <w:rsid w:val="616C7377"/>
    <w:rsid w:val="61AB7E9F"/>
    <w:rsid w:val="61BC419C"/>
    <w:rsid w:val="62126170"/>
    <w:rsid w:val="626F711E"/>
    <w:rsid w:val="62715B80"/>
    <w:rsid w:val="62CD2097"/>
    <w:rsid w:val="62F67840"/>
    <w:rsid w:val="634462C8"/>
    <w:rsid w:val="63D00091"/>
    <w:rsid w:val="63E96E6D"/>
    <w:rsid w:val="64202DC6"/>
    <w:rsid w:val="64B17EC2"/>
    <w:rsid w:val="64E831B8"/>
    <w:rsid w:val="65044496"/>
    <w:rsid w:val="655A2308"/>
    <w:rsid w:val="655B1BDC"/>
    <w:rsid w:val="656912B6"/>
    <w:rsid w:val="65842EE1"/>
    <w:rsid w:val="658A4A25"/>
    <w:rsid w:val="65C21C5B"/>
    <w:rsid w:val="65C6799D"/>
    <w:rsid w:val="65F362B8"/>
    <w:rsid w:val="660758C0"/>
    <w:rsid w:val="661C456F"/>
    <w:rsid w:val="67550FD9"/>
    <w:rsid w:val="675F3C06"/>
    <w:rsid w:val="6787315C"/>
    <w:rsid w:val="67B86572"/>
    <w:rsid w:val="67CE6BB2"/>
    <w:rsid w:val="681349F0"/>
    <w:rsid w:val="68232E85"/>
    <w:rsid w:val="682A544B"/>
    <w:rsid w:val="683F3A37"/>
    <w:rsid w:val="6844104D"/>
    <w:rsid w:val="68686AEA"/>
    <w:rsid w:val="687463D6"/>
    <w:rsid w:val="687731D1"/>
    <w:rsid w:val="68993147"/>
    <w:rsid w:val="68AD6BF3"/>
    <w:rsid w:val="68D67EF7"/>
    <w:rsid w:val="692769A5"/>
    <w:rsid w:val="69F36887"/>
    <w:rsid w:val="6A7774B8"/>
    <w:rsid w:val="6AED14BF"/>
    <w:rsid w:val="6BE964ED"/>
    <w:rsid w:val="6BEF307E"/>
    <w:rsid w:val="6BFF7765"/>
    <w:rsid w:val="6C2C2850"/>
    <w:rsid w:val="6C303DC2"/>
    <w:rsid w:val="6C315445"/>
    <w:rsid w:val="6D5E2169"/>
    <w:rsid w:val="6D88378A"/>
    <w:rsid w:val="6DD93FE6"/>
    <w:rsid w:val="6DE50BDD"/>
    <w:rsid w:val="6EA817FA"/>
    <w:rsid w:val="6EB5235D"/>
    <w:rsid w:val="6F0D2199"/>
    <w:rsid w:val="6F481423"/>
    <w:rsid w:val="6F7803A4"/>
    <w:rsid w:val="6F7B23CF"/>
    <w:rsid w:val="6FFE5F86"/>
    <w:rsid w:val="706109EE"/>
    <w:rsid w:val="70711B07"/>
    <w:rsid w:val="708B6D59"/>
    <w:rsid w:val="70967F6C"/>
    <w:rsid w:val="709E387E"/>
    <w:rsid w:val="70E231B1"/>
    <w:rsid w:val="70ED2282"/>
    <w:rsid w:val="70FC0717"/>
    <w:rsid w:val="712E63F7"/>
    <w:rsid w:val="713F23B2"/>
    <w:rsid w:val="715C11B6"/>
    <w:rsid w:val="71970440"/>
    <w:rsid w:val="71FA375B"/>
    <w:rsid w:val="7214383E"/>
    <w:rsid w:val="726009B0"/>
    <w:rsid w:val="72994CA9"/>
    <w:rsid w:val="72C2329A"/>
    <w:rsid w:val="72C76B03"/>
    <w:rsid w:val="72DF5BFA"/>
    <w:rsid w:val="73A100AF"/>
    <w:rsid w:val="73BD53B0"/>
    <w:rsid w:val="741E2752"/>
    <w:rsid w:val="743738F4"/>
    <w:rsid w:val="747F58E7"/>
    <w:rsid w:val="74B35591"/>
    <w:rsid w:val="74B9247B"/>
    <w:rsid w:val="74C27582"/>
    <w:rsid w:val="74E474F8"/>
    <w:rsid w:val="750556C0"/>
    <w:rsid w:val="750B717B"/>
    <w:rsid w:val="753A7A60"/>
    <w:rsid w:val="75497CA3"/>
    <w:rsid w:val="755E46D6"/>
    <w:rsid w:val="75C94940"/>
    <w:rsid w:val="75CE1F56"/>
    <w:rsid w:val="75E54088"/>
    <w:rsid w:val="761E2EDE"/>
    <w:rsid w:val="76B07020"/>
    <w:rsid w:val="76D0242A"/>
    <w:rsid w:val="777C4360"/>
    <w:rsid w:val="77C4109E"/>
    <w:rsid w:val="77E93077"/>
    <w:rsid w:val="77F20749"/>
    <w:rsid w:val="783A79A5"/>
    <w:rsid w:val="78CE2F07"/>
    <w:rsid w:val="79627D9D"/>
    <w:rsid w:val="79DF0BD6"/>
    <w:rsid w:val="79E63D12"/>
    <w:rsid w:val="7A05345A"/>
    <w:rsid w:val="7A38575A"/>
    <w:rsid w:val="7A7E457A"/>
    <w:rsid w:val="7A886B78"/>
    <w:rsid w:val="7ABE4C8F"/>
    <w:rsid w:val="7AE04C06"/>
    <w:rsid w:val="7B5565A1"/>
    <w:rsid w:val="7B6475E5"/>
    <w:rsid w:val="7BA23C69"/>
    <w:rsid w:val="7BF15534"/>
    <w:rsid w:val="7C0B3F04"/>
    <w:rsid w:val="7C262AEC"/>
    <w:rsid w:val="7C305719"/>
    <w:rsid w:val="7D126BCC"/>
    <w:rsid w:val="7D250FF6"/>
    <w:rsid w:val="7D5176F5"/>
    <w:rsid w:val="7D5D42EC"/>
    <w:rsid w:val="7D8B1ED4"/>
    <w:rsid w:val="7D8C2E23"/>
    <w:rsid w:val="7D9817C8"/>
    <w:rsid w:val="7DD71C8B"/>
    <w:rsid w:val="7E431733"/>
    <w:rsid w:val="7E8A3CD5"/>
    <w:rsid w:val="7EA146AC"/>
    <w:rsid w:val="7EA5419C"/>
    <w:rsid w:val="7F016EF9"/>
    <w:rsid w:val="7F4828C9"/>
    <w:rsid w:val="7F8738A2"/>
    <w:rsid w:val="7FB623D9"/>
    <w:rsid w:val="7FC248DA"/>
    <w:rsid w:val="CFEFF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00"/>
      <w:jc w:val="center"/>
      <w:outlineLvl w:val="0"/>
    </w:pPr>
    <w:rPr>
      <w:b/>
      <w:kern w:val="44"/>
      <w:sz w:val="44"/>
    </w:rPr>
  </w:style>
  <w:style w:type="paragraph" w:styleId="3">
    <w:name w:val="heading 2"/>
    <w:basedOn w:val="1"/>
    <w:next w:val="1"/>
    <w:qFormat/>
    <w:uiPriority w:val="0"/>
    <w:pPr>
      <w:keepNext/>
      <w:keepLines/>
      <w:spacing w:before="260" w:line="408" w:lineRule="auto"/>
      <w:jc w:val="center"/>
      <w:outlineLvl w:val="1"/>
    </w:pPr>
    <w:rPr>
      <w:rFonts w:ascii="Arial" w:hAnsi="Arial" w:eastAsia="黑体"/>
      <w:b/>
      <w:sz w:val="32"/>
    </w:rPr>
  </w:style>
  <w:style w:type="paragraph" w:styleId="4">
    <w:name w:val="heading 3"/>
    <w:basedOn w:val="1"/>
    <w:next w:val="1"/>
    <w:qFormat/>
    <w:uiPriority w:val="0"/>
    <w:pPr>
      <w:keepNext/>
      <w:keepLines/>
      <w:spacing w:before="120" w:after="120"/>
      <w:outlineLvl w:val="2"/>
    </w:pPr>
    <w:rPr>
      <w:b/>
    </w:rPr>
  </w:style>
  <w:style w:type="paragraph" w:styleId="5">
    <w:name w:val="heading 4"/>
    <w:basedOn w:val="1"/>
    <w:next w:val="1"/>
    <w:link w:val="50"/>
    <w:qFormat/>
    <w:uiPriority w:val="0"/>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toa heading"/>
    <w:basedOn w:val="1"/>
    <w:next w:val="1"/>
    <w:qFormat/>
    <w:uiPriority w:val="0"/>
    <w:pPr>
      <w:spacing w:before="120"/>
    </w:pPr>
    <w:rPr>
      <w:rFonts w:ascii="Arial" w:hAnsi="Arial" w:cs="Arial"/>
      <w:sz w:val="24"/>
      <w:szCs w:val="24"/>
    </w:rPr>
  </w:style>
  <w:style w:type="paragraph" w:styleId="8">
    <w:name w:val="annotation text"/>
    <w:basedOn w:val="1"/>
    <w:qFormat/>
    <w:uiPriority w:val="0"/>
    <w:pPr>
      <w:jc w:val="left"/>
    </w:pPr>
  </w:style>
  <w:style w:type="paragraph" w:styleId="9">
    <w:name w:val="Body Text"/>
    <w:basedOn w:val="1"/>
    <w:next w:val="1"/>
    <w:link w:val="28"/>
    <w:qFormat/>
    <w:uiPriority w:val="99"/>
    <w:pPr>
      <w:spacing w:line="360" w:lineRule="auto"/>
    </w:pPr>
    <w:rPr>
      <w:sz w:val="24"/>
    </w:rPr>
  </w:style>
  <w:style w:type="paragraph" w:styleId="10">
    <w:name w:val="Body Text Indent"/>
    <w:basedOn w:val="1"/>
    <w:next w:val="1"/>
    <w:link w:val="35"/>
    <w:qFormat/>
    <w:uiPriority w:val="0"/>
    <w:pPr>
      <w:ind w:firstLine="444"/>
    </w:pPr>
    <w:rPr>
      <w:b/>
      <w:sz w:val="24"/>
    </w:rPr>
  </w:style>
  <w:style w:type="paragraph" w:styleId="11">
    <w:name w:val="toc 3"/>
    <w:basedOn w:val="1"/>
    <w:next w:val="1"/>
    <w:qFormat/>
    <w:uiPriority w:val="39"/>
    <w:pPr>
      <w:ind w:left="840" w:leftChars="400"/>
    </w:pPr>
  </w:style>
  <w:style w:type="paragraph" w:styleId="12">
    <w:name w:val="Plain Text"/>
    <w:basedOn w:val="1"/>
    <w:qFormat/>
    <w:uiPriority w:val="0"/>
    <w:rPr>
      <w:rFonts w:ascii="宋体"/>
    </w:rPr>
  </w:style>
  <w:style w:type="paragraph" w:styleId="13">
    <w:name w:val="Body Text Indent 2"/>
    <w:basedOn w:val="1"/>
    <w:qFormat/>
    <w:uiPriority w:val="99"/>
    <w:pPr>
      <w:adjustRightInd w:val="0"/>
      <w:spacing w:line="360" w:lineRule="auto"/>
      <w:ind w:firstLine="175" w:firstLineChars="175"/>
    </w:pPr>
    <w:rPr>
      <w:rFonts w:ascii="宋体"/>
      <w:b/>
      <w:sz w:val="24"/>
    </w:rPr>
  </w:style>
  <w:style w:type="paragraph" w:styleId="14">
    <w:name w:val="Balloon Text"/>
    <w:basedOn w:val="1"/>
    <w:qFormat/>
    <w:uiPriority w:val="0"/>
    <w:rPr>
      <w:sz w:val="18"/>
    </w:rPr>
  </w:style>
  <w:style w:type="paragraph" w:styleId="15">
    <w:name w:val="footer"/>
    <w:basedOn w:val="1"/>
    <w:link w:val="48"/>
    <w:qFormat/>
    <w:uiPriority w:val="99"/>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420" w:lineRule="exact"/>
    </w:pPr>
    <w:rPr>
      <w:rFonts w:ascii="宋体" w:hAnsi="宋体"/>
    </w:rPr>
  </w:style>
  <w:style w:type="paragraph" w:styleId="18">
    <w:name w:val="toc 2"/>
    <w:basedOn w:val="1"/>
    <w:next w:val="1"/>
    <w:qFormat/>
    <w:uiPriority w:val="39"/>
    <w:pPr>
      <w:ind w:left="420" w:leftChars="200"/>
    </w:pPr>
  </w:style>
  <w:style w:type="paragraph" w:styleId="19">
    <w:name w:val="Normal (Web)"/>
    <w:basedOn w:val="1"/>
    <w:qFormat/>
    <w:uiPriority w:val="99"/>
    <w:pPr>
      <w:widowControl/>
      <w:spacing w:before="100" w:beforeAutospacing="1" w:after="100" w:afterAutospacing="1"/>
      <w:jc w:val="left"/>
    </w:pPr>
    <w:rPr>
      <w:rFonts w:hint="eastAsia" w:ascii="宋体"/>
      <w:kern w:val="0"/>
      <w:sz w:val="24"/>
    </w:rPr>
  </w:style>
  <w:style w:type="paragraph" w:styleId="20">
    <w:name w:val="Body Text First Indent"/>
    <w:basedOn w:val="9"/>
    <w:next w:val="1"/>
    <w:link w:val="51"/>
    <w:qFormat/>
    <w:uiPriority w:val="0"/>
    <w:pPr>
      <w:ind w:firstLine="420" w:firstLineChars="100"/>
    </w:pPr>
    <w:rPr>
      <w:szCs w:val="24"/>
    </w:rPr>
  </w:style>
  <w:style w:type="paragraph" w:styleId="21">
    <w:name w:val="Body Text First Indent 2"/>
    <w:basedOn w:val="10"/>
    <w:link w:val="36"/>
    <w:qFormat/>
    <w:uiPriority w:val="99"/>
    <w:pPr>
      <w:spacing w:after="120"/>
      <w:ind w:left="420" w:leftChars="200" w:firstLine="420" w:firstLineChars="200"/>
    </w:pPr>
    <w:rPr>
      <w:b w:val="0"/>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rPr>
  </w:style>
  <w:style w:type="character" w:styleId="26">
    <w:name w:val="page number"/>
    <w:qFormat/>
    <w:uiPriority w:val="0"/>
  </w:style>
  <w:style w:type="character" w:styleId="27">
    <w:name w:val="Hyperlink"/>
    <w:qFormat/>
    <w:uiPriority w:val="99"/>
    <w:rPr>
      <w:color w:val="0000FF"/>
      <w:u w:val="single"/>
    </w:rPr>
  </w:style>
  <w:style w:type="character" w:customStyle="1" w:styleId="28">
    <w:name w:val="正文文本 字符"/>
    <w:basedOn w:val="24"/>
    <w:link w:val="9"/>
    <w:qFormat/>
    <w:uiPriority w:val="0"/>
    <w:rPr>
      <w:kern w:val="2"/>
      <w:sz w:val="21"/>
      <w:szCs w:val="24"/>
    </w:rPr>
  </w:style>
  <w:style w:type="paragraph" w:styleId="29">
    <w:name w:val="List Paragraph"/>
    <w:basedOn w:val="1"/>
    <w:link w:val="34"/>
    <w:qFormat/>
    <w:uiPriority w:val="99"/>
    <w:pPr>
      <w:ind w:firstLine="420" w:firstLineChars="200"/>
    </w:pPr>
    <w:rPr>
      <w:szCs w:val="24"/>
    </w:rPr>
  </w:style>
  <w:style w:type="paragraph" w:customStyle="1" w:styleId="30">
    <w:name w:val="Table Paragraph"/>
    <w:basedOn w:val="1"/>
    <w:qFormat/>
    <w:uiPriority w:val="0"/>
    <w:pPr>
      <w:autoSpaceDE w:val="0"/>
      <w:autoSpaceDN w:val="0"/>
      <w:jc w:val="center"/>
    </w:pPr>
    <w:rPr>
      <w:rFonts w:ascii="仿宋" w:hAnsi="仿宋" w:eastAsia="仿宋" w:cs="仿宋"/>
      <w:kern w:val="0"/>
      <w:sz w:val="22"/>
      <w:szCs w:val="22"/>
      <w:lang w:eastAsia="en-US"/>
    </w:rPr>
  </w:style>
  <w:style w:type="paragraph" w:customStyle="1" w:styleId="31">
    <w:name w:val="正文_6"/>
    <w:basedOn w:val="1"/>
    <w:qFormat/>
    <w:uiPriority w:val="0"/>
    <w:rPr>
      <w:szCs w:val="24"/>
    </w:rPr>
  </w:style>
  <w:style w:type="paragraph" w:customStyle="1" w:styleId="32">
    <w:name w:val="a正文1"/>
    <w:basedOn w:val="9"/>
    <w:qFormat/>
    <w:uiPriority w:val="0"/>
    <w:pPr>
      <w:ind w:firstLine="200" w:firstLineChars="200"/>
    </w:pPr>
    <w:rPr>
      <w:bCs/>
      <w:szCs w:val="24"/>
    </w:rPr>
  </w:style>
  <w:style w:type="paragraph" w:customStyle="1" w:styleId="3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4">
    <w:name w:val="列表段落 字符"/>
    <w:link w:val="29"/>
    <w:qFormat/>
    <w:locked/>
    <w:uiPriority w:val="34"/>
    <w:rPr>
      <w:rFonts w:ascii="Times New Roman" w:hAnsi="Times New Roman" w:eastAsia="宋体" w:cs="Times New Roman"/>
      <w:kern w:val="2"/>
      <w:sz w:val="21"/>
      <w:szCs w:val="24"/>
    </w:rPr>
  </w:style>
  <w:style w:type="character" w:customStyle="1" w:styleId="35">
    <w:name w:val="正文文本缩进 字符"/>
    <w:basedOn w:val="24"/>
    <w:link w:val="10"/>
    <w:qFormat/>
    <w:uiPriority w:val="0"/>
    <w:rPr>
      <w:rFonts w:ascii="Times New Roman" w:hAnsi="Times New Roman" w:eastAsia="宋体" w:cs="Times New Roman"/>
      <w:b/>
      <w:kern w:val="2"/>
      <w:sz w:val="24"/>
    </w:rPr>
  </w:style>
  <w:style w:type="character" w:customStyle="1" w:styleId="36">
    <w:name w:val="正文文本首行缩进 2 字符"/>
    <w:basedOn w:val="35"/>
    <w:link w:val="21"/>
    <w:qFormat/>
    <w:uiPriority w:val="99"/>
    <w:rPr>
      <w:rFonts w:ascii="Times New Roman" w:hAnsi="Times New Roman" w:eastAsia="宋体" w:cs="Times New Roman"/>
      <w:b w:val="0"/>
      <w:kern w:val="2"/>
      <w:sz w:val="21"/>
    </w:rPr>
  </w:style>
  <w:style w:type="character" w:customStyle="1" w:styleId="37">
    <w:name w:val="font31"/>
    <w:basedOn w:val="24"/>
    <w:qFormat/>
    <w:uiPriority w:val="0"/>
    <w:rPr>
      <w:rFonts w:hint="eastAsia" w:ascii="宋体" w:hAnsi="宋体" w:eastAsia="宋体" w:cs="宋体"/>
      <w:b/>
      <w:color w:val="000000"/>
      <w:sz w:val="22"/>
      <w:szCs w:val="22"/>
      <w:u w:val="none"/>
    </w:rPr>
  </w:style>
  <w:style w:type="character" w:customStyle="1" w:styleId="38">
    <w:name w:val="font112"/>
    <w:basedOn w:val="24"/>
    <w:qFormat/>
    <w:uiPriority w:val="0"/>
    <w:rPr>
      <w:rFonts w:ascii="MicrosoftYaHei-Bold" w:hAnsi="MicrosoftYaHei-Bold" w:eastAsia="MicrosoftYaHei-Bold" w:cs="MicrosoftYaHei-Bold"/>
      <w:color w:val="000000"/>
      <w:sz w:val="22"/>
      <w:szCs w:val="22"/>
      <w:u w:val="none"/>
    </w:rPr>
  </w:style>
  <w:style w:type="character" w:customStyle="1" w:styleId="39">
    <w:name w:val="font11"/>
    <w:basedOn w:val="24"/>
    <w:qFormat/>
    <w:uiPriority w:val="0"/>
    <w:rPr>
      <w:rFonts w:hint="eastAsia" w:ascii="宋体" w:hAnsi="宋体" w:eastAsia="宋体" w:cs="宋体"/>
      <w:color w:val="000000"/>
      <w:sz w:val="22"/>
      <w:szCs w:val="22"/>
      <w:u w:val="none"/>
    </w:rPr>
  </w:style>
  <w:style w:type="character" w:customStyle="1" w:styleId="40">
    <w:name w:val="font91"/>
    <w:basedOn w:val="24"/>
    <w:qFormat/>
    <w:uiPriority w:val="0"/>
    <w:rPr>
      <w:rFonts w:hint="default" w:ascii="Times New Roman" w:hAnsi="Times New Roman" w:cs="Times New Roman"/>
      <w:color w:val="000000"/>
      <w:sz w:val="22"/>
      <w:szCs w:val="22"/>
      <w:u w:val="none"/>
    </w:rPr>
  </w:style>
  <w:style w:type="character" w:customStyle="1" w:styleId="41">
    <w:name w:val="font101"/>
    <w:basedOn w:val="24"/>
    <w:qFormat/>
    <w:uiPriority w:val="0"/>
    <w:rPr>
      <w:rFonts w:hint="eastAsia" w:ascii="宋体" w:hAnsi="宋体" w:eastAsia="宋体" w:cs="宋体"/>
      <w:color w:val="000000"/>
      <w:sz w:val="21"/>
      <w:szCs w:val="21"/>
      <w:u w:val="none"/>
    </w:rPr>
  </w:style>
  <w:style w:type="character" w:customStyle="1" w:styleId="42">
    <w:name w:val="font61"/>
    <w:basedOn w:val="24"/>
    <w:qFormat/>
    <w:uiPriority w:val="0"/>
    <w:rPr>
      <w:rFonts w:ascii="Calibri" w:hAnsi="Calibri" w:cs="Calibri"/>
      <w:color w:val="000000"/>
      <w:sz w:val="22"/>
      <w:szCs w:val="22"/>
      <w:u w:val="none"/>
    </w:rPr>
  </w:style>
  <w:style w:type="character" w:customStyle="1" w:styleId="43">
    <w:name w:val="font41"/>
    <w:basedOn w:val="24"/>
    <w:qFormat/>
    <w:uiPriority w:val="0"/>
    <w:rPr>
      <w:rFonts w:hint="default" w:ascii="Calibri" w:hAnsi="Calibri" w:cs="Calibri"/>
      <w:color w:val="000000"/>
      <w:sz w:val="21"/>
      <w:szCs w:val="21"/>
      <w:u w:val="none"/>
    </w:rPr>
  </w:style>
  <w:style w:type="paragraph" w:customStyle="1" w:styleId="44">
    <w:name w:val="列表段落1"/>
    <w:basedOn w:val="1"/>
    <w:qFormat/>
    <w:uiPriority w:val="34"/>
    <w:pPr>
      <w:ind w:firstLine="420" w:firstLineChars="200"/>
    </w:pPr>
    <w:rPr>
      <w:szCs w:val="24"/>
    </w:rPr>
  </w:style>
  <w:style w:type="paragraph" w:customStyle="1" w:styleId="45">
    <w:name w:val="列出段落1"/>
    <w:basedOn w:val="1"/>
    <w:qFormat/>
    <w:uiPriority w:val="34"/>
    <w:pPr>
      <w:ind w:firstLine="420" w:firstLineChars="200"/>
    </w:pPr>
    <w:rPr>
      <w:rFonts w:asciiTheme="minorHAnsi" w:hAnsiTheme="minorHAnsi" w:eastAsiaTheme="minorEastAsia" w:cstheme="minorBidi"/>
      <w:szCs w:val="24"/>
    </w:rPr>
  </w:style>
  <w:style w:type="paragraph" w:customStyle="1" w:styleId="46">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8">
    <w:name w:val="页脚 字符"/>
    <w:basedOn w:val="24"/>
    <w:link w:val="15"/>
    <w:qFormat/>
    <w:uiPriority w:val="99"/>
    <w:rPr>
      <w:rFonts w:ascii="Times New Roman" w:hAnsi="Times New Roman" w:eastAsia="宋体" w:cs="Times New Roman"/>
      <w:kern w:val="2"/>
      <w:sz w:val="18"/>
    </w:rPr>
  </w:style>
  <w:style w:type="paragraph" w:customStyle="1" w:styleId="49">
    <w:name w:val="5）标书正文 首行缩进2字符"/>
    <w:basedOn w:val="1"/>
    <w:qFormat/>
    <w:uiPriority w:val="0"/>
    <w:pPr>
      <w:spacing w:line="480" w:lineRule="exact"/>
      <w:ind w:firstLine="200" w:firstLineChars="200"/>
    </w:pPr>
    <w:rPr>
      <w:rFonts w:ascii="仿宋_GB2312" w:hAnsi="宋体" w:eastAsia="仿宋_GB2312" w:cs="宋体"/>
      <w:sz w:val="28"/>
      <w:szCs w:val="28"/>
    </w:rPr>
  </w:style>
  <w:style w:type="character" w:customStyle="1" w:styleId="50">
    <w:name w:val="标题 4 字符"/>
    <w:basedOn w:val="24"/>
    <w:link w:val="5"/>
    <w:qFormat/>
    <w:uiPriority w:val="0"/>
    <w:rPr>
      <w:rFonts w:ascii="Arial" w:hAnsi="Arial" w:eastAsia="黑体"/>
      <w:b/>
      <w:kern w:val="2"/>
      <w:sz w:val="28"/>
    </w:rPr>
  </w:style>
  <w:style w:type="character" w:customStyle="1" w:styleId="51">
    <w:name w:val="正文文本首行缩进 字符"/>
    <w:basedOn w:val="28"/>
    <w:link w:val="20"/>
    <w:qFormat/>
    <w:uiPriority w:val="0"/>
    <w:rPr>
      <w:kern w:val="2"/>
      <w:sz w:val="21"/>
      <w:szCs w:val="24"/>
    </w:rPr>
  </w:style>
  <w:style w:type="paragraph" w:customStyle="1" w:styleId="5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自定样式"/>
    <w:basedOn w:val="1"/>
    <w:qFormat/>
    <w:uiPriority w:val="0"/>
    <w:rPr>
      <w:rFonts w:ascii="Segoe UI Symbol" w:hAnsi="Segoe UI Symbol" w:cs="Segoe UI Symbol"/>
    </w:rPr>
  </w:style>
  <w:style w:type="paragraph" w:customStyle="1" w:styleId="54">
    <w:name w:val="Table Text"/>
    <w:basedOn w:val="1"/>
    <w:semiHidden/>
    <w:qFormat/>
    <w:uiPriority w:val="0"/>
    <w:rPr>
      <w:rFonts w:ascii="宋体" w:hAnsi="宋体" w:eastAsia="宋体" w:cs="宋体"/>
      <w:sz w:val="18"/>
      <w:szCs w:val="18"/>
      <w:lang w:val="en-US" w:eastAsia="en-US" w:bidi="ar-SA"/>
    </w:rPr>
  </w:style>
  <w:style w:type="table" w:customStyle="1" w:styleId="5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bbs.kafan.cn</Company>
  <Pages>65</Pages>
  <Words>35619</Words>
  <Characters>37622</Characters>
  <Lines>279</Lines>
  <Paragraphs>78</Paragraphs>
  <TotalTime>0</TotalTime>
  <ScaleCrop>false</ScaleCrop>
  <LinksUpToDate>false</LinksUpToDate>
  <CharactersWithSpaces>39576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2024-06-27T10:30:00Z</dcterms:created>
  <dc:creator>WPS_1656570902</dc:creator>
  <cp:lastModifiedBy>闾新豪</cp:lastModifiedBy>
  <dcterms:modified xsi:type="dcterms:W3CDTF">2025-06-20T03:10:31Z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D6CCF26949314A3C87963474870ECAAC</vt:lpwstr>
  </property>
  <property fmtid="{D5CDD505-2E9C-101B-9397-08002B2CF9AE}" pid="4" name="KSOTemplateDocerSaveRecord">
    <vt:lpwstr>eyJoZGlkIjoiOGI4YTEzZjQ0ZjE5MmRlYTAxOTVjYzgyYTQyNGMwZWIiLCJ1c2VySWQiOiI0NTU5OTg4MzkifQ==</vt:lpwstr>
  </property>
</Properties>
</file>