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D05CC">
      <w:pPr>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9EEBB">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新疆维吾尔自治区市场监督管理局2025年第二批重点产品监督抽查项目</w:t>
                            </w:r>
                          </w:p>
                          <w:p w14:paraId="7FE1A499">
                            <w:pPr>
                              <w:spacing w:line="360" w:lineRule="auto"/>
                              <w:jc w:val="center"/>
                              <w:rPr>
                                <w:rFonts w:hint="eastAsia" w:ascii="微软雅黑" w:hAnsi="微软雅黑" w:eastAsia="微软雅黑" w:cs="微软雅黑"/>
                                <w:b/>
                                <w:bCs/>
                                <w:color w:val="237085"/>
                                <w:sz w:val="28"/>
                                <w:szCs w:val="28"/>
                                <w:lang w:val="en-US" w:eastAsia="zh-CN"/>
                              </w:rPr>
                            </w:pPr>
                          </w:p>
                          <w:p w14:paraId="6F378C49">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2F49EEBB">
                      <w:pPr>
                        <w:spacing w:line="360" w:lineRule="auto"/>
                        <w:jc w:val="center"/>
                        <w:rPr>
                          <w:rFonts w:hint="eastAsia" w:ascii="微软雅黑" w:hAnsi="微软雅黑" w:eastAsia="微软雅黑" w:cs="微软雅黑"/>
                          <w:b/>
                          <w:bCs/>
                          <w:color w:val="237085"/>
                          <w:sz w:val="36"/>
                          <w:szCs w:val="36"/>
                          <w:lang w:val="en-US" w:eastAsia="zh-CN"/>
                        </w:rPr>
                      </w:pPr>
                      <w:r>
                        <w:rPr>
                          <w:rFonts w:hint="eastAsia" w:ascii="微软雅黑" w:hAnsi="微软雅黑" w:eastAsia="微软雅黑" w:cs="微软雅黑"/>
                          <w:b/>
                          <w:bCs/>
                          <w:color w:val="237085"/>
                          <w:sz w:val="36"/>
                          <w:szCs w:val="36"/>
                          <w:lang w:val="en-US" w:eastAsia="zh-CN"/>
                        </w:rPr>
                        <w:t>新疆维吾尔自治区市场监督管理局2025年第二批重点产品监督抽查项目</w:t>
                      </w:r>
                    </w:p>
                    <w:p w14:paraId="7FE1A499">
                      <w:pPr>
                        <w:spacing w:line="360" w:lineRule="auto"/>
                        <w:jc w:val="center"/>
                        <w:rPr>
                          <w:rFonts w:hint="eastAsia" w:ascii="微软雅黑" w:hAnsi="微软雅黑" w:eastAsia="微软雅黑" w:cs="微软雅黑"/>
                          <w:b/>
                          <w:bCs/>
                          <w:color w:val="237085"/>
                          <w:sz w:val="28"/>
                          <w:szCs w:val="28"/>
                          <w:lang w:val="en-US" w:eastAsia="zh-CN"/>
                        </w:rPr>
                      </w:pPr>
                    </w:p>
                    <w:p w14:paraId="6F378C49">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（项目编号：SJX-2025-363）</w:t>
                      </w:r>
                    </w:p>
                  </w:txbxContent>
                </v:textbox>
              </v:shape>
            </w:pict>
          </mc:Fallback>
        </mc:AlternateContent>
      </w: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p>
    <w:p w14:paraId="296C6ECF">
      <w:pPr>
        <w:rPr>
          <w:rFonts w:hint="eastAsia" w:ascii="仿宋" w:hAnsi="仿宋" w:eastAsia="仿宋" w:cs="仿宋"/>
        </w:rPr>
      </w:pPr>
    </w:p>
    <w:p w14:paraId="486A14A0">
      <w:pPr>
        <w:jc w:val="center"/>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B420A">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401B420A">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ascii="仿宋" w:hAnsi="仿宋" w:eastAsia="仿宋" w:cs="仿宋"/>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6FBE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采购人：新疆维吾尔自治区市场监督管理局（盖章）</w:t>
                            </w:r>
                          </w:p>
                          <w:p w14:paraId="4D6EA860">
                            <w:pPr>
                              <w:jc w:val="left"/>
                              <w:rPr>
                                <w:rFonts w:hint="eastAsia" w:ascii="微软雅黑" w:hAnsi="微软雅黑" w:eastAsia="微软雅黑" w:cs="微软雅黑"/>
                                <w:b/>
                                <w:bCs/>
                                <w:color w:val="237085"/>
                                <w:sz w:val="32"/>
                                <w:szCs w:val="32"/>
                                <w:lang w:val="en-US" w:eastAsia="zh-CN"/>
                              </w:rPr>
                            </w:pPr>
                          </w:p>
                          <w:p w14:paraId="4E8E8C7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0164F5DF">
                            <w:pPr>
                              <w:jc w:val="center"/>
                              <w:rPr>
                                <w:rFonts w:hint="eastAsia" w:ascii="微软雅黑" w:hAnsi="微软雅黑" w:eastAsia="微软雅黑" w:cs="微软雅黑"/>
                                <w:b/>
                                <w:bCs/>
                                <w:color w:val="237085"/>
                                <w:sz w:val="32"/>
                                <w:szCs w:val="32"/>
                                <w:lang w:val="en-US" w:eastAsia="zh-CN"/>
                              </w:rPr>
                            </w:pPr>
                          </w:p>
                          <w:p w14:paraId="28179D48">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日期：2025年06月30日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7906FBE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采购人：新疆维吾尔自治区市场监督管理局（盖章）</w:t>
                      </w:r>
                    </w:p>
                    <w:p w14:paraId="4D6EA860">
                      <w:pPr>
                        <w:jc w:val="left"/>
                        <w:rPr>
                          <w:rFonts w:hint="eastAsia" w:ascii="微软雅黑" w:hAnsi="微软雅黑" w:eastAsia="微软雅黑" w:cs="微软雅黑"/>
                          <w:b/>
                          <w:bCs/>
                          <w:color w:val="237085"/>
                          <w:sz w:val="32"/>
                          <w:szCs w:val="32"/>
                          <w:lang w:val="en-US" w:eastAsia="zh-CN"/>
                        </w:rPr>
                      </w:pPr>
                    </w:p>
                    <w:p w14:paraId="4E8E8C7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0164F5DF">
                      <w:pPr>
                        <w:jc w:val="center"/>
                        <w:rPr>
                          <w:rFonts w:hint="eastAsia" w:ascii="微软雅黑" w:hAnsi="微软雅黑" w:eastAsia="微软雅黑" w:cs="微软雅黑"/>
                          <w:b/>
                          <w:bCs/>
                          <w:color w:val="237085"/>
                          <w:sz w:val="32"/>
                          <w:szCs w:val="32"/>
                          <w:lang w:val="en-US" w:eastAsia="zh-CN"/>
                        </w:rPr>
                      </w:pPr>
                    </w:p>
                    <w:p w14:paraId="28179D48">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日期：2025年06月30日</w:t>
                      </w:r>
                    </w:p>
                  </w:txbxContent>
                </v:textbox>
              </v:shape>
            </w:pict>
          </mc:Fallback>
        </mc:AlternateContent>
      </w:r>
    </w:p>
    <w:p w14:paraId="0C928C3E">
      <w:pPr>
        <w:jc w:val="center"/>
        <w:rPr>
          <w:rFonts w:hint="eastAsia" w:ascii="仿宋" w:hAnsi="仿宋" w:eastAsia="仿宋" w:cs="仿宋"/>
          <w:sz w:val="32"/>
          <w:szCs w:val="32"/>
        </w:rPr>
      </w:pPr>
    </w:p>
    <w:tbl>
      <w:tblPr>
        <w:tblStyle w:val="24"/>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62508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70E3C9D2">
            <w:pPr>
              <w:rPr>
                <w:rFonts w:hint="eastAsia" w:ascii="仿宋" w:hAnsi="仿宋" w:eastAsia="仿宋" w:cs="仿宋"/>
                <w:b/>
                <w:bCs/>
                <w:sz w:val="32"/>
                <w:szCs w:val="32"/>
              </w:rPr>
            </w:pPr>
            <w:r>
              <w:rPr>
                <w:rFonts w:hint="eastAsia" w:ascii="仿宋" w:hAnsi="仿宋" w:eastAsia="仿宋" w:cs="仿宋"/>
                <w:sz w:val="32"/>
                <w:szCs w:val="32"/>
              </w:rPr>
              <w:br w:type="page"/>
            </w:r>
          </w:p>
          <w:p w14:paraId="47C89C8D">
            <w:pPr>
              <w:spacing w:line="360" w:lineRule="auto"/>
              <w:ind w:right="31" w:rightChars="15"/>
              <w:jc w:val="center"/>
              <w:rPr>
                <w:rFonts w:hint="eastAsia" w:ascii="仿宋" w:hAnsi="仿宋" w:eastAsia="仿宋" w:cs="仿宋"/>
                <w:b/>
                <w:bCs/>
                <w:sz w:val="32"/>
                <w:szCs w:val="32"/>
              </w:rPr>
            </w:pPr>
          </w:p>
          <w:p w14:paraId="4047C247">
            <w:pPr>
              <w:spacing w:line="360" w:lineRule="auto"/>
              <w:ind w:right="31" w:rightChars="15"/>
              <w:jc w:val="center"/>
              <w:rPr>
                <w:rFonts w:hint="eastAsia" w:ascii="仿宋" w:hAnsi="仿宋" w:eastAsia="仿宋" w:cs="仿宋"/>
                <w:b/>
                <w:bCs/>
                <w:sz w:val="32"/>
                <w:szCs w:val="32"/>
              </w:rPr>
            </w:pPr>
            <w:r>
              <w:rPr>
                <w:rFonts w:hint="eastAsia" w:ascii="仿宋" w:hAnsi="仿宋" w:eastAsia="仿宋" w:cs="仿宋"/>
                <w:b/>
                <w:bCs/>
                <w:sz w:val="32"/>
                <w:szCs w:val="32"/>
              </w:rPr>
              <w:t>招标文件确认</w:t>
            </w:r>
            <w:r>
              <w:rPr>
                <w:rFonts w:hint="eastAsia" w:ascii="仿宋" w:hAnsi="仿宋" w:eastAsia="仿宋" w:cs="仿宋"/>
                <w:b/>
                <w:bCs/>
                <w:sz w:val="32"/>
                <w:szCs w:val="32"/>
                <w:lang w:val="en-US" w:eastAsia="zh-CN"/>
              </w:rPr>
              <w:t>表</w:t>
            </w:r>
          </w:p>
          <w:p w14:paraId="13FC4865">
            <w:pPr>
              <w:spacing w:line="360" w:lineRule="auto"/>
              <w:ind w:firstLine="720" w:firstLineChars="300"/>
              <w:jc w:val="both"/>
              <w:rPr>
                <w:rFonts w:hint="eastAsia" w:ascii="仿宋" w:hAnsi="仿宋" w:eastAsia="仿宋" w:cs="仿宋"/>
                <w:sz w:val="24"/>
                <w:szCs w:val="24"/>
                <w:lang w:val="en-US" w:eastAsia="zh-CN"/>
              </w:rPr>
            </w:pPr>
          </w:p>
          <w:p w14:paraId="52F4C137">
            <w:pPr>
              <w:spacing w:line="360" w:lineRule="auto"/>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新疆</w:t>
            </w:r>
            <w:r>
              <w:rPr>
                <w:rFonts w:hint="eastAsia" w:ascii="仿宋" w:hAnsi="仿宋" w:eastAsia="仿宋" w:cs="仿宋"/>
                <w:sz w:val="28"/>
                <w:szCs w:val="28"/>
                <w:highlight w:val="none"/>
                <w:lang w:val="en-US" w:eastAsia="zh-CN"/>
              </w:rPr>
              <w:t>世纪星工程咨询有限公司：</w:t>
            </w:r>
          </w:p>
          <w:p w14:paraId="652ED699">
            <w:pPr>
              <w:spacing w:line="360" w:lineRule="auto"/>
              <w:ind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highlight w:val="none"/>
                <w:u w:val="single"/>
                <w:lang w:val="en-US" w:eastAsia="zh-CN"/>
              </w:rPr>
              <w:t>新疆维吾尔自治区市场监督管理局2025年第二批重点产品监督抽查项目（项目编号：SJX-2025-363）</w:t>
            </w:r>
            <w:r>
              <w:rPr>
                <w:rFonts w:hint="eastAsia" w:ascii="仿宋" w:hAnsi="仿宋" w:eastAsia="仿宋" w:cs="仿宋"/>
                <w:sz w:val="28"/>
                <w:szCs w:val="28"/>
                <w:lang w:val="en-US" w:eastAsia="zh-CN"/>
              </w:rPr>
              <w:t>招标文件，经我单位审核符合我单位提出的招标要求，同意对外发布。</w:t>
            </w:r>
          </w:p>
          <w:p w14:paraId="02F1156B">
            <w:pPr>
              <w:spacing w:line="360" w:lineRule="auto"/>
              <w:jc w:val="both"/>
              <w:rPr>
                <w:rFonts w:hint="eastAsia" w:ascii="仿宋" w:hAnsi="仿宋" w:eastAsia="仿宋" w:cs="仿宋"/>
                <w:sz w:val="28"/>
                <w:szCs w:val="28"/>
              </w:rPr>
            </w:pPr>
          </w:p>
          <w:p w14:paraId="0D7DC577">
            <w:pPr>
              <w:spacing w:line="360" w:lineRule="auto"/>
              <w:ind w:right="240"/>
              <w:jc w:val="both"/>
              <w:rPr>
                <w:rFonts w:hint="eastAsia" w:ascii="仿宋" w:hAnsi="仿宋" w:eastAsia="仿宋" w:cs="仿宋"/>
                <w:sz w:val="28"/>
                <w:szCs w:val="28"/>
              </w:rPr>
            </w:pPr>
          </w:p>
          <w:p w14:paraId="67774632">
            <w:pPr>
              <w:spacing w:line="360" w:lineRule="auto"/>
              <w:ind w:right="240"/>
              <w:jc w:val="both"/>
              <w:rPr>
                <w:rFonts w:hint="eastAsia" w:ascii="仿宋" w:hAnsi="仿宋" w:eastAsia="仿宋" w:cs="仿宋"/>
                <w:sz w:val="28"/>
                <w:szCs w:val="28"/>
              </w:rPr>
            </w:pPr>
          </w:p>
          <w:p w14:paraId="0094C7B6">
            <w:pPr>
              <w:spacing w:line="360" w:lineRule="auto"/>
              <w:ind w:right="840"/>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采购人</w:t>
            </w:r>
            <w:r>
              <w:rPr>
                <w:rFonts w:hint="eastAsia" w:ascii="仿宋" w:hAnsi="仿宋" w:eastAsia="仿宋" w:cs="仿宋"/>
                <w:sz w:val="28"/>
                <w:szCs w:val="28"/>
              </w:rPr>
              <w:t>（盖章）</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新疆维吾尔自治区市场监督管理局</w:t>
            </w:r>
            <w:r>
              <w:rPr>
                <w:rFonts w:hint="eastAsia" w:ascii="仿宋" w:hAnsi="仿宋" w:eastAsia="仿宋" w:cs="仿宋"/>
                <w:sz w:val="28"/>
                <w:szCs w:val="28"/>
                <w:lang w:val="en-US" w:eastAsia="zh-CN"/>
              </w:rPr>
              <w:t xml:space="preserve"> </w:t>
            </w:r>
          </w:p>
          <w:p w14:paraId="4A935528">
            <w:pPr>
              <w:spacing w:line="360" w:lineRule="auto"/>
              <w:ind w:right="960"/>
              <w:jc w:val="right"/>
              <w:rPr>
                <w:rFonts w:hint="eastAsia" w:ascii="仿宋" w:hAnsi="仿宋" w:eastAsia="仿宋" w:cs="仿宋"/>
                <w:b/>
                <w:sz w:val="40"/>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tc>
      </w:tr>
    </w:tbl>
    <w:p w14:paraId="30ADCED9">
      <w:pPr>
        <w:rPr>
          <w:rFonts w:hint="eastAsia" w:ascii="仿宋" w:hAnsi="仿宋" w:eastAsia="仿宋" w:cs="仿宋"/>
          <w:sz w:val="32"/>
          <w:szCs w:val="32"/>
        </w:rPr>
      </w:pPr>
      <w:r>
        <w:rPr>
          <w:rFonts w:hint="eastAsia" w:ascii="仿宋" w:hAnsi="仿宋" w:eastAsia="仿宋" w:cs="仿宋"/>
          <w:sz w:val="32"/>
          <w:szCs w:val="32"/>
        </w:rPr>
        <w:br w:type="page"/>
      </w:r>
    </w:p>
    <w:p w14:paraId="1CB497CA">
      <w:pPr>
        <w:jc w:val="center"/>
        <w:rPr>
          <w:rFonts w:hint="eastAsia"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kern w:val="2"/>
          <w:sz w:val="21"/>
          <w:szCs w:val="24"/>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lang w:val="en-US" w:eastAsia="zh-CN" w:bidi="ar-SA"/>
        </w:rPr>
      </w:sdtEndPr>
      <w:sdtContent>
        <w:p w14:paraId="7CECCCC1">
          <w:pPr>
            <w:spacing w:before="0" w:beforeLines="0" w:after="0" w:afterLines="0" w:line="240" w:lineRule="auto"/>
            <w:ind w:left="0" w:leftChars="0" w:right="0" w:rightChars="0" w:firstLine="0" w:firstLineChars="0"/>
            <w:jc w:val="center"/>
            <w:rPr>
              <w:rFonts w:hint="eastAsia" w:ascii="仿宋" w:hAnsi="仿宋" w:eastAsia="仿宋" w:cs="仿宋"/>
            </w:rPr>
          </w:pPr>
        </w:p>
        <w:p w14:paraId="0746D6FC">
          <w:pPr>
            <w:pStyle w:val="34"/>
            <w:tabs>
              <w:tab w:val="right" w:leader="dot" w:pos="8306"/>
            </w:tabs>
            <w:rPr>
              <w:rFonts w:hint="eastAsia"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14:paraId="6379515F">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_Toc11868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第一章 </w:t>
          </w:r>
          <w:r>
            <w:rPr>
              <w:rFonts w:hint="eastAsia" w:ascii="仿宋" w:hAnsi="仿宋" w:eastAsia="仿宋" w:cs="仿宋"/>
              <w:b/>
              <w:sz w:val="24"/>
              <w:szCs w:val="24"/>
              <w:lang w:val="en-US" w:eastAsia="zh-CN"/>
            </w:rPr>
            <w:t>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7BA9FEE">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_Toc21739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D9B1C6">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_Toc15364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78AE04">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FB0635B">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_Toc24224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0F44D73">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79B8E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E5DF1D7">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_Toc21999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12F0401">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_Toc31403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604B80A">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_Toc27881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第三章 </w:t>
          </w:r>
          <w:r>
            <w:rPr>
              <w:rFonts w:hint="eastAsia" w:ascii="仿宋" w:hAnsi="仿宋" w:eastAsia="仿宋" w:cs="仿宋"/>
              <w:b/>
              <w:sz w:val="24"/>
              <w:szCs w:val="24"/>
              <w:lang w:eastAsia="zh-CN"/>
            </w:rPr>
            <w:t>供应商</w:t>
          </w:r>
          <w:r>
            <w:rPr>
              <w:rFonts w:hint="eastAsia" w:ascii="仿宋" w:hAnsi="仿宋" w:eastAsia="仿宋" w:cs="仿宋"/>
              <w:b/>
              <w:sz w:val="24"/>
              <w:szCs w:val="24"/>
            </w:rPr>
            <w:t>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51D28CE0">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_Toc20936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FC32F3">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_Toc6547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73756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_Toc9070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A54FF2">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_Toc21719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F41D5A">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_Toc15263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1A3850D">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_Toc7787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AA2343B">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_Toc22543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FE89EA1">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_Toc20159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DC8D8A7">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_Toc21893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EB9E8A9">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_Toc27440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EE65F39">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_Toc12617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13F14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_Toc6046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6F84B5">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_Toc4337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C32DC33">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_Toc23924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4A1CDF">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_Toc22049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BA6AA6C">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_Toc31337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6613AF72">
          <w:pPr>
            <w:pStyle w:val="35"/>
            <w:tabs>
              <w:tab w:val="right" w:leader="dot" w:pos="8306"/>
            </w:tabs>
            <w:rPr>
              <w:rFonts w:hint="eastAsia" w:ascii="仿宋" w:hAnsi="仿宋" w:eastAsia="仿宋" w:cs="仿宋"/>
            </w:rPr>
          </w:pPr>
        </w:p>
        <w:p w14:paraId="3D832993">
          <w:pPr>
            <w:jc w:val="both"/>
            <w:rPr>
              <w:rFonts w:hint="eastAsia" w:ascii="仿宋" w:hAnsi="仿宋" w:eastAsia="仿宋" w:cs="仿宋"/>
              <w:sz w:val="32"/>
              <w:szCs w:val="32"/>
            </w:rPr>
          </w:pPr>
          <w:r>
            <w:rPr>
              <w:rFonts w:hint="eastAsia" w:ascii="仿宋" w:hAnsi="仿宋" w:eastAsia="仿宋" w:cs="仿宋"/>
              <w:b/>
              <w:szCs w:val="32"/>
            </w:rPr>
            <w:fldChar w:fldCharType="end"/>
          </w:r>
        </w:p>
      </w:sdtContent>
    </w:sdt>
    <w:p w14:paraId="64FA94B7">
      <w:pPr>
        <w:pStyle w:val="7"/>
        <w:numPr>
          <w:ilvl w:val="0"/>
          <w:numId w:val="2"/>
        </w:numPr>
        <w:bidi w:val="0"/>
        <w:jc w:val="center"/>
        <w:rPr>
          <w:rFonts w:hint="eastAsia" w:ascii="仿宋" w:hAnsi="仿宋" w:eastAsia="仿宋" w:cs="仿宋"/>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2784E0AF">
      <w:pPr>
        <w:pStyle w:val="7"/>
        <w:numPr>
          <w:ilvl w:val="0"/>
          <w:numId w:val="2"/>
        </w:num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招标</w:t>
      </w:r>
      <w:r>
        <w:rPr>
          <w:rFonts w:hint="eastAsia" w:ascii="仿宋" w:hAnsi="仿宋" w:eastAsia="仿宋" w:cs="仿宋"/>
          <w:sz w:val="32"/>
          <w:szCs w:val="32"/>
        </w:rPr>
        <w:t>公告</w:t>
      </w:r>
      <w:bookmarkEnd w:id="0"/>
    </w:p>
    <w:p w14:paraId="396BBA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 w:name="_Toc21739"/>
      <w:r>
        <w:rPr>
          <w:rFonts w:hint="eastAsia" w:ascii="仿宋" w:hAnsi="仿宋" w:eastAsia="仿宋" w:cs="仿宋"/>
          <w:b/>
          <w:bCs/>
          <w:sz w:val="24"/>
          <w:szCs w:val="24"/>
        </w:rPr>
        <w:t>一、项目基本情况</w:t>
      </w:r>
      <w:bookmarkEnd w:id="1"/>
    </w:p>
    <w:p w14:paraId="122F28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SJX-2025-363</w:t>
      </w:r>
    </w:p>
    <w:p w14:paraId="00513B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新疆维吾尔自治区市场监督管理局2025年第二批重点产品监督抽查项目</w:t>
      </w:r>
    </w:p>
    <w:p w14:paraId="5485F4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38D824A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990500元</w:t>
      </w:r>
    </w:p>
    <w:p w14:paraId="2E900F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w:t>
      </w:r>
    </w:p>
    <w:p w14:paraId="649D11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数量:378批次</w:t>
      </w:r>
    </w:p>
    <w:p w14:paraId="319783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简要规格描述或项目基本概况介绍、用途：</w:t>
      </w:r>
      <w:bookmarkStart w:id="2" w:name="OLE_LINK26"/>
      <w:r>
        <w:rPr>
          <w:rFonts w:hint="eastAsia" w:ascii="仿宋" w:hAnsi="仿宋" w:eastAsia="仿宋" w:cs="仿宋"/>
          <w:sz w:val="24"/>
          <w:szCs w:val="24"/>
          <w:highlight w:val="none"/>
        </w:rPr>
        <w:t>对自治区范围内工业生产资料、农业生产资料、烟花爆竹等开展监督抽查检验和风险监测工作。抽查对象为销售企业、生产企业等。采取监督抽查的方式，完成包括但不限于抽查方案制定、配合制定监督抽查实施细则、抽样工作、检验工作、报告送达、结果分析上报、异议复检、整改复查、技术咨询、配合落实承检机构评估、能力验证和帮扶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具体详见采购需求</w:t>
      </w:r>
      <w:r>
        <w:rPr>
          <w:rFonts w:hint="eastAsia" w:ascii="仿宋" w:hAnsi="仿宋" w:eastAsia="仿宋" w:cs="仿宋"/>
          <w:sz w:val="24"/>
          <w:szCs w:val="24"/>
          <w:highlight w:val="none"/>
          <w:lang w:eastAsia="zh-CN"/>
        </w:rPr>
        <w:t>。</w:t>
      </w:r>
      <w:bookmarkEnd w:id="2"/>
    </w:p>
    <w:p w14:paraId="0170B7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043822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合同履行期限：</w:t>
      </w:r>
      <w:bookmarkStart w:id="3" w:name="OLE_LINK25"/>
      <w:r>
        <w:rPr>
          <w:rFonts w:hint="eastAsia" w:ascii="仿宋" w:hAnsi="仿宋" w:eastAsia="仿宋" w:cs="仿宋"/>
          <w:sz w:val="24"/>
          <w:szCs w:val="24"/>
          <w:highlight w:val="none"/>
          <w:lang w:val="en-US" w:eastAsia="zh-CN"/>
        </w:rPr>
        <w:t>自合同签订后于2025年12月底前完成抽样和检验工作。</w:t>
      </w:r>
      <w:bookmarkEnd w:id="3"/>
    </w:p>
    <w:p w14:paraId="3C574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1B327E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15364"/>
      <w:r>
        <w:rPr>
          <w:rFonts w:hint="eastAsia" w:ascii="仿宋" w:hAnsi="仿宋" w:eastAsia="仿宋" w:cs="仿宋"/>
          <w:b/>
          <w:bCs/>
          <w:sz w:val="24"/>
          <w:szCs w:val="24"/>
          <w:highlight w:val="none"/>
        </w:rPr>
        <w:t>二、申请人的资格要求：</w:t>
      </w:r>
      <w:bookmarkEnd w:id="4"/>
    </w:p>
    <w:p w14:paraId="23096E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6054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rPr>
        <w:t>2.落实政府采购政策需满足的资格要求：</w:t>
      </w:r>
      <w:bookmarkStart w:id="5" w:name="OLE_LINK12"/>
      <w:r>
        <w:rPr>
          <w:rFonts w:hint="eastAsia" w:ascii="仿宋" w:hAnsi="仿宋" w:eastAsia="仿宋" w:cs="仿宋"/>
          <w:sz w:val="24"/>
          <w:szCs w:val="24"/>
          <w:highlight w:val="none"/>
          <w:lang w:val="en-US" w:eastAsia="zh-CN"/>
        </w:rPr>
        <w:t>本项目专门面向中小企业（含中型、小型、微型企业）采购项目，提供服务的承接商应符合《政府采购促进中小企业发展管理办法》(财库〔2020〕46号) 第四条规定的情形，且应当提供《政府采购促进中小企业发展管理办法》(财库〔2020〕46号)规定的《中小企业声明函》。</w:t>
      </w:r>
      <w:bookmarkEnd w:id="5"/>
    </w:p>
    <w:p w14:paraId="7A63CB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val="en-US" w:eastAsia="zh-CN"/>
        </w:rPr>
        <w:t>无。</w:t>
      </w:r>
    </w:p>
    <w:p w14:paraId="0344E6CE">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9084"/>
      <w:r>
        <w:rPr>
          <w:rFonts w:hint="eastAsia" w:ascii="仿宋" w:hAnsi="仿宋" w:eastAsia="仿宋" w:cs="仿宋"/>
          <w:b/>
          <w:bCs/>
          <w:sz w:val="24"/>
          <w:szCs w:val="24"/>
          <w:highlight w:val="none"/>
        </w:rPr>
        <w:t>三、获取招标文件</w:t>
      </w:r>
      <w:bookmarkEnd w:id="6"/>
    </w:p>
    <w:p w14:paraId="5FE5DB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bookmarkStart w:id="7" w:name="_Toc24224"/>
      <w:r>
        <w:rPr>
          <w:rFonts w:hint="eastAsia" w:ascii="仿宋" w:hAnsi="仿宋" w:eastAsia="仿宋" w:cs="仿宋"/>
          <w:b w:val="0"/>
          <w:bCs w:val="0"/>
          <w:sz w:val="24"/>
          <w:szCs w:val="24"/>
          <w:highlight w:val="none"/>
          <w:lang w:val="en-US" w:eastAsia="zh-CN"/>
        </w:rPr>
        <w:t>时间：2025年07月01日至2025年07月08日，每天上午00:00至14:00，下午14:00至23:59（北京时间，法定节假日除外）</w:t>
      </w:r>
    </w:p>
    <w:p w14:paraId="009CA0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地点：政采云平台线上</w:t>
      </w:r>
    </w:p>
    <w:p w14:paraId="278E73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方式：</w:t>
      </w:r>
      <w:bookmarkStart w:id="8" w:name="OLE_LINK14"/>
      <w:r>
        <w:rPr>
          <w:rFonts w:hint="eastAsia" w:ascii="仿宋" w:hAnsi="仿宋" w:eastAsia="仿宋" w:cs="仿宋"/>
          <w:b w:val="0"/>
          <w:bCs w:val="0"/>
          <w:sz w:val="24"/>
          <w:szCs w:val="24"/>
          <w:highlight w:val="none"/>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bookmarkEnd w:id="8"/>
    </w:p>
    <w:p w14:paraId="56B52D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售价（元）：0元</w:t>
      </w:r>
    </w:p>
    <w:p w14:paraId="359D57C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四、提交投标文件截止时间、开标时间和地点</w:t>
      </w:r>
      <w:bookmarkEnd w:id="7"/>
    </w:p>
    <w:p w14:paraId="77F6E9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截止时间：2025年</w:t>
      </w:r>
      <w:r>
        <w:rPr>
          <w:rFonts w:hint="eastAsia" w:ascii="仿宋" w:hAnsi="仿宋" w:eastAsia="仿宋" w:cs="仿宋"/>
          <w:b w:val="0"/>
          <w:bCs w:val="0"/>
          <w:sz w:val="24"/>
          <w:szCs w:val="24"/>
          <w:highlight w:val="none"/>
          <w:lang w:val="en-US" w:eastAsia="zh-CN"/>
        </w:rPr>
        <w:t>07</w:t>
      </w:r>
      <w:r>
        <w:rPr>
          <w:rFonts w:hint="eastAsia" w:ascii="仿宋" w:hAnsi="仿宋" w:eastAsia="仿宋" w:cs="仿宋"/>
          <w:sz w:val="24"/>
          <w:szCs w:val="24"/>
          <w:highlight w:val="none"/>
          <w:lang w:val="en-US" w:eastAsia="zh-CN"/>
        </w:rPr>
        <w:t>月</w:t>
      </w:r>
      <w:r>
        <w:rPr>
          <w:rFonts w:hint="eastAsia" w:ascii="仿宋" w:hAnsi="仿宋" w:eastAsia="仿宋" w:cs="仿宋"/>
          <w:b w:val="0"/>
          <w:bCs w:val="0"/>
          <w:sz w:val="24"/>
          <w:szCs w:val="24"/>
          <w:highlight w:val="none"/>
          <w:lang w:val="en-US" w:eastAsia="zh-CN"/>
        </w:rPr>
        <w:t>21</w:t>
      </w:r>
      <w:r>
        <w:rPr>
          <w:rFonts w:hint="eastAsia" w:ascii="仿宋" w:hAnsi="仿宋" w:eastAsia="仿宋" w:cs="仿宋"/>
          <w:sz w:val="24"/>
          <w:szCs w:val="24"/>
          <w:highlight w:val="none"/>
          <w:lang w:val="en-US" w:eastAsia="zh-CN"/>
        </w:rPr>
        <w:t>日 11:00（北京时间）</w:t>
      </w:r>
    </w:p>
    <w:p w14:paraId="36ACB2F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地    点：请登录政采云投标客户端投标</w:t>
      </w:r>
    </w:p>
    <w:p w14:paraId="23BF5C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开标时间：2025年</w:t>
      </w:r>
      <w:r>
        <w:rPr>
          <w:rFonts w:hint="eastAsia" w:ascii="仿宋" w:hAnsi="仿宋" w:eastAsia="仿宋" w:cs="仿宋"/>
          <w:b w:val="0"/>
          <w:bCs w:val="0"/>
          <w:sz w:val="24"/>
          <w:szCs w:val="24"/>
          <w:highlight w:val="none"/>
          <w:lang w:val="en-US" w:eastAsia="zh-CN"/>
        </w:rPr>
        <w:t>07</w:t>
      </w:r>
      <w:r>
        <w:rPr>
          <w:rFonts w:hint="eastAsia" w:ascii="仿宋" w:hAnsi="仿宋" w:eastAsia="仿宋" w:cs="仿宋"/>
          <w:sz w:val="24"/>
          <w:szCs w:val="24"/>
          <w:highlight w:val="none"/>
          <w:lang w:val="en-US" w:eastAsia="zh-CN"/>
        </w:rPr>
        <w:t>月</w:t>
      </w:r>
      <w:r>
        <w:rPr>
          <w:rFonts w:hint="eastAsia" w:ascii="仿宋" w:hAnsi="仿宋" w:eastAsia="仿宋" w:cs="仿宋"/>
          <w:b w:val="0"/>
          <w:bCs w:val="0"/>
          <w:sz w:val="24"/>
          <w:szCs w:val="24"/>
          <w:highlight w:val="none"/>
          <w:lang w:val="en-US" w:eastAsia="zh-CN"/>
        </w:rPr>
        <w:t>21</w:t>
      </w:r>
      <w:r>
        <w:rPr>
          <w:rFonts w:hint="eastAsia" w:ascii="仿宋" w:hAnsi="仿宋" w:eastAsia="仿宋" w:cs="仿宋"/>
          <w:sz w:val="24"/>
          <w:szCs w:val="24"/>
          <w:highlight w:val="none"/>
          <w:lang w:val="en-US" w:eastAsia="zh-CN"/>
        </w:rPr>
        <w:t>日 11:00（北京时间）</w:t>
      </w:r>
    </w:p>
    <w:p w14:paraId="32D78E2F">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开标地点：</w:t>
      </w:r>
      <w:bookmarkStart w:id="9" w:name="OLE_LINK16"/>
      <w:bookmarkStart w:id="10" w:name="_Toc17115"/>
      <w:r>
        <w:rPr>
          <w:rFonts w:hint="eastAsia" w:ascii="仿宋" w:hAnsi="仿宋" w:eastAsia="仿宋" w:cs="仿宋"/>
          <w:sz w:val="24"/>
          <w:szCs w:val="24"/>
          <w:highlight w:val="none"/>
          <w:lang w:val="en-US" w:eastAsia="zh-CN"/>
        </w:rPr>
        <w:t>政采云平台（https://www.zcygov.cn/），本项目采用不见面开标，加密的电子投标文件在投标截止时间前在政采云平台上传。</w:t>
      </w:r>
      <w:bookmarkEnd w:id="9"/>
    </w:p>
    <w:p w14:paraId="7E1009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五、公告期限</w:t>
      </w:r>
      <w:bookmarkEnd w:id="10"/>
    </w:p>
    <w:p w14:paraId="12C103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4DC41CF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1" w:name="_Toc22084"/>
      <w:r>
        <w:rPr>
          <w:rFonts w:hint="eastAsia" w:ascii="仿宋" w:hAnsi="仿宋" w:eastAsia="仿宋" w:cs="仿宋"/>
          <w:b/>
          <w:bCs/>
          <w:sz w:val="24"/>
          <w:szCs w:val="24"/>
        </w:rPr>
        <w:t>六、其他补充事宜</w:t>
      </w:r>
      <w:bookmarkEnd w:id="11"/>
    </w:p>
    <w:p w14:paraId="54F4BB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bookmarkStart w:id="12" w:name="OLE_LINK18"/>
      <w:bookmarkStart w:id="13" w:name="_Toc21999"/>
      <w:r>
        <w:rPr>
          <w:rFonts w:hint="eastAsia" w:ascii="仿宋" w:hAnsi="仿宋" w:eastAsia="仿宋" w:cs="仿宋"/>
          <w:b w:val="0"/>
          <w:bCs w:val="0"/>
          <w:sz w:val="24"/>
          <w:szCs w:val="24"/>
        </w:rPr>
        <w:t>1、关于本项目所有公告、公示在新疆政府采购网发布。</w:t>
      </w:r>
    </w:p>
    <w:p w14:paraId="607F2E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2、请</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随时关注本项目的澄清、答疑、变更事项。</w:t>
      </w:r>
    </w:p>
    <w:p w14:paraId="5067CF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3、本项目实行电子招投标，</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须登录政采云平台申请获取招标文件，并通过政采云电子投标客户端制作响应文件，同时自行承担与投标有关的一切费用。</w:t>
      </w:r>
    </w:p>
    <w:p w14:paraId="03DA6A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4、各</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应在开标前确保成为新疆政府采购网正式注册入库</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，并完成CA数字证书申领。因未注册入库、未办理CA数字证书等原因造成无法投标或投标失败等后果由</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自行承担。</w:t>
      </w:r>
    </w:p>
    <w:p w14:paraId="633D05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5、有意向参与电子开评标的</w:t>
      </w:r>
      <w:r>
        <w:rPr>
          <w:rFonts w:hint="eastAsia" w:ascii="仿宋" w:hAnsi="仿宋" w:eastAsia="仿宋" w:cs="仿宋"/>
          <w:b w:val="0"/>
          <w:bCs w:val="0"/>
          <w:sz w:val="24"/>
          <w:szCs w:val="24"/>
          <w:lang w:eastAsia="zh-CN"/>
        </w:rPr>
        <w:t>供应商</w:t>
      </w:r>
      <w:r>
        <w:rPr>
          <w:rFonts w:hint="eastAsia" w:ascii="仿宋" w:hAnsi="仿宋" w:eastAsia="仿宋" w:cs="仿宋"/>
          <w:b w:val="0"/>
          <w:bCs w:val="0"/>
          <w:sz w:val="24"/>
          <w:szCs w:val="24"/>
        </w:rPr>
        <w:t>，可访问新疆数字证书认证中心官方网站（https://www.xjca.com.cn/）或下载“新疆政务通”APP自行进行申领。如需咨询，请联系新疆CA服务热线0991-2819290。</w:t>
      </w:r>
      <w:bookmarkEnd w:id="12"/>
    </w:p>
    <w:p w14:paraId="432598A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七、对本次采购提出询问，请按以下方式联系</w:t>
      </w:r>
      <w:bookmarkEnd w:id="13"/>
    </w:p>
    <w:p w14:paraId="660FEF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2EB1E9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"https://middle.zcygov.cn/web-user/" \l "/institution/detail?tenantCode=659900&amp;institutionId=10005152128&amp;category=01" \t "https://pay.zcygov.cn/purchaseplan_front/" \l "/plan/list/_blank"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新疆维吾尔自治区市场监督管理局</w:t>
      </w:r>
      <w:r>
        <w:rPr>
          <w:rFonts w:hint="eastAsia" w:ascii="仿宋" w:hAnsi="仿宋" w:eastAsia="仿宋" w:cs="仿宋"/>
          <w:sz w:val="24"/>
          <w:szCs w:val="24"/>
          <w:highlight w:val="none"/>
        </w:rPr>
        <w:fldChar w:fldCharType="end"/>
      </w:r>
    </w:p>
    <w:p w14:paraId="654531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新疆乌鲁木齐市天山区新华南路167号</w:t>
      </w:r>
    </w:p>
    <w:p w14:paraId="13B752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vertAlign w:val="baseline"/>
          <w:lang w:eastAsia="zh-CN"/>
        </w:rPr>
        <w:t>：0991-2811493</w:t>
      </w:r>
    </w:p>
    <w:p w14:paraId="400F2A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767D89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称：新疆世纪星工程咨询有限公司</w:t>
      </w:r>
    </w:p>
    <w:p w14:paraId="11FCB7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w:t>
      </w:r>
      <w:bookmarkStart w:id="14" w:name="OLE_LINK17"/>
      <w:r>
        <w:rPr>
          <w:rFonts w:hint="eastAsia" w:ascii="仿宋" w:hAnsi="仿宋" w:eastAsia="仿宋" w:cs="仿宋"/>
          <w:sz w:val="24"/>
          <w:szCs w:val="24"/>
        </w:rPr>
        <w:t>乌鲁木齐经济技术开发区二期黄山街一品九点阳光德港大厦B座20楼</w:t>
      </w:r>
      <w:bookmarkEnd w:id="14"/>
    </w:p>
    <w:p w14:paraId="4DB2F6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张进宝、郑倩如、李航、杜萍、龚凡</w:t>
      </w:r>
    </w:p>
    <w:p w14:paraId="04C562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联系方式：0991-3678303</w:t>
      </w:r>
    </w:p>
    <w:p w14:paraId="0885C5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41A358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张进宝、郑倩如</w:t>
      </w:r>
    </w:p>
    <w:p w14:paraId="324705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电 话：0991-3678303</w:t>
      </w:r>
    </w:p>
    <w:p w14:paraId="60A0B88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br w:type="page"/>
      </w:r>
    </w:p>
    <w:p w14:paraId="0CE76091">
      <w:pPr>
        <w:pStyle w:val="7"/>
        <w:numPr>
          <w:ilvl w:val="0"/>
          <w:numId w:val="2"/>
        </w:numPr>
        <w:bidi w:val="0"/>
        <w:jc w:val="center"/>
        <w:rPr>
          <w:rFonts w:hint="eastAsia" w:ascii="仿宋" w:hAnsi="仿宋" w:eastAsia="仿宋" w:cs="仿宋"/>
          <w:sz w:val="32"/>
          <w:szCs w:val="32"/>
        </w:rPr>
      </w:pPr>
      <w:bookmarkStart w:id="15" w:name="_Toc31403"/>
      <w:r>
        <w:rPr>
          <w:rFonts w:hint="eastAsia" w:ascii="仿宋" w:hAnsi="仿宋" w:eastAsia="仿宋" w:cs="仿宋"/>
          <w:sz w:val="32"/>
          <w:szCs w:val="32"/>
        </w:rPr>
        <w:t>投标须知前附表</w:t>
      </w:r>
      <w:bookmarkEnd w:id="15"/>
    </w:p>
    <w:p w14:paraId="67A4F27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本表是本招标项目的具体资料，是对</w:t>
      </w:r>
      <w:r>
        <w:rPr>
          <w:rFonts w:hint="eastAsia" w:ascii="仿宋" w:hAnsi="仿宋" w:eastAsia="仿宋" w:cs="仿宋"/>
          <w:sz w:val="24"/>
          <w:szCs w:val="24"/>
          <w:lang w:eastAsia="zh-CN"/>
        </w:rPr>
        <w:t>供应商</w:t>
      </w:r>
      <w:r>
        <w:rPr>
          <w:rFonts w:hint="eastAsia" w:ascii="仿宋" w:hAnsi="仿宋" w:eastAsia="仿宋" w:cs="仿宋"/>
          <w:sz w:val="24"/>
          <w:szCs w:val="24"/>
        </w:rPr>
        <w:t>须知的具体补充和修改，如有矛盾，均以本资料表为准。标记“☑”的选项意为适用于本项目，标记“□”的选项意为不适用于本项目。</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2FEEB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870" w:type="dxa"/>
            <w:tcBorders>
              <w:tl2br w:val="nil"/>
              <w:tr2bl w:val="nil"/>
            </w:tcBorders>
            <w:vAlign w:val="center"/>
          </w:tcPr>
          <w:p w14:paraId="6982E4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条款号</w:t>
            </w:r>
          </w:p>
        </w:tc>
        <w:tc>
          <w:tcPr>
            <w:tcW w:w="6652" w:type="dxa"/>
            <w:tcBorders>
              <w:tl2br w:val="nil"/>
              <w:tr2bl w:val="nil"/>
            </w:tcBorders>
          </w:tcPr>
          <w:p w14:paraId="7D58D9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内容</w:t>
            </w:r>
          </w:p>
        </w:tc>
      </w:tr>
      <w:tr w14:paraId="1F2A76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BE2B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6652" w:type="dxa"/>
            <w:tcBorders>
              <w:tl2br w:val="nil"/>
              <w:tr2bl w:val="nil"/>
            </w:tcBorders>
            <w:vAlign w:val="center"/>
          </w:tcPr>
          <w:p w14:paraId="294983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名 称：</w:t>
            </w:r>
            <w:r>
              <w:rPr>
                <w:rFonts w:hint="eastAsia" w:ascii="仿宋" w:hAnsi="仿宋" w:eastAsia="仿宋" w:cs="仿宋"/>
                <w:sz w:val="24"/>
                <w:szCs w:val="24"/>
                <w:vertAlign w:val="baseline"/>
              </w:rPr>
              <w:fldChar w:fldCharType="begin"/>
            </w:r>
            <w:r>
              <w:rPr>
                <w:rFonts w:hint="eastAsia" w:ascii="仿宋" w:hAnsi="仿宋" w:eastAsia="仿宋" w:cs="仿宋"/>
                <w:sz w:val="24"/>
                <w:szCs w:val="24"/>
                <w:vertAlign w:val="baseline"/>
              </w:rPr>
              <w:instrText xml:space="preserve"> HYPERLINK "https://middle.zcygov.cn/web-user/" \l "/institution/detail?tenantCode=659900&amp;institutionId=10005152128&amp;category=01" \t "https://pay.zcygov.cn/purchaseplan_front/" \l "/plan/list/_blank" </w:instrText>
            </w:r>
            <w:r>
              <w:rPr>
                <w:rFonts w:hint="eastAsia" w:ascii="仿宋" w:hAnsi="仿宋" w:eastAsia="仿宋" w:cs="仿宋"/>
                <w:sz w:val="24"/>
                <w:szCs w:val="24"/>
                <w:vertAlign w:val="baseline"/>
              </w:rPr>
              <w:fldChar w:fldCharType="separate"/>
            </w:r>
            <w:r>
              <w:rPr>
                <w:rFonts w:hint="eastAsia" w:ascii="仿宋" w:hAnsi="仿宋" w:eastAsia="仿宋" w:cs="仿宋"/>
                <w:sz w:val="24"/>
                <w:szCs w:val="24"/>
                <w:vertAlign w:val="baseline"/>
                <w:lang w:eastAsia="zh-CN"/>
              </w:rPr>
              <w:t>新疆维吾尔自治区市场监督管理局</w:t>
            </w:r>
            <w:r>
              <w:rPr>
                <w:rFonts w:hint="eastAsia" w:ascii="仿宋" w:hAnsi="仿宋" w:eastAsia="仿宋" w:cs="仿宋"/>
                <w:sz w:val="24"/>
                <w:szCs w:val="24"/>
                <w:vertAlign w:val="baseline"/>
              </w:rPr>
              <w:fldChar w:fldCharType="end"/>
            </w:r>
          </w:p>
          <w:p w14:paraId="3A77C6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地 址：</w:t>
            </w:r>
            <w:r>
              <w:rPr>
                <w:rFonts w:hint="eastAsia" w:ascii="仿宋" w:hAnsi="仿宋" w:eastAsia="仿宋" w:cs="仿宋"/>
                <w:sz w:val="24"/>
                <w:szCs w:val="24"/>
                <w:vertAlign w:val="baseline"/>
                <w:lang w:val="en-US" w:eastAsia="zh-CN"/>
              </w:rPr>
              <w:t>新疆乌鲁木齐市天山区新华南路167号</w:t>
            </w:r>
          </w:p>
          <w:p w14:paraId="4DE984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vertAlign w:val="baseline"/>
                <w:lang w:eastAsia="zh-CN"/>
              </w:rPr>
              <w:t>：0991-2811493</w:t>
            </w:r>
          </w:p>
        </w:tc>
      </w:tr>
      <w:tr w14:paraId="1A0E4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EF52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6652" w:type="dxa"/>
            <w:tcBorders>
              <w:tl2br w:val="nil"/>
              <w:tr2bl w:val="nil"/>
            </w:tcBorders>
            <w:vAlign w:val="center"/>
          </w:tcPr>
          <w:p w14:paraId="4EEFA23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称：新疆世纪星工程咨询有限公司</w:t>
            </w:r>
          </w:p>
          <w:p w14:paraId="3B8C48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w:t>
            </w:r>
            <w:bookmarkStart w:id="16" w:name="OLE_LINK24"/>
            <w:r>
              <w:rPr>
                <w:rFonts w:hint="eastAsia" w:ascii="仿宋" w:hAnsi="仿宋" w:eastAsia="仿宋" w:cs="仿宋"/>
                <w:sz w:val="24"/>
                <w:szCs w:val="24"/>
              </w:rPr>
              <w:t>乌鲁木齐经济技术开发区二期黄山街一品九点阳光德港大厦B座20楼</w:t>
            </w:r>
            <w:bookmarkEnd w:id="16"/>
          </w:p>
          <w:p w14:paraId="64129E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bookmarkStart w:id="17" w:name="OLE_LINK23"/>
            <w:r>
              <w:rPr>
                <w:rFonts w:hint="eastAsia" w:ascii="仿宋" w:hAnsi="仿宋" w:eastAsia="仿宋" w:cs="仿宋"/>
                <w:sz w:val="24"/>
                <w:szCs w:val="24"/>
                <w:lang w:val="en-US" w:eastAsia="zh-CN"/>
              </w:rPr>
              <w:t>张进宝、郑倩如、李航、杜萍、龚凡</w:t>
            </w:r>
            <w:bookmarkEnd w:id="17"/>
          </w:p>
          <w:p w14:paraId="7D7AE7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rPr>
              <w:t>联系方式：0991-3678303</w:t>
            </w:r>
            <w:r>
              <w:rPr>
                <w:rFonts w:hint="eastAsia" w:ascii="仿宋" w:hAnsi="仿宋" w:eastAsia="仿宋" w:cs="仿宋"/>
                <w:sz w:val="24"/>
                <w:szCs w:val="24"/>
                <w:vertAlign w:val="baseline"/>
              </w:rPr>
              <w:t xml:space="preserve"> </w:t>
            </w:r>
          </w:p>
          <w:p w14:paraId="75BD33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1804205388@qq.com</w:t>
            </w:r>
          </w:p>
        </w:tc>
      </w:tr>
      <w:tr w14:paraId="662921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5B352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7E0E47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w:t>
            </w:r>
            <w:r>
              <w:rPr>
                <w:rFonts w:hint="eastAsia" w:ascii="仿宋" w:hAnsi="仿宋" w:eastAsia="仿宋" w:cs="仿宋"/>
                <w:sz w:val="24"/>
                <w:szCs w:val="24"/>
                <w:highlight w:val="none"/>
                <w:vertAlign w:val="baseline"/>
                <w:lang w:eastAsia="zh-CN"/>
              </w:rPr>
              <w:t>供应商</w:t>
            </w:r>
            <w:r>
              <w:rPr>
                <w:rFonts w:hint="eastAsia" w:ascii="仿宋" w:hAnsi="仿宋" w:eastAsia="仿宋" w:cs="仿宋"/>
                <w:sz w:val="24"/>
                <w:szCs w:val="24"/>
                <w:highlight w:val="none"/>
                <w:vertAlign w:val="baseline"/>
              </w:rPr>
              <w:t>的其他资格要求：</w:t>
            </w:r>
            <w:r>
              <w:rPr>
                <w:rFonts w:hint="eastAsia" w:ascii="仿宋" w:hAnsi="仿宋" w:eastAsia="仿宋" w:cs="仿宋"/>
                <w:sz w:val="24"/>
                <w:szCs w:val="24"/>
                <w:highlight w:val="none"/>
                <w:vertAlign w:val="baseline"/>
                <w:lang w:val="en-US" w:eastAsia="zh-CN"/>
              </w:rPr>
              <w:t>无。</w:t>
            </w:r>
          </w:p>
        </w:tc>
      </w:tr>
      <w:tr w14:paraId="40CB29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E24AC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6652" w:type="dxa"/>
            <w:tcBorders>
              <w:tl2br w:val="nil"/>
              <w:tr2bl w:val="nil"/>
            </w:tcBorders>
            <w:vAlign w:val="center"/>
          </w:tcPr>
          <w:p w14:paraId="6957EF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是否允许采购进口产品：否</w:t>
            </w:r>
          </w:p>
        </w:tc>
      </w:tr>
      <w:tr w14:paraId="3C9CD6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4A945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w:t>
            </w:r>
          </w:p>
        </w:tc>
        <w:tc>
          <w:tcPr>
            <w:tcW w:w="6652" w:type="dxa"/>
            <w:tcBorders>
              <w:tl2br w:val="nil"/>
              <w:tr2bl w:val="nil"/>
            </w:tcBorders>
            <w:vAlign w:val="center"/>
          </w:tcPr>
          <w:p w14:paraId="6BDE9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本项目采购标的对应的中小企业划分标准所属行业：</w:t>
            </w:r>
            <w:r>
              <w:rPr>
                <w:rFonts w:hint="eastAsia" w:ascii="仿宋" w:hAnsi="仿宋" w:eastAsia="仿宋" w:cs="仿宋"/>
                <w:b/>
                <w:bCs/>
                <w:sz w:val="24"/>
                <w:szCs w:val="24"/>
                <w:vertAlign w:val="baseline"/>
                <w:lang w:val="en-US" w:eastAsia="zh-CN"/>
              </w:rPr>
              <w:t xml:space="preserve"> </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255"/>
              <w:gridCol w:w="2526"/>
            </w:tblGrid>
            <w:tr w14:paraId="4AA4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2" w:type="pct"/>
                  <w:vAlign w:val="center"/>
                </w:tcPr>
                <w:p w14:paraId="44604DB7">
                  <w:pPr>
                    <w:pStyle w:val="23"/>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包号</w:t>
                  </w:r>
                </w:p>
              </w:tc>
              <w:tc>
                <w:tcPr>
                  <w:tcW w:w="2532" w:type="pct"/>
                  <w:vAlign w:val="center"/>
                </w:tcPr>
                <w:p w14:paraId="45F24976">
                  <w:pPr>
                    <w:pStyle w:val="23"/>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标的名称</w:t>
                  </w:r>
                </w:p>
              </w:tc>
              <w:tc>
                <w:tcPr>
                  <w:tcW w:w="1965" w:type="pct"/>
                  <w:vAlign w:val="center"/>
                </w:tcPr>
                <w:p w14:paraId="0BAFB9E8">
                  <w:pPr>
                    <w:pStyle w:val="23"/>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rPr>
                    <w:t>中小企业划分标准所属行业</w:t>
                  </w:r>
                </w:p>
              </w:tc>
            </w:tr>
            <w:tr w14:paraId="1495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02" w:type="pct"/>
                  <w:vAlign w:val="center"/>
                </w:tcPr>
                <w:p w14:paraId="306CF20A">
                  <w:pPr>
                    <w:pStyle w:val="23"/>
                    <w:spacing w:after="0" w:line="440" w:lineRule="exact"/>
                    <w:ind w:left="0" w:leftChars="0" w:firstLine="0" w:firstLineChars="0"/>
                    <w:jc w:val="center"/>
                    <w:rPr>
                      <w:rFonts w:hint="eastAsia" w:ascii="仿宋" w:hAnsi="仿宋" w:eastAsia="仿宋" w:cs="仿宋"/>
                      <w:lang w:eastAsia="zh-CN"/>
                    </w:rPr>
                  </w:pPr>
                  <w:r>
                    <w:rPr>
                      <w:rFonts w:hint="eastAsia" w:ascii="仿宋" w:hAnsi="仿宋" w:eastAsia="仿宋" w:cs="仿宋"/>
                      <w:lang w:val="en-US" w:eastAsia="zh-CN"/>
                    </w:rPr>
                    <w:t>1</w:t>
                  </w:r>
                </w:p>
              </w:tc>
              <w:tc>
                <w:tcPr>
                  <w:tcW w:w="2532" w:type="pct"/>
                  <w:vAlign w:val="center"/>
                </w:tcPr>
                <w:p w14:paraId="64F54425">
                  <w:pPr>
                    <w:pStyle w:val="23"/>
                    <w:spacing w:after="0" w:line="440" w:lineRule="exact"/>
                    <w:ind w:left="0" w:leftChars="0" w:firstLine="0" w:firstLineChars="0"/>
                    <w:jc w:val="center"/>
                    <w:rPr>
                      <w:rFonts w:hint="eastAsia" w:ascii="仿宋" w:hAnsi="仿宋" w:eastAsia="仿宋" w:cs="仿宋"/>
                    </w:rPr>
                  </w:pPr>
                  <w:r>
                    <w:rPr>
                      <w:rFonts w:hint="eastAsia" w:ascii="仿宋" w:hAnsi="仿宋" w:eastAsia="仿宋" w:cs="仿宋"/>
                      <w:lang w:val="en-US" w:eastAsia="zh-CN"/>
                    </w:rPr>
                    <w:t>新疆维吾尔自治区市场监督管理局2025年第二批重点产品监督抽查项目</w:t>
                  </w:r>
                </w:p>
              </w:tc>
              <w:tc>
                <w:tcPr>
                  <w:tcW w:w="1965" w:type="pct"/>
                  <w:shd w:val="clear" w:color="auto" w:fill="FFFFFF" w:themeFill="background1"/>
                  <w:vAlign w:val="center"/>
                </w:tcPr>
                <w:p w14:paraId="78B20AAC">
                  <w:pPr>
                    <w:pStyle w:val="23"/>
                    <w:spacing w:after="0" w:line="440" w:lineRule="exact"/>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其他未列明行业</w:t>
                  </w:r>
                </w:p>
              </w:tc>
            </w:tr>
          </w:tbl>
          <w:p w14:paraId="41183D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lang w:val="en-US" w:eastAsia="zh-CN"/>
              </w:rPr>
            </w:pPr>
          </w:p>
        </w:tc>
      </w:tr>
      <w:tr w14:paraId="063DD2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AEEE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1.5.2</w:t>
            </w:r>
          </w:p>
        </w:tc>
        <w:tc>
          <w:tcPr>
            <w:tcW w:w="6652" w:type="dxa"/>
            <w:tcBorders>
              <w:tl2br w:val="nil"/>
              <w:tr2bl w:val="nil"/>
            </w:tcBorders>
            <w:vAlign w:val="center"/>
          </w:tcPr>
          <w:p w14:paraId="5A8D5F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6640C1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提供的服务全部由符合政策要求的☑中小☑小微企业承接。</w:t>
            </w:r>
          </w:p>
          <w:p w14:paraId="204B06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要求获得采购合同的供应商将本采购包金额的至少   %分包给一家或者多家中小企业，这其中预留给小微企业的比例至少   %，须提供《拟分包情况说明》，监狱和戒毒企业、残疾人福利性单位视同小型、微型企业（格式详见招标文件）。</w:t>
            </w:r>
          </w:p>
        </w:tc>
      </w:tr>
      <w:tr w14:paraId="020F05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1C767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652" w:type="dxa"/>
            <w:tcBorders>
              <w:tl2br w:val="nil"/>
              <w:tr2bl w:val="nil"/>
            </w:tcBorders>
            <w:vAlign w:val="center"/>
          </w:tcPr>
          <w:p w14:paraId="7B331C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是否允许联合体投标：否</w:t>
            </w:r>
          </w:p>
          <w:p w14:paraId="50D5C3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联合体的其他资格要求：无</w:t>
            </w:r>
          </w:p>
        </w:tc>
      </w:tr>
      <w:tr w14:paraId="1E89CF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6EE22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6652" w:type="dxa"/>
            <w:tcBorders>
              <w:tl2br w:val="nil"/>
              <w:tr2bl w:val="nil"/>
            </w:tcBorders>
            <w:vAlign w:val="center"/>
          </w:tcPr>
          <w:p w14:paraId="4A2870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项目预算金额：990500元</w:t>
            </w:r>
          </w:p>
          <w:p w14:paraId="671C488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最高限价：990500元</w:t>
            </w:r>
          </w:p>
          <w:p w14:paraId="11E811E1">
            <w:pPr>
              <w:pStyle w:val="6"/>
              <w:rPr>
                <w:rFonts w:hint="eastAsia"/>
              </w:rPr>
            </w:pPr>
            <w:r>
              <w:rPr>
                <w:rFonts w:hint="eastAsia" w:ascii="仿宋" w:hAnsi="仿宋" w:eastAsia="仿宋" w:cs="仿宋"/>
                <w:b/>
                <w:sz w:val="24"/>
                <w:szCs w:val="24"/>
                <w:highlight w:val="none"/>
              </w:rPr>
              <w:t>注：</w:t>
            </w:r>
            <w:r>
              <w:rPr>
                <w:rFonts w:hint="eastAsia" w:ascii="仿宋" w:hAnsi="仿宋" w:eastAsia="仿宋" w:cs="仿宋"/>
                <w:b/>
                <w:bCs/>
                <w:sz w:val="24"/>
                <w:szCs w:val="24"/>
                <w:highlight w:val="none"/>
              </w:rPr>
              <w:t>供应商投标报价不得高于预算金额</w:t>
            </w:r>
            <w:r>
              <w:rPr>
                <w:rFonts w:hint="eastAsia" w:ascii="仿宋" w:hAnsi="仿宋" w:eastAsia="仿宋" w:cs="仿宋"/>
                <w:b/>
                <w:bCs/>
                <w:sz w:val="24"/>
                <w:szCs w:val="24"/>
                <w:highlight w:val="none"/>
                <w:lang w:val="en-US" w:eastAsia="zh-CN"/>
              </w:rPr>
              <w:t>/最高限价</w:t>
            </w:r>
            <w:r>
              <w:rPr>
                <w:rFonts w:hint="eastAsia" w:ascii="仿宋" w:hAnsi="仿宋" w:eastAsia="仿宋" w:cs="仿宋"/>
                <w:b/>
                <w:bCs/>
                <w:sz w:val="24"/>
                <w:szCs w:val="24"/>
                <w:highlight w:val="none"/>
              </w:rPr>
              <w:t>，高于预算金额/最高限价作废标处理。</w:t>
            </w:r>
          </w:p>
        </w:tc>
      </w:tr>
      <w:tr w14:paraId="7FD82A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D10E4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w:t>
            </w:r>
          </w:p>
        </w:tc>
        <w:tc>
          <w:tcPr>
            <w:tcW w:w="6652" w:type="dxa"/>
            <w:tcBorders>
              <w:tl2br w:val="nil"/>
              <w:tr2bl w:val="nil"/>
            </w:tcBorders>
            <w:vAlign w:val="center"/>
          </w:tcPr>
          <w:p w14:paraId="4715A2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是否组织现场考察或者召开答疑会：否 </w:t>
            </w:r>
          </w:p>
          <w:p w14:paraId="53D829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组织现场考察或者召开答疑会相关要求：/</w:t>
            </w:r>
          </w:p>
        </w:tc>
      </w:tr>
      <w:tr w14:paraId="18D3F9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6EB3A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5.7 </w:t>
            </w:r>
          </w:p>
        </w:tc>
        <w:tc>
          <w:tcPr>
            <w:tcW w:w="6652" w:type="dxa"/>
            <w:tcBorders>
              <w:tl2br w:val="nil"/>
              <w:tr2bl w:val="nil"/>
            </w:tcBorders>
            <w:vAlign w:val="center"/>
          </w:tcPr>
          <w:p w14:paraId="5AFBE0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是否需要提供样品：否 </w:t>
            </w:r>
          </w:p>
          <w:p w14:paraId="0D16A8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提供样品要求包括：（样品的制作标准和要求、接收及退还，样品检测报告，检测机构、检测内容等内容）</w:t>
            </w:r>
          </w:p>
        </w:tc>
      </w:tr>
      <w:tr w14:paraId="11E2E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F766D7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7.1 </w:t>
            </w:r>
          </w:p>
        </w:tc>
        <w:tc>
          <w:tcPr>
            <w:tcW w:w="6652" w:type="dxa"/>
            <w:tcBorders>
              <w:tl2br w:val="nil"/>
              <w:tr2bl w:val="nil"/>
            </w:tcBorders>
            <w:vAlign w:val="center"/>
          </w:tcPr>
          <w:p w14:paraId="1F9092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供应商</w:t>
            </w:r>
            <w:r>
              <w:rPr>
                <w:rFonts w:hint="eastAsia" w:ascii="仿宋" w:hAnsi="仿宋" w:eastAsia="仿宋" w:cs="仿宋"/>
                <w:sz w:val="24"/>
                <w:szCs w:val="24"/>
                <w:vertAlign w:val="baseline"/>
              </w:rPr>
              <w:t>对</w:t>
            </w:r>
            <w:r>
              <w:rPr>
                <w:rFonts w:hint="eastAsia" w:ascii="仿宋" w:hAnsi="仿宋" w:eastAsia="仿宋" w:cs="仿宋"/>
                <w:sz w:val="24"/>
                <w:szCs w:val="24"/>
                <w:vertAlign w:val="baseline"/>
                <w:lang w:val="en-US" w:eastAsia="zh-CN"/>
              </w:rPr>
              <w:t>本项目</w:t>
            </w:r>
            <w:r>
              <w:rPr>
                <w:rFonts w:hint="eastAsia" w:ascii="仿宋" w:hAnsi="仿宋" w:eastAsia="仿宋" w:cs="仿宋"/>
                <w:sz w:val="24"/>
                <w:szCs w:val="24"/>
                <w:vertAlign w:val="baseline"/>
              </w:rPr>
              <w:t>进行投标，</w:t>
            </w:r>
            <w:r>
              <w:rPr>
                <w:rFonts w:hint="eastAsia" w:ascii="仿宋" w:hAnsi="仿宋" w:eastAsia="仿宋" w:cs="仿宋"/>
                <w:sz w:val="24"/>
                <w:szCs w:val="24"/>
                <w:vertAlign w:val="baseline"/>
                <w:lang w:val="en-US" w:eastAsia="zh-CN"/>
              </w:rPr>
              <w:t>只</w:t>
            </w:r>
            <w:r>
              <w:rPr>
                <w:rFonts w:hint="eastAsia" w:ascii="仿宋" w:hAnsi="仿宋" w:eastAsia="仿宋" w:cs="仿宋"/>
                <w:sz w:val="24"/>
                <w:szCs w:val="24"/>
                <w:vertAlign w:val="baseline"/>
              </w:rPr>
              <w:t>可以</w:t>
            </w:r>
            <w:r>
              <w:rPr>
                <w:rFonts w:hint="eastAsia" w:ascii="仿宋" w:hAnsi="仿宋" w:eastAsia="仿宋" w:cs="仿宋"/>
                <w:sz w:val="24"/>
                <w:szCs w:val="24"/>
                <w:vertAlign w:val="baseline"/>
                <w:lang w:val="en-US" w:eastAsia="zh-CN"/>
              </w:rPr>
              <w:t>成交1</w:t>
            </w:r>
            <w:r>
              <w:rPr>
                <w:rFonts w:hint="eastAsia" w:ascii="仿宋" w:hAnsi="仿宋" w:eastAsia="仿宋" w:cs="仿宋"/>
                <w:sz w:val="24"/>
                <w:szCs w:val="24"/>
                <w:vertAlign w:val="baseline"/>
              </w:rPr>
              <w:t>包</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本项目不分标段</w:t>
            </w:r>
            <w:r>
              <w:rPr>
                <w:rFonts w:hint="eastAsia" w:ascii="仿宋" w:hAnsi="仿宋" w:eastAsia="仿宋" w:cs="仿宋"/>
                <w:sz w:val="24"/>
                <w:szCs w:val="24"/>
                <w:vertAlign w:val="baseline"/>
                <w:lang w:eastAsia="zh-CN"/>
              </w:rPr>
              <w:t>）</w:t>
            </w:r>
          </w:p>
        </w:tc>
      </w:tr>
      <w:tr w14:paraId="5E2A5F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2A9F0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652" w:type="dxa"/>
            <w:tcBorders>
              <w:tl2br w:val="nil"/>
              <w:tr2bl w:val="nil"/>
            </w:tcBorders>
            <w:vAlign w:val="center"/>
          </w:tcPr>
          <w:p w14:paraId="3B051C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3B42A1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19000元</w:t>
            </w:r>
          </w:p>
          <w:p w14:paraId="273FD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254446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6AC580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3D4B85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16DAF4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投标</w:t>
            </w:r>
            <w:r>
              <w:rPr>
                <w:rFonts w:hint="eastAsia" w:ascii="仿宋" w:hAnsi="仿宋" w:eastAsia="仿宋" w:cs="仿宋"/>
                <w:sz w:val="24"/>
                <w:szCs w:val="24"/>
                <w:highlight w:val="none"/>
                <w:vertAlign w:val="baseline"/>
              </w:rPr>
              <w:t>保证金到账（保函提交）截止时间同</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截止时间。</w:t>
            </w:r>
          </w:p>
          <w:p w14:paraId="3462B0F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以支票、汇票、本票、网上银行支付等形式提交</w:t>
            </w:r>
            <w:r>
              <w:rPr>
                <w:rFonts w:hint="eastAsia" w:ascii="仿宋" w:hAnsi="仿宋" w:eastAsia="仿宋" w:cs="仿宋"/>
                <w:sz w:val="24"/>
                <w:szCs w:val="24"/>
                <w:highlight w:val="none"/>
                <w:vertAlign w:val="baseline"/>
                <w:lang w:val="en-US" w:eastAsia="zh-CN"/>
              </w:rPr>
              <w:t>投标</w:t>
            </w:r>
            <w:r>
              <w:rPr>
                <w:rFonts w:hint="eastAsia" w:ascii="仿宋" w:hAnsi="仿宋" w:eastAsia="仿宋" w:cs="仿宋"/>
                <w:sz w:val="24"/>
                <w:szCs w:val="24"/>
                <w:highlight w:val="none"/>
                <w:vertAlign w:val="baseline"/>
              </w:rPr>
              <w:t>保证金的，应在</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截止时间前到账；</w:t>
            </w:r>
          </w:p>
          <w:p w14:paraId="614DD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以金融机构、担保机构出具的纸质保函形式提交</w:t>
            </w:r>
            <w:r>
              <w:rPr>
                <w:rFonts w:hint="eastAsia" w:ascii="仿宋" w:hAnsi="仿宋" w:eastAsia="仿宋" w:cs="仿宋"/>
                <w:sz w:val="24"/>
                <w:szCs w:val="24"/>
                <w:highlight w:val="none"/>
                <w:vertAlign w:val="baseline"/>
                <w:lang w:val="en-US" w:eastAsia="zh-CN"/>
              </w:rPr>
              <w:t>投标</w:t>
            </w:r>
            <w:r>
              <w:rPr>
                <w:rFonts w:hint="eastAsia" w:ascii="仿宋" w:hAnsi="仿宋" w:eastAsia="仿宋" w:cs="仿宋"/>
                <w:sz w:val="24"/>
                <w:szCs w:val="24"/>
                <w:highlight w:val="none"/>
                <w:vertAlign w:val="baseline"/>
              </w:rPr>
              <w:t>保证金的（除电子保函外），应在</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截止时间前将原件提交至采购代理机构，未提交原件的将按无效投标（响应）处理。</w:t>
            </w:r>
          </w:p>
          <w:p w14:paraId="6AE9CE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w:t>
            </w:r>
            <w:r>
              <w:rPr>
                <w:rFonts w:hint="eastAsia" w:ascii="仿宋" w:hAnsi="仿宋" w:eastAsia="仿宋" w:cs="仿宋"/>
                <w:sz w:val="24"/>
                <w:szCs w:val="24"/>
                <w:highlight w:val="none"/>
                <w:vertAlign w:val="baseline"/>
                <w:lang w:eastAsia="zh-CN"/>
              </w:rPr>
              <w:t>供应商</w:t>
            </w:r>
            <w:r>
              <w:rPr>
                <w:rFonts w:hint="eastAsia" w:ascii="仿宋" w:hAnsi="仿宋" w:eastAsia="仿宋" w:cs="仿宋"/>
                <w:sz w:val="24"/>
                <w:szCs w:val="24"/>
                <w:highlight w:val="none"/>
                <w:vertAlign w:val="baseline"/>
              </w:rPr>
              <w:t>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6AA1D6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由于到账时间晚于</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截止时间的，或者票据错误、印鉴不清等原因导致不能到账的，其</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无效。</w:t>
            </w:r>
          </w:p>
          <w:p w14:paraId="14123B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投标</w:t>
            </w:r>
            <w:r>
              <w:rPr>
                <w:rFonts w:hint="eastAsia" w:ascii="仿宋" w:hAnsi="仿宋" w:eastAsia="仿宋" w:cs="仿宋"/>
                <w:sz w:val="24"/>
                <w:szCs w:val="24"/>
                <w:highlight w:val="none"/>
                <w:vertAlign w:val="baseline"/>
              </w:rPr>
              <w:t>保证金（投标电子保函）有效期与</w:t>
            </w:r>
            <w:r>
              <w:rPr>
                <w:rFonts w:hint="eastAsia" w:ascii="仿宋" w:hAnsi="仿宋" w:eastAsia="仿宋" w:cs="仿宋"/>
                <w:sz w:val="24"/>
                <w:szCs w:val="24"/>
                <w:highlight w:val="none"/>
                <w:vertAlign w:val="baseline"/>
                <w:lang w:val="en-US" w:eastAsia="zh-CN"/>
              </w:rPr>
              <w:t>响应</w:t>
            </w:r>
            <w:r>
              <w:rPr>
                <w:rFonts w:hint="eastAsia" w:ascii="仿宋" w:hAnsi="仿宋" w:eastAsia="仿宋" w:cs="仿宋"/>
                <w:sz w:val="24"/>
                <w:szCs w:val="24"/>
                <w:highlight w:val="none"/>
                <w:vertAlign w:val="baseline"/>
              </w:rPr>
              <w:t>有效期一致。</w:t>
            </w:r>
          </w:p>
        </w:tc>
      </w:tr>
      <w:tr w14:paraId="732A07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97C84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652" w:type="dxa"/>
            <w:tcBorders>
              <w:tl2br w:val="nil"/>
              <w:tr2bl w:val="nil"/>
            </w:tcBorders>
            <w:vAlign w:val="center"/>
          </w:tcPr>
          <w:p w14:paraId="2FA44B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rPr>
            </w:pPr>
            <w:r>
              <w:rPr>
                <w:rFonts w:hint="eastAsia" w:ascii="仿宋" w:hAnsi="仿宋" w:eastAsia="仿宋" w:cs="仿宋"/>
                <w:b w:val="0"/>
                <w:bCs w:val="0"/>
                <w:sz w:val="24"/>
                <w:szCs w:val="24"/>
                <w:vertAlign w:val="baseline"/>
              </w:rPr>
              <w:t>投标有效期：90 日历日</w:t>
            </w:r>
          </w:p>
        </w:tc>
      </w:tr>
      <w:tr w14:paraId="4E5A3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9F02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6652" w:type="dxa"/>
            <w:tcBorders>
              <w:tl2br w:val="nil"/>
              <w:tr2bl w:val="nil"/>
            </w:tcBorders>
            <w:vAlign w:val="center"/>
          </w:tcPr>
          <w:p w14:paraId="11B8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投标截止时间：2025年07月21日 11:00（北京时间）</w:t>
            </w:r>
          </w:p>
        </w:tc>
      </w:tr>
      <w:tr w14:paraId="3CB3B8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E2746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14.1</w:t>
            </w:r>
          </w:p>
        </w:tc>
        <w:tc>
          <w:tcPr>
            <w:tcW w:w="6652" w:type="dxa"/>
            <w:tcBorders>
              <w:tl2br w:val="nil"/>
              <w:tr2bl w:val="nil"/>
            </w:tcBorders>
            <w:vAlign w:val="center"/>
          </w:tcPr>
          <w:p w14:paraId="1A2EBB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083034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5F8122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27FB7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18.1</w:t>
            </w:r>
          </w:p>
        </w:tc>
        <w:tc>
          <w:tcPr>
            <w:tcW w:w="6652" w:type="dxa"/>
            <w:tcBorders>
              <w:bottom w:val="single" w:color="auto" w:sz="4" w:space="0"/>
              <w:tl2br w:val="nil"/>
              <w:tr2bl w:val="nil"/>
            </w:tcBorders>
            <w:vAlign w:val="center"/>
          </w:tcPr>
          <w:p w14:paraId="1B3A59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1DF396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1227BB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w:t>
            </w:r>
          </w:p>
        </w:tc>
        <w:tc>
          <w:tcPr>
            <w:tcW w:w="6652" w:type="dxa"/>
            <w:tcBorders>
              <w:top w:val="single" w:color="auto" w:sz="4" w:space="0"/>
              <w:tl2br w:val="nil"/>
              <w:tr2bl w:val="nil"/>
            </w:tcBorders>
            <w:vAlign w:val="center"/>
          </w:tcPr>
          <w:p w14:paraId="372843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51A6A0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309FB8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1A09A54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30072A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D5FD2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7D6D9A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5FA80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22.1</w:t>
            </w:r>
          </w:p>
        </w:tc>
        <w:tc>
          <w:tcPr>
            <w:tcW w:w="6652" w:type="dxa"/>
            <w:tcBorders>
              <w:tl2br w:val="nil"/>
              <w:tr2bl w:val="nil"/>
            </w:tcBorders>
            <w:vAlign w:val="center"/>
          </w:tcPr>
          <w:p w14:paraId="472132B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005DD2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448D6F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7364CF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37D4D1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23.1</w:t>
            </w:r>
          </w:p>
        </w:tc>
        <w:tc>
          <w:tcPr>
            <w:tcW w:w="6652" w:type="dxa"/>
            <w:tcBorders>
              <w:bottom w:val="single" w:color="auto" w:sz="4" w:space="0"/>
              <w:tl2br w:val="nil"/>
              <w:tr2bl w:val="nil"/>
            </w:tcBorders>
            <w:vAlign w:val="center"/>
          </w:tcPr>
          <w:p w14:paraId="74E707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377AC0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招标代理费：</w:t>
            </w:r>
            <w:bookmarkStart w:id="18" w:name="OLE_LINK19"/>
            <w:r>
              <w:rPr>
                <w:rFonts w:hint="eastAsia" w:ascii="仿宋" w:hAnsi="仿宋" w:eastAsia="仿宋" w:cs="仿宋"/>
                <w:b w:val="0"/>
                <w:bCs w:val="0"/>
                <w:sz w:val="24"/>
                <w:szCs w:val="24"/>
                <w:highlight w:val="none"/>
                <w:vertAlign w:val="baseline"/>
                <w:lang w:val="en-US" w:eastAsia="zh-CN"/>
              </w:rPr>
              <w:t>参照原国家计委计价格【2002】1980 号文的计算方法收取。</w:t>
            </w:r>
            <w:bookmarkEnd w:id="18"/>
            <w:r>
              <w:rPr>
                <w:rFonts w:hint="eastAsia" w:ascii="仿宋" w:hAnsi="仿宋" w:eastAsia="仿宋" w:cs="仿宋"/>
                <w:b w:val="0"/>
                <w:bCs w:val="0"/>
                <w:sz w:val="24"/>
                <w:szCs w:val="24"/>
                <w:highlight w:val="none"/>
                <w:vertAlign w:val="baseline"/>
                <w:lang w:val="en-US" w:eastAsia="zh-CN"/>
              </w:rPr>
              <w:t xml:space="preserve">  </w:t>
            </w:r>
          </w:p>
          <w:p w14:paraId="233ECA1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384C55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22759D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66FB5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6652" w:type="dxa"/>
            <w:tcBorders>
              <w:top w:val="single" w:color="auto" w:sz="4" w:space="0"/>
              <w:tl2br w:val="nil"/>
              <w:tr2bl w:val="nil"/>
            </w:tcBorders>
            <w:vAlign w:val="center"/>
          </w:tcPr>
          <w:p w14:paraId="616360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3231F7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94A95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6B14EA5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54128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59DE9C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联系人、联系电话：张进宝0991-3678303</w:t>
            </w:r>
          </w:p>
          <w:p w14:paraId="20213A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4CDDE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649435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64E16A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tc>
      </w:tr>
      <w:tr w14:paraId="4AE4B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71C85B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00ACBF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4BA60D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D4AE9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652" w:type="dxa"/>
            <w:tcBorders>
              <w:top w:val="single" w:color="auto" w:sz="4" w:space="0"/>
              <w:tl2br w:val="nil"/>
              <w:tr2bl w:val="nil"/>
            </w:tcBorders>
            <w:vAlign w:val="center"/>
          </w:tcPr>
          <w:p w14:paraId="0B8F17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450D07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6B44DB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p w14:paraId="39FA01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1F899A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2、请参加采购活动的供应商随时关注本项目的澄清、答疑、变更事项。</w:t>
            </w:r>
          </w:p>
          <w:p w14:paraId="4CF007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3、本项目实行电子招投标，供应商须登录政采云平台申请获取招标文件，并通过政采云电子投标客户端制作投标文件，同时自行承担与投标有关的一切费用。</w:t>
            </w:r>
          </w:p>
          <w:p w14:paraId="6160CA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2F5651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0C6DA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0A91E5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62F20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本项目投标文件解密时间定为30分钟，如供应商因自身原因导致在规定的时间无法正常解密，视为开标后撤销其投标文件，投标保证金采购人有权不予退还。</w:t>
            </w:r>
          </w:p>
        </w:tc>
      </w:tr>
    </w:tbl>
    <w:p w14:paraId="3AF3E84D">
      <w:pPr>
        <w:rPr>
          <w:rFonts w:hint="eastAsia" w:ascii="仿宋" w:hAnsi="仿宋" w:eastAsia="仿宋" w:cs="仿宋"/>
          <w:sz w:val="32"/>
          <w:szCs w:val="32"/>
        </w:rPr>
      </w:pPr>
      <w:r>
        <w:rPr>
          <w:rFonts w:hint="eastAsia" w:ascii="仿宋" w:hAnsi="仿宋" w:eastAsia="仿宋" w:cs="仿宋"/>
          <w:sz w:val="32"/>
          <w:szCs w:val="32"/>
        </w:rPr>
        <w:br w:type="page"/>
      </w:r>
    </w:p>
    <w:p w14:paraId="1DC7AFB7">
      <w:pPr>
        <w:pStyle w:val="7"/>
        <w:numPr>
          <w:ilvl w:val="0"/>
          <w:numId w:val="2"/>
        </w:numPr>
        <w:bidi w:val="0"/>
        <w:jc w:val="center"/>
        <w:rPr>
          <w:rFonts w:hint="eastAsia" w:ascii="仿宋" w:hAnsi="仿宋" w:eastAsia="仿宋" w:cs="仿宋"/>
          <w:sz w:val="32"/>
          <w:szCs w:val="32"/>
        </w:rPr>
      </w:pPr>
      <w:bookmarkStart w:id="19" w:name="_Toc27881"/>
      <w:r>
        <w:rPr>
          <w:rFonts w:hint="eastAsia" w:ascii="仿宋" w:hAnsi="仿宋" w:eastAsia="仿宋" w:cs="仿宋"/>
          <w:sz w:val="32"/>
          <w:szCs w:val="32"/>
          <w:lang w:eastAsia="zh-CN"/>
        </w:rPr>
        <w:t>供应商</w:t>
      </w:r>
      <w:r>
        <w:rPr>
          <w:rFonts w:hint="eastAsia" w:ascii="仿宋" w:hAnsi="仿宋" w:eastAsia="仿宋" w:cs="仿宋"/>
          <w:sz w:val="32"/>
          <w:szCs w:val="32"/>
        </w:rPr>
        <w:t>须知</w:t>
      </w:r>
      <w:bookmarkEnd w:id="19"/>
    </w:p>
    <w:p w14:paraId="657592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p>
    <w:p w14:paraId="2D5E9BCE">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rPr>
      </w:pPr>
      <w:bookmarkStart w:id="20" w:name="_Toc20936"/>
      <w:r>
        <w:rPr>
          <w:rFonts w:hint="eastAsia" w:ascii="仿宋" w:hAnsi="仿宋" w:eastAsia="仿宋" w:cs="仿宋"/>
          <w:b/>
          <w:bCs/>
          <w:sz w:val="24"/>
          <w:szCs w:val="24"/>
        </w:rPr>
        <w:t>说 明</w:t>
      </w:r>
      <w:bookmarkEnd w:id="20"/>
    </w:p>
    <w:p w14:paraId="5811B7B8">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采购人、采购代理机构及供应商</w:t>
      </w:r>
    </w:p>
    <w:p w14:paraId="61FABC82">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采购人：是指依法进行政府采购的国家机构、事业单位、团体组织。</w:t>
      </w:r>
    </w:p>
    <w:p w14:paraId="1EF16B40">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采购代理机构：本次招标的采购代理机构为新疆世纪星工程咨询有限公司。</w:t>
      </w:r>
    </w:p>
    <w:p w14:paraId="426771D4">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供应商：是指向采购人提供货物、工程或者服务的法人、其他组织或者自然人。</w:t>
      </w:r>
    </w:p>
    <w:p w14:paraId="2EB94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供应商须满足以下条件：</w:t>
      </w:r>
    </w:p>
    <w:p w14:paraId="1666B998">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具备《中华人民共和国政府采购法》第二十二条关于供应商条件的规定，遵守国家、本项目采购人本级和上级财政部门政府采购的有关规定。</w:t>
      </w:r>
    </w:p>
    <w:p w14:paraId="48B77DD1">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以招标文件规定的方式获得了本项目的招标文件。</w:t>
      </w:r>
    </w:p>
    <w:p w14:paraId="058F0F1A">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中规定的其他资格要求。</w:t>
      </w:r>
    </w:p>
    <w:p w14:paraId="27A31361">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如经财政主管部门批准可以采购进口产品，将在投标须知前附表中写明。但供应商应保证所投产品可履行合法报通关手续进入中国关境内。若</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中未写明允许采购进口产品，如供应商所投产品为进口产品，其投标将作为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 xml:space="preserve">被拒绝。 </w:t>
      </w:r>
    </w:p>
    <w:p w14:paraId="55627927">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中小企业、监狱企业及残疾人福利性单位。</w:t>
      </w:r>
    </w:p>
    <w:p w14:paraId="020FFDC6">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采购标的对应的中小企业划分标准所属行业见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037D0EC1">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若投标须知前附表中写明专门面向中小或小微企业采购的，如供应商所提供的货物为非中小或小微企业制造，或提供的服务、工程为非中小或小微企业承接，其投标将被认定为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，未达到上述比例的投标将被认定为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。承接企业如为监狱企业或残疾人福利性单位的，视同为小型、微型企业。</w:t>
      </w:r>
    </w:p>
    <w:p w14:paraId="1F293B9D">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F7AFAAA">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供应商提供的货物、工程或者服务符合下列情形的，享受中小企业扶持政策：</w:t>
      </w:r>
    </w:p>
    <w:p w14:paraId="71EA496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在货物采购项目中，货物由中小企业制造，即货物由中小企业生产且使用该中小企业商号或者注册商标；</w:t>
      </w:r>
    </w:p>
    <w:p w14:paraId="26E6356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在工程采购项目中，工程由中小企业承建，即工程施工单位为中小企业；</w:t>
      </w:r>
    </w:p>
    <w:p w14:paraId="7A5FBB9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75BE865F">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在货物采购项目中，供应商提供的货物既有中小企业制造货物，也有大型企业制造货物的，不享受中小企业扶持政策。 </w:t>
      </w:r>
    </w:p>
    <w:p w14:paraId="08A1A5D3">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以联合体形式参加政府采购活动，联合体各方均为中小企业的，联合体视同中小企业。其中，联合体各方均为小微企业的，联合体视同小微企业。</w:t>
      </w:r>
    </w:p>
    <w:p w14:paraId="0C16AB2A">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0CD5684">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218FDA7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安置的残疾人占本单位在职职工人数的比例不低于25%（含25%），并且安置的残疾人人数不少于10人（含10人）； </w:t>
      </w:r>
    </w:p>
    <w:p w14:paraId="14C4A75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依法与安置的每位残疾人签订了一年以上（含一年）的劳动合同或服务协议；</w:t>
      </w:r>
    </w:p>
    <w:p w14:paraId="295F2BD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为安置的每位残疾人按月足额缴纳了基本养老保险、基本医疗保险、失业保险、工伤保险和生育保险等社会保险费；</w:t>
      </w:r>
    </w:p>
    <w:p w14:paraId="68425D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通过银行等金融机构向安置的每位残疾人，按月支付了不低于单位所在区县适用的经省级人民政府批准的月最低工资标准的工资；</w:t>
      </w:r>
    </w:p>
    <w:p w14:paraId="256F435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提供本单位制造的货物、承担的工程或者服务，或者提供其他残疾人福利性单位制造的货物（不包括使用非残疾人福利性单位注册商标的货物）。</w:t>
      </w:r>
    </w:p>
    <w:p w14:paraId="7212544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772198">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享受中小企业扶持政策获得政府采购合同的，小微企业不得将合同分包给大中型企业，中型企业不得将合同分包给大型企业。</w:t>
      </w:r>
    </w:p>
    <w:p w14:paraId="6B608326">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w:t>
      </w:r>
    </w:p>
    <w:p w14:paraId="55FCFAE3">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3A5F65">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A1BDB10">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6BE0A1A7">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38C6E31D">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支持乡村产业振兴管理</w:t>
      </w:r>
    </w:p>
    <w:p w14:paraId="68AEA176">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10E71633">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正版软件</w:t>
      </w:r>
    </w:p>
    <w:p w14:paraId="05916C78">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E5A5185">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6AD92A37">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供应商信用记录</w:t>
      </w:r>
    </w:p>
    <w:p w14:paraId="5102B033">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F814B21">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采购需求标准</w:t>
      </w:r>
    </w:p>
    <w:p w14:paraId="3C720DDA">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商品包装、快递包装政府采购需求标准（试行）</w:t>
      </w:r>
    </w:p>
    <w:p w14:paraId="12F683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CE04A09">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绿色数据中心政府采购需求标准（试行）</w:t>
      </w:r>
    </w:p>
    <w:p w14:paraId="3E4E5D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08244206">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其他采购需求标准</w:t>
      </w:r>
    </w:p>
    <w:p w14:paraId="45D4C8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5F11416B">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中允许联合体投标，对联合体规定如下：</w:t>
      </w:r>
    </w:p>
    <w:p w14:paraId="5033029A">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两个以上供应商可以组成一个投标联合体，以一个供应商的身份投标。  </w:t>
      </w:r>
    </w:p>
    <w:p w14:paraId="732352E1">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联合体各方均应符合《中华人民共和国政府采购法》第二十二条规定的条件，遵守国家、本项目采购人本级和上级财政部门政府采购的有关规定。</w:t>
      </w:r>
    </w:p>
    <w:p w14:paraId="4FA7D78C">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采购人根据采购项目对供应商的特殊要求，联合体中至少应当有一方符合相关规定。</w:t>
      </w:r>
    </w:p>
    <w:p w14:paraId="583F4347">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1A928491">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1219E634">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联合体中有同类资质的供应商按照联合体分工承担相同工作的，按照资质等级较低的供应商确定资质等级。</w:t>
      </w:r>
    </w:p>
    <w:p w14:paraId="54FF2CEC">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对联合体投标的其他资格要求见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11E8C48B">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单位负责人为同一人或者存在直接控股、管理关系的不同供应商，其投标将被认定为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005C87CC">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为本项目提供整体设计、规范编制或者项目管理、监理、检测等服务的供应商，其投标将被认定为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0EAB49D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资金来源 </w:t>
      </w:r>
    </w:p>
    <w:p w14:paraId="0EB2950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2D62DC4F">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项目预算金额和最高限价见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69661E88">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供应商报价超过招标文件规定的预算金额或者最高限价的，其投标将被认定为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76710096">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投标费用</w:t>
      </w:r>
    </w:p>
    <w:p w14:paraId="5F2DEC67">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供应商应自行承担所有与准备和参加投标有关的费用，无论投标的结果如何，采购人或采购代理机构在任何情况下均无承担这些费用的义务和责任。</w:t>
      </w:r>
    </w:p>
    <w:p w14:paraId="087F21F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适用法律</w:t>
      </w:r>
    </w:p>
    <w:p w14:paraId="1BCD8823">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购人、采购代理机构、供应商、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567B9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558F2169">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lang w:val="en-US" w:eastAsia="zh-CN"/>
        </w:rPr>
      </w:pPr>
      <w:bookmarkStart w:id="21" w:name="_Toc6547"/>
      <w:r>
        <w:rPr>
          <w:rFonts w:hint="eastAsia" w:ascii="仿宋" w:hAnsi="仿宋" w:eastAsia="仿宋" w:cs="仿宋"/>
          <w:b/>
          <w:bCs/>
          <w:sz w:val="24"/>
          <w:szCs w:val="24"/>
          <w:lang w:val="en-US" w:eastAsia="zh-CN"/>
        </w:rPr>
        <w:t>招标文件</w:t>
      </w:r>
      <w:bookmarkEnd w:id="21"/>
    </w:p>
    <w:p w14:paraId="598197E8">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招标文件构成</w:t>
      </w:r>
    </w:p>
    <w:p w14:paraId="49923596">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招标文件包括以下部分：</w:t>
      </w:r>
    </w:p>
    <w:p w14:paraId="4BFC8F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第一章 招标公告（投标邀请） </w:t>
      </w:r>
    </w:p>
    <w:p w14:paraId="54CB92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 投标须知前附表 </w:t>
      </w:r>
    </w:p>
    <w:p w14:paraId="1BB00D1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第三章 供应商须知</w:t>
      </w:r>
    </w:p>
    <w:p w14:paraId="04A992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政府采购合同 </w:t>
      </w:r>
    </w:p>
    <w:p w14:paraId="404CB5A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第五章 采购需求 </w:t>
      </w:r>
    </w:p>
    <w:p w14:paraId="254D3F0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第六章 评标程序、评标方法和评标标准</w:t>
      </w:r>
    </w:p>
    <w:p w14:paraId="06B1843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第七章 投标文件格式 </w:t>
      </w:r>
    </w:p>
    <w:p w14:paraId="2BC05504">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供应商应认真阅读招标文件的全部内容。供应商应按照招标文件要求提交投标文件并保证所提供的全部资料的真实性，并对招标文件做出实质性响应，否则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23E4FA6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u w:val="none"/>
          <w:lang w:val="en-US" w:eastAsia="zh-CN"/>
        </w:rPr>
        <w:t>投标须知前附表</w:t>
      </w:r>
      <w:r>
        <w:rPr>
          <w:rFonts w:hint="eastAsia" w:ascii="仿宋" w:hAnsi="仿宋" w:eastAsia="仿宋" w:cs="仿宋"/>
          <w:b w:val="0"/>
          <w:bCs w:val="0"/>
          <w:sz w:val="24"/>
          <w:szCs w:val="24"/>
          <w:lang w:val="en-US" w:eastAsia="zh-CN"/>
        </w:rPr>
        <w:t>不涉及的内容，以编排在后的最后描述为准。</w:t>
      </w:r>
    </w:p>
    <w:p w14:paraId="32D0FAF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现场考察或者答疑会及相关事项见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55DD137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采购人在踏勘现场中介绍的资料和数据等，只是为了使供应商能够利用招标人现有的资料。招标人对供应商由此而作出的推论、解释和结论概不负责。</w:t>
      </w:r>
    </w:p>
    <w:p w14:paraId="438ED02E">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供应商自行承担踏勘现场发生的责任、风险和自身费用。</w:t>
      </w:r>
    </w:p>
    <w:p w14:paraId="4F35B864">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，对样品的评审方法及评审标准见招标文件第六章《评标程序、评标方法和评标标准》。</w:t>
      </w:r>
    </w:p>
    <w:p w14:paraId="7DDDC309">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招标文件规定供应商提交样品的，样品属于投标文件的组成部分。样品的生产、运输、安装、保全等一切费用由供应商自理。</w:t>
      </w:r>
    </w:p>
    <w:p w14:paraId="4960FE1E">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1BA90C90">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对招标文件的澄清或修改</w:t>
      </w:r>
    </w:p>
    <w:p w14:paraId="7BC47B8C">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对已发出的招标文件进行必要澄清或者修改的，将在原公告发布媒体（网站）上发布更正公告（通知），因供应商未及时登陆媒体（网站）查看导致通知未及时收到通知的，采购人或采购代理机构不承担责任。</w:t>
      </w:r>
    </w:p>
    <w:p w14:paraId="5DBE1F47">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更正公告及其所发布的内容或信息（包括但不限于：招标文件的澄清或修改、现场考察或答疑会的有关事宜等）作为招标文件的组成部分，对供应商具有约束力。一经在指定媒体上发布后，更正公告将作为通知所有招标文件收受人的书面形式。</w:t>
      </w:r>
    </w:p>
    <w:p w14:paraId="2A4F1C0D">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澄清或者修改的内容为招标文件的组成部分，并对所有获取招标文件的潜在供应商具有约束力。澄清或者修改的内容可能影响投标文件编制的，将在投标截止时间至少 15 日前发布；不足 15 日的，将顺延提交投标文件的截止时间和开标时间。</w:t>
      </w:r>
    </w:p>
    <w:p w14:paraId="1508A59E">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为了保证对招标文件的澄清和修改满足法律的时限要求，任何要求对招标文件进行澄清的供应商，均应在投标截止期十五日前，以书面形式将澄清要求通知采购人或采购代理机构。</w:t>
      </w:r>
    </w:p>
    <w:p w14:paraId="4F926B0D">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如更正公告有重新发布电子招标文件的，供应商应登录电子招投标平台下载最新发布的电子招标文件制作投标文件。</w:t>
      </w:r>
    </w:p>
    <w:p w14:paraId="67DFB836">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供应商在规定的时间内未对招标文件提出疑问、质疑或要求澄清的，将视其为无异议。对招标文件中描述有歧义或前后不一致的地方，评标委员会有权进行评判，但对同一条款的评判应适用于每个供应商。</w:t>
      </w:r>
    </w:p>
    <w:p w14:paraId="73B9710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2A1BCFB1">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22" w:name="_Toc9070"/>
      <w:r>
        <w:rPr>
          <w:rFonts w:hint="eastAsia" w:ascii="仿宋" w:hAnsi="仿宋" w:eastAsia="仿宋" w:cs="仿宋"/>
          <w:b/>
          <w:bCs/>
          <w:sz w:val="24"/>
          <w:szCs w:val="24"/>
          <w:lang w:val="en-US" w:eastAsia="zh-CN"/>
        </w:rPr>
        <w:t>投标文件的编制</w:t>
      </w:r>
      <w:bookmarkEnd w:id="22"/>
    </w:p>
    <w:p w14:paraId="6BD2A8B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投标范围、投标文件中计量单位的使用及投标语言</w:t>
      </w:r>
    </w:p>
    <w:p w14:paraId="0C4E21B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供应商可对招标文件中一个或几个分包进行投标，除非在</w:t>
      </w:r>
      <w:r>
        <w:rPr>
          <w:rFonts w:hint="eastAsia" w:ascii="仿宋" w:hAnsi="仿宋" w:eastAsia="仿宋" w:cs="仿宋"/>
          <w:b w:val="0"/>
          <w:bCs w:val="0"/>
          <w:sz w:val="24"/>
          <w:szCs w:val="24"/>
          <w:u w:val="single"/>
          <w:lang w:val="en-US" w:eastAsia="zh-CN"/>
        </w:rPr>
        <w:t>投标须知前附表中另有规定</w:t>
      </w:r>
      <w:r>
        <w:rPr>
          <w:rFonts w:hint="eastAsia" w:ascii="仿宋" w:hAnsi="仿宋" w:eastAsia="仿宋" w:cs="仿宋"/>
          <w:b w:val="0"/>
          <w:bCs w:val="0"/>
          <w:sz w:val="24"/>
          <w:szCs w:val="24"/>
          <w:lang w:val="en-US" w:eastAsia="zh-CN"/>
        </w:rPr>
        <w:t xml:space="preserve">。 </w:t>
      </w:r>
    </w:p>
    <w:p w14:paraId="6E1DE8C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7F28281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无论招标文件中是否要求，供应商所投货物或服务均应符合国家强制性标准。</w:t>
      </w:r>
    </w:p>
    <w:p w14:paraId="3DA9EDC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除招标文件有特殊要求外，本项目投标所使用的计量单位，应采用中华人民共和国法定计量单位。</w:t>
      </w:r>
    </w:p>
    <w:p w14:paraId="76FB3168">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除专用术语外，投标文件及来往函电均应使用中文书写。必要时专用术语应附有中文解释。供应商提交的支持资料和已印制的文献可以用外文，但相应内容应附有中文翻译本，在解释投标文件时以中文翻译本为准。未附中文翻译本或翻译本中文内容明显与外文内容不一致的，其不利后果由供应商自行承担。 </w:t>
      </w:r>
    </w:p>
    <w:p w14:paraId="4F2E50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投标文件构成</w:t>
      </w:r>
    </w:p>
    <w:p w14:paraId="71623A15">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供应商应当按照招标文件的要求编制投标文件。投标文件应由资格证明文件、报价文件、商务和技术文件四部分构成。投标文件的部分格式要求，见第七章《投标文件格式》。</w:t>
      </w:r>
    </w:p>
    <w:p w14:paraId="1834E0C5">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第五章《采购需求》及第六章《评标程序、评标方法和评标标准》中涉及的证明文件。</w:t>
      </w:r>
    </w:p>
    <w:p w14:paraId="0714F09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供应商应当按具体要求提供证明文件。</w:t>
      </w:r>
    </w:p>
    <w:p w14:paraId="3EB7775F">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供应商认为应附的其他材料。</w:t>
      </w:r>
    </w:p>
    <w:p w14:paraId="6224D58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4B469946">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w:t>
      </w:r>
    </w:p>
    <w:p w14:paraId="569FCD4F">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所有投标均以人民币报价。</w:t>
      </w:r>
    </w:p>
    <w:p w14:paraId="66942C43">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报价应当包括完成本次招标全部采购需求所应提供的全部内容所发生的一切费用和税费，采购人将不再支付报价以外的任何费用。采购需求中有特殊规定的，从其规定。供应商的投标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4"/>
          <w:szCs w:val="24"/>
          <w:lang w:val="en-US" w:eastAsia="zh-CN"/>
        </w:rPr>
        <w:t>投标被拒绝</w:t>
      </w:r>
      <w:r>
        <w:rPr>
          <w:rFonts w:hint="eastAsia" w:ascii="仿宋" w:hAnsi="仿宋" w:eastAsia="仿宋" w:cs="仿宋"/>
          <w:b w:val="0"/>
          <w:bCs w:val="0"/>
          <w:sz w:val="24"/>
          <w:szCs w:val="24"/>
          <w:lang w:val="en-US" w:eastAsia="zh-CN"/>
        </w:rPr>
        <w:t>。</w:t>
      </w:r>
    </w:p>
    <w:p w14:paraId="479A5778">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5ED697FD">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6A5C9748">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投标保证金</w:t>
      </w:r>
    </w:p>
    <w:p w14:paraId="67B87D85">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中规定的金额及要求交纳投标保证金，并作为其投标的一部分。</w:t>
      </w:r>
    </w:p>
    <w:p w14:paraId="3BFE88D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交纳保证金的形式除</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中另有约定外，可采用的形式：政府采购法律法规接受的支票、汇票、本票、网上银行支付或者金融机构、担保机构出具的保函等非现金形式。</w:t>
      </w:r>
    </w:p>
    <w:p w14:paraId="00B7BDB9">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5625EB6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。电子保函与纸质保函具有同样效力。</w:t>
      </w:r>
    </w:p>
    <w:p w14:paraId="4474451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投标保证金（保函）有效期同投标有效期。</w:t>
      </w:r>
    </w:p>
    <w:p w14:paraId="690DF75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联合体投标的，可以由联合体中的一方或者共同提交投标保证金，以一方名义提交投标保证金的，对联合体各方均具有约束力。</w:t>
      </w:r>
    </w:p>
    <w:p w14:paraId="10C25CA5">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采购代理机构将及时退还供应商的投标保证金，采用银行保函、担保机构担保函等形式递交的投标保证金，经供应商同意后采购人、采购代理机构可以不再退还，但因供应商自身原因导致无法及时退还的除外。</w:t>
      </w:r>
    </w:p>
    <w:p w14:paraId="026D7EF9">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供应商在投标截止时间前撤回已提交的投标文件的，自收到供应商书面撤回通知之日起 5 个工作日内退还已收取的投标保证金。 </w:t>
      </w:r>
    </w:p>
    <w:p w14:paraId="5A465C19">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中标人的投标保证金，自采购合同签订之日起 5 个工作日内退还中标人。 </w:t>
      </w:r>
    </w:p>
    <w:p w14:paraId="3EBC23E4">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未中标供应商的投标保证金，自中标通知书发出之日起 5 个工作日内退还未中标人。</w:t>
      </w:r>
    </w:p>
    <w:p w14:paraId="5BAA4C5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终止采购活动的项目已经收取投标保证金的，自终止采购活动后 5 个工作日内退还已收取的投标保证金。</w:t>
      </w:r>
    </w:p>
    <w:p w14:paraId="32422D0D">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有下列情形之一的，采购人或采购代理机构可以不予退还投标保证金：</w:t>
      </w:r>
    </w:p>
    <w:p w14:paraId="1300BD03">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在投标有效期内，供应商撤回投标的； </w:t>
      </w:r>
    </w:p>
    <w:p w14:paraId="4A7BB217">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中标人不按本招标文件的规定与采购人签订合同的； </w:t>
      </w:r>
    </w:p>
    <w:p w14:paraId="264300D5">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中标人不按本招标文件的规定提交履约保证金的； </w:t>
      </w:r>
    </w:p>
    <w:p w14:paraId="2C8E48A9">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中标人不按本招标文件的规定缴纳中标服务费的； </w:t>
      </w:r>
    </w:p>
    <w:p w14:paraId="78B18978">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存在的串通投标情形的； </w:t>
      </w:r>
    </w:p>
    <w:p w14:paraId="43F25535">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存在向采购人、代理机构或评标专家行贿事实的； </w:t>
      </w:r>
    </w:p>
    <w:p w14:paraId="31028B0E">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法律、法规规定的其它情况。 </w:t>
      </w:r>
    </w:p>
    <w:p w14:paraId="7075E04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投标有效期</w:t>
      </w:r>
    </w:p>
    <w:p w14:paraId="79BA833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中规定的投标有效期内保持有效，投标有效期少于招标文件规定期限的，其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121A3CFD">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也可以拒绝延长投标有效期的要求，退还其投标保证金。上述要求和答复都应以书面形式提交。</w:t>
      </w:r>
    </w:p>
    <w:p w14:paraId="7FADDB2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投标文件的制作</w:t>
      </w:r>
    </w:p>
    <w:p w14:paraId="1A4360BE">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所有内容均以电子文件编制，如因不按电子招投标平台要求编制导致系统无法检索、读取相关信息时，其后果由供应商承担。由于本项目采用电子化投标，请充分考虑设备、网络环境、人员对系统熟悉度等因素，合理安排投标文件制作、提交时间，建议至少提前一天完成制作、提交工作。</w:t>
      </w:r>
    </w:p>
    <w:p w14:paraId="1F3D703B">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供应商应使用电子招投标平台提供的投标客户端编制、标记、加密投标文件，成功加密后将生成指定格式的电子投标文件和电子备用投标文件</w:t>
      </w:r>
    </w:p>
    <w:p w14:paraId="26FFDD74">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如有对多个采购包投标的，要对每个采购包独立制作电子投标文件。</w:t>
      </w:r>
    </w:p>
    <w:p w14:paraId="0B68B870">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供应商须对招标文件的对应要求给予唯一的实质性响应，否则将视为</w:t>
      </w:r>
      <w:r>
        <w:rPr>
          <w:rFonts w:hint="eastAsia" w:ascii="仿宋" w:hAnsi="仿宋" w:eastAsia="仿宋" w:cs="仿宋"/>
          <w:b/>
          <w:bCs/>
          <w:sz w:val="24"/>
          <w:szCs w:val="24"/>
          <w:lang w:val="en-US" w:eastAsia="zh-CN"/>
        </w:rPr>
        <w:t>不响应</w:t>
      </w:r>
      <w:r>
        <w:rPr>
          <w:rFonts w:hint="eastAsia" w:ascii="仿宋" w:hAnsi="仿宋" w:eastAsia="仿宋" w:cs="仿宋"/>
          <w:b w:val="0"/>
          <w:bCs w:val="0"/>
          <w:sz w:val="24"/>
          <w:szCs w:val="24"/>
          <w:lang w:val="en-US" w:eastAsia="zh-CN"/>
        </w:rPr>
        <w:t>。</w:t>
      </w:r>
    </w:p>
    <w:p w14:paraId="534FEE10">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招标文件中，凡标有“★”的地方均为实质性响应条款，供应商若有一项带“★”的条款未响应或不满足，将按无效投标处理。</w:t>
      </w:r>
    </w:p>
    <w:p w14:paraId="77C68CF6">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按招标文件的规定及附件要求的内容和格式完整地填写和提供资料。供应商必须对投标文件所提供的全部资料的真实性承担法律责任，并无条件接受采购人和政府采购监督管理部门对其中任何资料进行核实（核对原件）的要求。</w:t>
      </w:r>
    </w:p>
    <w:p w14:paraId="02A811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06E747DE">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23" w:name="_Toc21719"/>
      <w:r>
        <w:rPr>
          <w:rFonts w:hint="eastAsia" w:ascii="仿宋" w:hAnsi="仿宋" w:eastAsia="仿宋" w:cs="仿宋"/>
          <w:b/>
          <w:bCs/>
          <w:sz w:val="24"/>
          <w:szCs w:val="24"/>
          <w:lang w:val="en-US" w:eastAsia="zh-CN"/>
        </w:rPr>
        <w:t>投标文件的提交</w:t>
      </w:r>
      <w:bookmarkEnd w:id="23"/>
    </w:p>
    <w:p w14:paraId="0D93905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投标文件的提交</w:t>
      </w:r>
    </w:p>
    <w:p w14:paraId="085C40C0">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供应商上传投标文件，已上传投标文件但未完成传输的文件系统将拒绝接收。</w:t>
      </w:r>
    </w:p>
    <w:p w14:paraId="55FF1906">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代理机构对因不可抗力事件造成的投标文件的损坏、丢失的，不承担责任。</w:t>
      </w:r>
    </w:p>
    <w:p w14:paraId="7EB527FA">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出现下述情形之一，属于未成功提交投标文件，按无效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28B397E1">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至提交投标文件截止时，投标文件未完整上传的。 </w:t>
      </w:r>
    </w:p>
    <w:p w14:paraId="01D6D31E">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投标文件未按投标格式中注明需签字盖章的要求进行签名（含电子签名）和加盖电子印章，或签名（含电子签名）或电子印章不完整的。</w:t>
      </w:r>
    </w:p>
    <w:p w14:paraId="5333CA9F">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投标文件损坏或格式不正确的。</w:t>
      </w:r>
    </w:p>
    <w:p w14:paraId="2CF65A02">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投标文件的修改、撤回与撤销</w:t>
      </w:r>
    </w:p>
    <w:p w14:paraId="14DC71C4">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在提交投标文件截止时间前，供应商可以修改或撤回未解密的电子投标文件，并于提交投标文件截止时间前将修改后重新生成的电子投标文件上传至系统，到达投标文件提交截止时间后，将不允许修改或撤回。</w:t>
      </w:r>
    </w:p>
    <w:p w14:paraId="504E9A28">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在提交投标文件截止时间后，供应商不得补充、修改和更换投标文件。</w:t>
      </w:r>
      <w:r>
        <w:rPr>
          <w:rFonts w:hint="eastAsia" w:ascii="仿宋" w:hAnsi="仿宋" w:eastAsia="仿宋" w:cs="仿宋"/>
          <w:b/>
          <w:bCs/>
          <w:sz w:val="24"/>
          <w:szCs w:val="24"/>
          <w:lang w:val="en-US" w:eastAsia="zh-CN"/>
        </w:rPr>
        <w:t xml:space="preserve"> </w:t>
      </w:r>
    </w:p>
    <w:p w14:paraId="7100BB2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4C7F7DBB">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24" w:name="_Toc15263"/>
      <w:r>
        <w:rPr>
          <w:rFonts w:hint="eastAsia" w:ascii="仿宋" w:hAnsi="仿宋" w:eastAsia="仿宋" w:cs="仿宋"/>
          <w:b/>
          <w:bCs/>
          <w:sz w:val="24"/>
          <w:szCs w:val="24"/>
          <w:lang w:val="en-US" w:eastAsia="zh-CN"/>
        </w:rPr>
        <w:t>开标、资格审查及评标</w:t>
      </w:r>
      <w:bookmarkEnd w:id="24"/>
    </w:p>
    <w:p w14:paraId="23327C4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w:t>
      </w:r>
    </w:p>
    <w:p w14:paraId="4A02AA5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采购人和采购代理机构将按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开标时间和地点组织公开开标并邀请所有供应商代表参加。开标时，由采购人或者采购代理机构工作人员宣布供应商名称、解密情况，投标价格和招标文件规定的需要宣布的其他内容（以开标一览表要求为准），开标为远程电子开标。</w:t>
      </w:r>
    </w:p>
    <w:p w14:paraId="1ED9B57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采用远程电子开标的：</w:t>
      </w:r>
    </w:p>
    <w:p w14:paraId="108F180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6560AEF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供应商应当使用编制本项目（采购包）电子投标文件时加密所用数字证书在开始解密后按照代理机构规定的时间内完成电子投标文件的解密，如遇不可抗力等其他特殊情况，采购代理机构可视情况延长解密时间。供应商未携带数字证书或其他非系统原因导致的在规定时间内未解密投标文件，将作无效投标处理。（采用远程电子开标的，各供应商在参加开标以前须自行对使用电脑的网络环境、驱动安装、客户端安装以及数字证书的有效性等进行检测，确保可以正常使用）。</w:t>
      </w:r>
    </w:p>
    <w:p w14:paraId="2409B0C8">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724542A3">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供应商代表对开标过程和开标记录有疑义，以及认为采购人、采购代理机构相关工作人员有需要回避的情形的，应当场提出询问或者回避申请。供应商未参加开标的，视同认可开标结果。</w:t>
      </w:r>
    </w:p>
    <w:p w14:paraId="6035DF3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投标截止时间后，供应商不足3家的，不得开标。同时，本次采购活动结束。</w:t>
      </w:r>
    </w:p>
    <w:p w14:paraId="6AD42B5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开标时出现下列情况的，视为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处理：</w:t>
      </w:r>
    </w:p>
    <w:p w14:paraId="0AB2D444">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因供应商自身原因，未在规定时间内完成电子投标文件解密的；</w:t>
      </w:r>
    </w:p>
    <w:p w14:paraId="217D5DE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20CAC2F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采购人或采购代理机构将对开标过程进行记录，由参加开标的各供应商代表和相关工作人员签字确认。</w:t>
      </w:r>
    </w:p>
    <w:p w14:paraId="6F2DEECF">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w:t>
      </w:r>
    </w:p>
    <w:p w14:paraId="3D8CCD69">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或采购代理机构依据法律法规和招标文件中规定的内容，对供应商及其投标货物或服务的资格进行审查，未通过资格审查的供应商不进入评标；资格证明文件不按电子招投标平台要求编制导致系统无法检索、读取相关信息时，将被认定为未通过资格审查；通过资格审查的供应商少于三家的，不进行评标。 </w:t>
      </w:r>
    </w:p>
    <w:p w14:paraId="742B87A2">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资格审查要求详见第六章《评标程序、评标方法和评标标准》。</w:t>
      </w:r>
    </w:p>
    <w:p w14:paraId="24C92F30">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采购人或采购代理机构将按</w:t>
      </w:r>
      <w:r>
        <w:rPr>
          <w:rFonts w:hint="eastAsia" w:ascii="仿宋" w:hAnsi="仿宋" w:eastAsia="仿宋" w:cs="仿宋"/>
          <w:b w:val="0"/>
          <w:bCs w:val="0"/>
          <w:sz w:val="24"/>
          <w:szCs w:val="24"/>
          <w:u w:val="none"/>
          <w:lang w:val="en-US" w:eastAsia="zh-CN"/>
        </w:rPr>
        <w:t>第六章《评标程序、评标方法和评标标准》</w:t>
      </w:r>
      <w:r>
        <w:rPr>
          <w:rFonts w:hint="eastAsia" w:ascii="仿宋" w:hAnsi="仿宋" w:eastAsia="仿宋" w:cs="仿宋"/>
          <w:b w:val="0"/>
          <w:bCs w:val="0"/>
          <w:sz w:val="24"/>
          <w:szCs w:val="24"/>
          <w:lang w:val="en-US" w:eastAsia="zh-CN"/>
        </w:rPr>
        <w:t>中规定的时间查询供应商的信用记录。采购人或采购代理机构将查询网页打印、签字并存档备查。供应商不良信用记录以采购人或采购代理机构查询结果为准。在本招标文件规定的查询时间之外，网站信息发生的任何变更均不作为资格审查依据。</w:t>
      </w:r>
    </w:p>
    <w:p w14:paraId="09275EC6">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评标委员会</w:t>
      </w:r>
    </w:p>
    <w:p w14:paraId="3133FD5B">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评标委员会根据政府采购有关规定和本次招标采购项目的特点进行组建，并负责具体评标事务，独立履行职责。 </w:t>
      </w:r>
    </w:p>
    <w:p w14:paraId="2967D1E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733A6A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评标程序、评标方法和评标标准</w:t>
      </w:r>
    </w:p>
    <w:p w14:paraId="245336B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详见第六章《评标程序、评标方法和评标标准》</w:t>
      </w:r>
    </w:p>
    <w:p w14:paraId="011024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063475E5">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25" w:name="_Toc7787"/>
      <w:r>
        <w:rPr>
          <w:rFonts w:hint="eastAsia" w:ascii="仿宋" w:hAnsi="仿宋" w:eastAsia="仿宋" w:cs="仿宋"/>
          <w:b/>
          <w:bCs/>
          <w:sz w:val="24"/>
          <w:szCs w:val="24"/>
          <w:lang w:val="en-US" w:eastAsia="zh-CN"/>
        </w:rPr>
        <w:t>确定中标</w:t>
      </w:r>
      <w:bookmarkEnd w:id="25"/>
    </w:p>
    <w:p w14:paraId="7ABFEE6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确定中标人</w:t>
      </w:r>
    </w:p>
    <w:p w14:paraId="07F2EE9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79493F10">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中标公告与中标通知书</w:t>
      </w:r>
    </w:p>
    <w:p w14:paraId="6A72D0A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005CE13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中标通知书对采购人和中标供应商均具有法律效力。中标通知书发出后，中标供应商放弃中标项目的，应当依法承担法律责任。</w:t>
      </w:r>
    </w:p>
    <w:p w14:paraId="25D20FF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废标</w:t>
      </w:r>
    </w:p>
    <w:p w14:paraId="1D72F9E6">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在招标采购中，出现下列情形之一的，应予废标：</w:t>
      </w:r>
    </w:p>
    <w:p w14:paraId="3C5891BC">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符合专业条件的供应商或者对招标文件作实质响应的供应商不足三家的；</w:t>
      </w:r>
    </w:p>
    <w:p w14:paraId="04495714">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出现影响采购公正的违法、违规行为的；</w:t>
      </w:r>
    </w:p>
    <w:p w14:paraId="25390AD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供应商的报价均超过了采购预算，采购人不能支付的；</w:t>
      </w:r>
    </w:p>
    <w:p w14:paraId="1CF7911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因重大变故，采购任务取消的；</w:t>
      </w:r>
    </w:p>
    <w:p w14:paraId="2EE308A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法律、法规规定的其他情形。</w:t>
      </w:r>
    </w:p>
    <w:p w14:paraId="2669FA9F">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废标后，采购人将废标理由通知所有供应商。</w:t>
      </w:r>
    </w:p>
    <w:p w14:paraId="4FD4427F">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签订合同</w:t>
      </w:r>
    </w:p>
    <w:p w14:paraId="55EF7AD6">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7EF75516">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1C9CF8F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联合体中标的，联合体各方应当共同与采购人签订合同，就中标项目向采购人承担连带责任。 </w:t>
      </w:r>
    </w:p>
    <w:p w14:paraId="64252B8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。中标人就采购项目和分包项目向采购人负责，分包供应商就分包项目承担责任。</w:t>
      </w:r>
    </w:p>
    <w:p w14:paraId="5DB1BEA8">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履约保证金</w:t>
      </w:r>
    </w:p>
    <w:p w14:paraId="460D631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中标人应按照</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规定的金额、形式和时间向采购人缴纳履约保证金。</w:t>
      </w:r>
    </w:p>
    <w:p w14:paraId="61BE511B">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经采购人同意，中标人也可以自愿采用其他履约保证金的提供方式。</w:t>
      </w:r>
    </w:p>
    <w:p w14:paraId="0333CDC5">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378430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代理服务费</w:t>
      </w:r>
    </w:p>
    <w:p w14:paraId="423CA7CD">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收费对象、收费标准及缴纳时间见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 xml:space="preserve">。由中标人支付的，中标人须一次性向采购代理机构缴纳代理费，投标报价应包含代理费用。 </w:t>
      </w:r>
    </w:p>
    <w:p w14:paraId="72CC5D60">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询问与质疑</w:t>
      </w:r>
    </w:p>
    <w:p w14:paraId="3E3E24D8">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询问</w:t>
      </w:r>
    </w:p>
    <w:p w14:paraId="4726FFCF">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中“采购人、采购代理机构的名称、地址和联系方式”。</w:t>
      </w:r>
    </w:p>
    <w:p w14:paraId="405AFC9B">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w:t>
      </w:r>
    </w:p>
    <w:p w14:paraId="63A7E56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供应商认为招标文件、采购过程、中标结果使自己的权益受到损害的，可以在知道或者应知其权益受到损害之日起 7 个工作日内，由供应商派授权代表以书面形式向采购人、采购代理机构提出质疑。采购人、采购代理机构在收到质疑函后 7 个工作日内作出答复。</w:t>
      </w:r>
    </w:p>
    <w:p w14:paraId="6726C76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供应商应知其权益受到损害之日是指：</w:t>
      </w:r>
    </w:p>
    <w:p w14:paraId="43383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（1）对招标文件提出质疑的，为获取招标文件之日或者招标文件获取期限届满之日；</w:t>
      </w:r>
    </w:p>
    <w:p w14:paraId="7BFD36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（2）对采购过程提出质疑的，为各采购程序环节结束之日；</w:t>
      </w:r>
    </w:p>
    <w:p w14:paraId="59AFCA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（3）对中标结果提出质疑的，为中标结果公告期限届满之日。 </w:t>
      </w:r>
    </w:p>
    <w:p w14:paraId="434F671D">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BD8C27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质疑函须使用财政部制定的范本文件。供应商为自然人的，应当由本人签字；供应商为法人或者其他组织的，应当由法定代表人、主要负责人，或者其授权代表签字或者盖章，并加盖公章。</w:t>
      </w:r>
    </w:p>
    <w:p w14:paraId="61F25E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质疑函应当包括下列内容： </w:t>
      </w:r>
    </w:p>
    <w:p w14:paraId="5993A6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（1）供应商名称、地址、邮编、联系人及联系电话； </w:t>
      </w:r>
    </w:p>
    <w:p w14:paraId="756719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（2）质疑项目的名称、编号； </w:t>
      </w:r>
    </w:p>
    <w:p w14:paraId="3125B5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（3）具体、明确的质疑事项和与质疑事项相关的请求； </w:t>
      </w:r>
    </w:p>
    <w:p w14:paraId="22E909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（4）事实依据； </w:t>
      </w:r>
    </w:p>
    <w:p w14:paraId="1EA18C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（5）必要的法律依据； </w:t>
      </w:r>
    </w:p>
    <w:p w14:paraId="503D23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（6）提出质疑的日期。</w:t>
      </w:r>
    </w:p>
    <w:p w14:paraId="1526F88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EB5766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5B4971BA">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w:t>
      </w:r>
    </w:p>
    <w:p w14:paraId="41431688">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3A498A4">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5C380F09">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适用于本供应商须知的额外增加的变动详见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3E6B830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2C858214">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53956BD3">
      <w:pPr>
        <w:pStyle w:val="7"/>
        <w:numPr>
          <w:ilvl w:val="0"/>
          <w:numId w:val="2"/>
        </w:numPr>
        <w:bidi w:val="0"/>
        <w:jc w:val="center"/>
        <w:rPr>
          <w:rFonts w:hint="eastAsia" w:ascii="仿宋" w:hAnsi="仿宋" w:eastAsia="仿宋" w:cs="仿宋"/>
          <w:sz w:val="32"/>
          <w:szCs w:val="32"/>
          <w:highlight w:val="none"/>
          <w:lang w:val="en-US" w:eastAsia="zh-CN"/>
        </w:rPr>
      </w:pPr>
      <w:bookmarkStart w:id="26" w:name="_Toc22543"/>
      <w:r>
        <w:rPr>
          <w:rFonts w:hint="eastAsia" w:ascii="仿宋" w:hAnsi="仿宋" w:eastAsia="仿宋" w:cs="仿宋"/>
          <w:sz w:val="32"/>
          <w:szCs w:val="32"/>
          <w:highlight w:val="none"/>
          <w:lang w:val="en-US" w:eastAsia="zh-CN"/>
        </w:rPr>
        <w:t>政府采购合同</w:t>
      </w:r>
      <w:bookmarkEnd w:id="26"/>
    </w:p>
    <w:p w14:paraId="6BF6D7E1">
      <w:pPr>
        <w:spacing w:line="720" w:lineRule="exact"/>
        <w:ind w:right="105" w:rightChars="50"/>
        <w:jc w:val="left"/>
        <w:rPr>
          <w:rFonts w:hint="eastAsia" w:ascii="仿宋" w:hAnsi="仿宋" w:eastAsia="仿宋" w:cs="仿宋"/>
          <w:bCs/>
          <w:color w:val="auto"/>
          <w:sz w:val="32"/>
          <w:szCs w:val="32"/>
          <w:lang w:eastAsia="zh-CN"/>
        </w:rPr>
      </w:pPr>
      <w:r>
        <w:rPr>
          <w:rFonts w:hint="eastAsia" w:ascii="仿宋" w:hAnsi="仿宋" w:eastAsia="仿宋" w:cs="仿宋"/>
          <w:bCs/>
          <w:color w:val="000000"/>
          <w:sz w:val="32"/>
          <w:szCs w:val="32"/>
        </w:rPr>
        <w:t>合同编号：</w:t>
      </w:r>
    </w:p>
    <w:p w14:paraId="3E929283">
      <w:pPr>
        <w:spacing w:line="720" w:lineRule="exact"/>
        <w:ind w:right="105" w:rightChars="50"/>
        <w:jc w:val="center"/>
        <w:rPr>
          <w:rFonts w:hint="eastAsia" w:ascii="仿宋" w:hAnsi="仿宋" w:eastAsia="仿宋" w:cs="仿宋"/>
          <w:b/>
          <w:color w:val="000000"/>
          <w:sz w:val="44"/>
          <w:szCs w:val="44"/>
        </w:rPr>
      </w:pPr>
    </w:p>
    <w:p w14:paraId="04B25A19">
      <w:pPr>
        <w:spacing w:line="720" w:lineRule="exact"/>
        <w:ind w:right="105" w:rightChars="50"/>
        <w:jc w:val="center"/>
        <w:rPr>
          <w:rFonts w:hint="eastAsia" w:ascii="仿宋" w:hAnsi="仿宋" w:eastAsia="仿宋" w:cs="仿宋"/>
          <w:b/>
          <w:color w:val="000000"/>
          <w:sz w:val="44"/>
          <w:szCs w:val="44"/>
        </w:rPr>
      </w:pPr>
    </w:p>
    <w:p w14:paraId="5A7A0318">
      <w:pPr>
        <w:spacing w:line="720" w:lineRule="exact"/>
        <w:ind w:right="105" w:rightChars="50"/>
        <w:jc w:val="center"/>
        <w:rPr>
          <w:rFonts w:hint="eastAsia" w:ascii="仿宋" w:hAnsi="仿宋" w:eastAsia="仿宋" w:cs="仿宋"/>
          <w:b/>
          <w:color w:val="000000"/>
          <w:sz w:val="52"/>
          <w:szCs w:val="52"/>
        </w:rPr>
      </w:pPr>
      <w:r>
        <w:rPr>
          <w:rFonts w:hint="eastAsia" w:ascii="仿宋" w:hAnsi="仿宋" w:eastAsia="仿宋" w:cs="仿宋"/>
          <w:b/>
          <w:snapToGrid w:val="0"/>
          <w:color w:val="000000"/>
          <w:spacing w:val="57"/>
          <w:kern w:val="0"/>
          <w:sz w:val="52"/>
          <w:szCs w:val="52"/>
        </w:rPr>
        <w:t>技术服务合同</w:t>
      </w:r>
    </w:p>
    <w:p w14:paraId="05F4FA59">
      <w:pPr>
        <w:spacing w:line="720" w:lineRule="exact"/>
        <w:ind w:right="105" w:rightChars="50"/>
        <w:jc w:val="center"/>
        <w:rPr>
          <w:rFonts w:hint="eastAsia" w:ascii="仿宋" w:hAnsi="仿宋" w:eastAsia="仿宋" w:cs="仿宋"/>
          <w:b/>
          <w:color w:val="000000"/>
          <w:sz w:val="44"/>
          <w:szCs w:val="44"/>
        </w:rPr>
      </w:pPr>
    </w:p>
    <w:p w14:paraId="68870238">
      <w:pPr>
        <w:spacing w:line="720" w:lineRule="exact"/>
        <w:ind w:right="105" w:rightChars="50"/>
        <w:rPr>
          <w:rFonts w:hint="eastAsia" w:ascii="仿宋" w:hAnsi="仿宋" w:eastAsia="仿宋" w:cs="仿宋"/>
          <w:b/>
          <w:color w:val="000000"/>
          <w:sz w:val="44"/>
          <w:szCs w:val="44"/>
        </w:rPr>
      </w:pPr>
    </w:p>
    <w:p w14:paraId="179134BB">
      <w:pPr>
        <w:spacing w:line="720" w:lineRule="exact"/>
        <w:ind w:left="2174" w:leftChars="304" w:right="105" w:rightChars="50" w:hanging="1536" w:hangingChars="480"/>
        <w:rPr>
          <w:rFonts w:hint="eastAsia" w:ascii="仿宋" w:hAnsi="仿宋" w:eastAsia="仿宋" w:cs="仿宋"/>
          <w:bCs/>
          <w:color w:val="000000"/>
          <w:sz w:val="32"/>
          <w:szCs w:val="32"/>
        </w:rPr>
      </w:pPr>
      <w:r>
        <w:rPr>
          <w:rFonts w:hint="eastAsia" w:ascii="仿宋" w:hAnsi="仿宋" w:eastAsia="仿宋" w:cs="仿宋"/>
          <w:bCs/>
          <w:color w:val="000000"/>
          <w:sz w:val="32"/>
          <w:szCs w:val="32"/>
        </w:rPr>
        <w:t>项目名称：</w:t>
      </w:r>
    </w:p>
    <w:p w14:paraId="62CD5A4B">
      <w:pPr>
        <w:spacing w:line="720" w:lineRule="exact"/>
        <w:ind w:right="105" w:rightChars="50"/>
        <w:rPr>
          <w:rFonts w:hint="eastAsia" w:ascii="仿宋" w:hAnsi="仿宋" w:eastAsia="仿宋" w:cs="仿宋"/>
          <w:bCs/>
          <w:color w:val="000000"/>
          <w:kern w:val="0"/>
          <w:sz w:val="32"/>
          <w:szCs w:val="32"/>
          <w:u w:val="single"/>
        </w:rPr>
      </w:pPr>
    </w:p>
    <w:p w14:paraId="660AC974">
      <w:pPr>
        <w:pStyle w:val="13"/>
        <w:ind w:left="0" w:leftChars="0" w:firstLine="0" w:firstLineChars="0"/>
        <w:rPr>
          <w:rFonts w:hint="eastAsia" w:ascii="仿宋" w:hAnsi="仿宋" w:eastAsia="仿宋" w:cs="仿宋"/>
          <w:color w:val="000000"/>
        </w:rPr>
      </w:pPr>
    </w:p>
    <w:p w14:paraId="5BBD5805">
      <w:pPr>
        <w:spacing w:line="720" w:lineRule="exact"/>
        <w:ind w:right="105" w:rightChars="50" w:firstLine="640" w:firstLineChars="200"/>
        <w:rPr>
          <w:rFonts w:hint="eastAsia" w:ascii="仿宋" w:hAnsi="仿宋" w:eastAsia="仿宋" w:cs="仿宋"/>
          <w:bCs/>
          <w:color w:val="000000"/>
          <w:kern w:val="0"/>
          <w:sz w:val="32"/>
          <w:szCs w:val="32"/>
          <w:u w:val="single"/>
        </w:rPr>
      </w:pPr>
      <w:r>
        <w:rPr>
          <w:rFonts w:hint="eastAsia" w:ascii="仿宋" w:hAnsi="仿宋" w:eastAsia="仿宋" w:cs="仿宋"/>
          <w:bCs/>
          <w:color w:val="000000"/>
          <w:kern w:val="0"/>
          <w:sz w:val="32"/>
          <w:szCs w:val="32"/>
        </w:rPr>
        <w:t>委托单位（甲方）：</w:t>
      </w:r>
      <w:r>
        <w:rPr>
          <w:rFonts w:hint="eastAsia" w:ascii="仿宋" w:hAnsi="仿宋" w:eastAsia="仿宋" w:cs="仿宋"/>
          <w:bCs/>
          <w:color w:val="000000"/>
          <w:kern w:val="0"/>
          <w:sz w:val="32"/>
          <w:szCs w:val="32"/>
          <w:u w:val="single"/>
        </w:rPr>
        <w:t>新疆维吾尔自治区市场监督管理局</w:t>
      </w:r>
    </w:p>
    <w:p w14:paraId="1FD81B41">
      <w:pPr>
        <w:spacing w:line="720" w:lineRule="exact"/>
        <w:ind w:left="3838" w:leftChars="304" w:right="105" w:rightChars="50" w:hanging="3200" w:hangingChars="1000"/>
        <w:rPr>
          <w:rFonts w:hint="eastAsia" w:ascii="仿宋" w:hAnsi="仿宋" w:eastAsia="仿宋" w:cs="仿宋"/>
          <w:bCs/>
          <w:color w:val="000000"/>
          <w:kern w:val="0"/>
          <w:sz w:val="32"/>
          <w:szCs w:val="32"/>
          <w:u w:val="single"/>
          <w:lang w:val="en-US" w:eastAsia="zh-CN"/>
        </w:rPr>
      </w:pPr>
      <w:r>
        <w:rPr>
          <w:rFonts w:hint="eastAsia" w:ascii="仿宋" w:hAnsi="仿宋" w:eastAsia="仿宋" w:cs="仿宋"/>
          <w:bCs/>
          <w:color w:val="000000"/>
          <w:kern w:val="0"/>
          <w:sz w:val="32"/>
          <w:szCs w:val="32"/>
        </w:rPr>
        <w:t>服务单位（乙方）：</w:t>
      </w:r>
      <w:r>
        <w:rPr>
          <w:rFonts w:hint="eastAsia" w:ascii="仿宋" w:hAnsi="仿宋" w:eastAsia="仿宋" w:cs="仿宋"/>
          <w:bCs/>
          <w:color w:val="000000"/>
          <w:kern w:val="0"/>
          <w:sz w:val="32"/>
          <w:szCs w:val="32"/>
          <w:u w:val="single"/>
          <w:lang w:val="en-US" w:eastAsia="zh-CN"/>
        </w:rPr>
        <w:t xml:space="preserve">                               </w:t>
      </w:r>
    </w:p>
    <w:p w14:paraId="72EB3611">
      <w:pPr>
        <w:spacing w:line="720" w:lineRule="exact"/>
        <w:ind w:left="3838" w:leftChars="304" w:right="105" w:rightChars="50" w:hanging="3200" w:hangingChars="10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合同签订日期：202</w:t>
      </w:r>
      <w:r>
        <w:rPr>
          <w:rFonts w:hint="eastAsia" w:ascii="仿宋" w:hAnsi="仿宋" w:eastAsia="仿宋" w:cs="仿宋"/>
          <w:bCs/>
          <w:color w:val="000000"/>
          <w:kern w:val="0"/>
          <w:sz w:val="32"/>
          <w:szCs w:val="32"/>
          <w:lang w:val="en-US" w:eastAsia="zh-CN"/>
        </w:rPr>
        <w:t>5</w:t>
      </w:r>
      <w:r>
        <w:rPr>
          <w:rFonts w:hint="eastAsia" w:ascii="仿宋" w:hAnsi="仿宋" w:eastAsia="仿宋" w:cs="仿宋"/>
          <w:bCs/>
          <w:color w:val="000000"/>
          <w:kern w:val="0"/>
          <w:sz w:val="32"/>
          <w:szCs w:val="32"/>
        </w:rPr>
        <w:t xml:space="preserve"> 年</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u w:val="single"/>
          <w:lang w:val="en-US" w:eastAsia="zh-CN"/>
        </w:rPr>
        <w:t>7</w:t>
      </w:r>
      <w:r>
        <w:rPr>
          <w:rFonts w:hint="eastAsia" w:ascii="仿宋" w:hAnsi="仿宋" w:eastAsia="仿宋" w:cs="仿宋"/>
          <w:bCs/>
          <w:color w:val="000000"/>
          <w:kern w:val="0"/>
          <w:sz w:val="32"/>
          <w:szCs w:val="32"/>
        </w:rPr>
        <w:t>月</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rPr>
        <w:t>日</w:t>
      </w:r>
    </w:p>
    <w:p w14:paraId="42BADB81">
      <w:pPr>
        <w:spacing w:line="720" w:lineRule="exact"/>
        <w:ind w:right="105" w:rightChars="50" w:firstLine="640" w:firstLineChars="200"/>
        <w:rPr>
          <w:rFonts w:hint="eastAsia" w:ascii="仿宋" w:hAnsi="仿宋" w:eastAsia="仿宋" w:cs="仿宋"/>
          <w:bCs/>
          <w:color w:val="000000"/>
          <w:kern w:val="0"/>
          <w:sz w:val="32"/>
          <w:szCs w:val="32"/>
          <w:u w:val="single"/>
        </w:rPr>
      </w:pPr>
      <w:r>
        <w:rPr>
          <w:rFonts w:hint="eastAsia" w:ascii="仿宋" w:hAnsi="仿宋" w:eastAsia="仿宋" w:cs="仿宋"/>
          <w:bCs/>
          <w:color w:val="000000"/>
          <w:kern w:val="0"/>
          <w:sz w:val="32"/>
          <w:szCs w:val="32"/>
        </w:rPr>
        <w:t>合同签订地点：</w:t>
      </w:r>
      <w:r>
        <w:rPr>
          <w:rFonts w:hint="eastAsia" w:ascii="仿宋" w:hAnsi="仿宋" w:eastAsia="仿宋" w:cs="仿宋"/>
          <w:bCs/>
          <w:color w:val="000000"/>
          <w:kern w:val="0"/>
          <w:sz w:val="32"/>
          <w:szCs w:val="32"/>
          <w:u w:val="single"/>
        </w:rPr>
        <w:t>乌鲁木齐市</w:t>
      </w:r>
      <w:r>
        <w:rPr>
          <w:rFonts w:hint="eastAsia" w:ascii="仿宋" w:hAnsi="仿宋" w:eastAsia="仿宋" w:cs="仿宋"/>
          <w:bCs/>
          <w:color w:val="000000"/>
          <w:kern w:val="0"/>
          <w:sz w:val="32"/>
          <w:szCs w:val="32"/>
        </w:rPr>
        <w:t xml:space="preserve">      </w:t>
      </w:r>
    </w:p>
    <w:p w14:paraId="44E0D762">
      <w:pPr>
        <w:spacing w:line="720" w:lineRule="exact"/>
        <w:ind w:right="105" w:rightChars="50" w:firstLine="640" w:firstLineChars="200"/>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合同签订有效期限：202</w:t>
      </w:r>
      <w:r>
        <w:rPr>
          <w:rFonts w:hint="eastAsia" w:ascii="仿宋" w:hAnsi="仿宋" w:eastAsia="仿宋" w:cs="仿宋"/>
          <w:bCs/>
          <w:color w:val="000000"/>
          <w:kern w:val="0"/>
          <w:sz w:val="32"/>
          <w:szCs w:val="32"/>
          <w:lang w:val="en-US" w:eastAsia="zh-CN"/>
        </w:rPr>
        <w:t>5</w:t>
      </w:r>
      <w:r>
        <w:rPr>
          <w:rFonts w:hint="eastAsia" w:ascii="仿宋" w:hAnsi="仿宋" w:eastAsia="仿宋" w:cs="仿宋"/>
          <w:bCs/>
          <w:color w:val="000000"/>
          <w:kern w:val="0"/>
          <w:sz w:val="32"/>
          <w:szCs w:val="32"/>
        </w:rPr>
        <w:t>年</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rPr>
        <w:t>月</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rPr>
        <w:t>日至202</w:t>
      </w:r>
      <w:r>
        <w:rPr>
          <w:rFonts w:hint="eastAsia" w:ascii="仿宋" w:hAnsi="仿宋" w:eastAsia="仿宋" w:cs="仿宋"/>
          <w:bCs/>
          <w:color w:val="000000"/>
          <w:kern w:val="0"/>
          <w:sz w:val="32"/>
          <w:szCs w:val="32"/>
          <w:lang w:val="en-US" w:eastAsia="zh-CN"/>
        </w:rPr>
        <w:t>5</w:t>
      </w:r>
      <w:r>
        <w:rPr>
          <w:rFonts w:hint="eastAsia" w:ascii="仿宋" w:hAnsi="仿宋" w:eastAsia="仿宋" w:cs="仿宋"/>
          <w:bCs/>
          <w:color w:val="000000"/>
          <w:kern w:val="0"/>
          <w:sz w:val="32"/>
          <w:szCs w:val="32"/>
        </w:rPr>
        <w:t>年</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u w:val="single"/>
          <w:lang w:val="en-US" w:eastAsia="zh-CN"/>
        </w:rPr>
        <w:t>12</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rPr>
        <w:t>月</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u w:val="single"/>
          <w:lang w:val="en-US" w:eastAsia="zh-CN"/>
        </w:rPr>
        <w:t>31</w:t>
      </w:r>
      <w:r>
        <w:rPr>
          <w:rFonts w:hint="eastAsia" w:ascii="仿宋" w:hAnsi="仿宋" w:eastAsia="仿宋" w:cs="仿宋"/>
          <w:bCs/>
          <w:color w:val="000000"/>
          <w:kern w:val="0"/>
          <w:sz w:val="32"/>
          <w:szCs w:val="32"/>
          <w:u w:val="single"/>
        </w:rPr>
        <w:t xml:space="preserve"> </w:t>
      </w:r>
      <w:r>
        <w:rPr>
          <w:rFonts w:hint="eastAsia" w:ascii="仿宋" w:hAnsi="仿宋" w:eastAsia="仿宋" w:cs="仿宋"/>
          <w:bCs/>
          <w:color w:val="000000"/>
          <w:kern w:val="0"/>
          <w:sz w:val="32"/>
          <w:szCs w:val="32"/>
        </w:rPr>
        <w:t>日</w:t>
      </w:r>
    </w:p>
    <w:p w14:paraId="41F177B9">
      <w:pPr>
        <w:rPr>
          <w:rFonts w:hint="eastAsia" w:ascii="仿宋" w:hAnsi="仿宋" w:eastAsia="仿宋" w:cs="仿宋"/>
          <w:color w:val="000000"/>
        </w:rPr>
      </w:pPr>
    </w:p>
    <w:p w14:paraId="7DAB73FD">
      <w:pPr>
        <w:spacing w:line="720" w:lineRule="exact"/>
        <w:ind w:right="105" w:rightChars="50"/>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新疆维吾尔自治区市场监督管理局制</w:t>
      </w:r>
    </w:p>
    <w:p w14:paraId="6E1F1C87">
      <w:pPr>
        <w:spacing w:line="720" w:lineRule="exact"/>
        <w:ind w:right="105" w:rightChars="50"/>
        <w:jc w:val="center"/>
        <w:rPr>
          <w:rFonts w:hint="eastAsia" w:ascii="仿宋" w:hAnsi="仿宋" w:eastAsia="仿宋" w:cs="仿宋"/>
          <w:bCs/>
          <w:color w:val="000000"/>
          <w:kern w:val="0"/>
          <w:sz w:val="32"/>
          <w:szCs w:val="32"/>
        </w:rPr>
      </w:pPr>
    </w:p>
    <w:p w14:paraId="24B87D36">
      <w:pPr>
        <w:spacing w:line="560" w:lineRule="exact"/>
        <w:ind w:right="105" w:rightChars="50"/>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说 明</w:t>
      </w:r>
    </w:p>
    <w:p w14:paraId="017BE182">
      <w:pPr>
        <w:spacing w:line="560" w:lineRule="exact"/>
        <w:ind w:right="105" w:rightChars="50"/>
        <w:jc w:val="center"/>
        <w:rPr>
          <w:rFonts w:hint="eastAsia" w:ascii="仿宋" w:hAnsi="仿宋" w:eastAsia="仿宋" w:cs="仿宋"/>
          <w:bCs/>
          <w:color w:val="000000"/>
          <w:sz w:val="32"/>
          <w:szCs w:val="32"/>
        </w:rPr>
      </w:pPr>
    </w:p>
    <w:p w14:paraId="1DA26F47">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为了管好、用好财政资金，依据《中华人民共和国民法典》及相关法律、法规的规定，制定本合同范本，作为服务合同的统一格式。</w:t>
      </w:r>
    </w:p>
    <w:p w14:paraId="3267A010">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“合同编号”由新疆维吾尔自治区市场监督管理局填写。</w:t>
      </w:r>
    </w:p>
    <w:p w14:paraId="02AD9EFC">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本合同适用于乙方（服务单位）以提供技术服务为甲方（委托单位）解决技术服务问题所订立的合同。</w:t>
      </w:r>
    </w:p>
    <w:p w14:paraId="57B567A3">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对于合同有关条款，甲乙双方需要约定更多内容，可另行附页。</w:t>
      </w:r>
    </w:p>
    <w:p w14:paraId="0BA35C1D">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甲乙双方使用本合同书时，约定无需填写的条款，应在该条款处注明“无”等字样。</w:t>
      </w:r>
    </w:p>
    <w:p w14:paraId="46079C69">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签订《技术服务合同书》出具相关证明材料。</w:t>
      </w:r>
    </w:p>
    <w:p w14:paraId="39063173">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文本需要打印（A4），字体统一为宋体小四号字体。</w:t>
      </w:r>
    </w:p>
    <w:p w14:paraId="30C4A49E">
      <w:pPr>
        <w:numPr>
          <w:ilvl w:val="0"/>
          <w:numId w:val="10"/>
        </w:numPr>
        <w:spacing w:line="560" w:lineRule="exact"/>
        <w:ind w:right="105" w:rightChars="5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本合同书一式捌份，甲乙双方盖章生效，甲方执陆份（新疆维吾尔自治区市场监督管理局财审处备案一份），乙方执贰份。</w:t>
      </w:r>
    </w:p>
    <w:p w14:paraId="68B4AFD8">
      <w:pPr>
        <w:rPr>
          <w:rFonts w:hint="eastAsia" w:ascii="仿宋" w:hAnsi="仿宋" w:eastAsia="仿宋" w:cs="仿宋"/>
          <w:sz w:val="32"/>
          <w:szCs w:val="32"/>
          <w:highlight w:val="none"/>
          <w:lang w:val="en-US" w:eastAsia="zh-CN"/>
        </w:rPr>
      </w:pPr>
    </w:p>
    <w:p w14:paraId="6DC97D9C">
      <w:pPr>
        <w:pStyle w:val="2"/>
        <w:rPr>
          <w:rFonts w:hint="eastAsia" w:ascii="仿宋" w:hAnsi="仿宋" w:eastAsia="仿宋" w:cs="仿宋"/>
          <w:sz w:val="32"/>
          <w:szCs w:val="32"/>
          <w:highlight w:val="none"/>
          <w:lang w:val="en-US" w:eastAsia="zh-CN"/>
        </w:rPr>
      </w:pPr>
    </w:p>
    <w:p w14:paraId="7699DD1D">
      <w:pPr>
        <w:pStyle w:val="5"/>
        <w:rPr>
          <w:rFonts w:hint="eastAsia" w:ascii="仿宋" w:hAnsi="仿宋" w:eastAsia="仿宋" w:cs="仿宋"/>
          <w:sz w:val="32"/>
          <w:szCs w:val="32"/>
          <w:highlight w:val="none"/>
          <w:lang w:val="en-US" w:eastAsia="zh-CN"/>
        </w:rPr>
      </w:pPr>
    </w:p>
    <w:p w14:paraId="6445A4D4">
      <w:pPr>
        <w:pStyle w:val="6"/>
        <w:rPr>
          <w:rFonts w:hint="eastAsia" w:ascii="仿宋" w:hAnsi="仿宋" w:eastAsia="仿宋" w:cs="仿宋"/>
          <w:sz w:val="32"/>
          <w:szCs w:val="32"/>
          <w:highlight w:val="none"/>
          <w:lang w:val="en-US" w:eastAsia="zh-CN"/>
        </w:rPr>
      </w:pPr>
    </w:p>
    <w:p w14:paraId="68D48D4C">
      <w:pPr>
        <w:rPr>
          <w:rFonts w:hint="eastAsia"/>
          <w:lang w:val="en-US" w:eastAsia="zh-CN"/>
        </w:rPr>
      </w:pPr>
      <w:r>
        <w:rPr>
          <w:rFonts w:hint="eastAsia"/>
          <w:lang w:val="en-US" w:eastAsia="zh-CN"/>
        </w:rPr>
        <w:br w:type="page"/>
      </w:r>
    </w:p>
    <w:tbl>
      <w:tblPr>
        <w:tblStyle w:val="2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956"/>
        <w:gridCol w:w="3943"/>
        <w:gridCol w:w="2332"/>
      </w:tblGrid>
      <w:tr w14:paraId="1ACD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320" w:type="dxa"/>
            <w:gridSpan w:val="4"/>
            <w:noWrap w:val="0"/>
            <w:vAlign w:val="top"/>
          </w:tcPr>
          <w:p w14:paraId="035DF8EC">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仿宋" w:hAnsi="仿宋" w:eastAsia="仿宋" w:cs="仿宋"/>
                <w:b/>
                <w:color w:val="000000"/>
                <w:sz w:val="24"/>
                <w:szCs w:val="24"/>
              </w:rPr>
            </w:pPr>
            <w:r>
              <w:rPr>
                <w:rFonts w:hint="eastAsia" w:ascii="仿宋" w:hAnsi="仿宋" w:eastAsia="仿宋" w:cs="仿宋"/>
                <w:color w:val="000000"/>
              </w:rPr>
              <w:t>依据《中华人民共和国民法典</w:t>
            </w:r>
            <w:r>
              <w:rPr>
                <w:rFonts w:hint="eastAsia" w:ascii="仿宋" w:hAnsi="仿宋" w:eastAsia="仿宋" w:cs="仿宋"/>
                <w:color w:val="000000"/>
                <w:lang w:eastAsia="zh-CN"/>
              </w:rPr>
              <w:t>》《</w:t>
            </w:r>
            <w:r>
              <w:rPr>
                <w:rFonts w:hint="eastAsia" w:ascii="仿宋" w:hAnsi="仿宋" w:eastAsia="仿宋" w:cs="仿宋"/>
                <w:color w:val="000000"/>
              </w:rPr>
              <w:t>中华人民共和国政府采购法》与项目行业有关的法律法规， 合同双方就</w:t>
            </w:r>
            <w:r>
              <w:rPr>
                <w:rFonts w:hint="eastAsia" w:ascii="仿宋" w:hAnsi="仿宋" w:eastAsia="仿宋" w:cs="仿宋"/>
                <w:color w:val="000000"/>
                <w:lang w:val="en-US" w:eastAsia="zh-CN"/>
              </w:rPr>
              <w:t>新疆维吾尔自治区市场监督管理局2025年第二批重点产品监督抽查项目</w:t>
            </w:r>
            <w:r>
              <w:rPr>
                <w:rFonts w:hint="eastAsia" w:ascii="仿宋" w:hAnsi="仿宋" w:eastAsia="仿宋" w:cs="仿宋"/>
                <w:color w:val="000000"/>
              </w:rPr>
              <w:t>项目的服务事项协商一致，签订本合同。</w:t>
            </w:r>
          </w:p>
        </w:tc>
      </w:tr>
      <w:tr w14:paraId="4221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20" w:type="dxa"/>
            <w:gridSpan w:val="4"/>
            <w:noWrap w:val="0"/>
            <w:vAlign w:val="top"/>
          </w:tcPr>
          <w:p w14:paraId="43C7C259">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一、服务的目标、方式及有效期</w:t>
            </w:r>
          </w:p>
        </w:tc>
      </w:tr>
      <w:tr w14:paraId="548F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320" w:type="dxa"/>
            <w:gridSpan w:val="4"/>
            <w:noWrap w:val="0"/>
            <w:vAlign w:val="top"/>
          </w:tcPr>
          <w:p w14:paraId="26E64B66">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甲方以公开招标的方式确定乙方。乙方应依据招标包号（项目编号：</w:t>
            </w:r>
            <w:r>
              <w:rPr>
                <w:rFonts w:hint="eastAsia" w:ascii="仿宋" w:hAnsi="仿宋" w:eastAsia="仿宋" w:cs="仿宋"/>
                <w:color w:val="000000"/>
                <w:lang w:val="en-US" w:eastAsia="zh-CN"/>
              </w:rPr>
              <w:t>SJX-2025-363</w:t>
            </w:r>
            <w:r>
              <w:rPr>
                <w:rFonts w:hint="eastAsia" w:ascii="仿宋" w:hAnsi="仿宋" w:eastAsia="仿宋" w:cs="仿宋"/>
                <w:color w:val="000000"/>
              </w:rPr>
              <w:t>）的招标文件、投标文件和中标通知书的要求，完成本次抽查工作中的抽样检验及抽查结果汇总工作。</w:t>
            </w:r>
          </w:p>
          <w:p w14:paraId="3CA9BB2B">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b/>
                <w:color w:val="000000"/>
                <w:sz w:val="24"/>
                <w:szCs w:val="24"/>
              </w:rPr>
            </w:pPr>
            <w:r>
              <w:rPr>
                <w:rFonts w:hint="eastAsia" w:ascii="仿宋" w:hAnsi="仿宋" w:eastAsia="仿宋" w:cs="仿宋"/>
                <w:color w:val="000000"/>
              </w:rPr>
              <w:t>合同有效期限自本合同签订之日起至验收完毕，乙方后续工作配合完成为止。即202</w:t>
            </w:r>
            <w:r>
              <w:rPr>
                <w:rFonts w:hint="eastAsia" w:ascii="仿宋" w:hAnsi="仿宋" w:eastAsia="仿宋" w:cs="仿宋"/>
                <w:color w:val="000000"/>
                <w:lang w:val="en-US" w:eastAsia="zh-CN"/>
              </w:rPr>
              <w:t>5</w:t>
            </w:r>
            <w:r>
              <w:rPr>
                <w:rFonts w:hint="eastAsia" w:ascii="仿宋" w:hAnsi="仿宋" w:eastAsia="仿宋" w:cs="仿宋"/>
                <w:color w:val="000000"/>
              </w:rPr>
              <w:t>年</w:t>
            </w:r>
            <w:r>
              <w:rPr>
                <w:rFonts w:hint="eastAsia" w:ascii="仿宋" w:hAnsi="仿宋" w:eastAsia="仿宋" w:cs="仿宋"/>
                <w:color w:val="000000"/>
                <w:lang w:val="en-US" w:eastAsia="zh-CN"/>
              </w:rPr>
              <w:t>7</w:t>
            </w:r>
            <w:r>
              <w:rPr>
                <w:rFonts w:hint="eastAsia" w:ascii="仿宋" w:hAnsi="仿宋" w:eastAsia="仿宋" w:cs="仿宋"/>
                <w:color w:val="000000"/>
              </w:rPr>
              <w:t>月  日至202</w:t>
            </w:r>
            <w:r>
              <w:rPr>
                <w:rFonts w:hint="eastAsia" w:ascii="仿宋" w:hAnsi="仿宋" w:eastAsia="仿宋" w:cs="仿宋"/>
                <w:color w:val="000000"/>
                <w:lang w:val="en-US" w:eastAsia="zh-CN"/>
              </w:rPr>
              <w:t>5</w:t>
            </w:r>
            <w:r>
              <w:rPr>
                <w:rFonts w:hint="eastAsia" w:ascii="仿宋" w:hAnsi="仿宋" w:eastAsia="仿宋" w:cs="仿宋"/>
                <w:color w:val="000000"/>
              </w:rPr>
              <w:t>年</w:t>
            </w:r>
            <w:r>
              <w:rPr>
                <w:rFonts w:hint="eastAsia" w:ascii="仿宋" w:hAnsi="仿宋" w:eastAsia="仿宋" w:cs="仿宋"/>
                <w:color w:val="000000"/>
                <w:lang w:val="en-US" w:eastAsia="zh-CN"/>
              </w:rPr>
              <w:t>12</w:t>
            </w:r>
            <w:r>
              <w:rPr>
                <w:rFonts w:hint="eastAsia" w:ascii="仿宋" w:hAnsi="仿宋" w:eastAsia="仿宋" w:cs="仿宋"/>
                <w:color w:val="000000"/>
              </w:rPr>
              <w:t>月 3</w:t>
            </w:r>
            <w:r>
              <w:rPr>
                <w:rFonts w:hint="eastAsia" w:ascii="仿宋" w:hAnsi="仿宋" w:eastAsia="仿宋" w:cs="仿宋"/>
                <w:color w:val="000000"/>
                <w:lang w:val="en-US" w:eastAsia="zh-CN"/>
              </w:rPr>
              <w:t>1</w:t>
            </w:r>
            <w:r>
              <w:rPr>
                <w:rFonts w:hint="eastAsia" w:ascii="仿宋" w:hAnsi="仿宋" w:eastAsia="仿宋" w:cs="仿宋"/>
                <w:color w:val="000000"/>
              </w:rPr>
              <w:t xml:space="preserve"> 日。</w:t>
            </w:r>
          </w:p>
        </w:tc>
      </w:tr>
      <w:tr w14:paraId="7476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6A5F7129">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二、服务的主要内容</w:t>
            </w:r>
          </w:p>
        </w:tc>
      </w:tr>
      <w:tr w14:paraId="6767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320" w:type="dxa"/>
            <w:gridSpan w:val="4"/>
            <w:noWrap w:val="0"/>
            <w:vAlign w:val="top"/>
          </w:tcPr>
          <w:p w14:paraId="5010573A">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（一）乙方应依据《中华人民共和国产品质量法</w:t>
            </w:r>
            <w:r>
              <w:rPr>
                <w:rFonts w:hint="eastAsia" w:ascii="仿宋" w:hAnsi="仿宋" w:eastAsia="仿宋" w:cs="仿宋"/>
                <w:color w:val="000000"/>
                <w:lang w:eastAsia="zh-CN"/>
              </w:rPr>
              <w:t>》《</w:t>
            </w:r>
            <w:r>
              <w:rPr>
                <w:rFonts w:hint="eastAsia" w:ascii="仿宋" w:hAnsi="仿宋" w:eastAsia="仿宋" w:cs="仿宋"/>
                <w:color w:val="000000"/>
              </w:rPr>
              <w:t>产品质量监督抽查管理暂行办法</w:t>
            </w:r>
            <w:r>
              <w:rPr>
                <w:rFonts w:hint="eastAsia" w:ascii="仿宋" w:hAnsi="仿宋" w:eastAsia="仿宋" w:cs="仿宋"/>
                <w:color w:val="000000"/>
                <w:lang w:eastAsia="zh-CN"/>
              </w:rPr>
              <w:t>》</w:t>
            </w:r>
            <w:r>
              <w:rPr>
                <w:rFonts w:hint="eastAsia" w:ascii="仿宋" w:hAnsi="仿宋" w:eastAsia="仿宋" w:cs="仿宋"/>
                <w:color w:val="auto"/>
                <w:lang w:eastAsia="zh-CN"/>
              </w:rPr>
              <w:t>《</w:t>
            </w:r>
            <w:r>
              <w:rPr>
                <w:rFonts w:hint="eastAsia" w:ascii="仿宋" w:hAnsi="仿宋" w:eastAsia="仿宋" w:cs="仿宋"/>
                <w:color w:val="auto"/>
                <w:lang w:val="en-US" w:eastAsia="zh-CN"/>
              </w:rPr>
              <w:t>新疆维吾尔自治区市场监督管理局关于开展2025年化肥、车用柴油等产品质量监督抽查工作的通知</w:t>
            </w:r>
            <w:r>
              <w:rPr>
                <w:rFonts w:hint="eastAsia" w:ascii="仿宋" w:hAnsi="仿宋" w:eastAsia="仿宋" w:cs="仿宋"/>
                <w:color w:val="auto"/>
              </w:rPr>
              <w:t>》</w:t>
            </w:r>
            <w:r>
              <w:rPr>
                <w:rFonts w:hint="eastAsia" w:ascii="仿宋" w:hAnsi="仿宋" w:eastAsia="仿宋" w:cs="仿宋"/>
                <w:color w:val="000000"/>
              </w:rPr>
              <w:t>和《</w:t>
            </w:r>
            <w:r>
              <w:rPr>
                <w:rFonts w:hint="eastAsia" w:ascii="仿宋" w:hAnsi="仿宋" w:eastAsia="仿宋" w:cs="仿宋"/>
                <w:color w:val="000000"/>
                <w:lang w:val="en-US" w:eastAsia="zh-CN"/>
              </w:rPr>
              <w:t>2025年新疆维吾尔自治区化肥产品质量监督抽查方案</w:t>
            </w:r>
            <w:r>
              <w:rPr>
                <w:rFonts w:hint="eastAsia" w:ascii="仿宋" w:hAnsi="仿宋" w:eastAsia="仿宋" w:cs="仿宋"/>
                <w:color w:val="000000"/>
                <w:lang w:eastAsia="zh-CN"/>
              </w:rPr>
              <w:t>》</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w:t>
            </w:r>
            <w:r>
              <w:rPr>
                <w:rFonts w:hint="eastAsia" w:ascii="仿宋" w:hAnsi="仿宋" w:eastAsia="仿宋" w:cs="仿宋"/>
                <w:color w:val="000000"/>
                <w:lang w:val="en-US" w:eastAsia="zh-CN"/>
              </w:rPr>
              <w:t>车用汽油产品质量监督抽查方案》《2025年新疆维吾尔自治区车用柴油产品质量监督抽查技术方案》</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2025年新疆维吾尔自治区滴灌带</w:t>
            </w:r>
            <w:r>
              <w:rPr>
                <w:rFonts w:hint="eastAsia" w:ascii="仿宋" w:hAnsi="仿宋" w:eastAsia="仿宋" w:cs="仿宋"/>
                <w:color w:val="000000"/>
                <w:lang w:val="en-US" w:eastAsia="zh-CN"/>
              </w:rPr>
              <w:t>产品质量监督抽查方案</w:t>
            </w:r>
            <w:r>
              <w:rPr>
                <w:rFonts w:hint="eastAsia" w:ascii="仿宋" w:hAnsi="仿宋" w:eastAsia="仿宋" w:cs="仿宋"/>
                <w:color w:val="000000"/>
                <w:szCs w:val="22"/>
                <w:lang w:val="en-US" w:eastAsia="zh-CN"/>
              </w:rPr>
              <w:t>》等抽查方案</w:t>
            </w:r>
            <w:r>
              <w:rPr>
                <w:rFonts w:hint="eastAsia" w:ascii="仿宋" w:hAnsi="仿宋" w:eastAsia="仿宋" w:cs="仿宋"/>
                <w:color w:val="000000"/>
              </w:rPr>
              <w:t>的有关要求开展如下工作：</w:t>
            </w:r>
          </w:p>
          <w:p w14:paraId="7DB193CA">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1.依据所执行的相关标准、相关法律及国家有关规定对产品开展监督抽查检验工作，抽取包内相关产品的检测样品并支付样品购买费用。</w:t>
            </w:r>
          </w:p>
          <w:p w14:paraId="0AF9D666">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2.按照国家规定的标准、方法和程序进行样品质量检测，并出具客观、公正的检测结果和检测报告。</w:t>
            </w:r>
          </w:p>
          <w:p w14:paraId="32C3725F">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3.乙方应于20</w:t>
            </w:r>
            <w:r>
              <w:rPr>
                <w:rFonts w:hint="eastAsia" w:ascii="仿宋" w:hAnsi="仿宋" w:eastAsia="仿宋" w:cs="仿宋"/>
                <w:color w:val="000000"/>
                <w:lang w:val="en-US" w:eastAsia="zh-CN"/>
              </w:rPr>
              <w:t>25</w:t>
            </w:r>
            <w:r>
              <w:rPr>
                <w:rFonts w:hint="eastAsia" w:ascii="仿宋" w:hAnsi="仿宋" w:eastAsia="仿宋" w:cs="仿宋"/>
                <w:color w:val="000000"/>
              </w:rPr>
              <w:t>年</w:t>
            </w:r>
            <w:r>
              <w:rPr>
                <w:rFonts w:hint="eastAsia" w:ascii="仿宋" w:hAnsi="仿宋" w:eastAsia="仿宋" w:cs="仿宋"/>
                <w:color w:val="000000"/>
                <w:lang w:val="en-US" w:eastAsia="zh-CN"/>
              </w:rPr>
              <w:t>12</w:t>
            </w:r>
            <w:r>
              <w:rPr>
                <w:rFonts w:hint="eastAsia" w:ascii="仿宋" w:hAnsi="仿宋" w:eastAsia="仿宋" w:cs="仿宋"/>
                <w:color w:val="000000"/>
              </w:rPr>
              <w:t>月30日前报送产品质量监督抽查检验结果和质量抽检分析报告至甲方</w:t>
            </w:r>
            <w:r>
              <w:rPr>
                <w:rFonts w:hint="eastAsia" w:ascii="仿宋" w:hAnsi="仿宋" w:eastAsia="仿宋" w:cs="仿宋"/>
                <w:color w:val="000000"/>
                <w:lang w:val="en-US" w:eastAsia="zh-CN"/>
              </w:rPr>
              <w:t>,农资产品等季节性产品,可视任务完成情况适当推迟完成期限</w:t>
            </w:r>
            <w:r>
              <w:rPr>
                <w:rFonts w:hint="eastAsia" w:ascii="仿宋" w:hAnsi="仿宋" w:eastAsia="仿宋" w:cs="仿宋"/>
                <w:color w:val="000000"/>
              </w:rPr>
              <w:t>。</w:t>
            </w:r>
          </w:p>
          <w:p w14:paraId="742603D1">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4.协助甲方完成异议处理工作。</w:t>
            </w:r>
          </w:p>
          <w:p w14:paraId="42FF348E">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5.按甲方要求做好样品复检工作。</w:t>
            </w:r>
          </w:p>
          <w:p w14:paraId="5B2F0437">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6.在</w:t>
            </w:r>
            <w:r>
              <w:rPr>
                <w:rFonts w:hint="eastAsia" w:ascii="仿宋" w:hAnsi="仿宋" w:eastAsia="仿宋" w:cs="仿宋"/>
                <w:color w:val="auto"/>
                <w:lang w:eastAsia="zh-CN"/>
              </w:rPr>
              <w:t>《</w:t>
            </w:r>
            <w:r>
              <w:rPr>
                <w:rFonts w:hint="eastAsia" w:ascii="仿宋" w:hAnsi="仿宋" w:eastAsia="仿宋" w:cs="仿宋"/>
                <w:color w:val="auto"/>
                <w:lang w:val="en-US" w:eastAsia="zh-CN"/>
              </w:rPr>
              <w:t>新疆维吾尔自治区市场监督管理局关于开展2025年化肥、车用柴油等产品质量监督抽查工作的通知</w:t>
            </w:r>
            <w:r>
              <w:rPr>
                <w:rFonts w:hint="eastAsia" w:ascii="仿宋" w:hAnsi="仿宋" w:eastAsia="仿宋" w:cs="仿宋"/>
                <w:color w:val="auto"/>
                <w:lang w:eastAsia="zh-CN"/>
              </w:rPr>
              <w:t>》</w:t>
            </w:r>
            <w:r>
              <w:rPr>
                <w:rFonts w:hint="eastAsia" w:ascii="仿宋" w:hAnsi="仿宋" w:eastAsia="仿宋" w:cs="仿宋"/>
                <w:color w:val="000000"/>
              </w:rPr>
              <w:t>中约定的区域开展抽检工作。</w:t>
            </w:r>
          </w:p>
          <w:p w14:paraId="6104FB79">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7.</w:t>
            </w:r>
            <w:r>
              <w:rPr>
                <w:rFonts w:hint="eastAsia" w:ascii="仿宋" w:hAnsi="仿宋" w:eastAsia="仿宋" w:cs="仿宋"/>
                <w:color w:val="000000"/>
                <w:lang w:eastAsia="zh-CN"/>
              </w:rPr>
              <w:t>配合甲方做好企业产品质量安全技术帮扶和推广工作，对产品质量技术问题进行专业解答。</w:t>
            </w:r>
          </w:p>
          <w:p w14:paraId="239B18C0">
            <w:pPr>
              <w:keepNext w:val="0"/>
              <w:keepLines w:val="0"/>
              <w:pageBreakBefore w:val="0"/>
              <w:widowControl w:val="0"/>
              <w:kinsoku/>
              <w:wordWrap/>
              <w:overflowPunct/>
              <w:topLinePunct w:val="0"/>
              <w:autoSpaceDE/>
              <w:autoSpaceDN/>
              <w:bidi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（二）乙方在抽检工作应做到：</w:t>
            </w:r>
          </w:p>
          <w:p w14:paraId="05BE8CD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1.严格按照《</w:t>
            </w:r>
            <w:r>
              <w:rPr>
                <w:rFonts w:hint="eastAsia" w:ascii="仿宋" w:hAnsi="仿宋" w:eastAsia="仿宋" w:cs="仿宋"/>
                <w:color w:val="000000"/>
                <w:lang w:val="en-US" w:eastAsia="zh-CN"/>
              </w:rPr>
              <w:t>2025年新疆维吾尔自治区化肥产品质量监督抽查方案</w:t>
            </w:r>
            <w:r>
              <w:rPr>
                <w:rFonts w:hint="eastAsia" w:ascii="仿宋" w:hAnsi="仿宋" w:eastAsia="仿宋" w:cs="仿宋"/>
                <w:color w:val="000000"/>
                <w:lang w:eastAsia="zh-CN"/>
              </w:rPr>
              <w:t>》</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w:t>
            </w:r>
            <w:r>
              <w:rPr>
                <w:rFonts w:hint="eastAsia" w:ascii="仿宋" w:hAnsi="仿宋" w:eastAsia="仿宋" w:cs="仿宋"/>
                <w:color w:val="000000"/>
                <w:lang w:val="en-US" w:eastAsia="zh-CN"/>
              </w:rPr>
              <w:t>车用汽油产品质量监督抽查方案》《2025年新疆维吾尔自治区车用柴油产品质量监督抽查技术方案》</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2025年新疆维吾尔自治区滴灌带</w:t>
            </w:r>
            <w:r>
              <w:rPr>
                <w:rFonts w:hint="eastAsia" w:ascii="仿宋" w:hAnsi="仿宋" w:eastAsia="仿宋" w:cs="仿宋"/>
                <w:color w:val="000000"/>
                <w:lang w:val="en-US" w:eastAsia="zh-CN"/>
              </w:rPr>
              <w:t>产品质量监督抽查方案</w:t>
            </w:r>
            <w:r>
              <w:rPr>
                <w:rFonts w:hint="eastAsia" w:ascii="仿宋" w:hAnsi="仿宋" w:eastAsia="仿宋" w:cs="仿宋"/>
                <w:color w:val="000000"/>
                <w:szCs w:val="22"/>
                <w:lang w:val="en-US" w:eastAsia="zh-CN"/>
              </w:rPr>
              <w:t>》等抽查方案、</w:t>
            </w:r>
            <w:r>
              <w:rPr>
                <w:rFonts w:hint="eastAsia" w:ascii="仿宋" w:hAnsi="仿宋" w:eastAsia="仿宋" w:cs="仿宋"/>
                <w:color w:val="000000"/>
              </w:rPr>
              <w:t>监督抽查实施细则和招标文件要求，完成抽样工作。</w:t>
            </w:r>
          </w:p>
          <w:p w14:paraId="5DEF86E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2.按照《产品质量监督抽查管理暂行办法》要求，合理抽取、封存样品，妥善保存样品及抽样单等文书，定期报送抽样进度。</w:t>
            </w:r>
          </w:p>
          <w:p w14:paraId="4288986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3.在规定期限内且不影响检验进度的前提下，若所抽样产品不在抽查范围内或者因包装邮寄过失等造成样品失效，无法完成检验的，要及时与被抽查企业沟通，完成退样和补抽工作。</w:t>
            </w:r>
          </w:p>
          <w:p w14:paraId="4A11FAA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bCs/>
                <w:color w:val="000000"/>
                <w:sz w:val="24"/>
                <w:szCs w:val="24"/>
              </w:rPr>
            </w:pPr>
            <w:r>
              <w:rPr>
                <w:rFonts w:hint="eastAsia" w:ascii="仿宋" w:hAnsi="仿宋" w:eastAsia="仿宋" w:cs="仿宋"/>
                <w:color w:val="000000"/>
              </w:rPr>
              <w:t>4.样品在购买、运输、检验过程中均需留存真实有效的影像、图片证据备查。</w:t>
            </w:r>
          </w:p>
        </w:tc>
      </w:tr>
      <w:tr w14:paraId="4AC5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2335184B">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三、甲乙双方的权利义务</w:t>
            </w:r>
          </w:p>
        </w:tc>
      </w:tr>
      <w:tr w14:paraId="5F1E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9320" w:type="dxa"/>
            <w:gridSpan w:val="4"/>
            <w:noWrap w:val="0"/>
            <w:vAlign w:val="top"/>
          </w:tcPr>
          <w:p w14:paraId="79C80BBA">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（一）甲方为乙方提供文件依据及要求：</w:t>
            </w:r>
          </w:p>
          <w:p w14:paraId="709665A0">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1.甲方应依照本合同向乙方提</w:t>
            </w:r>
            <w:r>
              <w:rPr>
                <w:rFonts w:hint="eastAsia" w:ascii="仿宋" w:hAnsi="仿宋" w:eastAsia="仿宋" w:cs="仿宋"/>
                <w:color w:val="000000"/>
                <w:lang w:eastAsia="zh-CN"/>
              </w:rPr>
              <w:t>供</w:t>
            </w:r>
            <w:r>
              <w:rPr>
                <w:rFonts w:hint="eastAsia" w:ascii="仿宋" w:hAnsi="仿宋" w:eastAsia="仿宋" w:cs="仿宋"/>
                <w:color w:val="000000"/>
              </w:rPr>
              <w:t>《</w:t>
            </w:r>
            <w:r>
              <w:rPr>
                <w:rFonts w:hint="eastAsia" w:ascii="仿宋" w:hAnsi="仿宋" w:eastAsia="仿宋" w:cs="仿宋"/>
                <w:color w:val="000000"/>
                <w:lang w:val="en-US" w:eastAsia="zh-CN"/>
              </w:rPr>
              <w:t>2025年新疆维吾尔自治区化肥产品质量监督抽查方案</w:t>
            </w:r>
            <w:r>
              <w:rPr>
                <w:rFonts w:hint="eastAsia" w:ascii="仿宋" w:hAnsi="仿宋" w:eastAsia="仿宋" w:cs="仿宋"/>
                <w:color w:val="000000"/>
                <w:lang w:eastAsia="zh-CN"/>
              </w:rPr>
              <w:t>》</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w:t>
            </w:r>
            <w:r>
              <w:rPr>
                <w:rFonts w:hint="eastAsia" w:ascii="仿宋" w:hAnsi="仿宋" w:eastAsia="仿宋" w:cs="仿宋"/>
                <w:color w:val="000000"/>
                <w:lang w:val="en-US" w:eastAsia="zh-CN"/>
              </w:rPr>
              <w:t>车用汽油产品质量监督抽查方案》《2025年新疆维吾尔自治区车用柴油产品质量监督抽查技术方案》</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2025年新疆维吾尔自治区滴灌带</w:t>
            </w:r>
            <w:r>
              <w:rPr>
                <w:rFonts w:hint="eastAsia" w:ascii="仿宋" w:hAnsi="仿宋" w:eastAsia="仿宋" w:cs="仿宋"/>
                <w:color w:val="000000"/>
                <w:lang w:val="en-US" w:eastAsia="zh-CN"/>
              </w:rPr>
              <w:t>产品质量监督抽查方案</w:t>
            </w:r>
            <w:r>
              <w:rPr>
                <w:rFonts w:hint="eastAsia" w:ascii="仿宋" w:hAnsi="仿宋" w:eastAsia="仿宋" w:cs="仿宋"/>
                <w:color w:val="000000"/>
                <w:szCs w:val="22"/>
                <w:lang w:val="en-US" w:eastAsia="zh-CN"/>
              </w:rPr>
              <w:t>》等抽查方案</w:t>
            </w:r>
            <w:r>
              <w:rPr>
                <w:rFonts w:hint="eastAsia" w:ascii="仿宋" w:hAnsi="仿宋" w:eastAsia="仿宋" w:cs="仿宋"/>
                <w:color w:val="000000"/>
              </w:rPr>
              <w:t>。</w:t>
            </w:r>
          </w:p>
          <w:p w14:paraId="00C72696">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甲方有权根据客观事实及工作实际要求对本合同进行调整和变更，调整和变更情况应当及时告知乙方，乙方如有不同意见应及时书面反馈，最终变更结果以双方商定结果为准。对本合同的调整和变更应当以补充协议的形式另行签订，作为本合同的附件，与本合同具有同等法律效力。</w:t>
            </w:r>
          </w:p>
          <w:p w14:paraId="51C48C67">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3.甲方有权对合同规定范围内乙方的服务行为进行监督和检查，拥有监管权。有权定期核对乙方提供服务所配备的人员数量。对甲方认为不合理的部分有权下达整改通知书，并要求乙方限期整改。</w:t>
            </w:r>
          </w:p>
          <w:p w14:paraId="100CCBBC">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4.甲方应当按照合同约定向乙方支付服务费用。</w:t>
            </w:r>
          </w:p>
          <w:p w14:paraId="683914ED">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5.本项目为甲方向乙方购买检测服务，最终服务成果的知识产权归属甲方享有。</w:t>
            </w:r>
          </w:p>
          <w:p w14:paraId="6B8A3DE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eastAsia="zh-CN"/>
              </w:rPr>
              <w:t>（二）</w:t>
            </w:r>
            <w:r>
              <w:rPr>
                <w:rFonts w:hint="eastAsia" w:ascii="仿宋" w:hAnsi="仿宋" w:eastAsia="仿宋" w:cs="仿宋"/>
                <w:color w:val="000000"/>
              </w:rPr>
              <w:t>乙方承担项目任务的人员和设施条件及应尽责任：</w:t>
            </w:r>
          </w:p>
          <w:p w14:paraId="39B5899A">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1.乙方保证自身具备以下条件，有能力有资质为甲方提供本合同约定的服务内容：</w:t>
            </w:r>
          </w:p>
          <w:p w14:paraId="66C1D962">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①乙方具备完成合同内容的国家认证认可监督管理委员会或省级质量技术监督局颁发的在有效期内（有效期能够覆盖本次任务的完成）的检验检测机构计量认证证书（CMA），该证书附表中具有能够全部覆盖本合同所承担自治区产品质量监督抽查承检机构服务项目的检验能力认证。</w:t>
            </w:r>
          </w:p>
          <w:p w14:paraId="5D4905D3">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②具有完成合同内容必备的仪器设备、人员（须经培训合格）和检测能力。</w:t>
            </w:r>
          </w:p>
          <w:p w14:paraId="027AACD5">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③具有完成合同内容所需的组织管理机制和协调能力。</w:t>
            </w:r>
          </w:p>
          <w:p w14:paraId="17D78A68">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④法律法规规定的完成抽样检验应具备的其他能力。</w:t>
            </w:r>
          </w:p>
          <w:p w14:paraId="494B791E">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2.乙方不得借承担自治区产品质量监督抽查工作之机拉客户、事先通知被抽查企业，直接或间接参与企业接待等。</w:t>
            </w:r>
          </w:p>
          <w:p w14:paraId="6C5155CA">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lang w:eastAsia="zh-CN"/>
              </w:rPr>
            </w:pPr>
            <w:r>
              <w:rPr>
                <w:rFonts w:hint="eastAsia" w:ascii="仿宋" w:hAnsi="仿宋" w:eastAsia="仿宋" w:cs="仿宋"/>
                <w:color w:val="000000"/>
              </w:rPr>
              <w:t>3.乙方应当为其检验的样品负责，检验结果应反映对样品的真实评价；保证所承担的产品质量监督抽查工作的</w:t>
            </w:r>
            <w:r>
              <w:rPr>
                <w:rFonts w:hint="eastAsia" w:ascii="仿宋" w:hAnsi="仿宋" w:eastAsia="仿宋" w:cs="仿宋"/>
                <w:color w:val="000000"/>
                <w:lang w:eastAsia="zh-CN"/>
              </w:rPr>
              <w:t>合法、</w:t>
            </w:r>
            <w:r>
              <w:rPr>
                <w:rFonts w:hint="eastAsia" w:ascii="仿宋" w:hAnsi="仿宋" w:eastAsia="仿宋" w:cs="仿宋"/>
                <w:color w:val="000000"/>
              </w:rPr>
              <w:t>科学、公正、准确；抽样结束后，按照合同约定将检测结果和包内相关产品质量抽检分析报告报送至甲方，具体包括：检验报告、检验报告汇总表、不合格商品及被抽检人名单、合格商品及被抽检人名单并加盖单位公章；商品质量抽检分析报告（内容应包括：基本情况、所检项目概念及理由、不合格项目及原因分析、措施和建议、消费警示等）。乙方应对检验过程及样品信息的准确性负责，不得隐瞒、损毁和伪造检验结果。如项目验收后，发现任何错误和遗漏，乙方应无条件配合甲方完成整改工作。</w:t>
            </w:r>
            <w:r>
              <w:rPr>
                <w:rFonts w:hint="eastAsia" w:ascii="仿宋" w:hAnsi="仿宋" w:eastAsia="仿宋" w:cs="仿宋"/>
                <w:color w:val="000000"/>
                <w:lang w:eastAsia="zh-CN"/>
              </w:rPr>
              <w:t>乙方应配合甲方做好技术帮扶、行业科普等工作，</w:t>
            </w:r>
          </w:p>
          <w:p w14:paraId="7E8FCCBF">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4.乙方应当严格按照本合同约定的内容提供相应服务工作，不得超范围开展产品质量监督抽查相关业务，因乙方违约行为给被抽查企业损失的，由乙方承担责任。</w:t>
            </w:r>
          </w:p>
          <w:p w14:paraId="03B4BA42">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5</w:t>
            </w:r>
            <w:r>
              <w:rPr>
                <w:rFonts w:hint="eastAsia" w:ascii="仿宋" w:hAnsi="仿宋" w:eastAsia="仿宋" w:cs="仿宋"/>
                <w:color w:val="000000"/>
              </w:rPr>
              <w:t>.乙方在履行本合同期间不得与被抽查企业签订同类产品的有偿服务协议或者接受被抽查企业同种产品的委托检验。</w:t>
            </w:r>
          </w:p>
          <w:p w14:paraId="7DD4BAEF">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6</w:t>
            </w:r>
            <w:r>
              <w:rPr>
                <w:rFonts w:hint="eastAsia" w:ascii="仿宋" w:hAnsi="仿宋" w:eastAsia="仿宋" w:cs="仿宋"/>
                <w:color w:val="000000"/>
              </w:rPr>
              <w:t>.乙方应当对本次抽查信息严格保密，禁止以任何名义和形式事先泄露或通知被抽查企业，不得向企业颁发监督抽查合格证书。检测信息未经甲方同意，乙方单位或个人不得对外公布或透露给任何第三人，检测结果及有关数据不得用作商业用途。</w:t>
            </w:r>
          </w:p>
          <w:p w14:paraId="61074A06">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7</w:t>
            </w:r>
            <w:r>
              <w:rPr>
                <w:rFonts w:hint="eastAsia" w:ascii="仿宋" w:hAnsi="仿宋" w:eastAsia="仿宋" w:cs="仿宋"/>
                <w:color w:val="000000"/>
              </w:rPr>
              <w:t>.乙方应当在本合同约定期限内，保质保量完成约定承检任务。</w:t>
            </w:r>
          </w:p>
          <w:p w14:paraId="3DAA5292">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8</w:t>
            </w:r>
            <w:r>
              <w:rPr>
                <w:rFonts w:hint="eastAsia" w:ascii="仿宋" w:hAnsi="仿宋" w:eastAsia="仿宋" w:cs="仿宋"/>
                <w:color w:val="000000"/>
              </w:rPr>
              <w:t>.除甲方书面同意外，乙方不能擅自将本合同全部或部分工作委托给第三方。乙方不得以任何形式分包本协议约定的所有检验项目，不得租赁或者借用他人检测设备。</w:t>
            </w:r>
          </w:p>
          <w:p w14:paraId="501F3253">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9</w:t>
            </w:r>
            <w:r>
              <w:rPr>
                <w:rFonts w:hint="eastAsia" w:ascii="仿宋" w:hAnsi="仿宋" w:eastAsia="仿宋" w:cs="仿宋"/>
                <w:color w:val="000000"/>
              </w:rPr>
              <w:t>.即使甲方同意乙方将本合同的部分工作委托转让给第三方，乙方仍受本合同的义务约束。</w:t>
            </w:r>
          </w:p>
          <w:p w14:paraId="042FCE71">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bCs/>
                <w:color w:val="000000"/>
                <w:sz w:val="24"/>
                <w:szCs w:val="24"/>
              </w:rPr>
            </w:pPr>
            <w:r>
              <w:rPr>
                <w:rFonts w:hint="eastAsia" w:ascii="仿宋" w:hAnsi="仿宋" w:eastAsia="仿宋" w:cs="仿宋"/>
                <w:color w:val="000000"/>
              </w:rPr>
              <w:t>1</w:t>
            </w:r>
            <w:r>
              <w:rPr>
                <w:rFonts w:hint="eastAsia" w:ascii="仿宋" w:hAnsi="仿宋" w:eastAsia="仿宋" w:cs="仿宋"/>
                <w:color w:val="000000"/>
                <w:lang w:val="en-US" w:eastAsia="zh-CN"/>
              </w:rPr>
              <w:t>0</w:t>
            </w:r>
            <w:r>
              <w:rPr>
                <w:rFonts w:hint="eastAsia" w:ascii="仿宋" w:hAnsi="仿宋" w:eastAsia="仿宋" w:cs="仿宋"/>
                <w:color w:val="000000"/>
              </w:rPr>
              <w:t>.乙方收到异议后，及时回复受检单位异议并通报甲方，对要求备样复检的受检单位，要求其向甲方提交书面复检申请，并准备好备份样品供复检需要。复检结果与初检结果不一致时，乙方承担复检费用。</w:t>
            </w:r>
          </w:p>
        </w:tc>
      </w:tr>
      <w:tr w14:paraId="6C7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71CC04E3">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四、分阶段目标及简要方案</w:t>
            </w:r>
          </w:p>
        </w:tc>
      </w:tr>
      <w:tr w14:paraId="34A4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9320" w:type="dxa"/>
            <w:gridSpan w:val="4"/>
            <w:noWrap w:val="0"/>
            <w:vAlign w:val="top"/>
          </w:tcPr>
          <w:p w14:paraId="42BFF4B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000000"/>
              </w:rPr>
              <w:t>具体阶段工作时间及方案按照</w:t>
            </w:r>
            <w:r>
              <w:rPr>
                <w:rFonts w:hint="eastAsia" w:ascii="仿宋" w:hAnsi="仿宋" w:eastAsia="仿宋" w:cs="仿宋"/>
                <w:color w:val="000000"/>
                <w:lang w:eastAsia="zh-CN"/>
              </w:rPr>
              <w:t>《</w:t>
            </w:r>
            <w:r>
              <w:rPr>
                <w:rFonts w:hint="eastAsia" w:ascii="仿宋" w:hAnsi="仿宋" w:eastAsia="仿宋" w:cs="仿宋"/>
                <w:color w:val="auto"/>
                <w:lang w:val="en-US" w:eastAsia="zh-CN"/>
              </w:rPr>
              <w:t>新疆维吾尔自治区市场监督管理局关于开展2025年化肥、车用柴油等产品质量监督抽查工作的通知》</w:t>
            </w:r>
            <w:r>
              <w:rPr>
                <w:rFonts w:hint="eastAsia" w:ascii="仿宋" w:hAnsi="仿宋" w:eastAsia="仿宋" w:cs="仿宋"/>
                <w:color w:val="000000"/>
              </w:rPr>
              <w:t>和《</w:t>
            </w:r>
            <w:r>
              <w:rPr>
                <w:rFonts w:hint="eastAsia" w:ascii="仿宋" w:hAnsi="仿宋" w:eastAsia="仿宋" w:cs="仿宋"/>
                <w:color w:val="000000"/>
                <w:lang w:val="en-US" w:eastAsia="zh-CN"/>
              </w:rPr>
              <w:t>2025年新疆维吾尔自治区化肥产品质量监督抽查方案</w:t>
            </w:r>
            <w:r>
              <w:rPr>
                <w:rFonts w:hint="eastAsia" w:ascii="仿宋" w:hAnsi="仿宋" w:eastAsia="仿宋" w:cs="仿宋"/>
                <w:color w:val="000000"/>
                <w:lang w:eastAsia="zh-CN"/>
              </w:rPr>
              <w:t>》</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w:t>
            </w:r>
            <w:r>
              <w:rPr>
                <w:rFonts w:hint="eastAsia" w:ascii="仿宋" w:hAnsi="仿宋" w:eastAsia="仿宋" w:cs="仿宋"/>
                <w:color w:val="000000"/>
                <w:lang w:val="en-US" w:eastAsia="zh-CN"/>
              </w:rPr>
              <w:t>车用汽油产品质量监督抽查方案》《2025年新疆维吾尔自治区车用柴油产品质量监督抽查技术方案》</w:t>
            </w:r>
            <w:r>
              <w:rPr>
                <w:rFonts w:hint="eastAsia" w:ascii="仿宋" w:hAnsi="仿宋" w:eastAsia="仿宋" w:cs="仿宋"/>
                <w:color w:val="000000"/>
              </w:rPr>
              <w:t>《</w:t>
            </w:r>
            <w:r>
              <w:rPr>
                <w:rFonts w:hint="eastAsia" w:ascii="仿宋" w:hAnsi="仿宋" w:eastAsia="仿宋" w:cs="仿宋"/>
                <w:color w:val="000000"/>
                <w:szCs w:val="22"/>
                <w:lang w:val="en-US" w:eastAsia="zh-CN"/>
              </w:rPr>
              <w:t>2025年新疆维吾尔自治区滴灌带</w:t>
            </w:r>
            <w:r>
              <w:rPr>
                <w:rFonts w:hint="eastAsia" w:ascii="仿宋" w:hAnsi="仿宋" w:eastAsia="仿宋" w:cs="仿宋"/>
                <w:color w:val="000000"/>
                <w:lang w:val="en-US" w:eastAsia="zh-CN"/>
              </w:rPr>
              <w:t>产品质量监督抽查方案</w:t>
            </w:r>
            <w:r>
              <w:rPr>
                <w:rFonts w:hint="eastAsia" w:ascii="仿宋" w:hAnsi="仿宋" w:eastAsia="仿宋" w:cs="仿宋"/>
                <w:color w:val="000000"/>
                <w:szCs w:val="22"/>
                <w:lang w:val="en-US" w:eastAsia="zh-CN"/>
              </w:rPr>
              <w:t>》等抽查方案</w:t>
            </w:r>
            <w:r>
              <w:rPr>
                <w:rFonts w:hint="eastAsia" w:ascii="仿宋" w:hAnsi="仿宋" w:eastAsia="仿宋" w:cs="仿宋"/>
                <w:color w:val="000000"/>
              </w:rPr>
              <w:t>执行。</w:t>
            </w:r>
          </w:p>
        </w:tc>
      </w:tr>
      <w:tr w14:paraId="2913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4D2307FC">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五、委托单位组织对服务单位的服务成果进行验收</w:t>
            </w:r>
          </w:p>
        </w:tc>
      </w:tr>
      <w:tr w14:paraId="2B40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20" w:type="dxa"/>
            <w:gridSpan w:val="4"/>
            <w:noWrap w:val="0"/>
            <w:vAlign w:val="top"/>
          </w:tcPr>
          <w:p w14:paraId="3A149A8F">
            <w:pPr>
              <w:keepNext w:val="0"/>
              <w:keepLines w:val="0"/>
              <w:pageBreakBefore w:val="0"/>
              <w:widowControl w:val="0"/>
              <w:kinsoku/>
              <w:wordWrap/>
              <w:overflowPunct/>
              <w:topLinePunct w:val="0"/>
              <w:autoSpaceDE/>
              <w:autoSpaceDN/>
              <w:bidi w:val="0"/>
              <w:adjustRightInd w:val="0"/>
              <w:snapToGrid w:val="0"/>
              <w:spacing w:line="520" w:lineRule="exact"/>
              <w:ind w:right="105" w:rightChars="50" w:firstLine="420" w:firstLineChars="200"/>
              <w:jc w:val="left"/>
              <w:textAlignment w:val="auto"/>
              <w:rPr>
                <w:rFonts w:hint="eastAsia" w:ascii="仿宋" w:hAnsi="仿宋" w:eastAsia="仿宋" w:cs="仿宋"/>
                <w:b/>
                <w:color w:val="000000"/>
                <w:sz w:val="24"/>
                <w:szCs w:val="24"/>
                <w:u w:val="single"/>
              </w:rPr>
            </w:pPr>
            <w:r>
              <w:rPr>
                <w:rFonts w:hint="eastAsia" w:ascii="仿宋" w:hAnsi="仿宋" w:eastAsia="仿宋" w:cs="仿宋"/>
                <w:color w:val="000000"/>
              </w:rPr>
              <w:t>202</w:t>
            </w:r>
            <w:r>
              <w:rPr>
                <w:rFonts w:hint="eastAsia" w:ascii="仿宋" w:hAnsi="仿宋" w:eastAsia="仿宋" w:cs="仿宋"/>
                <w:color w:val="000000"/>
                <w:lang w:val="en-US" w:eastAsia="zh-CN"/>
              </w:rPr>
              <w:t>5</w:t>
            </w:r>
            <w:r>
              <w:rPr>
                <w:rFonts w:hint="eastAsia" w:ascii="仿宋" w:hAnsi="仿宋" w:eastAsia="仿宋" w:cs="仿宋"/>
                <w:color w:val="000000"/>
              </w:rPr>
              <w:t>年</w:t>
            </w:r>
            <w:r>
              <w:rPr>
                <w:rFonts w:hint="eastAsia" w:ascii="仿宋" w:hAnsi="仿宋" w:eastAsia="仿宋" w:cs="仿宋"/>
                <w:color w:val="000000"/>
                <w:lang w:val="en-US" w:eastAsia="zh-CN"/>
              </w:rPr>
              <w:t>12</w:t>
            </w:r>
            <w:r>
              <w:rPr>
                <w:rFonts w:hint="eastAsia" w:ascii="仿宋" w:hAnsi="仿宋" w:eastAsia="仿宋" w:cs="仿宋"/>
                <w:color w:val="000000"/>
              </w:rPr>
              <w:t xml:space="preserve">月 </w:t>
            </w:r>
            <w:r>
              <w:rPr>
                <w:rFonts w:hint="eastAsia" w:ascii="仿宋" w:hAnsi="仿宋" w:eastAsia="仿宋" w:cs="仿宋"/>
                <w:color w:val="000000"/>
                <w:lang w:val="en-US" w:eastAsia="zh-CN"/>
              </w:rPr>
              <w:t>31</w:t>
            </w:r>
            <w:r>
              <w:rPr>
                <w:rFonts w:hint="eastAsia" w:ascii="仿宋" w:hAnsi="仿宋" w:eastAsia="仿宋" w:cs="仿宋"/>
                <w:color w:val="000000"/>
              </w:rPr>
              <w:t xml:space="preserve"> 日前，乙方</w:t>
            </w:r>
            <w:r>
              <w:rPr>
                <w:rFonts w:hint="eastAsia" w:ascii="仿宋" w:hAnsi="仿宋" w:eastAsia="仿宋" w:cs="仿宋"/>
                <w:color w:val="000000"/>
                <w:lang w:eastAsia="zh-CN"/>
              </w:rPr>
              <w:t>完成所有工作项目</w:t>
            </w:r>
            <w:r>
              <w:rPr>
                <w:rFonts w:hint="eastAsia" w:ascii="仿宋" w:hAnsi="仿宋" w:eastAsia="仿宋" w:cs="仿宋"/>
                <w:color w:val="000000"/>
              </w:rPr>
              <w:t>，甲方对项目工作进行验收。经甲方验收不合格的，乙方应对不合格部分进行修正，修正过程中产生的相关费用由乙方承担。</w:t>
            </w:r>
          </w:p>
        </w:tc>
      </w:tr>
      <w:tr w14:paraId="18D6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320" w:type="dxa"/>
            <w:gridSpan w:val="4"/>
            <w:noWrap w:val="0"/>
            <w:vAlign w:val="top"/>
          </w:tcPr>
          <w:p w14:paraId="7AED9F33">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left"/>
              <w:textAlignment w:val="auto"/>
              <w:rPr>
                <w:rFonts w:hint="eastAsia" w:ascii="仿宋" w:hAnsi="仿宋" w:eastAsia="仿宋" w:cs="仿宋"/>
                <w:bCs/>
                <w:color w:val="000000"/>
                <w:sz w:val="24"/>
                <w:szCs w:val="24"/>
              </w:rPr>
            </w:pPr>
            <w:r>
              <w:rPr>
                <w:rFonts w:hint="eastAsia" w:ascii="仿宋" w:hAnsi="仿宋" w:eastAsia="仿宋" w:cs="仿宋"/>
                <w:b/>
                <w:color w:val="000000"/>
                <w:sz w:val="24"/>
                <w:szCs w:val="24"/>
              </w:rPr>
              <w:t>六、双方约定因履行本合同应遵守的保密任务</w:t>
            </w:r>
          </w:p>
        </w:tc>
      </w:tr>
      <w:tr w14:paraId="4ECC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0" w:type="dxa"/>
            <w:gridSpan w:val="4"/>
            <w:noWrap w:val="0"/>
            <w:vAlign w:val="top"/>
          </w:tcPr>
          <w:p w14:paraId="171A0221">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1.乙方应严格保守自治区产品质量监督抽查信息，未经甲方同意，不得将抽查结果对外发布，同时不得外泄被检查企业的商业秘密。</w:t>
            </w:r>
          </w:p>
          <w:p w14:paraId="44054DE3">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2.如果因乙方原因，导致抽查结果及被检企业商业秘密泄露的，甲方有权解除合同，乙方需承担因其所造成的一切后果，甲方有权保留对乙方提起诉讼的权利。</w:t>
            </w:r>
          </w:p>
          <w:p w14:paraId="23E0A82E">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color w:val="000000"/>
                <w:sz w:val="24"/>
                <w:szCs w:val="24"/>
              </w:rPr>
            </w:pPr>
            <w:r>
              <w:rPr>
                <w:rFonts w:hint="eastAsia" w:ascii="仿宋" w:hAnsi="仿宋" w:eastAsia="仿宋" w:cs="仿宋"/>
                <w:color w:val="000000"/>
              </w:rPr>
              <w:t>3.乙方在开展自治区产品质量监督抽查工作过程中，存在违法、违规和违反合同行为的，甲方具有单方解除权，乙方需承担因其所造成的损失。</w:t>
            </w:r>
          </w:p>
        </w:tc>
      </w:tr>
      <w:tr w14:paraId="2311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14D31F9A">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left"/>
              <w:textAlignment w:val="auto"/>
              <w:rPr>
                <w:rFonts w:hint="eastAsia" w:ascii="仿宋" w:hAnsi="仿宋" w:eastAsia="仿宋" w:cs="仿宋"/>
                <w:bCs/>
                <w:color w:val="000000"/>
                <w:sz w:val="24"/>
                <w:szCs w:val="24"/>
              </w:rPr>
            </w:pPr>
            <w:r>
              <w:rPr>
                <w:rFonts w:hint="eastAsia" w:ascii="仿宋" w:hAnsi="仿宋" w:eastAsia="仿宋" w:cs="仿宋"/>
                <w:b/>
                <w:color w:val="000000"/>
                <w:sz w:val="24"/>
                <w:szCs w:val="24"/>
              </w:rPr>
              <w:t>七、服务费用及支付方式</w:t>
            </w:r>
          </w:p>
        </w:tc>
      </w:tr>
      <w:tr w14:paraId="244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0C364B81">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val="0"/>
                <w:color w:val="000000"/>
                <w:sz w:val="21"/>
                <w:szCs w:val="20"/>
              </w:rPr>
            </w:pPr>
            <w:r>
              <w:rPr>
                <w:rFonts w:hint="eastAsia" w:ascii="仿宋" w:hAnsi="仿宋" w:eastAsia="仿宋" w:cs="仿宋"/>
                <w:bCs w:val="0"/>
                <w:color w:val="000000"/>
                <w:sz w:val="21"/>
                <w:szCs w:val="20"/>
              </w:rPr>
              <w:t>1.服务经费总额为</w:t>
            </w:r>
            <w:r>
              <w:rPr>
                <w:rFonts w:hint="eastAsia" w:ascii="仿宋" w:hAnsi="仿宋" w:eastAsia="仿宋" w:cs="仿宋"/>
                <w:bCs w:val="0"/>
                <w:color w:val="auto"/>
                <w:sz w:val="21"/>
                <w:szCs w:val="20"/>
              </w:rPr>
              <w:t>人民币</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u w:val="none"/>
              </w:rPr>
              <w:t>元</w:t>
            </w:r>
            <w:r>
              <w:rPr>
                <w:rFonts w:hint="eastAsia" w:ascii="仿宋" w:hAnsi="仿宋" w:eastAsia="仿宋" w:cs="仿宋"/>
                <w:bCs w:val="0"/>
                <w:color w:val="auto"/>
                <w:sz w:val="21"/>
                <w:szCs w:val="20"/>
              </w:rPr>
              <w:t>（大写：</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rPr>
              <w:t>），</w:t>
            </w:r>
            <w:r>
              <w:rPr>
                <w:rFonts w:hint="eastAsia" w:ascii="仿宋" w:hAnsi="仿宋" w:eastAsia="仿宋" w:cs="仿宋"/>
                <w:bCs w:val="0"/>
                <w:color w:val="000000"/>
                <w:sz w:val="21"/>
                <w:szCs w:val="20"/>
              </w:rPr>
              <w:t>该费用包括乙方抽样、检测活动所需的设备费、工具费、交通费、专家、工作人员劳务费及异地检测的差旅费、税费等。</w:t>
            </w:r>
            <w:r>
              <w:rPr>
                <w:rFonts w:hint="eastAsia" w:ascii="仿宋" w:hAnsi="仿宋" w:eastAsia="仿宋" w:cs="仿宋"/>
                <w:color w:val="000000"/>
                <w:sz w:val="21"/>
              </w:rPr>
              <w:t>此费用总额包含乙方进行</w:t>
            </w:r>
            <w:r>
              <w:rPr>
                <w:rFonts w:hint="eastAsia" w:ascii="仿宋" w:hAnsi="仿宋" w:eastAsia="仿宋" w:cs="仿宋"/>
                <w:b w:val="0"/>
                <w:bCs w:val="0"/>
                <w:color w:val="000000"/>
                <w:kern w:val="2"/>
                <w:sz w:val="21"/>
                <w:szCs w:val="20"/>
              </w:rPr>
              <w:t>新疆维吾尔自治区市场监督管理局202</w:t>
            </w:r>
            <w:r>
              <w:rPr>
                <w:rFonts w:hint="eastAsia" w:ascii="仿宋" w:hAnsi="仿宋" w:eastAsia="仿宋" w:cs="仿宋"/>
                <w:b w:val="0"/>
                <w:bCs w:val="0"/>
                <w:color w:val="000000"/>
                <w:kern w:val="2"/>
                <w:sz w:val="21"/>
                <w:szCs w:val="20"/>
                <w:lang w:val="en-US" w:eastAsia="zh-CN"/>
              </w:rPr>
              <w:t>5</w:t>
            </w:r>
            <w:r>
              <w:rPr>
                <w:rFonts w:hint="eastAsia" w:ascii="仿宋" w:hAnsi="仿宋" w:eastAsia="仿宋" w:cs="仿宋"/>
                <w:b w:val="0"/>
                <w:bCs w:val="0"/>
                <w:color w:val="000000"/>
                <w:kern w:val="2"/>
                <w:sz w:val="21"/>
                <w:szCs w:val="20"/>
              </w:rPr>
              <w:t>年第</w:t>
            </w:r>
            <w:r>
              <w:rPr>
                <w:rFonts w:hint="eastAsia" w:ascii="仿宋" w:hAnsi="仿宋" w:eastAsia="仿宋" w:cs="仿宋"/>
                <w:b w:val="0"/>
                <w:bCs w:val="0"/>
                <w:color w:val="000000"/>
                <w:kern w:val="2"/>
                <w:sz w:val="21"/>
                <w:szCs w:val="20"/>
                <w:lang w:eastAsia="zh-CN"/>
              </w:rPr>
              <w:t>二</w:t>
            </w:r>
            <w:r>
              <w:rPr>
                <w:rFonts w:hint="eastAsia" w:ascii="仿宋" w:hAnsi="仿宋" w:eastAsia="仿宋" w:cs="仿宋"/>
                <w:b w:val="0"/>
                <w:bCs w:val="0"/>
                <w:color w:val="000000"/>
                <w:kern w:val="2"/>
                <w:sz w:val="21"/>
                <w:szCs w:val="20"/>
              </w:rPr>
              <w:t>批</w:t>
            </w:r>
            <w:r>
              <w:rPr>
                <w:rFonts w:hint="eastAsia" w:ascii="仿宋" w:hAnsi="仿宋" w:eastAsia="仿宋" w:cs="仿宋"/>
                <w:b w:val="0"/>
                <w:bCs w:val="0"/>
                <w:color w:val="000000"/>
                <w:kern w:val="2"/>
                <w:sz w:val="21"/>
                <w:szCs w:val="20"/>
                <w:lang w:val="en-US" w:eastAsia="zh-CN"/>
              </w:rPr>
              <w:t>重点</w:t>
            </w:r>
            <w:r>
              <w:rPr>
                <w:rFonts w:hint="eastAsia" w:ascii="仿宋" w:hAnsi="仿宋" w:eastAsia="仿宋" w:cs="仿宋"/>
                <w:b w:val="0"/>
                <w:bCs w:val="0"/>
                <w:color w:val="000000"/>
                <w:kern w:val="2"/>
                <w:sz w:val="21"/>
                <w:szCs w:val="20"/>
              </w:rPr>
              <w:t>产品质量监督抽查项目工作</w:t>
            </w:r>
            <w:r>
              <w:rPr>
                <w:rFonts w:hint="eastAsia" w:ascii="仿宋" w:hAnsi="仿宋" w:eastAsia="仿宋" w:cs="仿宋"/>
                <w:color w:val="000000"/>
                <w:sz w:val="21"/>
              </w:rPr>
              <w:t>的全部费用，除此之外就本项目甲方不再对乙方承担任何支付义务。</w:t>
            </w:r>
          </w:p>
          <w:p w14:paraId="297929E2">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val="0"/>
                <w:color w:val="000000"/>
                <w:sz w:val="21"/>
                <w:szCs w:val="20"/>
              </w:rPr>
            </w:pPr>
            <w:r>
              <w:rPr>
                <w:rFonts w:hint="eastAsia" w:ascii="仿宋" w:hAnsi="仿宋" w:eastAsia="仿宋" w:cs="仿宋"/>
                <w:bCs w:val="0"/>
                <w:color w:val="000000"/>
                <w:sz w:val="21"/>
                <w:szCs w:val="20"/>
              </w:rPr>
              <w:t>2.支付方式</w:t>
            </w:r>
          </w:p>
          <w:p w14:paraId="20F24F6F">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val="0"/>
                <w:color w:val="auto"/>
                <w:sz w:val="21"/>
                <w:szCs w:val="20"/>
                <w:highlight w:val="none"/>
              </w:rPr>
            </w:pPr>
            <w:r>
              <w:rPr>
                <w:rFonts w:hint="eastAsia" w:ascii="仿宋" w:hAnsi="仿宋" w:eastAsia="仿宋" w:cs="仿宋"/>
                <w:bCs w:val="0"/>
                <w:color w:val="000000"/>
                <w:sz w:val="21"/>
                <w:szCs w:val="20"/>
                <w:lang w:eastAsia="zh-CN"/>
              </w:rPr>
              <w:t>（</w:t>
            </w:r>
            <w:r>
              <w:rPr>
                <w:rFonts w:hint="eastAsia" w:ascii="仿宋" w:hAnsi="仿宋" w:eastAsia="仿宋" w:cs="仿宋"/>
                <w:bCs w:val="0"/>
                <w:color w:val="000000"/>
                <w:sz w:val="21"/>
                <w:szCs w:val="20"/>
                <w:lang w:val="en-US" w:eastAsia="zh-CN"/>
              </w:rPr>
              <w:t>1）</w:t>
            </w:r>
            <w:r>
              <w:rPr>
                <w:rFonts w:hint="eastAsia" w:ascii="仿宋" w:hAnsi="仿宋" w:eastAsia="仿宋" w:cs="仿宋"/>
                <w:bCs w:val="0"/>
                <w:color w:val="000000"/>
                <w:sz w:val="21"/>
                <w:szCs w:val="20"/>
                <w:highlight w:val="none"/>
              </w:rPr>
              <w:t>服务费用由甲方</w:t>
            </w:r>
            <w:r>
              <w:rPr>
                <w:rFonts w:hint="eastAsia" w:ascii="仿宋" w:hAnsi="仿宋" w:eastAsia="仿宋" w:cs="仿宋"/>
                <w:bCs w:val="0"/>
                <w:color w:val="auto"/>
                <w:sz w:val="21"/>
                <w:szCs w:val="20"/>
                <w:highlight w:val="none"/>
              </w:rPr>
              <w:t>分两次向乙方支付。</w:t>
            </w:r>
          </w:p>
          <w:p w14:paraId="61519AB6">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val="0"/>
                <w:color w:val="auto"/>
                <w:sz w:val="21"/>
                <w:szCs w:val="20"/>
                <w:highlight w:val="none"/>
              </w:rPr>
            </w:pPr>
            <w:r>
              <w:rPr>
                <w:rFonts w:hint="eastAsia" w:ascii="仿宋" w:hAnsi="仿宋" w:eastAsia="仿宋" w:cs="仿宋"/>
                <w:bCs w:val="0"/>
                <w:color w:val="auto"/>
                <w:sz w:val="21"/>
                <w:szCs w:val="20"/>
                <w:highlight w:val="none"/>
                <w:lang w:val="en-US" w:eastAsia="zh-CN"/>
              </w:rPr>
              <w:t>（2）自合同签订之日起</w:t>
            </w:r>
            <w:r>
              <w:rPr>
                <w:rFonts w:hint="eastAsia" w:ascii="仿宋" w:hAnsi="仿宋" w:eastAsia="仿宋" w:cs="仿宋"/>
                <w:bCs w:val="0"/>
                <w:color w:val="auto"/>
                <w:sz w:val="21"/>
                <w:szCs w:val="20"/>
                <w:highlight w:val="none"/>
              </w:rPr>
              <w:t>10日内，甲方第一次按合同总额的85%向乙方支付￥</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highlight w:val="none"/>
                <w:lang w:val="en-US" w:eastAsia="zh-CN"/>
              </w:rPr>
              <w:t>元</w:t>
            </w:r>
            <w:r>
              <w:rPr>
                <w:rFonts w:hint="eastAsia" w:ascii="仿宋" w:hAnsi="仿宋" w:eastAsia="仿宋" w:cs="仿宋"/>
                <w:bCs w:val="0"/>
                <w:color w:val="auto"/>
                <w:sz w:val="21"/>
                <w:szCs w:val="20"/>
                <w:highlight w:val="none"/>
                <w:lang w:eastAsia="zh-CN"/>
              </w:rPr>
              <w:t>（</w:t>
            </w:r>
            <w:r>
              <w:rPr>
                <w:rFonts w:hint="eastAsia" w:ascii="仿宋" w:hAnsi="仿宋" w:eastAsia="仿宋" w:cs="仿宋"/>
                <w:bCs w:val="0"/>
                <w:color w:val="auto"/>
                <w:sz w:val="21"/>
                <w:szCs w:val="20"/>
                <w:highlight w:val="none"/>
              </w:rPr>
              <w:t>人民币大写：</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highlight w:val="none"/>
                <w:lang w:eastAsia="zh-CN"/>
              </w:rPr>
              <w:t>）</w:t>
            </w:r>
            <w:r>
              <w:rPr>
                <w:rFonts w:hint="eastAsia" w:ascii="仿宋" w:hAnsi="仿宋" w:eastAsia="仿宋" w:cs="仿宋"/>
                <w:bCs w:val="0"/>
                <w:color w:val="auto"/>
                <w:sz w:val="21"/>
                <w:szCs w:val="20"/>
                <w:highlight w:val="none"/>
                <w:lang w:val="en-US" w:eastAsia="zh-CN"/>
              </w:rPr>
              <w:t>服务费。</w:t>
            </w:r>
          </w:p>
          <w:p w14:paraId="047D5C2D">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val="0"/>
                <w:color w:val="auto"/>
                <w:sz w:val="21"/>
                <w:szCs w:val="20"/>
                <w:highlight w:val="none"/>
              </w:rPr>
            </w:pPr>
            <w:r>
              <w:rPr>
                <w:rFonts w:hint="eastAsia" w:ascii="仿宋" w:hAnsi="仿宋" w:eastAsia="仿宋" w:cs="仿宋"/>
                <w:bCs w:val="0"/>
                <w:color w:val="auto"/>
                <w:sz w:val="21"/>
                <w:szCs w:val="20"/>
                <w:highlight w:val="none"/>
                <w:lang w:eastAsia="zh-CN"/>
              </w:rPr>
              <w:t>（</w:t>
            </w:r>
            <w:r>
              <w:rPr>
                <w:rFonts w:hint="eastAsia" w:ascii="仿宋" w:hAnsi="仿宋" w:eastAsia="仿宋" w:cs="仿宋"/>
                <w:bCs w:val="0"/>
                <w:color w:val="auto"/>
                <w:sz w:val="21"/>
                <w:szCs w:val="20"/>
                <w:highlight w:val="none"/>
                <w:lang w:val="en-US" w:eastAsia="zh-CN"/>
              </w:rPr>
              <w:t>3）</w:t>
            </w:r>
            <w:r>
              <w:rPr>
                <w:rFonts w:hint="eastAsia" w:ascii="仿宋" w:hAnsi="仿宋" w:eastAsia="仿宋" w:cs="仿宋"/>
                <w:bCs w:val="0"/>
                <w:color w:val="auto"/>
                <w:sz w:val="21"/>
                <w:szCs w:val="20"/>
                <w:highlight w:val="none"/>
              </w:rPr>
              <w:t>乙方向甲方交付</w:t>
            </w:r>
            <w:r>
              <w:rPr>
                <w:rFonts w:hint="eastAsia" w:ascii="仿宋" w:hAnsi="仿宋" w:eastAsia="仿宋" w:cs="仿宋"/>
                <w:bCs w:val="0"/>
                <w:color w:val="auto"/>
                <w:sz w:val="21"/>
                <w:szCs w:val="20"/>
                <w:highlight w:val="none"/>
                <w:lang w:val="en-US" w:eastAsia="zh-CN"/>
              </w:rPr>
              <w:t>项目工作成果并</w:t>
            </w:r>
            <w:r>
              <w:rPr>
                <w:rFonts w:hint="eastAsia" w:ascii="仿宋" w:hAnsi="仿宋" w:eastAsia="仿宋" w:cs="仿宋"/>
                <w:bCs w:val="0"/>
                <w:color w:val="auto"/>
                <w:sz w:val="21"/>
                <w:szCs w:val="20"/>
                <w:highlight w:val="none"/>
              </w:rPr>
              <w:t>经验收合格后，甲方第二次向乙方支付合同总额的剩余15%￥</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highlight w:val="none"/>
              </w:rPr>
              <w:t>元</w:t>
            </w:r>
            <w:r>
              <w:rPr>
                <w:rFonts w:hint="eastAsia" w:ascii="仿宋" w:hAnsi="仿宋" w:eastAsia="仿宋" w:cs="仿宋"/>
                <w:bCs w:val="0"/>
                <w:color w:val="auto"/>
                <w:sz w:val="21"/>
                <w:szCs w:val="20"/>
                <w:highlight w:val="none"/>
                <w:lang w:eastAsia="zh-CN"/>
              </w:rPr>
              <w:t>（</w:t>
            </w:r>
            <w:r>
              <w:rPr>
                <w:rFonts w:hint="eastAsia" w:ascii="仿宋" w:hAnsi="仿宋" w:eastAsia="仿宋" w:cs="仿宋"/>
                <w:bCs w:val="0"/>
                <w:color w:val="auto"/>
                <w:sz w:val="21"/>
                <w:szCs w:val="20"/>
                <w:highlight w:val="none"/>
              </w:rPr>
              <w:t>人民币大写：</w:t>
            </w:r>
            <w:r>
              <w:rPr>
                <w:rFonts w:hint="eastAsia" w:ascii="仿宋" w:hAnsi="仿宋" w:eastAsia="仿宋" w:cs="仿宋"/>
                <w:bCs w:val="0"/>
                <w:color w:val="auto"/>
                <w:sz w:val="21"/>
                <w:szCs w:val="20"/>
                <w:u w:val="single"/>
                <w:lang w:val="en-US" w:eastAsia="zh-CN"/>
              </w:rPr>
              <w:t xml:space="preserve">     </w:t>
            </w:r>
            <w:r>
              <w:rPr>
                <w:rFonts w:hint="eastAsia" w:ascii="仿宋" w:hAnsi="仿宋" w:eastAsia="仿宋" w:cs="仿宋"/>
                <w:bCs w:val="0"/>
                <w:color w:val="auto"/>
                <w:sz w:val="21"/>
                <w:szCs w:val="20"/>
                <w:highlight w:val="none"/>
                <w:lang w:eastAsia="zh-CN"/>
              </w:rPr>
              <w:t>）</w:t>
            </w:r>
            <w:r>
              <w:rPr>
                <w:rFonts w:hint="eastAsia" w:ascii="仿宋" w:hAnsi="仿宋" w:eastAsia="仿宋" w:cs="仿宋"/>
                <w:bCs w:val="0"/>
                <w:color w:val="auto"/>
                <w:sz w:val="21"/>
                <w:szCs w:val="20"/>
                <w:highlight w:val="none"/>
                <w:lang w:val="en-US" w:eastAsia="zh-CN"/>
              </w:rPr>
              <w:t>服务费</w:t>
            </w:r>
            <w:r>
              <w:rPr>
                <w:rFonts w:hint="eastAsia" w:ascii="仿宋" w:hAnsi="仿宋" w:eastAsia="仿宋" w:cs="仿宋"/>
                <w:bCs w:val="0"/>
                <w:color w:val="auto"/>
                <w:sz w:val="21"/>
                <w:szCs w:val="20"/>
                <w:highlight w:val="none"/>
              </w:rPr>
              <w:t>。</w:t>
            </w:r>
          </w:p>
          <w:p w14:paraId="2825B01C">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auto"/>
              </w:rPr>
              <w:t>3.甲方付款前7个工作日内，乙方应向甲方提供开具等额有效的发票</w:t>
            </w:r>
            <w:r>
              <w:rPr>
                <w:rFonts w:hint="eastAsia" w:ascii="仿宋" w:hAnsi="仿宋" w:eastAsia="仿宋" w:cs="仿宋"/>
                <w:color w:val="000000"/>
              </w:rPr>
              <w:t>，甲方未收到发票的，有权不予支付相应款项直至乙方提供合格发票，并不承担延迟付款责任；因政府财政资金未下达或办理财政手续而发生甲方迟延付款情形的，不属于延期支付，甲方不承担违约责任。</w:t>
            </w:r>
          </w:p>
          <w:p w14:paraId="5C8B14E0">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.乙方指定收款账户信息如下，乙方账户信息发生改变时，应于变更前3日通知甲方。否则，导致的一切损失由乙方承担。</w:t>
            </w:r>
          </w:p>
          <w:p w14:paraId="47429C54">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firstLine="420" w:firstLineChars="200"/>
              <w:jc w:val="left"/>
              <w:textAlignment w:val="auto"/>
              <w:rPr>
                <w:rFonts w:hint="eastAsia" w:ascii="仿宋" w:hAnsi="仿宋" w:eastAsia="仿宋" w:cs="仿宋"/>
                <w:color w:val="000000"/>
                <w:szCs w:val="22"/>
                <w:lang w:val="en-US" w:eastAsia="zh-CN"/>
              </w:rPr>
            </w:pPr>
            <w:r>
              <w:rPr>
                <w:rFonts w:hint="eastAsia" w:ascii="仿宋" w:hAnsi="仿宋" w:eastAsia="仿宋" w:cs="仿宋"/>
                <w:color w:val="000000"/>
                <w:szCs w:val="22"/>
                <w:lang w:val="en-US" w:eastAsia="zh-CN"/>
              </w:rPr>
              <w:t>乙方收款账户信息：</w:t>
            </w:r>
          </w:p>
          <w:p w14:paraId="0EAED75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t>账户名称：</w:t>
            </w:r>
          </w:p>
          <w:p w14:paraId="06B730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t>开户银行：</w:t>
            </w:r>
          </w:p>
          <w:p w14:paraId="75B1A3A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t>地    址：</w:t>
            </w:r>
          </w:p>
          <w:p w14:paraId="48AF6FC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000000"/>
                <w:sz w:val="21"/>
                <w:szCs w:val="21"/>
                <w:lang w:val="zh-TW"/>
              </w:rPr>
            </w:pPr>
            <w:r>
              <w:rPr>
                <w:rFonts w:hint="eastAsia" w:ascii="仿宋" w:hAnsi="仿宋" w:eastAsia="仿宋" w:cs="仿宋"/>
                <w:color w:val="000000"/>
                <w:sz w:val="21"/>
                <w:szCs w:val="21"/>
                <w:lang w:val="zh-TW"/>
              </w:rPr>
              <w:t>帐    号：</w:t>
            </w:r>
          </w:p>
          <w:p w14:paraId="44D05173">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szCs w:val="22"/>
                <w:lang w:val="en-US" w:eastAsia="zh-CN"/>
              </w:rPr>
              <w:t>5.甲方开</w:t>
            </w:r>
            <w:r>
              <w:rPr>
                <w:rFonts w:hint="eastAsia" w:ascii="仿宋" w:hAnsi="仿宋" w:eastAsia="仿宋" w:cs="仿宋"/>
                <w:color w:val="000000"/>
              </w:rPr>
              <w:t xml:space="preserve">票信息： </w:t>
            </w:r>
          </w:p>
          <w:p w14:paraId="64CBD9FE">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lang w:val="zh-TW"/>
              </w:rPr>
            </w:pPr>
            <w:r>
              <w:rPr>
                <w:rFonts w:hint="eastAsia" w:ascii="仿宋" w:hAnsi="仿宋" w:eastAsia="仿宋" w:cs="仿宋"/>
                <w:color w:val="000000"/>
                <w:lang w:val="zh-TW"/>
              </w:rPr>
              <w:t>企业名称：新疆维吾尔自治区市场监督管理局</w:t>
            </w:r>
          </w:p>
          <w:p w14:paraId="75596D6D">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lang w:val="zh-TW"/>
              </w:rPr>
              <w:t>单位地址：乌鲁木齐市天山区新华南路</w:t>
            </w:r>
            <w:r>
              <w:rPr>
                <w:rFonts w:hint="eastAsia" w:ascii="仿宋" w:hAnsi="仿宋" w:eastAsia="仿宋" w:cs="仿宋"/>
                <w:color w:val="000000"/>
              </w:rPr>
              <w:t>167号</w:t>
            </w:r>
          </w:p>
          <w:p w14:paraId="1C56D878">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lang w:val="zh-TW"/>
              </w:rPr>
            </w:pPr>
            <w:r>
              <w:rPr>
                <w:rFonts w:hint="eastAsia" w:ascii="仿宋" w:hAnsi="仿宋" w:eastAsia="仿宋" w:cs="仿宋"/>
                <w:color w:val="000000"/>
                <w:lang w:val="zh-TW"/>
              </w:rPr>
              <w:t>电话号码：</w:t>
            </w:r>
            <w:r>
              <w:rPr>
                <w:rFonts w:hint="eastAsia" w:ascii="仿宋" w:hAnsi="仿宋" w:eastAsia="仿宋" w:cs="仿宋"/>
                <w:color w:val="000000"/>
              </w:rPr>
              <w:t>0991-2817448</w:t>
            </w:r>
            <w:r>
              <w:rPr>
                <w:rFonts w:hint="eastAsia" w:ascii="仿宋" w:hAnsi="仿宋" w:eastAsia="仿宋" w:cs="仿宋"/>
                <w:color w:val="000000"/>
                <w:lang w:val="zh-TW"/>
              </w:rPr>
              <w:t xml:space="preserve"> </w:t>
            </w:r>
          </w:p>
          <w:p w14:paraId="4F727ACA">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lang w:val="zh-TW"/>
              </w:rPr>
            </w:pPr>
            <w:r>
              <w:rPr>
                <w:rFonts w:hint="eastAsia" w:ascii="仿宋" w:hAnsi="仿宋" w:eastAsia="仿宋" w:cs="仿宋"/>
                <w:color w:val="000000"/>
                <w:lang w:val="zh-TW"/>
              </w:rPr>
              <w:t>开户银行：中国工商银行股份有限公司乌鲁木齐人民路支行</w:t>
            </w:r>
          </w:p>
          <w:p w14:paraId="5F081409">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Cs/>
                <w:color w:val="000000"/>
                <w:sz w:val="24"/>
                <w:szCs w:val="24"/>
              </w:rPr>
            </w:pPr>
            <w:r>
              <w:rPr>
                <w:rFonts w:hint="eastAsia" w:ascii="仿宋" w:hAnsi="仿宋" w:eastAsia="仿宋" w:cs="仿宋"/>
                <w:color w:val="000000"/>
                <w:lang w:val="zh-TW"/>
              </w:rPr>
              <w:t>银行账号：</w:t>
            </w:r>
            <w:r>
              <w:rPr>
                <w:rFonts w:hint="eastAsia" w:ascii="仿宋" w:hAnsi="仿宋" w:eastAsia="仿宋" w:cs="仿宋"/>
                <w:color w:val="000000"/>
              </w:rPr>
              <w:t>3002 0169 2920 0342 068</w:t>
            </w:r>
          </w:p>
        </w:tc>
      </w:tr>
      <w:tr w14:paraId="313B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320" w:type="dxa"/>
            <w:gridSpan w:val="4"/>
            <w:noWrap w:val="0"/>
            <w:vAlign w:val="top"/>
          </w:tcPr>
          <w:p w14:paraId="04291BD0">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left"/>
              <w:textAlignment w:val="auto"/>
              <w:rPr>
                <w:rFonts w:hint="eastAsia" w:ascii="仿宋" w:hAnsi="仿宋" w:eastAsia="仿宋" w:cs="仿宋"/>
                <w:bCs/>
                <w:color w:val="000000"/>
                <w:sz w:val="24"/>
                <w:szCs w:val="24"/>
              </w:rPr>
            </w:pPr>
            <w:r>
              <w:rPr>
                <w:rFonts w:hint="eastAsia" w:ascii="仿宋" w:hAnsi="仿宋" w:eastAsia="仿宋" w:cs="仿宋"/>
                <w:b/>
                <w:color w:val="000000"/>
                <w:sz w:val="24"/>
                <w:szCs w:val="24"/>
              </w:rPr>
              <w:t>八、违约责任及纠纷解决</w:t>
            </w:r>
          </w:p>
        </w:tc>
      </w:tr>
      <w:tr w14:paraId="6AB6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20" w:type="dxa"/>
            <w:gridSpan w:val="4"/>
            <w:noWrap w:val="0"/>
            <w:vAlign w:val="top"/>
          </w:tcPr>
          <w:p w14:paraId="271AF8FE">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1.因非乙方原因及第七条之约定情况，甲方未按本合同约定付款的，经乙方书面催告后7个工作日仍未支付的，每逾期一日，甲方按应付未付金额的千分之一向乙方支付违约金</w:t>
            </w:r>
            <w:r>
              <w:rPr>
                <w:rFonts w:hint="eastAsia" w:ascii="仿宋" w:hAnsi="仿宋" w:eastAsia="仿宋" w:cs="仿宋"/>
                <w:color w:val="000000"/>
                <w:lang w:eastAsia="zh-CN"/>
              </w:rPr>
              <w:t>，</w:t>
            </w:r>
            <w:r>
              <w:rPr>
                <w:rFonts w:hint="eastAsia" w:ascii="仿宋" w:hAnsi="仿宋" w:eastAsia="仿宋" w:cs="仿宋"/>
                <w:color w:val="000000"/>
                <w:lang w:val="en-US" w:eastAsia="zh-CN"/>
              </w:rPr>
              <w:t>违约金最高不超过未付金额的5%</w:t>
            </w:r>
            <w:r>
              <w:rPr>
                <w:rFonts w:hint="eastAsia" w:ascii="仿宋" w:hAnsi="仿宋" w:eastAsia="仿宋" w:cs="仿宋"/>
                <w:color w:val="000000"/>
              </w:rPr>
              <w:t>。</w:t>
            </w:r>
          </w:p>
          <w:p w14:paraId="22C0BD0A">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2.乙方应本着</w:t>
            </w:r>
            <w:r>
              <w:rPr>
                <w:rFonts w:hint="eastAsia" w:ascii="仿宋" w:hAnsi="仿宋" w:eastAsia="仿宋" w:cs="仿宋"/>
                <w:color w:val="000000"/>
                <w:lang w:eastAsia="zh-CN"/>
              </w:rPr>
              <w:t>合法性、</w:t>
            </w:r>
            <w:r>
              <w:rPr>
                <w:rFonts w:hint="eastAsia" w:ascii="仿宋" w:hAnsi="仿宋" w:eastAsia="仿宋" w:cs="仿宋"/>
                <w:color w:val="000000"/>
              </w:rPr>
              <w:t>科学性、准确性和真实性原则执行项目任务。按照合同书约定的时间向甲方提供抽检服务，完成所有合同约定的服务内容，按时向甲方提交项目工作成果。如乙方未按时提供服务或提交工作成果，每逾期1日，应按日向甲方支付合同总价千分之一的违约金。逾期超过20日的，甲方有权解除本合同，乙方应退还甲方已支付费用的80%，并向甲方支付合同总价款20%的违约金。</w:t>
            </w:r>
          </w:p>
          <w:p w14:paraId="5C68C1ED">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乙方提供的服务或提交的分析报告不符合甲方要求，影响甲方实现合同目的的，经甲方通知整改两次仍无法满足甲方要求、通过验收的，甲方有权解除合同，同时乙方应承担合同总金额20%的违约金并向甲方退还已支付服务费用的70%。</w:t>
            </w:r>
          </w:p>
          <w:p w14:paraId="584ED954">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乙方未按约定开展检测工作或出具虚假、错误分析报告的，甲方有权解除本合同，乙方应退还甲方已支付服务费用的70%并承担合同总金额20%的违约金；因乙方过错（包括但不限于虚假、错误样品信息、检验数据和结论或者检验过程程序错误、缺少等原因）而</w:t>
            </w:r>
            <w:r>
              <w:rPr>
                <w:rFonts w:hint="eastAsia" w:ascii="仿宋" w:hAnsi="仿宋" w:eastAsia="仿宋" w:cs="仿宋"/>
                <w:color w:val="000000"/>
                <w:lang w:eastAsia="zh-CN"/>
              </w:rPr>
              <w:t>给</w:t>
            </w:r>
            <w:r>
              <w:rPr>
                <w:rFonts w:hint="eastAsia" w:ascii="仿宋" w:hAnsi="仿宋" w:eastAsia="仿宋" w:cs="仿宋"/>
                <w:color w:val="000000"/>
              </w:rPr>
              <w:t>甲方带来不良影响、给被抽查企业造成损失，或者给社会带来不良影响的，乙方应负责赔偿承担相应法律责任，同时向甲方支付本合同总金额20%的违约金。</w:t>
            </w:r>
          </w:p>
          <w:p w14:paraId="7FDFB17A">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5.乙方应按照甲方要求，向甲方提供样品在购买、运输、检验过程中留存的影像、图片材料证据，并对证据的真实性负责；乙方伪造证据或因乙方过错造成证据遗失、损毁的，甲方有权解除本合同，乙方需退还甲方前期支付所有费用并支付合同总金额10%的违约金。</w:t>
            </w:r>
          </w:p>
          <w:p w14:paraId="3545D509">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6.乙方在对履行本合同全过程中所知晓的甲方的工作秘密</w:t>
            </w:r>
            <w:r>
              <w:rPr>
                <w:rFonts w:hint="eastAsia" w:ascii="仿宋" w:hAnsi="仿宋" w:eastAsia="仿宋" w:cs="仿宋"/>
                <w:color w:val="000000"/>
                <w:lang w:eastAsia="zh-CN"/>
              </w:rPr>
              <w:t>，以及</w:t>
            </w:r>
            <w:r>
              <w:rPr>
                <w:rFonts w:hint="eastAsia" w:ascii="仿宋" w:hAnsi="仿宋" w:eastAsia="仿宋" w:cs="仿宋"/>
                <w:color w:val="000000"/>
              </w:rPr>
              <w:t>抽检计划、抽检结果、被抽检单位相关信息等具有保密义务，未经甲方书面同意，不得将所知晓的信息全部或部分向第三方透露，如有违反，甲方有权解除本合同，乙方应退还甲方已支付费用的80%，并向甲方支付合同总价款20%的违约金。给甲方或第三方造成损失的，同时承担赔偿责任。</w:t>
            </w:r>
          </w:p>
          <w:p w14:paraId="768A193D">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7.如乙方违约，甲方有权从应付款项中直接扣除乙方应承担的违约金、损失、各项费用等。违约金的支付不影响乙方对于甲方已经依照合同支付款项对应的服务义务。</w:t>
            </w:r>
          </w:p>
          <w:p w14:paraId="3BE426D5">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8.因乙方的违约行为导致甲方产生相关诉讼纠纷的，甲方有权向乙方追偿因诉讼纠纷所承担的一切费用，包括但不限于赔偿款、律师费、诉讼费、保全费、保函费、邮寄费并赔偿甲方因此产生的一切损失。</w:t>
            </w:r>
          </w:p>
          <w:p w14:paraId="4C66B078">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9.本合同约定的违约金，均是各方在签订本合同时已预见的因违约行为而造成的对方合理损失，各方均无权以违约金过高为由，要求降低违约金。</w:t>
            </w:r>
          </w:p>
          <w:p w14:paraId="12DD2F0C">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10.本合同约定的单方解除权条件成就时，可以通知方式解除本合同，在解除通知到达对方时本合同解除，该通知应以书面或传真的形式发送。对方有异议的，应当在收到解除通知后7日内提出书面异议并进行积极协商，若在上述7日异议期内不能达成一致的，收到解除通知方应向甲方所在地有管辖权的人民法院起诉，否则将视为对合同解除无异议。</w:t>
            </w:r>
          </w:p>
        </w:tc>
      </w:tr>
      <w:tr w14:paraId="7E6B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5EBEDC5C">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九、不可抗力</w:t>
            </w:r>
          </w:p>
        </w:tc>
      </w:tr>
      <w:tr w14:paraId="47AB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320" w:type="dxa"/>
            <w:gridSpan w:val="4"/>
            <w:noWrap w:val="0"/>
            <w:vAlign w:val="top"/>
          </w:tcPr>
          <w:p w14:paraId="25889DF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rPr>
              <w:t>甲、乙双方确定本合同中不可抗力定义适用于《中华人民共和国民法典》规定，包括但不限于：战争、火灾、洪水、台风、地震、疫病、政策变化、遭受网络攻击</w:t>
            </w:r>
            <w:r>
              <w:rPr>
                <w:rFonts w:hint="eastAsia" w:ascii="仿宋" w:hAnsi="仿宋" w:eastAsia="仿宋" w:cs="仿宋"/>
                <w:color w:val="000000"/>
                <w:lang w:eastAsia="zh-CN"/>
              </w:rPr>
              <w:t>或其他</w:t>
            </w:r>
            <w:r>
              <w:rPr>
                <w:rFonts w:hint="eastAsia" w:ascii="仿宋" w:hAnsi="仿宋" w:eastAsia="仿宋" w:cs="仿宋"/>
                <w:color w:val="000000"/>
              </w:rPr>
              <w:t>人力不可抗拒之事件。出现上述不可抗力后，受不可抗力影响的一方应立即通知另一方，并应在上述事件消除后15日前提供有关主管部门的证明。在取得有关机构的不可抗力证明或双方谅解确认后，允许延期履行或修订合同，并根据情况可部分或全部免于承担违约责任。</w:t>
            </w:r>
          </w:p>
        </w:tc>
      </w:tr>
      <w:tr w14:paraId="619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2CA3D60E">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rPr>
              <w:t>十、知识产权</w:t>
            </w:r>
          </w:p>
        </w:tc>
      </w:tr>
      <w:tr w14:paraId="698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4FA8DB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1.乙方应当保证其交付给甲方的工作成果不侵犯任何第三人的合法权益。如发生第三人指控甲方因使用乙方提交的工作成果侵权的，由此造成的甲方的全部损失由乙方承担。</w:t>
            </w:r>
          </w:p>
          <w:p w14:paraId="1856E42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color w:val="000000"/>
                <w:sz w:val="24"/>
                <w:szCs w:val="24"/>
              </w:rPr>
            </w:pPr>
            <w:r>
              <w:rPr>
                <w:rFonts w:hint="eastAsia" w:ascii="仿宋" w:hAnsi="仿宋" w:eastAsia="仿宋" w:cs="仿宋"/>
                <w:color w:val="000000"/>
              </w:rPr>
              <w:t>2.双方确定，因履行本合同所产生的工作成果及其相关知识产权权利归甲方所有。</w:t>
            </w:r>
          </w:p>
        </w:tc>
      </w:tr>
      <w:tr w14:paraId="3957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4"/>
            <w:noWrap w:val="0"/>
            <w:vAlign w:val="top"/>
          </w:tcPr>
          <w:p w14:paraId="2CA0C559">
            <w:pPr>
              <w:keepNext w:val="0"/>
              <w:keepLines w:val="0"/>
              <w:pageBreakBefore w:val="0"/>
              <w:widowControl w:val="0"/>
              <w:kinsoku/>
              <w:wordWrap/>
              <w:overflowPunct/>
              <w:topLinePunct w:val="0"/>
              <w:autoSpaceDE/>
              <w:autoSpaceDN/>
              <w:bidi w:val="0"/>
              <w:spacing w:line="520" w:lineRule="exact"/>
              <w:ind w:right="105" w:rightChars="50"/>
              <w:jc w:val="left"/>
              <w:textAlignment w:val="auto"/>
              <w:rPr>
                <w:rFonts w:hint="eastAsia" w:ascii="仿宋" w:hAnsi="仿宋" w:eastAsia="仿宋" w:cs="仿宋"/>
                <w:bCs/>
                <w:color w:val="000000"/>
                <w:sz w:val="24"/>
                <w:szCs w:val="24"/>
              </w:rPr>
            </w:pPr>
            <w:r>
              <w:rPr>
                <w:rFonts w:hint="eastAsia" w:ascii="仿宋" w:hAnsi="仿宋" w:eastAsia="仿宋" w:cs="仿宋"/>
                <w:b/>
                <w:bCs/>
                <w:color w:val="000000"/>
                <w:sz w:val="24"/>
                <w:szCs w:val="24"/>
              </w:rPr>
              <w:t>十一、其他事项</w:t>
            </w:r>
          </w:p>
        </w:tc>
      </w:tr>
      <w:tr w14:paraId="7A1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0" w:type="dxa"/>
            <w:gridSpan w:val="4"/>
            <w:noWrap w:val="0"/>
            <w:vAlign w:val="top"/>
          </w:tcPr>
          <w:p w14:paraId="0D35083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1.下列文件系本合同的组成部分，相互解释，互为说明；解释合同文件的优先次序如下：</w:t>
            </w:r>
          </w:p>
          <w:p w14:paraId="369C963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（1）本合同书；</w:t>
            </w:r>
          </w:p>
          <w:p w14:paraId="1E06F0D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（2）中标通知书；</w:t>
            </w:r>
            <w:r>
              <w:rPr>
                <w:rFonts w:hint="eastAsia" w:ascii="仿宋" w:hAnsi="仿宋" w:eastAsia="仿宋" w:cs="仿宋"/>
                <w:color w:val="000000"/>
              </w:rPr>
              <w:tab/>
            </w:r>
          </w:p>
          <w:p w14:paraId="599A70F8">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（3）投标文件；</w:t>
            </w:r>
          </w:p>
          <w:p w14:paraId="4675022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（4）招标文件</w:t>
            </w:r>
            <w:r>
              <w:rPr>
                <w:rFonts w:hint="eastAsia" w:ascii="仿宋" w:hAnsi="仿宋" w:eastAsia="仿宋" w:cs="仿宋"/>
                <w:color w:val="000000"/>
                <w:lang w:eastAsia="zh-CN"/>
              </w:rPr>
              <w:t>（</w:t>
            </w:r>
            <w:r>
              <w:rPr>
                <w:rFonts w:hint="eastAsia" w:ascii="仿宋" w:hAnsi="仿宋" w:eastAsia="仿宋" w:cs="仿宋"/>
                <w:color w:val="000000"/>
              </w:rPr>
              <w:t>含招标需求附件</w:t>
            </w:r>
            <w:r>
              <w:rPr>
                <w:rFonts w:hint="eastAsia" w:ascii="仿宋" w:hAnsi="仿宋" w:eastAsia="仿宋" w:cs="仿宋"/>
                <w:color w:val="000000"/>
                <w:lang w:eastAsia="zh-CN"/>
              </w:rPr>
              <w:t>）</w:t>
            </w:r>
            <w:r>
              <w:rPr>
                <w:rFonts w:hint="eastAsia" w:ascii="仿宋" w:hAnsi="仿宋" w:eastAsia="仿宋" w:cs="仿宋"/>
                <w:color w:val="000000"/>
              </w:rPr>
              <w:t>；</w:t>
            </w:r>
          </w:p>
          <w:p w14:paraId="369000E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上述合同文件包含当事人就该项合同文件</w:t>
            </w:r>
            <w:r>
              <w:rPr>
                <w:rFonts w:hint="eastAsia" w:ascii="仿宋" w:hAnsi="仿宋" w:eastAsia="仿宋" w:cs="仿宋"/>
                <w:color w:val="000000"/>
                <w:lang w:eastAsia="zh-CN"/>
              </w:rPr>
              <w:t>做出</w:t>
            </w:r>
            <w:r>
              <w:rPr>
                <w:rFonts w:hint="eastAsia" w:ascii="仿宋" w:hAnsi="仿宋" w:eastAsia="仿宋" w:cs="仿宋"/>
                <w:color w:val="000000"/>
              </w:rPr>
              <w:t>的补充和修改，属于同一类内容的文件，以最新签署的为准。本合同中未约定的事项，适用招、投标文件的相关条款；如招、投标文件的相关条款与本合同条款就同一事项约定不一致，按照有利于甲方的原则选择适用。附件、招标文件、投标文件及开标会议上签名的答疑记录等均作为合同的补充和修改，是合同文本不可分割的组成部分。本合同文本未述及或不详之处，以招标文件和相关附件为准。</w:t>
            </w:r>
          </w:p>
          <w:p w14:paraId="735DA66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2.在执行本合同的过程中，所有经双方签署确认的文件（包括会议纪要、补充协议、往来信函）即成为本合同的有效组成部分。</w:t>
            </w:r>
          </w:p>
          <w:p w14:paraId="39010C4E">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3.本合同文本不得涂改。合同内容如需修改，应经甲、乙双方协商签订补充</w:t>
            </w:r>
            <w:r>
              <w:rPr>
                <w:rFonts w:hint="eastAsia" w:ascii="仿宋" w:hAnsi="仿宋" w:eastAsia="仿宋" w:cs="仿宋"/>
                <w:color w:val="000000"/>
                <w:lang w:eastAsia="zh-CN"/>
              </w:rPr>
              <w:t>协议</w:t>
            </w:r>
            <w:r>
              <w:rPr>
                <w:rFonts w:hint="eastAsia" w:ascii="仿宋" w:hAnsi="仿宋" w:eastAsia="仿宋" w:cs="仿宋"/>
                <w:color w:val="000000"/>
              </w:rPr>
              <w:t>。补充协议与本合同具有同等的法律效力。补充协议中的条款若与本合同中的相应条款发生冲突，则以补充协议中的该条款为准。</w:t>
            </w:r>
          </w:p>
          <w:p w14:paraId="30DAB2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4.因本合同引起的纠纷，应由双方协商解决，若协商无法解决，甲乙双方均可向甲方所在地有管辖权的人民法院提起诉讼。</w:t>
            </w:r>
          </w:p>
          <w:p w14:paraId="5B709DE8">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5.本合同自双方授权代表签字并加盖公章之日起生效。</w:t>
            </w:r>
          </w:p>
          <w:p w14:paraId="0BA34E1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6.本合同壹式捌份，甲方执陆份，乙方执贰份，各份合同文本具有同等法律效力。</w:t>
            </w:r>
          </w:p>
          <w:p w14:paraId="2010EA1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color w:val="000000"/>
              </w:rPr>
            </w:pPr>
            <w:r>
              <w:rPr>
                <w:rFonts w:hint="eastAsia" w:ascii="仿宋" w:hAnsi="仿宋" w:eastAsia="仿宋" w:cs="仿宋"/>
                <w:color w:val="000000"/>
              </w:rPr>
              <w:t>7.以下合同签署栏内联系方式及地址为双方确认的有效送达地址，任何一方变更应在变更后3日内通知另一方，否则原通讯地址的送达仍视为有效送达。与本合同签订、履行、变更、解除、诉讼有关的通知、信息、文件到达上述地址（变更时，以一方事先书面通知变更的新址为准）即视为送达。</w:t>
            </w:r>
          </w:p>
        </w:tc>
      </w:tr>
      <w:tr w14:paraId="2F9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noWrap w:val="0"/>
            <w:vAlign w:val="center"/>
          </w:tcPr>
          <w:p w14:paraId="3AE2B96E">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委托单位（甲方）</w:t>
            </w:r>
          </w:p>
        </w:tc>
        <w:tc>
          <w:tcPr>
            <w:tcW w:w="1956" w:type="dxa"/>
            <w:noWrap w:val="0"/>
            <w:vAlign w:val="center"/>
          </w:tcPr>
          <w:p w14:paraId="6AA77521">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单位名称</w:t>
            </w:r>
          </w:p>
        </w:tc>
        <w:tc>
          <w:tcPr>
            <w:tcW w:w="3943" w:type="dxa"/>
            <w:noWrap w:val="0"/>
            <w:vAlign w:val="top"/>
          </w:tcPr>
          <w:p w14:paraId="2BA91B8C">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新疆维吾尔自治区市场监督管理局</w:t>
            </w:r>
          </w:p>
        </w:tc>
        <w:tc>
          <w:tcPr>
            <w:tcW w:w="2332" w:type="dxa"/>
            <w:vMerge w:val="restart"/>
            <w:noWrap w:val="0"/>
            <w:vAlign w:val="center"/>
          </w:tcPr>
          <w:p w14:paraId="09133F92">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单位公章</w:t>
            </w:r>
          </w:p>
          <w:p w14:paraId="10665880">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年   月   日</w:t>
            </w:r>
          </w:p>
        </w:tc>
      </w:tr>
      <w:tr w14:paraId="3FB2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89" w:type="dxa"/>
            <w:vMerge w:val="continue"/>
            <w:noWrap w:val="0"/>
            <w:vAlign w:val="top"/>
          </w:tcPr>
          <w:p w14:paraId="1EEF2897">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5E00C1E5">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委托单位（甲方）代表（签字）</w:t>
            </w:r>
          </w:p>
        </w:tc>
        <w:tc>
          <w:tcPr>
            <w:tcW w:w="3943" w:type="dxa"/>
            <w:noWrap w:val="0"/>
            <w:vAlign w:val="top"/>
          </w:tcPr>
          <w:p w14:paraId="5C653162">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3881F92D">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6C42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0E264408">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64C7FCE2">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项目联系人</w:t>
            </w:r>
          </w:p>
        </w:tc>
        <w:tc>
          <w:tcPr>
            <w:tcW w:w="3943" w:type="dxa"/>
            <w:noWrap w:val="0"/>
            <w:vAlign w:val="top"/>
          </w:tcPr>
          <w:p w14:paraId="4C883911">
            <w:pPr>
              <w:keepNext w:val="0"/>
              <w:keepLines w:val="0"/>
              <w:pageBreakBefore w:val="0"/>
              <w:widowControl w:val="0"/>
              <w:kinsoku/>
              <w:wordWrap/>
              <w:overflowPunct/>
              <w:topLinePunct w:val="0"/>
              <w:autoSpaceDE/>
              <w:autoSpaceDN/>
              <w:bidi w:val="0"/>
              <w:adjustRightInd/>
              <w:snapToGrid/>
              <w:spacing w:line="288"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热伊莱</w:t>
            </w:r>
          </w:p>
        </w:tc>
        <w:tc>
          <w:tcPr>
            <w:tcW w:w="2332" w:type="dxa"/>
            <w:vMerge w:val="continue"/>
            <w:noWrap w:val="0"/>
            <w:vAlign w:val="top"/>
          </w:tcPr>
          <w:p w14:paraId="20D9AD37">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7CCD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2EEDA8F">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21444BCC">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电子信箱</w:t>
            </w:r>
          </w:p>
        </w:tc>
        <w:tc>
          <w:tcPr>
            <w:tcW w:w="3943" w:type="dxa"/>
            <w:noWrap w:val="0"/>
            <w:vAlign w:val="top"/>
          </w:tcPr>
          <w:p w14:paraId="76BD98FF">
            <w:pPr>
              <w:keepNext w:val="0"/>
              <w:keepLines w:val="0"/>
              <w:pageBreakBefore w:val="0"/>
              <w:widowControl w:val="0"/>
              <w:kinsoku/>
              <w:wordWrap/>
              <w:overflowPunct/>
              <w:topLinePunct w:val="0"/>
              <w:autoSpaceDE/>
              <w:autoSpaceDN/>
              <w:bidi w:val="0"/>
              <w:adjustRightInd/>
              <w:snapToGrid/>
              <w:spacing w:line="288"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1457329588</w:t>
            </w:r>
            <w:r>
              <w:rPr>
                <w:rFonts w:hint="eastAsia" w:ascii="仿宋" w:hAnsi="仿宋" w:eastAsia="仿宋" w:cs="仿宋"/>
                <w:bCs/>
                <w:color w:val="000000"/>
                <w:sz w:val="21"/>
                <w:szCs w:val="21"/>
              </w:rPr>
              <w:t>@qq.com</w:t>
            </w:r>
          </w:p>
        </w:tc>
        <w:tc>
          <w:tcPr>
            <w:tcW w:w="2332" w:type="dxa"/>
            <w:vMerge w:val="continue"/>
            <w:noWrap w:val="0"/>
            <w:vAlign w:val="top"/>
          </w:tcPr>
          <w:p w14:paraId="67D0E51C">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7EF2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4CBD49D2">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329AF4A4">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通讯地址</w:t>
            </w:r>
          </w:p>
        </w:tc>
        <w:tc>
          <w:tcPr>
            <w:tcW w:w="3943" w:type="dxa"/>
            <w:noWrap w:val="0"/>
            <w:vAlign w:val="top"/>
          </w:tcPr>
          <w:p w14:paraId="148F0120">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乌鲁木齐市天山区新华南路167号</w:t>
            </w:r>
          </w:p>
        </w:tc>
        <w:tc>
          <w:tcPr>
            <w:tcW w:w="2332" w:type="dxa"/>
            <w:vMerge w:val="continue"/>
            <w:noWrap w:val="0"/>
            <w:vAlign w:val="top"/>
          </w:tcPr>
          <w:p w14:paraId="2E04C48F">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50AD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4991E7BC">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5D546263">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邮编</w:t>
            </w:r>
          </w:p>
        </w:tc>
        <w:tc>
          <w:tcPr>
            <w:tcW w:w="3943" w:type="dxa"/>
            <w:noWrap w:val="0"/>
            <w:vAlign w:val="top"/>
          </w:tcPr>
          <w:p w14:paraId="37C7B23F">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830004</w:t>
            </w:r>
          </w:p>
        </w:tc>
        <w:tc>
          <w:tcPr>
            <w:tcW w:w="2332" w:type="dxa"/>
            <w:vMerge w:val="continue"/>
            <w:noWrap w:val="0"/>
            <w:vAlign w:val="top"/>
          </w:tcPr>
          <w:p w14:paraId="17832D98">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39B9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26ABFFDB">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075831CC">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电话</w:t>
            </w:r>
          </w:p>
        </w:tc>
        <w:tc>
          <w:tcPr>
            <w:tcW w:w="3943" w:type="dxa"/>
            <w:noWrap w:val="0"/>
            <w:vAlign w:val="top"/>
          </w:tcPr>
          <w:p w14:paraId="1D851EF6">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0991-2811493</w:t>
            </w:r>
          </w:p>
        </w:tc>
        <w:tc>
          <w:tcPr>
            <w:tcW w:w="2332" w:type="dxa"/>
            <w:vMerge w:val="continue"/>
            <w:noWrap w:val="0"/>
            <w:vAlign w:val="top"/>
          </w:tcPr>
          <w:p w14:paraId="2DF0843A">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33CF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top"/>
          </w:tcPr>
          <w:p w14:paraId="5D77C5B0">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1956" w:type="dxa"/>
            <w:noWrap w:val="0"/>
            <w:vAlign w:val="center"/>
          </w:tcPr>
          <w:p w14:paraId="48A98E9D">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传真</w:t>
            </w:r>
          </w:p>
        </w:tc>
        <w:tc>
          <w:tcPr>
            <w:tcW w:w="3943" w:type="dxa"/>
            <w:noWrap w:val="0"/>
            <w:vAlign w:val="top"/>
          </w:tcPr>
          <w:p w14:paraId="1FC1FF1E">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0991-2811493</w:t>
            </w:r>
          </w:p>
        </w:tc>
        <w:tc>
          <w:tcPr>
            <w:tcW w:w="2332" w:type="dxa"/>
            <w:vMerge w:val="continue"/>
            <w:noWrap w:val="0"/>
            <w:vAlign w:val="top"/>
          </w:tcPr>
          <w:p w14:paraId="1D998A9B">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67A8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9" w:type="dxa"/>
            <w:vMerge w:val="restart"/>
            <w:noWrap w:val="0"/>
            <w:vAlign w:val="center"/>
          </w:tcPr>
          <w:p w14:paraId="24B495AD">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服务单位（乙方）</w:t>
            </w:r>
          </w:p>
        </w:tc>
        <w:tc>
          <w:tcPr>
            <w:tcW w:w="1956" w:type="dxa"/>
            <w:noWrap w:val="0"/>
            <w:vAlign w:val="center"/>
          </w:tcPr>
          <w:p w14:paraId="61EC114F">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单位名称</w:t>
            </w:r>
          </w:p>
        </w:tc>
        <w:tc>
          <w:tcPr>
            <w:tcW w:w="3943" w:type="dxa"/>
            <w:noWrap w:val="0"/>
            <w:vAlign w:val="top"/>
          </w:tcPr>
          <w:p w14:paraId="2F39790B">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lang w:val="en-US" w:eastAsia="zh-CN"/>
              </w:rPr>
            </w:pPr>
          </w:p>
        </w:tc>
        <w:tc>
          <w:tcPr>
            <w:tcW w:w="2332" w:type="dxa"/>
            <w:vMerge w:val="restart"/>
            <w:noWrap w:val="0"/>
            <w:vAlign w:val="center"/>
          </w:tcPr>
          <w:p w14:paraId="030590FF">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单位公章</w:t>
            </w:r>
          </w:p>
          <w:p w14:paraId="54215B72">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年   月   日</w:t>
            </w:r>
          </w:p>
        </w:tc>
      </w:tr>
      <w:tr w14:paraId="182F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89" w:type="dxa"/>
            <w:vMerge w:val="continue"/>
            <w:noWrap w:val="0"/>
            <w:vAlign w:val="center"/>
          </w:tcPr>
          <w:p w14:paraId="6B1DF3F4">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7A874892">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法人代表（或委托代理人）（签字）</w:t>
            </w:r>
          </w:p>
        </w:tc>
        <w:tc>
          <w:tcPr>
            <w:tcW w:w="3943" w:type="dxa"/>
            <w:noWrap w:val="0"/>
            <w:vAlign w:val="top"/>
          </w:tcPr>
          <w:p w14:paraId="5EDFC9CD">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center"/>
          </w:tcPr>
          <w:p w14:paraId="0D2AA772">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p>
        </w:tc>
      </w:tr>
      <w:tr w14:paraId="1A1E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9" w:type="dxa"/>
            <w:vMerge w:val="continue"/>
            <w:noWrap w:val="0"/>
            <w:vAlign w:val="center"/>
          </w:tcPr>
          <w:p w14:paraId="00F201DE">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3C955364">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项目联系人</w:t>
            </w:r>
          </w:p>
        </w:tc>
        <w:tc>
          <w:tcPr>
            <w:tcW w:w="3943" w:type="dxa"/>
            <w:noWrap w:val="0"/>
            <w:vAlign w:val="center"/>
          </w:tcPr>
          <w:p w14:paraId="2F589540">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lang w:val="en-US" w:eastAsia="zh-CN"/>
              </w:rPr>
            </w:pPr>
          </w:p>
        </w:tc>
        <w:tc>
          <w:tcPr>
            <w:tcW w:w="2332" w:type="dxa"/>
            <w:vMerge w:val="continue"/>
            <w:noWrap w:val="0"/>
            <w:vAlign w:val="center"/>
          </w:tcPr>
          <w:p w14:paraId="1C5987E7">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p>
        </w:tc>
      </w:tr>
      <w:tr w14:paraId="1575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9" w:type="dxa"/>
            <w:vMerge w:val="continue"/>
            <w:noWrap w:val="0"/>
            <w:vAlign w:val="center"/>
          </w:tcPr>
          <w:p w14:paraId="07F300E5">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374C5085">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电子信箱</w:t>
            </w:r>
          </w:p>
        </w:tc>
        <w:tc>
          <w:tcPr>
            <w:tcW w:w="3943" w:type="dxa"/>
            <w:noWrap w:val="0"/>
            <w:vAlign w:val="center"/>
          </w:tcPr>
          <w:p w14:paraId="2AC78AA9">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lang w:val="en-US" w:eastAsia="zh-CN"/>
              </w:rPr>
            </w:pPr>
          </w:p>
        </w:tc>
        <w:tc>
          <w:tcPr>
            <w:tcW w:w="2332" w:type="dxa"/>
            <w:vMerge w:val="continue"/>
            <w:noWrap w:val="0"/>
            <w:vAlign w:val="center"/>
          </w:tcPr>
          <w:p w14:paraId="07D6184B">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p>
        </w:tc>
      </w:tr>
      <w:tr w14:paraId="3522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89" w:type="dxa"/>
            <w:vMerge w:val="continue"/>
            <w:noWrap w:val="0"/>
            <w:vAlign w:val="center"/>
          </w:tcPr>
          <w:p w14:paraId="59863F2F">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7B5DC65C">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通讯地址</w:t>
            </w:r>
          </w:p>
        </w:tc>
        <w:tc>
          <w:tcPr>
            <w:tcW w:w="3943" w:type="dxa"/>
            <w:noWrap w:val="0"/>
            <w:vAlign w:val="center"/>
          </w:tcPr>
          <w:p w14:paraId="1933A274">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lang w:val="en-US" w:eastAsia="zh-CN"/>
              </w:rPr>
            </w:pPr>
          </w:p>
        </w:tc>
        <w:tc>
          <w:tcPr>
            <w:tcW w:w="2332" w:type="dxa"/>
            <w:vMerge w:val="continue"/>
            <w:noWrap w:val="0"/>
            <w:vAlign w:val="center"/>
          </w:tcPr>
          <w:p w14:paraId="3A7663F5">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4"/>
                <w:szCs w:val="24"/>
              </w:rPr>
            </w:pPr>
          </w:p>
        </w:tc>
      </w:tr>
      <w:tr w14:paraId="2ED0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89" w:type="dxa"/>
            <w:vMerge w:val="continue"/>
            <w:noWrap w:val="0"/>
            <w:vAlign w:val="center"/>
          </w:tcPr>
          <w:p w14:paraId="1F0C68FA">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14C8CE75">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邮编</w:t>
            </w:r>
          </w:p>
        </w:tc>
        <w:tc>
          <w:tcPr>
            <w:tcW w:w="3943" w:type="dxa"/>
            <w:noWrap w:val="0"/>
            <w:vAlign w:val="center"/>
          </w:tcPr>
          <w:p w14:paraId="52D30238">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1C597A5A">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31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208BE5A">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6F07CFED">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电话</w:t>
            </w:r>
          </w:p>
        </w:tc>
        <w:tc>
          <w:tcPr>
            <w:tcW w:w="3943" w:type="dxa"/>
            <w:noWrap w:val="0"/>
            <w:vAlign w:val="center"/>
          </w:tcPr>
          <w:p w14:paraId="212958CE">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78D300C2">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4709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0FF4340A">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41B20159">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传真</w:t>
            </w:r>
          </w:p>
        </w:tc>
        <w:tc>
          <w:tcPr>
            <w:tcW w:w="3943" w:type="dxa"/>
            <w:noWrap w:val="0"/>
            <w:vAlign w:val="center"/>
          </w:tcPr>
          <w:p w14:paraId="073C9CE6">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4AE1186F">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79D6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noWrap w:val="0"/>
            <w:vAlign w:val="center"/>
          </w:tcPr>
          <w:p w14:paraId="6CD4D028">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707821A7">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开户银行</w:t>
            </w:r>
          </w:p>
        </w:tc>
        <w:tc>
          <w:tcPr>
            <w:tcW w:w="3943" w:type="dxa"/>
            <w:noWrap w:val="0"/>
            <w:vAlign w:val="center"/>
          </w:tcPr>
          <w:p w14:paraId="25DFDD0E">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410C3A8C">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r w14:paraId="597F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89" w:type="dxa"/>
            <w:vMerge w:val="continue"/>
            <w:noWrap w:val="0"/>
            <w:vAlign w:val="center"/>
          </w:tcPr>
          <w:p w14:paraId="352AF27C">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p>
        </w:tc>
        <w:tc>
          <w:tcPr>
            <w:tcW w:w="1956" w:type="dxa"/>
            <w:noWrap w:val="0"/>
            <w:vAlign w:val="center"/>
          </w:tcPr>
          <w:p w14:paraId="31D97B5A">
            <w:pPr>
              <w:keepNext w:val="0"/>
              <w:keepLines w:val="0"/>
              <w:pageBreakBefore w:val="0"/>
              <w:widowControl w:val="0"/>
              <w:kinsoku/>
              <w:wordWrap/>
              <w:overflowPunct/>
              <w:topLinePunct w:val="0"/>
              <w:autoSpaceDE/>
              <w:autoSpaceDN/>
              <w:bidi w:val="0"/>
              <w:spacing w:line="360" w:lineRule="auto"/>
              <w:ind w:right="105" w:rightChars="50"/>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账号</w:t>
            </w:r>
          </w:p>
        </w:tc>
        <w:tc>
          <w:tcPr>
            <w:tcW w:w="3943" w:type="dxa"/>
            <w:noWrap w:val="0"/>
            <w:vAlign w:val="center"/>
          </w:tcPr>
          <w:p w14:paraId="6BFA5D3C">
            <w:pPr>
              <w:keepNext w:val="0"/>
              <w:keepLines w:val="0"/>
              <w:pageBreakBefore w:val="0"/>
              <w:widowControl w:val="0"/>
              <w:kinsoku/>
              <w:wordWrap/>
              <w:overflowPunct/>
              <w:topLinePunct w:val="0"/>
              <w:autoSpaceDE/>
              <w:autoSpaceDN/>
              <w:bidi w:val="0"/>
              <w:adjustRightInd/>
              <w:snapToGrid/>
              <w:spacing w:line="360" w:lineRule="auto"/>
              <w:ind w:right="105" w:rightChars="50"/>
              <w:jc w:val="left"/>
              <w:textAlignment w:val="auto"/>
              <w:rPr>
                <w:rFonts w:hint="eastAsia" w:ascii="仿宋" w:hAnsi="仿宋" w:eastAsia="仿宋" w:cs="仿宋"/>
                <w:bCs/>
                <w:color w:val="000000"/>
                <w:sz w:val="21"/>
                <w:szCs w:val="21"/>
              </w:rPr>
            </w:pPr>
          </w:p>
        </w:tc>
        <w:tc>
          <w:tcPr>
            <w:tcW w:w="2332" w:type="dxa"/>
            <w:vMerge w:val="continue"/>
            <w:noWrap w:val="0"/>
            <w:vAlign w:val="top"/>
          </w:tcPr>
          <w:p w14:paraId="20AB4968">
            <w:pPr>
              <w:keepNext w:val="0"/>
              <w:keepLines w:val="0"/>
              <w:pageBreakBefore w:val="0"/>
              <w:widowControl w:val="0"/>
              <w:kinsoku/>
              <w:wordWrap/>
              <w:overflowPunct/>
              <w:topLinePunct w:val="0"/>
              <w:autoSpaceDE/>
              <w:autoSpaceDN/>
              <w:bidi w:val="0"/>
              <w:spacing w:line="360" w:lineRule="auto"/>
              <w:ind w:right="105" w:rightChars="50"/>
              <w:jc w:val="left"/>
              <w:textAlignment w:val="auto"/>
              <w:rPr>
                <w:rFonts w:hint="eastAsia" w:ascii="仿宋" w:hAnsi="仿宋" w:eastAsia="仿宋" w:cs="仿宋"/>
                <w:bCs/>
                <w:color w:val="000000"/>
                <w:sz w:val="24"/>
                <w:szCs w:val="24"/>
              </w:rPr>
            </w:pPr>
          </w:p>
        </w:tc>
      </w:tr>
    </w:tbl>
    <w:p w14:paraId="398DD3EF">
      <w:pPr>
        <w:rPr>
          <w:rFonts w:hint="eastAsia"/>
          <w:lang w:val="en-US" w:eastAsia="zh-CN"/>
        </w:rPr>
      </w:pPr>
    </w:p>
    <w:p w14:paraId="2777EE40">
      <w:pPr>
        <w:pStyle w:val="3"/>
        <w:spacing w:before="163" w:line="229" w:lineRule="auto"/>
        <w:ind w:left="1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p>
    <w:p w14:paraId="31195E6E">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14:paraId="77EFCFB7">
      <w:pPr>
        <w:pStyle w:val="3"/>
        <w:spacing w:before="163" w:line="229" w:lineRule="auto"/>
        <w:ind w:left="11"/>
        <w:rPr>
          <w:rFonts w:hint="eastAsia" w:ascii="仿宋" w:hAnsi="仿宋" w:eastAsia="仿宋" w:cs="仿宋"/>
          <w:b w:val="0"/>
          <w:bCs w:val="0"/>
          <w:sz w:val="24"/>
          <w:szCs w:val="24"/>
          <w:lang w:val="en-US" w:eastAsia="zh-CN"/>
        </w:rPr>
      </w:pPr>
    </w:p>
    <w:p w14:paraId="3F37E051">
      <w:pPr>
        <w:pStyle w:val="7"/>
        <w:numPr>
          <w:ilvl w:val="0"/>
          <w:numId w:val="2"/>
        </w:numPr>
        <w:bidi w:val="0"/>
        <w:jc w:val="center"/>
        <w:rPr>
          <w:rFonts w:hint="eastAsia" w:ascii="仿宋" w:hAnsi="仿宋" w:eastAsia="仿宋" w:cs="仿宋"/>
          <w:sz w:val="32"/>
          <w:szCs w:val="32"/>
          <w:lang w:val="en-US" w:eastAsia="zh-CN"/>
        </w:rPr>
      </w:pPr>
      <w:bookmarkStart w:id="27" w:name="_Toc20159"/>
      <w:r>
        <w:rPr>
          <w:rFonts w:hint="eastAsia" w:ascii="仿宋" w:hAnsi="仿宋" w:eastAsia="仿宋" w:cs="仿宋"/>
          <w:sz w:val="32"/>
          <w:szCs w:val="32"/>
          <w:lang w:val="en-US" w:eastAsia="zh-CN"/>
        </w:rPr>
        <w:t>采购需求</w:t>
      </w:r>
      <w:bookmarkEnd w:id="27"/>
    </w:p>
    <w:p w14:paraId="17E752BA">
      <w:pPr>
        <w:spacing w:line="132" w:lineRule="exact"/>
        <w:rPr>
          <w:rFonts w:hint="eastAsia" w:ascii="仿宋" w:hAnsi="仿宋" w:eastAsia="仿宋" w:cs="仿宋"/>
          <w:spacing w:val="0"/>
          <w:position w:val="0"/>
          <w:sz w:val="24"/>
          <w:szCs w:val="24"/>
        </w:rPr>
      </w:pPr>
    </w:p>
    <w:p w14:paraId="4E3519A3">
      <w:pPr>
        <w:numPr>
          <w:ilvl w:val="0"/>
          <w:numId w:val="11"/>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项目概况</w:t>
      </w:r>
    </w:p>
    <w:p w14:paraId="3B5BB77F">
      <w:pPr>
        <w:widowControl w:val="0"/>
        <w:pBdr>
          <w:bottom w:val="none" w:color="auto" w:sz="0" w:space="0"/>
        </w:pBdr>
        <w:autoSpaceDE w:val="0"/>
        <w:autoSpaceDN w:val="0"/>
        <w:snapToGrid w:val="0"/>
        <w:spacing w:line="360" w:lineRule="auto"/>
        <w:ind w:firstLine="480" w:firstLineChars="200"/>
        <w:jc w:val="both"/>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标的名称：新疆维吾尔自治区市场监督管理局2025年第二批重点产品监督抽查项目</w:t>
      </w:r>
    </w:p>
    <w:p w14:paraId="33A47428">
      <w:pPr>
        <w:wordWrap w:val="0"/>
        <w:autoSpaceDE w:val="0"/>
        <w:autoSpaceDN w:val="0"/>
        <w:spacing w:line="360" w:lineRule="auto"/>
        <w:ind w:firstLine="480" w:firstLineChars="200"/>
        <w:jc w:val="left"/>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工作目标：依据相关标准、相关法律及国家有关规定对自治区范围内</w:t>
      </w:r>
      <w:r>
        <w:rPr>
          <w:rFonts w:hint="eastAsia" w:ascii="仿宋" w:hAnsi="仿宋" w:eastAsia="仿宋" w:cs="仿宋"/>
          <w:color w:val="auto"/>
          <w:kern w:val="0"/>
          <w:sz w:val="24"/>
          <w:szCs w:val="24"/>
          <w:highlight w:val="none"/>
          <w:lang w:val="en-US" w:eastAsia="zh-CN" w:bidi="zh-CN"/>
        </w:rPr>
        <w:t>工业生产资料、农业生产资料、烟花爆竹</w:t>
      </w:r>
      <w:r>
        <w:rPr>
          <w:rFonts w:hint="eastAsia" w:ascii="仿宋" w:hAnsi="仿宋" w:eastAsia="仿宋" w:cs="仿宋"/>
          <w:kern w:val="0"/>
          <w:sz w:val="24"/>
          <w:szCs w:val="24"/>
          <w:lang w:val="zh-CN" w:eastAsia="zh-CN" w:bidi="zh-CN"/>
        </w:rPr>
        <w:t>等产品</w:t>
      </w:r>
      <w:r>
        <w:rPr>
          <w:rFonts w:hint="eastAsia" w:ascii="仿宋" w:hAnsi="仿宋" w:eastAsia="仿宋" w:cs="仿宋"/>
          <w:kern w:val="0"/>
          <w:sz w:val="24"/>
          <w:szCs w:val="24"/>
          <w:lang w:val="zh-CN" w:bidi="zh-CN"/>
        </w:rPr>
        <w:t>开展监督抽查检验</w:t>
      </w:r>
      <w:r>
        <w:rPr>
          <w:rFonts w:hint="eastAsia" w:ascii="仿宋" w:hAnsi="仿宋" w:eastAsia="仿宋" w:cs="仿宋"/>
          <w:kern w:val="0"/>
          <w:sz w:val="24"/>
          <w:szCs w:val="24"/>
          <w:lang w:val="zh-CN" w:eastAsia="zh-CN" w:bidi="zh-CN"/>
        </w:rPr>
        <w:t>和风险监测</w:t>
      </w:r>
      <w:r>
        <w:rPr>
          <w:rFonts w:hint="eastAsia" w:ascii="仿宋" w:hAnsi="仿宋" w:eastAsia="仿宋" w:cs="仿宋"/>
          <w:kern w:val="0"/>
          <w:sz w:val="24"/>
          <w:szCs w:val="24"/>
          <w:lang w:val="zh-CN" w:bidi="zh-CN"/>
        </w:rPr>
        <w:t>工作。抽检完成后，及时出具检测结果和检测报告并做好复检工作。</w:t>
      </w:r>
    </w:p>
    <w:p w14:paraId="2CB5ED8F">
      <w:pPr>
        <w:numPr>
          <w:ilvl w:val="0"/>
          <w:numId w:val="0"/>
        </w:numPr>
        <w:spacing w:line="360" w:lineRule="auto"/>
        <w:ind w:firstLine="480" w:firstLineChars="200"/>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需满足的要求：承检机构的抽样、检验工作要符合《产品质量监督抽查抽样检验技术服务规范》（T/GDAQI 020—2020）要求。</w:t>
      </w:r>
    </w:p>
    <w:p w14:paraId="5E6297B7">
      <w:pPr>
        <w:numPr>
          <w:ilvl w:val="0"/>
          <w:numId w:val="11"/>
        </w:numPr>
        <w:ind w:left="0" w:leftChars="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项目基本概况</w:t>
      </w:r>
    </w:p>
    <w:p w14:paraId="47158A25">
      <w:pPr>
        <w:widowControl/>
        <w:autoSpaceDE w:val="0"/>
        <w:autoSpaceDN w:val="0"/>
        <w:spacing w:line="360" w:lineRule="auto"/>
        <w:ind w:firstLine="482" w:firstLineChars="200"/>
        <w:jc w:val="left"/>
        <w:rPr>
          <w:rFonts w:hint="eastAsia" w:ascii="仿宋" w:hAnsi="仿宋" w:eastAsia="仿宋" w:cs="仿宋"/>
          <w:b/>
          <w:bCs/>
          <w:color w:val="auto"/>
          <w:kern w:val="0"/>
          <w:sz w:val="24"/>
          <w:szCs w:val="24"/>
          <w:highlight w:val="none"/>
          <w:lang w:val="zh-CN" w:bidi="zh-CN"/>
        </w:rPr>
      </w:pPr>
      <w:r>
        <w:rPr>
          <w:rFonts w:hint="eastAsia" w:ascii="仿宋" w:hAnsi="仿宋" w:eastAsia="仿宋" w:cs="仿宋"/>
          <w:b/>
          <w:bCs/>
          <w:color w:val="auto"/>
          <w:kern w:val="0"/>
          <w:sz w:val="24"/>
          <w:szCs w:val="24"/>
          <w:highlight w:val="none"/>
          <w:lang w:val="zh-CN" w:bidi="zh-CN"/>
        </w:rPr>
        <w:t>1.服务范围：</w:t>
      </w:r>
    </w:p>
    <w:p w14:paraId="5E945735">
      <w:pPr>
        <w:wordWrap w:val="0"/>
        <w:autoSpaceDE w:val="0"/>
        <w:autoSpaceDN w:val="0"/>
        <w:spacing w:line="360" w:lineRule="auto"/>
        <w:ind w:firstLine="480" w:firstLineChars="200"/>
        <w:jc w:val="left"/>
        <w:rPr>
          <w:rFonts w:hint="eastAsia" w:ascii="仿宋" w:hAnsi="仿宋" w:eastAsia="仿宋" w:cs="仿宋"/>
          <w:sz w:val="22"/>
          <w:szCs w:val="22"/>
          <w:highlight w:val="yellow"/>
          <w:lang w:val="zh-CN" w:eastAsia="zh-CN" w:bidi="zh-CN"/>
        </w:rPr>
      </w:pPr>
      <w:r>
        <w:rPr>
          <w:rFonts w:hint="eastAsia" w:ascii="仿宋" w:hAnsi="仿宋" w:eastAsia="仿宋" w:cs="仿宋"/>
          <w:color w:val="auto"/>
          <w:kern w:val="0"/>
          <w:sz w:val="24"/>
          <w:szCs w:val="24"/>
          <w:highlight w:val="none"/>
          <w:lang w:val="zh-CN" w:bidi="zh-CN"/>
        </w:rPr>
        <w:t>对自治区范围内</w:t>
      </w:r>
      <w:r>
        <w:rPr>
          <w:rFonts w:hint="eastAsia" w:ascii="仿宋" w:hAnsi="仿宋" w:eastAsia="仿宋" w:cs="仿宋"/>
          <w:color w:val="auto"/>
          <w:kern w:val="0"/>
          <w:sz w:val="24"/>
          <w:szCs w:val="24"/>
          <w:highlight w:val="none"/>
          <w:lang w:val="en-US" w:eastAsia="zh-CN" w:bidi="zh-CN"/>
        </w:rPr>
        <w:t>工业生产资料、农业生产资料、烟花爆竹</w:t>
      </w:r>
      <w:r>
        <w:rPr>
          <w:rFonts w:hint="eastAsia" w:ascii="仿宋" w:hAnsi="仿宋" w:eastAsia="仿宋" w:cs="仿宋"/>
          <w:color w:val="auto"/>
          <w:kern w:val="0"/>
          <w:sz w:val="24"/>
          <w:szCs w:val="24"/>
          <w:highlight w:val="none"/>
          <w:lang w:val="zh-CN" w:eastAsia="zh-CN" w:bidi="zh-CN"/>
        </w:rPr>
        <w:t>等</w:t>
      </w:r>
      <w:r>
        <w:rPr>
          <w:rFonts w:hint="eastAsia" w:ascii="仿宋" w:hAnsi="仿宋" w:eastAsia="仿宋" w:cs="仿宋"/>
          <w:color w:val="auto"/>
          <w:kern w:val="0"/>
          <w:sz w:val="24"/>
          <w:szCs w:val="24"/>
          <w:highlight w:val="none"/>
          <w:lang w:val="zh-CN" w:bidi="zh-CN"/>
        </w:rPr>
        <w:t>开展监督抽查检验</w:t>
      </w:r>
      <w:r>
        <w:rPr>
          <w:rFonts w:hint="eastAsia" w:ascii="仿宋" w:hAnsi="仿宋" w:eastAsia="仿宋" w:cs="仿宋"/>
          <w:color w:val="auto"/>
          <w:kern w:val="0"/>
          <w:sz w:val="24"/>
          <w:szCs w:val="24"/>
          <w:highlight w:val="none"/>
          <w:lang w:val="zh-CN" w:eastAsia="zh-CN" w:bidi="zh-CN"/>
        </w:rPr>
        <w:t>和风险监测</w:t>
      </w:r>
      <w:r>
        <w:rPr>
          <w:rFonts w:hint="eastAsia" w:ascii="仿宋" w:hAnsi="仿宋" w:eastAsia="仿宋" w:cs="仿宋"/>
          <w:color w:val="auto"/>
          <w:kern w:val="0"/>
          <w:sz w:val="24"/>
          <w:szCs w:val="24"/>
          <w:highlight w:val="none"/>
          <w:lang w:val="zh-CN" w:bidi="zh-CN"/>
        </w:rPr>
        <w:t>工作。抽查对象为销售企业、生产企业等。采取监督抽查的方式，完成包括但不限于抽查方案制定、配合制定监督抽查实施细则、抽样工作、检验工作、报告送达、结果分析上报、异议复检、整改复查</w:t>
      </w:r>
      <w:r>
        <w:rPr>
          <w:rFonts w:hint="eastAsia" w:ascii="仿宋" w:hAnsi="仿宋" w:eastAsia="仿宋" w:cs="仿宋"/>
          <w:color w:val="auto"/>
          <w:kern w:val="0"/>
          <w:sz w:val="24"/>
          <w:szCs w:val="24"/>
          <w:highlight w:val="none"/>
          <w:lang w:val="zh-CN" w:eastAsia="zh-CN" w:bidi="zh-CN"/>
        </w:rPr>
        <w:t>、技术咨询、配合落实承检机构评估、能力验证和帮扶</w:t>
      </w:r>
      <w:r>
        <w:rPr>
          <w:rFonts w:hint="eastAsia" w:ascii="仿宋" w:hAnsi="仿宋" w:eastAsia="仿宋" w:cs="仿宋"/>
          <w:color w:val="auto"/>
          <w:kern w:val="0"/>
          <w:sz w:val="24"/>
          <w:szCs w:val="24"/>
          <w:highlight w:val="none"/>
          <w:lang w:val="zh-CN" w:bidi="zh-CN"/>
        </w:rPr>
        <w:t xml:space="preserve">等。 </w:t>
      </w:r>
    </w:p>
    <w:p w14:paraId="593DF49E">
      <w:pPr>
        <w:widowControl/>
        <w:autoSpaceDE w:val="0"/>
        <w:autoSpaceDN w:val="0"/>
        <w:spacing w:line="360" w:lineRule="auto"/>
        <w:ind w:firstLine="482" w:firstLineChars="200"/>
        <w:jc w:val="left"/>
        <w:rPr>
          <w:rFonts w:hint="eastAsia" w:ascii="仿宋" w:hAnsi="仿宋" w:eastAsia="仿宋" w:cs="仿宋"/>
          <w:b/>
          <w:bCs/>
          <w:kern w:val="0"/>
          <w:sz w:val="24"/>
          <w:szCs w:val="24"/>
          <w:highlight w:val="none"/>
          <w:lang w:val="zh-CN" w:bidi="zh-CN"/>
        </w:rPr>
      </w:pPr>
      <w:r>
        <w:rPr>
          <w:rFonts w:hint="eastAsia" w:ascii="仿宋" w:hAnsi="仿宋" w:eastAsia="仿宋" w:cs="仿宋"/>
          <w:b/>
          <w:bCs/>
          <w:kern w:val="0"/>
          <w:sz w:val="24"/>
          <w:szCs w:val="24"/>
          <w:highlight w:val="none"/>
          <w:lang w:val="zh-CN" w:bidi="zh-CN"/>
        </w:rPr>
        <w:t>2.服务要求：</w:t>
      </w:r>
    </w:p>
    <w:p w14:paraId="3D3792C9">
      <w:pPr>
        <w:wordWrap w:val="0"/>
        <w:autoSpaceDE w:val="0"/>
        <w:autoSpaceDN w:val="0"/>
        <w:spacing w:line="360" w:lineRule="auto"/>
        <w:ind w:firstLine="480" w:firstLineChars="200"/>
        <w:jc w:val="left"/>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根据采购人要求开展抽样、检验、结果送达、异议复检、整改复查</w:t>
      </w:r>
      <w:r>
        <w:rPr>
          <w:rFonts w:hint="eastAsia" w:ascii="仿宋" w:hAnsi="仿宋" w:eastAsia="仿宋" w:cs="仿宋"/>
          <w:kern w:val="0"/>
          <w:sz w:val="24"/>
          <w:szCs w:val="24"/>
          <w:highlight w:val="none"/>
          <w:lang w:val="zh-CN" w:eastAsia="zh-CN" w:bidi="zh-CN"/>
        </w:rPr>
        <w:t>、技术咨询、</w:t>
      </w:r>
      <w:r>
        <w:rPr>
          <w:rFonts w:hint="eastAsia" w:ascii="仿宋" w:hAnsi="仿宋" w:eastAsia="仿宋" w:cs="仿宋"/>
          <w:color w:val="auto"/>
          <w:kern w:val="0"/>
          <w:sz w:val="24"/>
          <w:szCs w:val="24"/>
          <w:highlight w:val="none"/>
          <w:lang w:val="zh-CN" w:eastAsia="zh-CN" w:bidi="zh-CN"/>
        </w:rPr>
        <w:t>配合落实承检机构评估、能力验证和帮扶</w:t>
      </w:r>
      <w:r>
        <w:rPr>
          <w:rFonts w:hint="eastAsia" w:ascii="仿宋" w:hAnsi="仿宋" w:eastAsia="仿宋" w:cs="仿宋"/>
          <w:color w:val="auto"/>
          <w:kern w:val="0"/>
          <w:sz w:val="24"/>
          <w:szCs w:val="24"/>
          <w:highlight w:val="none"/>
          <w:lang w:val="zh-CN" w:bidi="zh-CN"/>
        </w:rPr>
        <w:t>等。</w:t>
      </w:r>
    </w:p>
    <w:p w14:paraId="7892F274">
      <w:pPr>
        <w:wordWrap w:val="0"/>
        <w:autoSpaceDE w:val="0"/>
        <w:autoSpaceDN w:val="0"/>
        <w:spacing w:line="360" w:lineRule="auto"/>
        <w:ind w:firstLine="480" w:firstLineChars="200"/>
        <w:jc w:val="left"/>
        <w:rPr>
          <w:rFonts w:hint="eastAsia" w:ascii="仿宋" w:hAnsi="仿宋" w:eastAsia="仿宋" w:cs="仿宋"/>
          <w:kern w:val="0"/>
          <w:sz w:val="24"/>
          <w:szCs w:val="24"/>
          <w:lang w:val="zh-CN" w:bidi="zh-CN"/>
        </w:rPr>
      </w:pPr>
      <w:r>
        <w:rPr>
          <w:rFonts w:hint="eastAsia" w:ascii="仿宋" w:hAnsi="仿宋" w:eastAsia="仿宋" w:cs="仿宋"/>
          <w:kern w:val="0"/>
          <w:sz w:val="24"/>
          <w:szCs w:val="24"/>
          <w:highlight w:val="none"/>
          <w:lang w:val="zh-CN" w:bidi="zh-CN"/>
        </w:rPr>
        <w:t>1）检验任务不得转包且未经采购人允许不得分包，如发现中标单位有此行为的，采购人有权解除合同、已经抽查项目费用不予结算，并由其承担引起的一</w:t>
      </w:r>
      <w:r>
        <w:rPr>
          <w:rFonts w:hint="eastAsia" w:ascii="仿宋" w:hAnsi="仿宋" w:eastAsia="仿宋" w:cs="仿宋"/>
          <w:kern w:val="0"/>
          <w:sz w:val="24"/>
          <w:szCs w:val="24"/>
          <w:lang w:val="zh-CN" w:bidi="zh-CN"/>
        </w:rPr>
        <w:t>切经济损失要求赔偿并给予通报。</w:t>
      </w:r>
    </w:p>
    <w:p w14:paraId="25A5E266">
      <w:pPr>
        <w:wordWrap w:val="0"/>
        <w:autoSpaceDE w:val="0"/>
        <w:autoSpaceDN w:val="0"/>
        <w:spacing w:line="360" w:lineRule="auto"/>
        <w:ind w:firstLine="480" w:firstLineChars="200"/>
        <w:jc w:val="left"/>
        <w:rPr>
          <w:rFonts w:hint="eastAsia" w:ascii="仿宋" w:hAnsi="仿宋" w:eastAsia="仿宋" w:cs="仿宋"/>
          <w:sz w:val="22"/>
          <w:szCs w:val="22"/>
          <w:lang w:val="zh-CN" w:eastAsia="zh-CN" w:bidi="zh-CN"/>
        </w:rPr>
      </w:pPr>
      <w:r>
        <w:rPr>
          <w:rFonts w:hint="eastAsia" w:ascii="仿宋" w:hAnsi="仿宋" w:eastAsia="仿宋" w:cs="仿宋"/>
          <w:kern w:val="0"/>
          <w:sz w:val="24"/>
          <w:szCs w:val="24"/>
          <w:lang w:val="zh-CN" w:bidi="zh-CN"/>
        </w:rPr>
        <w:t>2）投标人承诺在服务期内，应确保技术能力范围不得减少。在服务期内，中标单位的技术能力被暂停、撤销、增加限制范围的，或人员和设备发生了较大的变更导致检测能力无法维持等情况时，应及时上报采购人。如发生上述情况未及时上报的，一经查实，终止合同并给予通报，造成损失的，应当依法承担相应的赔偿责任。对于影响项目完成的，将无法完成的产品抽查任务分派给其他中标单位。</w:t>
      </w:r>
    </w:p>
    <w:p w14:paraId="0091BFA9">
      <w:pPr>
        <w:widowControl/>
        <w:autoSpaceDE w:val="0"/>
        <w:autoSpaceDN w:val="0"/>
        <w:spacing w:line="360" w:lineRule="auto"/>
        <w:ind w:firstLine="482" w:firstLineChars="200"/>
        <w:jc w:val="left"/>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3.服务标准：</w:t>
      </w:r>
    </w:p>
    <w:p w14:paraId="6B4E0206">
      <w:pPr>
        <w:wordWrap w:val="0"/>
        <w:autoSpaceDE w:val="0"/>
        <w:autoSpaceDN w:val="0"/>
        <w:spacing w:line="360" w:lineRule="auto"/>
        <w:ind w:firstLine="480" w:firstLineChars="200"/>
        <w:jc w:val="left"/>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《产品质量监督抽查管理暂行办法》《产品质量监督抽查抽样检验技术服务规范》（T/GDAQI 020）及新疆维吾尔自治区市场监管局印发的产品质量监督抽查实施方案、实施细则。</w:t>
      </w:r>
    </w:p>
    <w:p w14:paraId="3D2E7F51">
      <w:pPr>
        <w:pStyle w:val="59"/>
        <w:spacing w:line="36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rPr>
        <w:t>4．验收要求</w:t>
      </w:r>
      <w:r>
        <w:rPr>
          <w:rFonts w:hint="eastAsia" w:ascii="仿宋" w:hAnsi="仿宋" w:eastAsia="仿宋" w:cs="仿宋"/>
          <w:kern w:val="0"/>
          <w:sz w:val="24"/>
          <w:szCs w:val="24"/>
        </w:rPr>
        <w:tab/>
      </w:r>
    </w:p>
    <w:p w14:paraId="7CC33952">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kern w:val="0"/>
          <w:sz w:val="24"/>
          <w:szCs w:val="24"/>
        </w:rPr>
        <w:t>中标人完成所有批次的抽样检验工作，并提交数据分析报告。</w:t>
      </w:r>
    </w:p>
    <w:p w14:paraId="25BE8D14">
      <w:pPr>
        <w:pStyle w:val="59"/>
        <w:spacing w:line="360" w:lineRule="auto"/>
        <w:jc w:val="left"/>
        <w:rPr>
          <w:rFonts w:hint="eastAsia" w:ascii="仿宋" w:hAnsi="仿宋" w:eastAsia="仿宋" w:cs="仿宋"/>
          <w:kern w:val="0"/>
          <w:sz w:val="24"/>
          <w:szCs w:val="24"/>
        </w:rPr>
      </w:pPr>
      <w:r>
        <w:rPr>
          <w:rFonts w:hint="eastAsia" w:ascii="仿宋" w:hAnsi="仿宋" w:eastAsia="仿宋" w:cs="仿宋"/>
          <w:b/>
          <w:bCs/>
          <w:kern w:val="0"/>
          <w:sz w:val="24"/>
          <w:szCs w:val="24"/>
        </w:rPr>
        <w:t>5. 需执行的国家相关标准、行业标准、地方标准或者其他标准、规范</w:t>
      </w:r>
      <w:r>
        <w:rPr>
          <w:rFonts w:hint="eastAsia" w:ascii="仿宋" w:hAnsi="仿宋" w:eastAsia="仿宋" w:cs="仿宋"/>
          <w:kern w:val="0"/>
          <w:sz w:val="24"/>
          <w:szCs w:val="24"/>
        </w:rPr>
        <w:tab/>
      </w:r>
    </w:p>
    <w:p w14:paraId="3A433817">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kern w:val="0"/>
          <w:sz w:val="24"/>
          <w:szCs w:val="24"/>
        </w:rPr>
        <w:t>1.根据《产品质量监督抽查管理暂行办法》《产品质量监督抽查抽样检验技术服务规范》（T/GDAQI 020）及新疆维吾尔自治区市场监管局印发的产品质量监督抽查实施方案、实施细则等文件精神规定的检验方法、标准、品种项目、抽样区域、场所等对产品进行抽样检验。</w:t>
      </w:r>
    </w:p>
    <w:p w14:paraId="000C6F74">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kern w:val="0"/>
          <w:sz w:val="24"/>
          <w:szCs w:val="24"/>
        </w:rPr>
        <w:t>2.项目执行过程中，所运用到的抽检规范性文件均以国家或自治区颁布的最新文件为准。</w:t>
      </w:r>
    </w:p>
    <w:p w14:paraId="5EC7AFFC">
      <w:pPr>
        <w:pStyle w:val="59"/>
        <w:spacing w:line="360" w:lineRule="auto"/>
        <w:ind w:firstLine="561"/>
        <w:jc w:val="left"/>
        <w:rPr>
          <w:rFonts w:hint="eastAsia" w:ascii="仿宋" w:hAnsi="仿宋" w:eastAsia="仿宋" w:cs="仿宋"/>
          <w:b/>
          <w:bCs/>
          <w:kern w:val="0"/>
          <w:sz w:val="24"/>
          <w:szCs w:val="24"/>
        </w:rPr>
      </w:pPr>
      <w:r>
        <w:rPr>
          <w:rFonts w:hint="eastAsia" w:ascii="宋体" w:hAnsi="宋体" w:eastAsia="宋体" w:cs="宋体"/>
          <w:kern w:val="0"/>
          <w:sz w:val="24"/>
          <w:szCs w:val="24"/>
          <w:lang w:bidi="ar"/>
        </w:rPr>
        <w:t>★</w:t>
      </w:r>
      <w:r>
        <w:rPr>
          <w:rFonts w:hint="eastAsia" w:ascii="仿宋" w:hAnsi="仿宋" w:eastAsia="仿宋" w:cs="仿宋"/>
          <w:b/>
          <w:bCs/>
          <w:kern w:val="0"/>
          <w:sz w:val="24"/>
          <w:szCs w:val="24"/>
        </w:rPr>
        <w:t>注：提供按照国家相关标准、行业标准、地方标准或者其他标准、规范实施项目的承诺函。</w:t>
      </w:r>
    </w:p>
    <w:p w14:paraId="75B4BDA8">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b/>
          <w:bCs/>
          <w:kern w:val="0"/>
          <w:sz w:val="24"/>
          <w:szCs w:val="24"/>
        </w:rPr>
        <w:t>6. 其他</w:t>
      </w:r>
      <w:r>
        <w:rPr>
          <w:rFonts w:hint="eastAsia" w:ascii="仿宋" w:hAnsi="仿宋" w:eastAsia="仿宋" w:cs="仿宋"/>
          <w:b/>
          <w:bCs/>
          <w:kern w:val="0"/>
          <w:sz w:val="24"/>
          <w:szCs w:val="24"/>
          <w:lang w:val="en-US" w:eastAsia="zh-CN"/>
        </w:rPr>
        <w:t>要求</w:t>
      </w:r>
      <w:r>
        <w:rPr>
          <w:rFonts w:hint="eastAsia" w:ascii="仿宋" w:hAnsi="仿宋" w:eastAsia="仿宋" w:cs="仿宋"/>
          <w:kern w:val="0"/>
          <w:sz w:val="24"/>
          <w:szCs w:val="24"/>
        </w:rPr>
        <w:tab/>
      </w:r>
    </w:p>
    <w:p w14:paraId="7A257736">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kern w:val="0"/>
          <w:sz w:val="24"/>
          <w:szCs w:val="24"/>
        </w:rPr>
        <w:t>1.报价要求：(1)投标总报价应一次性报定，其投标报价为完成本项目但不仅限于从基础资料及文件的收集、外出考察调研、方案汇报、与相关规划的对接、相关部门审查、报批、验收及其相关服务的总费用，还包括人工费、管理费、税费、设备等所需要的一切费用。(2)报价应充分考虑项目实施期间市场风险和政策性调整确定风险系数并计入总报价，一旦中标，投标报价将不作调整。报价若有遗漏应免费提供，投标总价即为交付使用的价格。</w:t>
      </w:r>
    </w:p>
    <w:p w14:paraId="1740073B">
      <w:pPr>
        <w:pStyle w:val="59"/>
        <w:spacing w:line="360" w:lineRule="auto"/>
        <w:ind w:firstLine="561"/>
        <w:jc w:val="left"/>
        <w:rPr>
          <w:rFonts w:hint="eastAsia" w:ascii="仿宋" w:hAnsi="仿宋" w:eastAsia="仿宋" w:cs="仿宋"/>
          <w:color w:val="FF0000"/>
          <w:kern w:val="0"/>
          <w:sz w:val="24"/>
          <w:szCs w:val="24"/>
          <w:highlight w:val="none"/>
        </w:rPr>
      </w:pPr>
      <w:r>
        <w:rPr>
          <w:rFonts w:hint="eastAsia" w:ascii="宋体" w:hAnsi="宋体" w:eastAsia="宋体" w:cs="宋体"/>
          <w:kern w:val="0"/>
          <w:sz w:val="24"/>
          <w:szCs w:val="24"/>
          <w:lang w:bidi="ar"/>
        </w:rPr>
        <w:t>★</w:t>
      </w:r>
      <w:r>
        <w:rPr>
          <w:rFonts w:hint="eastAsia" w:ascii="仿宋" w:hAnsi="仿宋" w:eastAsia="仿宋" w:cs="仿宋"/>
          <w:kern w:val="0"/>
          <w:sz w:val="24"/>
          <w:szCs w:val="24"/>
        </w:rPr>
        <w:t>2.合同履行期限：</w:t>
      </w:r>
      <w:r>
        <w:rPr>
          <w:rFonts w:hint="eastAsia" w:ascii="仿宋" w:hAnsi="仿宋" w:eastAsia="仿宋" w:cs="仿宋"/>
          <w:kern w:val="0"/>
          <w:sz w:val="24"/>
          <w:szCs w:val="24"/>
          <w:lang w:val="en-US" w:eastAsia="zh-CN"/>
        </w:rPr>
        <w:t>自合同签订后于2025年12月底前完成抽样和检验工作</w:t>
      </w:r>
      <w:r>
        <w:rPr>
          <w:rFonts w:hint="eastAsia" w:ascii="仿宋" w:hAnsi="仿宋" w:eastAsia="仿宋" w:cs="仿宋"/>
          <w:color w:val="auto"/>
          <w:kern w:val="0"/>
          <w:sz w:val="24"/>
          <w:szCs w:val="24"/>
          <w:highlight w:val="none"/>
        </w:rPr>
        <w:t>。</w:t>
      </w:r>
    </w:p>
    <w:p w14:paraId="036A4E3C">
      <w:pPr>
        <w:pStyle w:val="59"/>
        <w:spacing w:line="360" w:lineRule="auto"/>
        <w:ind w:firstLine="561"/>
        <w:jc w:val="left"/>
        <w:rPr>
          <w:rFonts w:hint="eastAsia" w:ascii="仿宋" w:hAnsi="仿宋" w:eastAsia="仿宋" w:cs="仿宋"/>
          <w:kern w:val="0"/>
          <w:sz w:val="24"/>
          <w:szCs w:val="24"/>
        </w:rPr>
      </w:pPr>
      <w:r>
        <w:rPr>
          <w:rFonts w:hint="eastAsia" w:ascii="仿宋" w:hAnsi="仿宋" w:eastAsia="仿宋" w:cs="仿宋"/>
          <w:kern w:val="0"/>
          <w:sz w:val="24"/>
          <w:szCs w:val="24"/>
        </w:rPr>
        <w:t>3.验收标准：投标人应在规定的时间内完成采购人部署的抽检监测工作，依法出具检验报告，并撰写抽检工作分析总结报告，交由采购人核实。</w:t>
      </w:r>
    </w:p>
    <w:p w14:paraId="7C854E08">
      <w:pPr>
        <w:pStyle w:val="59"/>
        <w:spacing w:line="360" w:lineRule="auto"/>
        <w:ind w:firstLine="561"/>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投标人售后/后续服务：(1)数据报送：按照有关文件要求，按时报送检测结果数据，发现问题样品或假冒伪劣产品，应及时上报。(2)结果的风险评估：由安全风险评估专业实验室依据汇总数据进行评估分析，对不合格项目进行原因及危害性分析，并编制相应的风险分析报告。(3)安全控制措施的提出：依据风险分析报告，提出相应的安全控制措施及建议，为监管部门提供指导和参考意见。（4）疑议处理：对疑议项目开展复检工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）技术咨询和帮扶：配合做好企业产品质量安全技术帮扶和推广工作，对产品质量技术问题进行专业解答。（</w:t>
      </w:r>
      <w:r>
        <w:rPr>
          <w:rFonts w:hint="eastAsia" w:ascii="仿宋" w:hAnsi="仿宋" w:eastAsia="仿宋" w:cs="仿宋"/>
          <w:color w:val="auto"/>
          <w:kern w:val="0"/>
          <w:sz w:val="24"/>
          <w:szCs w:val="24"/>
          <w:highlight w:val="none"/>
          <w:lang w:val="en-US" w:eastAsia="zh-CN"/>
        </w:rPr>
        <w:t>6）评估和能力验证：配合落实承检机构的事前、事中、事后评估和能力验证工作。</w:t>
      </w:r>
    </w:p>
    <w:p w14:paraId="5B6083E2">
      <w:pPr>
        <w:pStyle w:val="59"/>
        <w:spacing w:line="360" w:lineRule="auto"/>
        <w:ind w:firstLine="561"/>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付款方式</w:t>
      </w:r>
      <w:r>
        <w:rPr>
          <w:rFonts w:hint="eastAsia" w:ascii="仿宋" w:hAnsi="仿宋" w:eastAsia="仿宋" w:cs="仿宋"/>
          <w:color w:val="auto"/>
          <w:kern w:val="0"/>
          <w:sz w:val="24"/>
          <w:szCs w:val="24"/>
          <w:highlight w:val="none"/>
          <w:lang w:eastAsia="zh-CN"/>
        </w:rPr>
        <w:t>：</w:t>
      </w:r>
    </w:p>
    <w:p w14:paraId="5718ECAF">
      <w:pPr>
        <w:pStyle w:val="59"/>
        <w:spacing w:line="360" w:lineRule="auto"/>
        <w:ind w:firstLine="561"/>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1期：支付比例85%，支付说明：1.合同签订后10个工作日内，采购单位向中标单位支付合同金额的85%。2. 中标单位应按采购单位合理财务要求在付款前开具有效等额发票。2期：支付比例15%，支付说明：1.经采购单位确认监督抽查工作完成后，由中标单位提交付款和验收申请，采购单位收到申请后，组织对中标单位完成情况进行验收，经验收通过后，10个工作日内向中标单位支付合同金额的15%。2.中标单位应按采购单位合理财务要求在付款前开具有效等额发票。3.因中标单位的原因不能通过验收的，且未按照采购单位要求限期完成整改的，采购单位可以不支付剩余合同金额，并保留追究中标单位其他责任的权利。</w:t>
      </w:r>
    </w:p>
    <w:p w14:paraId="396F73A1">
      <w:pPr>
        <w:pStyle w:val="59"/>
        <w:spacing w:line="360" w:lineRule="auto"/>
        <w:ind w:firstLine="561"/>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7.技术标准与要求</w:t>
      </w:r>
    </w:p>
    <w:tbl>
      <w:tblPr>
        <w:tblStyle w:val="24"/>
        <w:tblW w:w="47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764"/>
        <w:gridCol w:w="4172"/>
        <w:gridCol w:w="969"/>
        <w:gridCol w:w="1115"/>
      </w:tblGrid>
      <w:tr w14:paraId="0079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4F5482E">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包组</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1A4B503">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序号</w:t>
            </w:r>
          </w:p>
        </w:tc>
        <w:tc>
          <w:tcPr>
            <w:tcW w:w="4172" w:type="dxa"/>
            <w:tcBorders>
              <w:top w:val="single" w:color="000000" w:sz="4" w:space="0"/>
              <w:left w:val="single" w:color="000000" w:sz="4" w:space="0"/>
              <w:bottom w:val="single" w:color="000000" w:sz="4" w:space="0"/>
              <w:right w:val="single" w:color="000000" w:sz="4" w:space="0"/>
            </w:tcBorders>
            <w:noWrap/>
            <w:vAlign w:val="center"/>
          </w:tcPr>
          <w:p w14:paraId="74DE8AE4">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产品名称</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E0FFD43">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批次数</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988BB92">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包组金额</w:t>
            </w:r>
          </w:p>
        </w:tc>
      </w:tr>
      <w:tr w14:paraId="346D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noWrap/>
            <w:vAlign w:val="center"/>
          </w:tcPr>
          <w:p w14:paraId="4D20B229">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第一包</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5A5C1F5">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1</w:t>
            </w:r>
          </w:p>
        </w:tc>
        <w:tc>
          <w:tcPr>
            <w:tcW w:w="4172" w:type="dxa"/>
            <w:tcBorders>
              <w:top w:val="single" w:color="000000" w:sz="4" w:space="0"/>
              <w:left w:val="single" w:color="000000" w:sz="4" w:space="0"/>
              <w:bottom w:val="single" w:color="000000" w:sz="4" w:space="0"/>
              <w:right w:val="single" w:color="000000" w:sz="4" w:space="0"/>
            </w:tcBorders>
            <w:noWrap w:val="0"/>
            <w:vAlign w:val="top"/>
          </w:tcPr>
          <w:p w14:paraId="41BB9F9F">
            <w:pPr>
              <w:autoSpaceDE w:val="0"/>
              <w:autoSpaceDN w:val="0"/>
              <w:spacing w:beforeLines="0" w:afterLines="0" w:line="360" w:lineRule="auto"/>
              <w:jc w:val="center"/>
              <w:rPr>
                <w:rFonts w:hint="eastAsia" w:ascii="仿宋" w:hAnsi="仿宋" w:eastAsia="仿宋" w:cs="仿宋"/>
                <w:b w:val="0"/>
                <w:bCs w:val="0"/>
                <w:color w:val="000000"/>
                <w:kern w:val="0"/>
                <w:sz w:val="21"/>
                <w:szCs w:val="21"/>
                <w:highlight w:val="none"/>
                <w:lang w:val="zh-CN" w:eastAsia="zh-CN" w:bidi="zh-CN"/>
              </w:rPr>
            </w:pPr>
            <w:r>
              <w:rPr>
                <w:rFonts w:hint="eastAsia" w:ascii="仿宋" w:hAnsi="仿宋" w:eastAsia="仿宋" w:cs="仿宋"/>
                <w:b w:val="0"/>
                <w:bCs w:val="0"/>
                <w:color w:val="000000"/>
                <w:kern w:val="0"/>
                <w:sz w:val="21"/>
                <w:szCs w:val="21"/>
                <w:highlight w:val="none"/>
                <w:lang w:val="zh-CN" w:bidi="zh-CN"/>
              </w:rPr>
              <w:t>化肥</w:t>
            </w:r>
            <w:r>
              <w:rPr>
                <w:rFonts w:hint="eastAsia" w:ascii="仿宋" w:hAnsi="仿宋" w:eastAsia="仿宋" w:cs="仿宋"/>
                <w:b w:val="0"/>
                <w:bCs w:val="0"/>
                <w:i w:val="0"/>
                <w:color w:val="000000"/>
                <w:kern w:val="0"/>
                <w:sz w:val="21"/>
                <w:szCs w:val="21"/>
                <w:highlight w:val="none"/>
                <w:u w:val="none"/>
                <w:lang w:val="en-US" w:eastAsia="zh-CN" w:bidi="ar"/>
              </w:rPr>
              <w:t>（包干）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97A66FB">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90</w:t>
            </w:r>
          </w:p>
        </w:tc>
        <w:tc>
          <w:tcPr>
            <w:tcW w:w="1115" w:type="dxa"/>
            <w:vMerge w:val="restart"/>
            <w:tcBorders>
              <w:top w:val="single" w:color="000000" w:sz="4" w:space="0"/>
              <w:left w:val="single" w:color="000000" w:sz="4" w:space="0"/>
              <w:bottom w:val="single" w:color="000000" w:sz="4" w:space="0"/>
              <w:right w:val="single" w:color="000000" w:sz="4" w:space="0"/>
            </w:tcBorders>
            <w:noWrap/>
            <w:vAlign w:val="center"/>
          </w:tcPr>
          <w:p w14:paraId="63420514">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bidi="zh-CN"/>
              </w:rPr>
            </w:pPr>
            <w:r>
              <w:rPr>
                <w:rFonts w:hint="eastAsia" w:ascii="仿宋" w:hAnsi="仿宋" w:eastAsia="仿宋" w:cs="仿宋"/>
                <w:b w:val="0"/>
                <w:bCs w:val="0"/>
                <w:i w:val="0"/>
                <w:color w:val="000000"/>
                <w:kern w:val="0"/>
                <w:sz w:val="21"/>
                <w:szCs w:val="21"/>
                <w:u w:val="none"/>
                <w:lang w:val="en-US" w:eastAsia="zh-CN" w:bidi="ar"/>
              </w:rPr>
              <w:t>990500</w:t>
            </w:r>
          </w:p>
        </w:tc>
      </w:tr>
      <w:tr w14:paraId="2F4D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08" w:type="dxa"/>
            <w:vMerge w:val="continue"/>
            <w:tcBorders>
              <w:left w:val="single" w:color="000000" w:sz="4" w:space="0"/>
              <w:right w:val="single" w:color="000000" w:sz="4" w:space="0"/>
            </w:tcBorders>
            <w:noWrap/>
            <w:vAlign w:val="center"/>
          </w:tcPr>
          <w:p w14:paraId="30C8B984">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color w:val="000000"/>
                <w:kern w:val="0"/>
                <w:sz w:val="21"/>
                <w:szCs w:val="21"/>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6941E6E">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2</w:t>
            </w:r>
          </w:p>
        </w:tc>
        <w:tc>
          <w:tcPr>
            <w:tcW w:w="4172" w:type="dxa"/>
            <w:tcBorders>
              <w:top w:val="single" w:color="000000" w:sz="4" w:space="0"/>
              <w:left w:val="single" w:color="000000" w:sz="4" w:space="0"/>
              <w:bottom w:val="single" w:color="000000" w:sz="4" w:space="0"/>
              <w:right w:val="single" w:color="000000" w:sz="4" w:space="0"/>
            </w:tcBorders>
            <w:noWrap w:val="0"/>
            <w:vAlign w:val="top"/>
          </w:tcPr>
          <w:p w14:paraId="17400F04">
            <w:pPr>
              <w:autoSpaceDE w:val="0"/>
              <w:autoSpaceDN w:val="0"/>
              <w:spacing w:beforeLines="0" w:afterLines="0" w:line="360" w:lineRule="auto"/>
              <w:jc w:val="center"/>
              <w:rPr>
                <w:rFonts w:hint="eastAsia" w:ascii="仿宋" w:hAnsi="仿宋" w:eastAsia="仿宋" w:cs="仿宋"/>
                <w:b w:val="0"/>
                <w:bCs w:val="0"/>
                <w:color w:val="000000"/>
                <w:kern w:val="0"/>
                <w:sz w:val="21"/>
                <w:szCs w:val="21"/>
                <w:highlight w:val="none"/>
                <w:lang w:val="en-US" w:eastAsia="zh-CN" w:bidi="zh-CN"/>
              </w:rPr>
            </w:pPr>
            <w:r>
              <w:rPr>
                <w:rFonts w:hint="eastAsia" w:ascii="仿宋" w:hAnsi="仿宋" w:eastAsia="仿宋" w:cs="仿宋"/>
                <w:b w:val="0"/>
                <w:bCs w:val="0"/>
                <w:color w:val="000000"/>
                <w:kern w:val="0"/>
                <w:sz w:val="21"/>
                <w:szCs w:val="21"/>
                <w:highlight w:val="none"/>
                <w:lang w:val="en-US" w:eastAsia="zh-CN" w:bidi="zh-CN"/>
              </w:rPr>
              <w:t>车用柴油</w:t>
            </w:r>
            <w:r>
              <w:rPr>
                <w:rFonts w:hint="eastAsia" w:ascii="仿宋" w:hAnsi="仿宋" w:eastAsia="仿宋" w:cs="仿宋"/>
                <w:b w:val="0"/>
                <w:bCs w:val="0"/>
                <w:i w:val="0"/>
                <w:color w:val="000000"/>
                <w:kern w:val="0"/>
                <w:sz w:val="21"/>
                <w:szCs w:val="21"/>
                <w:highlight w:val="none"/>
                <w:u w:val="none"/>
                <w:lang w:val="en-US" w:eastAsia="zh-CN" w:bidi="ar"/>
              </w:rPr>
              <w:t>（包干）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0BCF2C5">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50</w:t>
            </w:r>
          </w:p>
        </w:tc>
        <w:tc>
          <w:tcPr>
            <w:tcW w:w="1115" w:type="dxa"/>
            <w:vMerge w:val="continue"/>
            <w:tcBorders>
              <w:left w:val="single" w:color="000000" w:sz="4" w:space="0"/>
              <w:right w:val="single" w:color="000000" w:sz="4" w:space="0"/>
            </w:tcBorders>
            <w:noWrap/>
            <w:vAlign w:val="center"/>
          </w:tcPr>
          <w:p w14:paraId="78175A1C">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color w:val="000000"/>
                <w:kern w:val="0"/>
                <w:sz w:val="21"/>
                <w:szCs w:val="21"/>
                <w:u w:val="none"/>
                <w:lang w:val="en-US" w:eastAsia="zh-CN" w:bidi="ar"/>
              </w:rPr>
            </w:pPr>
          </w:p>
        </w:tc>
      </w:tr>
      <w:tr w14:paraId="07D8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14:paraId="70AC3AA9">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A5AEB50">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3</w:t>
            </w:r>
          </w:p>
        </w:tc>
        <w:tc>
          <w:tcPr>
            <w:tcW w:w="4172" w:type="dxa"/>
            <w:tcBorders>
              <w:top w:val="single" w:color="000000" w:sz="4" w:space="0"/>
              <w:left w:val="single" w:color="000000" w:sz="4" w:space="0"/>
              <w:bottom w:val="single" w:color="000000" w:sz="4" w:space="0"/>
              <w:right w:val="single" w:color="000000" w:sz="4" w:space="0"/>
            </w:tcBorders>
            <w:noWrap w:val="0"/>
            <w:vAlign w:val="top"/>
          </w:tcPr>
          <w:p w14:paraId="711AAF59">
            <w:pPr>
              <w:autoSpaceDE w:val="0"/>
              <w:autoSpaceDN w:val="0"/>
              <w:spacing w:beforeLines="0" w:afterLines="0" w:line="360" w:lineRule="auto"/>
              <w:jc w:val="center"/>
              <w:rPr>
                <w:rFonts w:hint="eastAsia" w:ascii="仿宋" w:hAnsi="仿宋" w:eastAsia="仿宋" w:cs="仿宋"/>
                <w:b w:val="0"/>
                <w:bCs w:val="0"/>
                <w:color w:val="000000"/>
                <w:kern w:val="0"/>
                <w:sz w:val="21"/>
                <w:szCs w:val="21"/>
                <w:highlight w:val="none"/>
                <w:lang w:val="en-US" w:eastAsia="zh-CN" w:bidi="zh-CN"/>
              </w:rPr>
            </w:pPr>
            <w:r>
              <w:rPr>
                <w:rFonts w:hint="eastAsia" w:ascii="仿宋" w:hAnsi="仿宋" w:eastAsia="仿宋" w:cs="仿宋"/>
                <w:b w:val="0"/>
                <w:bCs w:val="0"/>
                <w:color w:val="000000"/>
                <w:kern w:val="0"/>
                <w:sz w:val="21"/>
                <w:szCs w:val="21"/>
                <w:highlight w:val="none"/>
                <w:lang w:val="en-US" w:eastAsia="zh-CN" w:bidi="zh-CN"/>
              </w:rPr>
              <w:t>车用汽油</w:t>
            </w:r>
            <w:r>
              <w:rPr>
                <w:rFonts w:hint="eastAsia" w:ascii="仿宋" w:hAnsi="仿宋" w:eastAsia="仿宋" w:cs="仿宋"/>
                <w:b w:val="0"/>
                <w:bCs w:val="0"/>
                <w:i w:val="0"/>
                <w:color w:val="000000"/>
                <w:kern w:val="0"/>
                <w:sz w:val="21"/>
                <w:szCs w:val="21"/>
                <w:highlight w:val="none"/>
                <w:u w:val="none"/>
                <w:lang w:val="en-US" w:eastAsia="zh-CN" w:bidi="ar"/>
              </w:rPr>
              <w:t>（包干）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F8FD8CD">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50</w:t>
            </w:r>
          </w:p>
        </w:tc>
        <w:tc>
          <w:tcPr>
            <w:tcW w:w="1115" w:type="dxa"/>
            <w:vMerge w:val="continue"/>
            <w:tcBorders>
              <w:top w:val="single" w:color="000000" w:sz="4" w:space="0"/>
              <w:left w:val="single" w:color="000000" w:sz="4" w:space="0"/>
              <w:bottom w:val="single" w:color="000000" w:sz="4" w:space="0"/>
              <w:right w:val="single" w:color="000000" w:sz="4" w:space="0"/>
            </w:tcBorders>
            <w:noWrap/>
            <w:vAlign w:val="center"/>
          </w:tcPr>
          <w:p w14:paraId="0806CB60">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r>
      <w:tr w14:paraId="62C1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14:paraId="1925C7DC">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14A8743">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4</w:t>
            </w:r>
          </w:p>
        </w:tc>
        <w:tc>
          <w:tcPr>
            <w:tcW w:w="4172" w:type="dxa"/>
            <w:tcBorders>
              <w:top w:val="single" w:color="000000" w:sz="4" w:space="0"/>
              <w:left w:val="single" w:color="000000" w:sz="4" w:space="0"/>
              <w:bottom w:val="single" w:color="000000" w:sz="4" w:space="0"/>
              <w:right w:val="single" w:color="000000" w:sz="4" w:space="0"/>
            </w:tcBorders>
            <w:noWrap w:val="0"/>
            <w:vAlign w:val="top"/>
          </w:tcPr>
          <w:p w14:paraId="3E4E63E1">
            <w:pPr>
              <w:autoSpaceDE w:val="0"/>
              <w:autoSpaceDN w:val="0"/>
              <w:spacing w:beforeLines="0" w:afterLines="0" w:line="360" w:lineRule="auto"/>
              <w:jc w:val="center"/>
              <w:rPr>
                <w:rFonts w:hint="eastAsia" w:ascii="仿宋" w:hAnsi="仿宋" w:eastAsia="仿宋" w:cs="仿宋"/>
                <w:b w:val="0"/>
                <w:bCs w:val="0"/>
                <w:color w:val="000000"/>
                <w:kern w:val="0"/>
                <w:sz w:val="21"/>
                <w:szCs w:val="21"/>
                <w:lang w:val="zh-CN" w:eastAsia="zh-CN" w:bidi="zh-CN"/>
              </w:rPr>
            </w:pPr>
            <w:r>
              <w:rPr>
                <w:rFonts w:hint="eastAsia" w:ascii="仿宋" w:hAnsi="仿宋" w:eastAsia="仿宋" w:cs="仿宋"/>
                <w:b w:val="0"/>
                <w:bCs w:val="0"/>
                <w:color w:val="000000"/>
                <w:kern w:val="0"/>
                <w:sz w:val="21"/>
                <w:szCs w:val="21"/>
                <w:lang w:val="zh-CN" w:bidi="zh-CN"/>
              </w:rPr>
              <w:t>农用薄膜（聚乙烯吹塑农用地面覆盖薄膜)</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73DA8856">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146</w:t>
            </w:r>
          </w:p>
        </w:tc>
        <w:tc>
          <w:tcPr>
            <w:tcW w:w="1115" w:type="dxa"/>
            <w:vMerge w:val="continue"/>
            <w:tcBorders>
              <w:top w:val="single" w:color="000000" w:sz="4" w:space="0"/>
              <w:left w:val="single" w:color="000000" w:sz="4" w:space="0"/>
              <w:bottom w:val="single" w:color="000000" w:sz="4" w:space="0"/>
              <w:right w:val="single" w:color="000000" w:sz="4" w:space="0"/>
            </w:tcBorders>
            <w:noWrap/>
            <w:vAlign w:val="center"/>
          </w:tcPr>
          <w:p w14:paraId="6CDD0669">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r>
      <w:tr w14:paraId="499E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14:paraId="0D199D90">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BE03EE3">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5</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14:paraId="3765C7A5">
            <w:pPr>
              <w:autoSpaceDE w:val="0"/>
              <w:autoSpaceDN w:val="0"/>
              <w:spacing w:beforeLines="0" w:afterLines="0" w:line="360" w:lineRule="auto"/>
              <w:jc w:val="center"/>
              <w:rPr>
                <w:rFonts w:hint="eastAsia" w:ascii="仿宋" w:hAnsi="仿宋" w:eastAsia="仿宋" w:cs="仿宋"/>
                <w:b w:val="0"/>
                <w:bCs w:val="0"/>
                <w:color w:val="000000"/>
                <w:kern w:val="0"/>
                <w:sz w:val="21"/>
                <w:szCs w:val="21"/>
                <w:lang w:val="zh-CN" w:eastAsia="zh-CN" w:bidi="zh-CN"/>
              </w:rPr>
            </w:pPr>
            <w:r>
              <w:rPr>
                <w:rFonts w:hint="eastAsia" w:ascii="仿宋" w:hAnsi="仿宋" w:eastAsia="仿宋" w:cs="仿宋"/>
                <w:b w:val="0"/>
                <w:bCs w:val="0"/>
                <w:color w:val="000000"/>
                <w:kern w:val="0"/>
                <w:sz w:val="21"/>
                <w:szCs w:val="21"/>
                <w:lang w:val="en-US" w:eastAsia="zh-CN" w:bidi="zh-CN"/>
              </w:rPr>
              <w:t>滴灌带</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380314E3">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40</w:t>
            </w:r>
          </w:p>
        </w:tc>
        <w:tc>
          <w:tcPr>
            <w:tcW w:w="1115" w:type="dxa"/>
            <w:vMerge w:val="continue"/>
            <w:tcBorders>
              <w:top w:val="single" w:color="000000" w:sz="4" w:space="0"/>
              <w:left w:val="single" w:color="000000" w:sz="4" w:space="0"/>
              <w:bottom w:val="single" w:color="000000" w:sz="4" w:space="0"/>
              <w:right w:val="single" w:color="000000" w:sz="4" w:space="0"/>
            </w:tcBorders>
            <w:noWrap/>
            <w:vAlign w:val="center"/>
          </w:tcPr>
          <w:p w14:paraId="2D692A39">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r>
      <w:tr w14:paraId="6F10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14:paraId="198A5490">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BED4B91">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6</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14:paraId="5061FDD8">
            <w:pPr>
              <w:autoSpaceDE w:val="0"/>
              <w:autoSpaceDN w:val="0"/>
              <w:spacing w:beforeLines="0" w:afterLines="0" w:line="360" w:lineRule="auto"/>
              <w:jc w:val="center"/>
              <w:rPr>
                <w:rFonts w:hint="eastAsia" w:ascii="仿宋" w:hAnsi="仿宋" w:eastAsia="仿宋" w:cs="仿宋"/>
                <w:b w:val="0"/>
                <w:bCs w:val="0"/>
                <w:color w:val="000000"/>
                <w:kern w:val="0"/>
                <w:sz w:val="21"/>
                <w:szCs w:val="21"/>
                <w:lang w:val="en-US" w:eastAsia="zh-CN" w:bidi="zh-CN"/>
              </w:rPr>
            </w:pPr>
            <w:r>
              <w:rPr>
                <w:rFonts w:hint="eastAsia" w:ascii="仿宋" w:hAnsi="仿宋" w:eastAsia="仿宋" w:cs="仿宋"/>
                <w:b w:val="0"/>
                <w:bCs w:val="0"/>
                <w:color w:val="000000"/>
                <w:kern w:val="0"/>
                <w:sz w:val="21"/>
                <w:szCs w:val="21"/>
                <w:lang w:val="en-US" w:eastAsia="zh-CN" w:bidi="zh-CN"/>
              </w:rPr>
              <w:t>商品煤</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0B2EA71B">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10</w:t>
            </w:r>
          </w:p>
        </w:tc>
        <w:tc>
          <w:tcPr>
            <w:tcW w:w="1115" w:type="dxa"/>
            <w:vMerge w:val="continue"/>
            <w:tcBorders>
              <w:top w:val="single" w:color="000000" w:sz="4" w:space="0"/>
              <w:left w:val="single" w:color="000000" w:sz="4" w:space="0"/>
              <w:bottom w:val="single" w:color="000000" w:sz="4" w:space="0"/>
              <w:right w:val="single" w:color="000000" w:sz="4" w:space="0"/>
            </w:tcBorders>
            <w:noWrap/>
            <w:vAlign w:val="center"/>
          </w:tcPr>
          <w:p w14:paraId="15F837C6">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r>
      <w:tr w14:paraId="0101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noWrap/>
            <w:vAlign w:val="center"/>
          </w:tcPr>
          <w:p w14:paraId="2470FA70">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43A49ED">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zh-CN" w:bidi="zh-CN"/>
              </w:rPr>
            </w:pPr>
            <w:r>
              <w:rPr>
                <w:rFonts w:hint="eastAsia" w:ascii="仿宋" w:hAnsi="仿宋" w:eastAsia="仿宋" w:cs="仿宋"/>
                <w:b w:val="0"/>
                <w:bCs w:val="0"/>
                <w:i w:val="0"/>
                <w:color w:val="000000"/>
                <w:kern w:val="0"/>
                <w:sz w:val="21"/>
                <w:szCs w:val="21"/>
                <w:u w:val="none"/>
                <w:lang w:val="en-US" w:eastAsia="zh-CN" w:bidi="ar"/>
              </w:rPr>
              <w:t>7</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14:paraId="39A950F2">
            <w:pPr>
              <w:autoSpaceDE w:val="0"/>
              <w:autoSpaceDN w:val="0"/>
              <w:spacing w:beforeLines="0" w:afterLines="0" w:line="360" w:lineRule="auto"/>
              <w:jc w:val="center"/>
              <w:rPr>
                <w:rFonts w:hint="eastAsia" w:ascii="仿宋" w:hAnsi="仿宋" w:eastAsia="仿宋" w:cs="仿宋"/>
                <w:b w:val="0"/>
                <w:bCs w:val="0"/>
                <w:color w:val="000000"/>
                <w:kern w:val="0"/>
                <w:sz w:val="21"/>
                <w:szCs w:val="21"/>
                <w:lang w:val="zh-CN" w:eastAsia="zh-CN" w:bidi="zh-CN"/>
              </w:rPr>
            </w:pPr>
            <w:r>
              <w:rPr>
                <w:rFonts w:hint="eastAsia" w:ascii="仿宋" w:hAnsi="仿宋" w:eastAsia="仿宋" w:cs="仿宋"/>
                <w:b w:val="0"/>
                <w:bCs w:val="0"/>
                <w:color w:val="000000"/>
                <w:kern w:val="0"/>
                <w:sz w:val="21"/>
                <w:szCs w:val="21"/>
                <w:lang w:val="en-US" w:eastAsia="zh-CN" w:bidi="zh-CN"/>
              </w:rPr>
              <w:t>烟花爆竹</w:t>
            </w:r>
            <w:r>
              <w:rPr>
                <w:rFonts w:hint="eastAsia" w:ascii="仿宋" w:hAnsi="仿宋" w:eastAsia="仿宋" w:cs="仿宋"/>
                <w:b w:val="0"/>
                <w:bCs w:val="0"/>
                <w:i w:val="0"/>
                <w:color w:val="000000"/>
                <w:kern w:val="0"/>
                <w:sz w:val="21"/>
                <w:szCs w:val="21"/>
                <w:highlight w:val="none"/>
                <w:u w:val="none"/>
                <w:lang w:val="en-US" w:eastAsia="zh-CN" w:bidi="ar"/>
              </w:rPr>
              <w:t>（包干）</w:t>
            </w:r>
          </w:p>
        </w:tc>
        <w:tc>
          <w:tcPr>
            <w:tcW w:w="969" w:type="dxa"/>
            <w:tcBorders>
              <w:top w:val="single" w:color="000000" w:sz="4" w:space="0"/>
              <w:left w:val="single" w:color="000000" w:sz="4" w:space="0"/>
              <w:bottom w:val="single" w:color="000000" w:sz="4" w:space="0"/>
              <w:right w:val="single" w:color="000000" w:sz="4" w:space="0"/>
            </w:tcBorders>
            <w:noWrap w:val="0"/>
            <w:vAlign w:val="center"/>
          </w:tcPr>
          <w:p w14:paraId="1B68CFA5">
            <w:pPr>
              <w:keepNext w:val="0"/>
              <w:keepLines w:val="0"/>
              <w:widowControl/>
              <w:suppressLineNumbers w:val="0"/>
              <w:autoSpaceDE w:val="0"/>
              <w:autoSpaceDN w:val="0"/>
              <w:spacing w:line="360" w:lineRule="auto"/>
              <w:jc w:val="center"/>
              <w:textAlignment w:val="center"/>
              <w:rPr>
                <w:rFonts w:hint="eastAsia" w:ascii="仿宋" w:hAnsi="仿宋" w:eastAsia="仿宋" w:cs="仿宋"/>
                <w:b w:val="0"/>
                <w:bCs w:val="0"/>
                <w:i w:val="0"/>
                <w:iCs w:val="0"/>
                <w:color w:val="000000"/>
                <w:kern w:val="0"/>
                <w:sz w:val="21"/>
                <w:szCs w:val="21"/>
                <w:u w:val="none"/>
                <w:lang w:val="en-US" w:eastAsia="zh-CN" w:bidi="zh-CN"/>
              </w:rPr>
            </w:pPr>
            <w:r>
              <w:rPr>
                <w:rFonts w:hint="eastAsia" w:ascii="仿宋" w:hAnsi="仿宋" w:eastAsia="仿宋" w:cs="仿宋"/>
                <w:b w:val="0"/>
                <w:bCs w:val="0"/>
                <w:i w:val="0"/>
                <w:iCs w:val="0"/>
                <w:color w:val="000000"/>
                <w:kern w:val="0"/>
                <w:sz w:val="21"/>
                <w:szCs w:val="21"/>
                <w:u w:val="none"/>
                <w:lang w:val="en-US" w:eastAsia="zh-CN" w:bidi="zh-CN"/>
              </w:rPr>
              <w:t>100</w:t>
            </w:r>
          </w:p>
        </w:tc>
        <w:tc>
          <w:tcPr>
            <w:tcW w:w="1115" w:type="dxa"/>
            <w:vMerge w:val="continue"/>
            <w:tcBorders>
              <w:top w:val="single" w:color="000000" w:sz="4" w:space="0"/>
              <w:left w:val="single" w:color="000000" w:sz="4" w:space="0"/>
              <w:bottom w:val="single" w:color="000000" w:sz="4" w:space="0"/>
              <w:right w:val="single" w:color="000000" w:sz="4" w:space="0"/>
            </w:tcBorders>
            <w:noWrap/>
            <w:vAlign w:val="center"/>
          </w:tcPr>
          <w:p w14:paraId="2C8F8D39">
            <w:pPr>
              <w:autoSpaceDE w:val="0"/>
              <w:autoSpaceDN w:val="0"/>
              <w:spacing w:line="360" w:lineRule="auto"/>
              <w:jc w:val="center"/>
              <w:rPr>
                <w:rFonts w:hint="eastAsia" w:ascii="仿宋" w:hAnsi="仿宋" w:eastAsia="仿宋" w:cs="仿宋"/>
                <w:b w:val="0"/>
                <w:bCs w:val="0"/>
                <w:i w:val="0"/>
                <w:iCs w:val="0"/>
                <w:color w:val="000000"/>
                <w:kern w:val="0"/>
                <w:sz w:val="21"/>
                <w:szCs w:val="21"/>
                <w:u w:val="none"/>
                <w:lang w:val="zh-CN" w:bidi="zh-CN"/>
              </w:rPr>
            </w:pPr>
          </w:p>
        </w:tc>
      </w:tr>
    </w:tbl>
    <w:p w14:paraId="38AE20BA">
      <w:pPr>
        <w:pStyle w:val="60"/>
        <w:spacing w:line="360" w:lineRule="auto"/>
        <w:jc w:val="both"/>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注明：除产品名称后标注“包干”字样的产品同时进行抽样检验外，其他产品仅实施检验任务。</w:t>
      </w:r>
    </w:p>
    <w:p w14:paraId="581C7678">
      <w:pPr>
        <w:pStyle w:val="7"/>
        <w:spacing w:line="360" w:lineRule="auto"/>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三、第二批重点产品监督抽查标准与要求</w:t>
      </w:r>
    </w:p>
    <w:tbl>
      <w:tblPr>
        <w:tblStyle w:val="2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5"/>
        <w:gridCol w:w="7951"/>
      </w:tblGrid>
      <w:tr w14:paraId="3C74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75F8B957">
            <w:pPr>
              <w:autoSpaceDE w:val="0"/>
              <w:autoSpaceDN w:val="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参数性质</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4C26796">
            <w:pPr>
              <w:autoSpaceDE w:val="0"/>
              <w:autoSpaceDN w:val="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序号</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307DBB03">
            <w:pPr>
              <w:autoSpaceDE w:val="0"/>
              <w:autoSpaceDN w:val="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具体技术(参数)要求</w:t>
            </w:r>
          </w:p>
        </w:tc>
      </w:tr>
      <w:tr w14:paraId="716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72ADBF9E">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4B797B3">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1</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362BAB1B">
            <w:pPr>
              <w:widowControl/>
              <w:autoSpaceDE w:val="0"/>
              <w:autoSpaceDN w:val="0"/>
              <w:jc w:val="left"/>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highlight w:val="none"/>
                <w:lang w:val="zh-CN" w:bidi="zh-CN"/>
              </w:rPr>
              <w:t>承检能力：具有检测项目计量认证CMA及所对应产品检测项目的后附表的相关内容（需提供至少一项对应检测项目的后附表）。技术服务机构应具备与产品抽样检验工作相适应的检验条件和能力，具有相关专业高级职称技术人员，有能独立承担产品质量检验工作的实验室，有符合采购单位 要求的抽样工作条件，包括可上网的笔记本电脑或平板电脑，移动打印机、相机、摄像设备等，有相应的检验设备、手段、办法以及专业人员，能独立承担产品质量抽样检验工作。提交相关证明文件。</w:t>
            </w:r>
          </w:p>
        </w:tc>
      </w:tr>
      <w:tr w14:paraId="5881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53851E1A">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0D17B8">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2</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6F91C570">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工作要求</w:t>
            </w:r>
          </w:p>
          <w:p w14:paraId="5ED4F088">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(一)中标单位要按照新疆维吾尔自治区市场监督管理局相关规定要求以及印发的产品质量监督抽查实施方案、实施细则要求完成抽检任务，并及时报送相关材料。具体时间节点</w:t>
            </w:r>
            <w:r>
              <w:rPr>
                <w:rFonts w:hint="eastAsia" w:ascii="仿宋" w:hAnsi="仿宋" w:eastAsia="仿宋" w:cs="仿宋"/>
                <w:color w:val="auto"/>
                <w:sz w:val="24"/>
                <w:szCs w:val="24"/>
              </w:rPr>
              <w:t>为在202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rPr>
              <w:t>月底前完成</w:t>
            </w:r>
            <w:r>
              <w:rPr>
                <w:rFonts w:hint="eastAsia" w:ascii="仿宋" w:hAnsi="仿宋" w:eastAsia="仿宋" w:cs="仿宋"/>
                <w:sz w:val="24"/>
                <w:szCs w:val="24"/>
              </w:rPr>
              <w:t>抽样和检验工作，中标单位应按要求实施并完成技术服务工作。</w:t>
            </w:r>
          </w:p>
          <w:p w14:paraId="63BCDF32">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二)中标单位要配合监督抽查后处理部门做好不合格产品生产企业整改复查工作，负责相关复查抽样、检验、出具报告等，不得向企业收取费用。如果复查机构不是中标单位的，复查检验费用由中标单位向复查机构支付。</w:t>
            </w:r>
          </w:p>
          <w:p w14:paraId="0F1DAB25">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(三)中标单位应遵循职业操守，尽职尽责，根据相关规范及要求开展样品的抽样、检验及判定工作，并且按抽查方案要求出具检验报告。同等条件下，中标单位应优先完成采购单位委托的抽样检验工作。</w:t>
            </w:r>
          </w:p>
          <w:p w14:paraId="7356D1DC">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四)中标单位对检验结果的真实性负责，确保不提供虚假数据、不出具虚假结论。由于虚假、错误检验数据和结论而给相关当事人造成损失的，或者给社会带来不良影响的，由中标单位承担相应责任。中标单位出现弄虚作假的情况，3年内不得承担抽检任务，并记入相关信用系统。</w:t>
            </w:r>
          </w:p>
          <w:p w14:paraId="278638FA">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(五)抽样及检验机构在执行监督抽查任务时不得利用市级监督抽查任务开展任何委托检验等收费服务。</w:t>
            </w:r>
          </w:p>
          <w:p w14:paraId="1A29521A">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(六)涉及抽查的全部情况包括抽样信息、检验数据及结果，技术服务机构必须保密，除委托单位授权外，不得向其他任何单位与个人透露。</w:t>
            </w:r>
          </w:p>
          <w:p w14:paraId="5A50097C">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(七)技术服务机构必须保证抽检过程公平、公正。技术服务机构不得转包抽检任务，未经同意不得将任务进行分包。</w:t>
            </w:r>
          </w:p>
          <w:p w14:paraId="1E31C8B2">
            <w:pPr>
              <w:pStyle w:val="61"/>
              <w:widowControl/>
              <w:textAlignment w:val="center"/>
              <w:rPr>
                <w:rFonts w:hint="eastAsia" w:ascii="仿宋" w:hAnsi="仿宋" w:eastAsia="仿宋" w:cs="仿宋"/>
                <w:b/>
                <w:bCs/>
                <w:sz w:val="24"/>
                <w:szCs w:val="24"/>
              </w:rPr>
            </w:pPr>
            <w:r>
              <w:rPr>
                <w:rFonts w:hint="eastAsia" w:ascii="宋体" w:hAnsi="宋体" w:eastAsia="宋体" w:cs="宋体"/>
                <w:kern w:val="0"/>
                <w:sz w:val="24"/>
                <w:szCs w:val="24"/>
                <w:lang w:bidi="ar"/>
              </w:rPr>
              <w:t>★</w:t>
            </w:r>
            <w:r>
              <w:rPr>
                <w:rFonts w:hint="eastAsia" w:ascii="仿宋" w:hAnsi="仿宋" w:eastAsia="仿宋" w:cs="仿宋"/>
                <w:b/>
                <w:bCs/>
                <w:sz w:val="24"/>
                <w:szCs w:val="24"/>
              </w:rPr>
              <w:t>(八)投标单位在投标时须承诺能够按采购单位要求能完成任务(投标时提供承诺函，格式自拟)如在中标后未能够按照采购单位的要求完成，则视为毁约并承担有关法律责任。采购单位提出的完成期限超出合理范围，或存在不可抗拒原因的除外。</w:t>
            </w:r>
          </w:p>
          <w:p w14:paraId="6BE7C0E1">
            <w:pPr>
              <w:pStyle w:val="61"/>
              <w:widowControl/>
              <w:textAlignment w:val="center"/>
              <w:rPr>
                <w:rFonts w:hint="eastAsia" w:ascii="仿宋" w:hAnsi="仿宋" w:eastAsia="仿宋" w:cs="仿宋"/>
                <w:sz w:val="24"/>
                <w:szCs w:val="24"/>
              </w:rPr>
            </w:pPr>
            <w:r>
              <w:rPr>
                <w:rFonts w:hint="eastAsia" w:ascii="宋体" w:hAnsi="宋体" w:eastAsia="宋体" w:cs="宋体"/>
                <w:kern w:val="0"/>
                <w:sz w:val="24"/>
                <w:szCs w:val="24"/>
                <w:lang w:bidi="ar"/>
              </w:rPr>
              <w:t>★</w:t>
            </w:r>
            <w:r>
              <w:rPr>
                <w:rFonts w:hint="eastAsia" w:ascii="仿宋" w:hAnsi="仿宋" w:eastAsia="仿宋" w:cs="仿宋"/>
                <w:b/>
                <w:bCs/>
                <w:sz w:val="24"/>
                <w:szCs w:val="24"/>
              </w:rPr>
              <w:t>(九)投标单位承诺，按照采购单位要求无偿承担当年度监督抽查数据分析工作，为采购单位决策提供技术支持(投标时提供承诺函，格式自拟)。</w:t>
            </w:r>
          </w:p>
          <w:p w14:paraId="3975DC8A">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十）当发生重大工业产品安全突发事件，或者新疆维吾尔自治区市场监管系统(含区局及其派出机构)在查办重大工业产品安全案件时，采购单位对案件稽查，应急抽检的响应性，及时性要求较高，中标单位应当及时响应，接到指令后第一时间到达现场。</w:t>
            </w:r>
          </w:p>
        </w:tc>
      </w:tr>
      <w:tr w14:paraId="4A54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6EB7BE79">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0F0F96">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3</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36FA5CC6">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服务成果形式</w:t>
            </w:r>
          </w:p>
          <w:p w14:paraId="1983B84C">
            <w:pPr>
              <w:pStyle w:val="61"/>
              <w:widowControl/>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中标单位应按照专业操守尽职尽责，根据《中华人民共和国产品质量法》《产品质量监督抽查管理暂行办法》等规定进行样品的抽样、检验及结果报送工作，并且按每次送检样品相应委托协议书所约定日期出具检验报告；在采购单位与第三方同等的条件下，中标单位应优先完成对采购单位的检验任务并承担疑议复检工作。</w:t>
            </w:r>
          </w:p>
        </w:tc>
      </w:tr>
      <w:tr w14:paraId="78ED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5B3E9030">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F613A7">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4</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19589BA2">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费用安排</w:t>
            </w:r>
          </w:p>
          <w:p w14:paraId="585B9101">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(一)本项目各子包为固定总价，包含中标单位技术服务费用(含购样费、邮寄费、复检费、复查费、样品处置费和细则评审费等) 和检验费等含税费用。抽样过程中产生的费用由中标单位自行解决。</w:t>
            </w:r>
          </w:p>
          <w:p w14:paraId="158ED16E">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(二)技术服务费和检验费在抽检工作完成后由采购单位根据中标单位提供的合法有效发票经结算验收后按实支付。</w:t>
            </w:r>
          </w:p>
        </w:tc>
      </w:tr>
      <w:tr w14:paraId="5967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2CAA5CB0">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A2441E">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5</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302D71C3">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相关技术服务中标单位根据采购单位的工作需求，提供以下技术服务：</w:t>
            </w:r>
          </w:p>
          <w:p w14:paraId="373317E4">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(一)发展前沿检测分析、科研能力，积极参与工业产品相关标准或规范文件的制订，参与相关研究课题，为应对工业产品安全事件提供技术支持。</w:t>
            </w:r>
          </w:p>
          <w:p w14:paraId="72C55973">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(二)工业产品安全宣传活动中的咨询、检测、宣讲等服务。</w:t>
            </w:r>
          </w:p>
          <w:p w14:paraId="14EEB20B">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(三）新闻发布、应急处置等相关工作中的技术支持。</w:t>
            </w:r>
          </w:p>
          <w:p w14:paraId="659A5EBD">
            <w:pPr>
              <w:widowControl/>
              <w:autoSpaceDE w:val="0"/>
              <w:autoSpaceDN w:val="0"/>
              <w:jc w:val="left"/>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(四)安排专家接受咨询、参加研讨、提出建议等。</w:t>
            </w:r>
          </w:p>
          <w:p w14:paraId="7E3B5E35">
            <w:pPr>
              <w:widowControl/>
              <w:autoSpaceDE w:val="0"/>
              <w:autoSpaceDN w:val="0"/>
              <w:adjustRightInd w:val="0"/>
              <w:jc w:val="left"/>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(五)派出专家协助完成统计分析报告的编撰等技术服务。</w:t>
            </w:r>
          </w:p>
          <w:p w14:paraId="4AFE2370">
            <w:pPr>
              <w:widowControl/>
              <w:autoSpaceDE w:val="0"/>
              <w:autoSpaceDN w:val="0"/>
              <w:adjustRightInd w:val="0"/>
              <w:jc w:val="left"/>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(六)其他根据工作提出的技术服务。</w:t>
            </w:r>
          </w:p>
        </w:tc>
      </w:tr>
      <w:tr w14:paraId="716A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420B315D">
            <w:pPr>
              <w:autoSpaceDE w:val="0"/>
              <w:autoSpaceDN w:val="0"/>
              <w:jc w:val="center"/>
              <w:rPr>
                <w:rFonts w:hint="eastAsia" w:ascii="仿宋" w:hAnsi="仿宋" w:eastAsia="仿宋" w:cs="仿宋"/>
                <w:kern w:val="0"/>
                <w:sz w:val="24"/>
                <w:szCs w:val="24"/>
                <w:lang w:val="zh-CN" w:bidi="ar"/>
              </w:rPr>
            </w:pPr>
            <w:r>
              <w:rPr>
                <w:rFonts w:hint="eastAsia" w:ascii="仿宋" w:hAnsi="仿宋" w:eastAsia="仿宋" w:cs="仿宋"/>
                <w:kern w:val="0"/>
                <w:sz w:val="24"/>
                <w:szCs w:val="24"/>
                <w:lang w:val="zh-CN" w:bidi="ar"/>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8A55A20">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6</w:t>
            </w:r>
          </w:p>
        </w:tc>
        <w:tc>
          <w:tcPr>
            <w:tcW w:w="7951" w:type="dxa"/>
            <w:tcBorders>
              <w:top w:val="single" w:color="auto" w:sz="4" w:space="0"/>
              <w:left w:val="single" w:color="auto" w:sz="4" w:space="0"/>
              <w:bottom w:val="single" w:color="auto" w:sz="4" w:space="0"/>
              <w:right w:val="single" w:color="auto" w:sz="4" w:space="0"/>
            </w:tcBorders>
            <w:noWrap w:val="0"/>
            <w:vAlign w:val="top"/>
          </w:tcPr>
          <w:p w14:paraId="618B43E5">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其他要求：</w:t>
            </w:r>
          </w:p>
          <w:p w14:paraId="3544FBC9">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投标单位必须承诺抽检批次量不得少于采购单位规定的子包内各产品规定任务数和总批次数要求(投标时提供承诺函，格式自拟)。</w:t>
            </w:r>
          </w:p>
        </w:tc>
      </w:tr>
      <w:tr w14:paraId="68F2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2B628F37">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4EDD882">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7</w:t>
            </w:r>
          </w:p>
        </w:tc>
        <w:tc>
          <w:tcPr>
            <w:tcW w:w="7951" w:type="dxa"/>
            <w:tcBorders>
              <w:top w:val="single" w:color="auto" w:sz="4" w:space="0"/>
              <w:left w:val="single" w:color="auto" w:sz="4" w:space="0"/>
              <w:bottom w:val="single" w:color="auto" w:sz="4" w:space="0"/>
              <w:right w:val="single" w:color="auto" w:sz="4" w:space="0"/>
            </w:tcBorders>
            <w:noWrap w:val="0"/>
            <w:vAlign w:val="top"/>
          </w:tcPr>
          <w:p w14:paraId="3BBC4BB1">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报价内容包括但不限于人工费(包括投入该项目人员的数量、薪酬的构成)、项目的办公费用、管理费、税金等。</w:t>
            </w:r>
          </w:p>
        </w:tc>
      </w:tr>
      <w:tr w14:paraId="68CC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1CD2633D">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C456943">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8</w:t>
            </w:r>
          </w:p>
        </w:tc>
        <w:tc>
          <w:tcPr>
            <w:tcW w:w="7951" w:type="dxa"/>
            <w:tcBorders>
              <w:top w:val="single" w:color="auto" w:sz="4" w:space="0"/>
              <w:left w:val="single" w:color="auto" w:sz="4" w:space="0"/>
              <w:bottom w:val="single" w:color="auto" w:sz="4" w:space="0"/>
              <w:right w:val="single" w:color="auto" w:sz="4" w:space="0"/>
            </w:tcBorders>
            <w:noWrap w:val="0"/>
            <w:vAlign w:val="top"/>
          </w:tcPr>
          <w:p w14:paraId="56DCB458">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未经采购单位同意，投标单位不得将检验任务外包或分包给其他检测机构检验，一经发现，则视为违约，立即取消其合同和中标资格。本招标文件另有规定可分包的项目内容除外。</w:t>
            </w:r>
          </w:p>
        </w:tc>
      </w:tr>
      <w:tr w14:paraId="45D9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14:paraId="5C9D75CC">
            <w:pPr>
              <w:autoSpaceDE w:val="0"/>
              <w:autoSpaceDN w:val="0"/>
              <w:jc w:val="center"/>
              <w:rPr>
                <w:rFonts w:hint="eastAsia" w:ascii="仿宋" w:hAnsi="仿宋" w:eastAsia="仿宋" w:cs="仿宋"/>
                <w:kern w:val="0"/>
                <w:sz w:val="24"/>
                <w:szCs w:val="24"/>
                <w:lang w:val="zh-CN" w:bidi="ar"/>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B2328E">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en-US" w:bidi="zh-CN"/>
              </w:rPr>
              <w:t>9</w:t>
            </w:r>
          </w:p>
        </w:tc>
        <w:tc>
          <w:tcPr>
            <w:tcW w:w="7951" w:type="dxa"/>
            <w:tcBorders>
              <w:top w:val="single" w:color="auto" w:sz="4" w:space="0"/>
              <w:left w:val="single" w:color="auto" w:sz="4" w:space="0"/>
              <w:bottom w:val="single" w:color="auto" w:sz="4" w:space="0"/>
              <w:right w:val="single" w:color="auto" w:sz="4" w:space="0"/>
            </w:tcBorders>
            <w:noWrap w:val="0"/>
            <w:vAlign w:val="top"/>
          </w:tcPr>
          <w:p w14:paraId="4E91D939">
            <w:pPr>
              <w:pStyle w:val="61"/>
              <w:widowControl/>
              <w:textAlignment w:val="center"/>
              <w:rPr>
                <w:rFonts w:hint="eastAsia" w:ascii="仿宋" w:hAnsi="仿宋" w:eastAsia="仿宋" w:cs="仿宋"/>
                <w:sz w:val="24"/>
                <w:szCs w:val="24"/>
              </w:rPr>
            </w:pPr>
            <w:r>
              <w:rPr>
                <w:rFonts w:hint="eastAsia" w:ascii="仿宋" w:hAnsi="仿宋" w:eastAsia="仿宋" w:cs="仿宋"/>
                <w:sz w:val="24"/>
                <w:szCs w:val="24"/>
              </w:rPr>
              <w:t>中标单位承检的检验任务必须由其投标文件中载明的实验室负责检验，否则视为违约，立即取消其合同和中标资格；本招标文件另有规定可分包的项目内容除外。</w:t>
            </w:r>
          </w:p>
        </w:tc>
      </w:tr>
      <w:tr w14:paraId="7321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gridSpan w:val="2"/>
            <w:tcBorders>
              <w:top w:val="single" w:color="auto" w:sz="4" w:space="0"/>
              <w:left w:val="single" w:color="auto" w:sz="4" w:space="0"/>
              <w:bottom w:val="single" w:color="auto" w:sz="4" w:space="0"/>
              <w:right w:val="single" w:color="auto" w:sz="4" w:space="0"/>
            </w:tcBorders>
            <w:noWrap w:val="0"/>
            <w:vAlign w:val="center"/>
          </w:tcPr>
          <w:p w14:paraId="159C4877">
            <w:pPr>
              <w:widowControl/>
              <w:autoSpaceDE w:val="0"/>
              <w:autoSpaceDN w:val="0"/>
              <w:jc w:val="center"/>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说明</w:t>
            </w:r>
          </w:p>
        </w:tc>
        <w:tc>
          <w:tcPr>
            <w:tcW w:w="7951" w:type="dxa"/>
            <w:tcBorders>
              <w:top w:val="single" w:color="auto" w:sz="4" w:space="0"/>
              <w:left w:val="single" w:color="auto" w:sz="4" w:space="0"/>
              <w:bottom w:val="single" w:color="auto" w:sz="4" w:space="0"/>
              <w:right w:val="single" w:color="auto" w:sz="4" w:space="0"/>
            </w:tcBorders>
            <w:noWrap w:val="0"/>
            <w:vAlign w:val="center"/>
          </w:tcPr>
          <w:p w14:paraId="43222F72">
            <w:pPr>
              <w:widowControl/>
              <w:autoSpaceDE w:val="0"/>
              <w:autoSpaceDN w:val="0"/>
              <w:jc w:val="left"/>
              <w:textAlignment w:val="center"/>
              <w:rPr>
                <w:rFonts w:hint="eastAsia" w:ascii="仿宋" w:hAnsi="仿宋" w:eastAsia="仿宋" w:cs="仿宋"/>
                <w:kern w:val="0"/>
                <w:sz w:val="24"/>
                <w:szCs w:val="24"/>
                <w:lang w:val="zh-CN" w:bidi="zh-CN"/>
              </w:rPr>
            </w:pPr>
            <w:r>
              <w:rPr>
                <w:rFonts w:hint="eastAsia" w:ascii="仿宋" w:hAnsi="仿宋" w:eastAsia="仿宋" w:cs="仿宋"/>
                <w:kern w:val="0"/>
                <w:sz w:val="24"/>
                <w:szCs w:val="24"/>
                <w:lang w:val="zh-CN" w:bidi="zh-CN"/>
              </w:rPr>
              <w:t>打“★”号条款为实质性条款，若有任何一条负偏离或不满足则导致响应无效。</w:t>
            </w:r>
          </w:p>
        </w:tc>
      </w:tr>
    </w:tbl>
    <w:p w14:paraId="5D33816C">
      <w:pPr>
        <w:numPr>
          <w:ilvl w:val="0"/>
          <w:numId w:val="11"/>
        </w:numPr>
        <w:ind w:left="0"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64A0EBE9">
      <w:pPr>
        <w:pStyle w:val="6"/>
        <w:rPr>
          <w:rFonts w:hint="eastAsia"/>
          <w:lang w:val="en-US" w:eastAsia="zh-CN"/>
        </w:rPr>
      </w:pPr>
    </w:p>
    <w:p w14:paraId="6F2B653E">
      <w:pPr>
        <w:pStyle w:val="4"/>
        <w:rPr>
          <w:rFonts w:hint="eastAsia" w:ascii="仿宋" w:hAnsi="仿宋" w:eastAsia="仿宋" w:cs="仿宋"/>
          <w:lang w:val="en-US" w:eastAsia="zh-CN"/>
        </w:rPr>
      </w:pPr>
    </w:p>
    <w:p w14:paraId="5355E3B5">
      <w:pPr>
        <w:pStyle w:val="7"/>
        <w:numPr>
          <w:ilvl w:val="0"/>
          <w:numId w:val="2"/>
        </w:numPr>
        <w:bidi w:val="0"/>
        <w:jc w:val="center"/>
        <w:rPr>
          <w:rFonts w:hint="eastAsia" w:ascii="仿宋" w:hAnsi="仿宋" w:eastAsia="仿宋" w:cs="仿宋"/>
          <w:sz w:val="32"/>
          <w:szCs w:val="32"/>
          <w:lang w:val="en-US" w:eastAsia="zh-CN"/>
        </w:rPr>
      </w:pPr>
      <w:bookmarkStart w:id="28" w:name="_Toc21893"/>
      <w:r>
        <w:rPr>
          <w:rFonts w:hint="eastAsia" w:ascii="仿宋" w:hAnsi="仿宋" w:eastAsia="仿宋" w:cs="仿宋"/>
          <w:sz w:val="32"/>
          <w:szCs w:val="32"/>
          <w:lang w:val="en-US" w:eastAsia="zh-CN"/>
        </w:rPr>
        <w:t>评标程序、评标方法和评标标准</w:t>
      </w:r>
      <w:bookmarkEnd w:id="28"/>
    </w:p>
    <w:p w14:paraId="5FB312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163DF91E">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lang w:val="en-US" w:eastAsia="zh-CN"/>
        </w:rPr>
      </w:pPr>
      <w:bookmarkStart w:id="29" w:name="_Toc27440"/>
      <w:r>
        <w:rPr>
          <w:rFonts w:hint="eastAsia" w:ascii="仿宋" w:hAnsi="仿宋" w:eastAsia="仿宋" w:cs="仿宋"/>
          <w:b/>
          <w:bCs/>
          <w:sz w:val="24"/>
          <w:szCs w:val="24"/>
          <w:lang w:val="en-US" w:eastAsia="zh-CN"/>
        </w:rPr>
        <w:t>评标方法</w:t>
      </w:r>
      <w:bookmarkEnd w:id="29"/>
      <w:r>
        <w:rPr>
          <w:rFonts w:hint="eastAsia" w:ascii="仿宋" w:hAnsi="仿宋" w:eastAsia="仿宋" w:cs="仿宋"/>
          <w:b/>
          <w:bCs/>
          <w:sz w:val="24"/>
          <w:szCs w:val="24"/>
          <w:lang w:val="en-US" w:eastAsia="zh-CN"/>
        </w:rPr>
        <w:t xml:space="preserve"> </w:t>
      </w:r>
    </w:p>
    <w:p w14:paraId="6D9126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本项目采用综合评分法，是指投标文件满足招标文件全部实质性要求，且按照评审因素的量化指标评审得分最高的供应商为中标候选人的评标方法。</w:t>
      </w:r>
    </w:p>
    <w:p w14:paraId="5E9B115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30" w:name="_Toc12617"/>
      <w:r>
        <w:rPr>
          <w:rFonts w:hint="eastAsia" w:ascii="仿宋" w:hAnsi="仿宋" w:eastAsia="仿宋" w:cs="仿宋"/>
          <w:b/>
          <w:bCs/>
          <w:sz w:val="24"/>
          <w:szCs w:val="24"/>
          <w:lang w:val="en-US" w:eastAsia="zh-CN"/>
        </w:rPr>
        <w:t>评标原则</w:t>
      </w:r>
      <w:bookmarkEnd w:id="30"/>
    </w:p>
    <w:p w14:paraId="134A2F19">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评标活动遵循公平、公正、科学和择优的原则，以招标文件和投标文件为评标的基本依据，并按照招标文件规定的评标方法和评标标准进行评标。</w:t>
      </w:r>
    </w:p>
    <w:p w14:paraId="52D1E6B6">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具体评审事项由评标委员会负责，并按招标文件的规定办法进行评审。对招标文件中描述有歧义或前后不一致的地方，评标委员会有权按法律法规的规定进行评判，但对同一条款的评判应适用于每个供应商。</w:t>
      </w:r>
    </w:p>
    <w:p w14:paraId="1BE49D4F">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31" w:name="_Toc6046"/>
      <w:r>
        <w:rPr>
          <w:rFonts w:hint="eastAsia" w:ascii="仿宋" w:hAnsi="仿宋" w:eastAsia="仿宋" w:cs="仿宋"/>
          <w:b/>
          <w:bCs/>
          <w:sz w:val="24"/>
          <w:szCs w:val="24"/>
          <w:lang w:val="en-US" w:eastAsia="zh-CN"/>
        </w:rPr>
        <w:t>资格审查</w:t>
      </w:r>
      <w:bookmarkEnd w:id="31"/>
    </w:p>
    <w:p w14:paraId="6542BA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结束后，采购人或采购代理机构将根据《资格审查要求》中的规定，对供应商进行资格审查，以确定供应商是否具备投标资格，并形成资格审查结果。资格性审查中凡有其中任意一项未通过的，评审结果为未通过，未通过资格性审查的供应商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处理，不进入符合性审查。资格审查要求如下：</w:t>
      </w:r>
    </w:p>
    <w:p w14:paraId="6F8647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BAA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9967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536" w:type="dxa"/>
            <w:vAlign w:val="center"/>
          </w:tcPr>
          <w:p w14:paraId="233280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228" w:type="dxa"/>
            <w:vAlign w:val="center"/>
          </w:tcPr>
          <w:p w14:paraId="7BA960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2A3C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EFD81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36" w:type="dxa"/>
            <w:vAlign w:val="center"/>
          </w:tcPr>
          <w:p w14:paraId="112AF5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32" w:name="OLE_LINK28"/>
            <w:r>
              <w:rPr>
                <w:rFonts w:hint="eastAsia" w:ascii="仿宋" w:hAnsi="仿宋" w:eastAsia="仿宋" w:cs="仿宋"/>
                <w:b w:val="0"/>
                <w:bCs w:val="0"/>
                <w:sz w:val="21"/>
                <w:szCs w:val="21"/>
                <w:vertAlign w:val="baseline"/>
                <w:lang w:val="en-US" w:eastAsia="zh-CN"/>
              </w:rPr>
              <w:t>具有独立承担民事责任的能力</w:t>
            </w:r>
            <w:bookmarkEnd w:id="32"/>
          </w:p>
        </w:tc>
        <w:tc>
          <w:tcPr>
            <w:tcW w:w="5228" w:type="dxa"/>
            <w:vAlign w:val="center"/>
          </w:tcPr>
          <w:p w14:paraId="129407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33" w:name="OLE_LINK29"/>
            <w:r>
              <w:rPr>
                <w:rFonts w:hint="eastAsia" w:ascii="仿宋" w:hAnsi="仿宋" w:eastAsia="仿宋" w:cs="仿宋"/>
                <w:b w:val="0"/>
                <w:bCs w:val="0"/>
                <w:sz w:val="21"/>
                <w:szCs w:val="21"/>
                <w:vertAlign w:val="baseline"/>
                <w:lang w:val="en-US" w:eastAsia="zh-CN"/>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上述资料须扫描件加盖公章）</w:t>
            </w:r>
          </w:p>
          <w:p w14:paraId="16D7BA8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bookmarkEnd w:id="33"/>
          </w:p>
        </w:tc>
      </w:tr>
      <w:tr w14:paraId="5893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FC67B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36" w:type="dxa"/>
            <w:vAlign w:val="center"/>
          </w:tcPr>
          <w:p w14:paraId="19A487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34" w:name="OLE_LINK30"/>
            <w:r>
              <w:rPr>
                <w:rFonts w:hint="eastAsia" w:ascii="仿宋" w:hAnsi="仿宋" w:eastAsia="仿宋" w:cs="仿宋"/>
                <w:b w:val="0"/>
                <w:bCs w:val="0"/>
                <w:sz w:val="21"/>
                <w:szCs w:val="21"/>
                <w:vertAlign w:val="baseline"/>
                <w:lang w:val="en-US" w:eastAsia="zh-CN"/>
              </w:rPr>
              <w:t>具有良好的商业信誉和健全的财务会计制度</w:t>
            </w:r>
            <w:bookmarkEnd w:id="34"/>
          </w:p>
        </w:tc>
        <w:tc>
          <w:tcPr>
            <w:tcW w:w="5228" w:type="dxa"/>
            <w:vAlign w:val="center"/>
          </w:tcPr>
          <w:p w14:paraId="79E3FD5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35" w:name="OLE_LINK31"/>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扫描件并加盖本单位公章）。如供应商无法提供上年度审计报告，则需提供开标日前三个月内银行出具的资信证明原件或扫描件加盖公章，如供应商注册成立不足三个月的则提供承诺书（自拟）原件。</w:t>
            </w:r>
            <w:bookmarkEnd w:id="35"/>
          </w:p>
        </w:tc>
      </w:tr>
      <w:tr w14:paraId="3AA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96247B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36" w:type="dxa"/>
            <w:vAlign w:val="center"/>
          </w:tcPr>
          <w:p w14:paraId="46CE291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36" w:name="OLE_LINK32"/>
            <w:r>
              <w:rPr>
                <w:rFonts w:hint="eastAsia" w:ascii="仿宋" w:hAnsi="仿宋" w:eastAsia="仿宋" w:cs="仿宋"/>
                <w:b w:val="0"/>
                <w:bCs w:val="0"/>
                <w:sz w:val="21"/>
                <w:szCs w:val="21"/>
                <w:vertAlign w:val="baseline"/>
                <w:lang w:val="en-US" w:eastAsia="zh-CN"/>
              </w:rPr>
              <w:t>具有履行合同所必需的设备和专业技术能力</w:t>
            </w:r>
            <w:bookmarkEnd w:id="36"/>
          </w:p>
        </w:tc>
        <w:tc>
          <w:tcPr>
            <w:tcW w:w="5228" w:type="dxa"/>
            <w:vAlign w:val="center"/>
          </w:tcPr>
          <w:p w14:paraId="505B08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须提供具备履行合同所必需的设备和专业技术能力的证明材料或书面声明原件</w:t>
            </w:r>
          </w:p>
        </w:tc>
      </w:tr>
      <w:tr w14:paraId="5440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E2A7C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36" w:type="dxa"/>
            <w:vAlign w:val="center"/>
          </w:tcPr>
          <w:p w14:paraId="06D23B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228" w:type="dxa"/>
            <w:vAlign w:val="center"/>
          </w:tcPr>
          <w:p w14:paraId="49FEE00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37" w:name="OLE_LINK34"/>
            <w:r>
              <w:rPr>
                <w:rFonts w:hint="eastAsia" w:ascii="仿宋" w:hAnsi="仿宋" w:eastAsia="仿宋" w:cs="仿宋"/>
                <w:b w:val="0"/>
                <w:bCs w:val="0"/>
                <w:sz w:val="21"/>
                <w:szCs w:val="21"/>
                <w:vertAlign w:val="baseline"/>
                <w:lang w:val="en-US" w:eastAsia="zh-CN"/>
              </w:rPr>
              <w:t>1.须提供投标文件递交截止日期之前六个月内任何一期的纳税记录（如供应商缴纳的增值税、所得税、印花税等我国现行税种中任意一项即可）或证明文件原件或扫描件加盖公章（依法免税的应提供相应文件说明）</w:t>
            </w:r>
          </w:p>
          <w:p w14:paraId="3EE5C5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六个月内为员工缴纳社会保障资金的证明材料原件或扫描件加盖公章（任意一个月即可），证明材料是缴纳社会保险的凭据（专用收据或社会保险缴纳清单或银行回单等）（依法不需要缴纳社会保障资金的应提供相应文件说明）</w:t>
            </w:r>
            <w:bookmarkEnd w:id="37"/>
            <w:r>
              <w:rPr>
                <w:rFonts w:hint="eastAsia" w:ascii="仿宋" w:hAnsi="仿宋" w:eastAsia="仿宋" w:cs="仿宋"/>
                <w:b w:val="0"/>
                <w:bCs w:val="0"/>
                <w:sz w:val="21"/>
                <w:szCs w:val="21"/>
                <w:vertAlign w:val="baseline"/>
                <w:lang w:val="en-US" w:eastAsia="zh-CN"/>
              </w:rPr>
              <w:t>。</w:t>
            </w:r>
          </w:p>
        </w:tc>
      </w:tr>
      <w:tr w14:paraId="46F9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BDEB5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536" w:type="dxa"/>
            <w:vAlign w:val="center"/>
          </w:tcPr>
          <w:p w14:paraId="660382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38" w:name="OLE_LINK35"/>
            <w:r>
              <w:rPr>
                <w:rFonts w:hint="eastAsia" w:ascii="仿宋" w:hAnsi="仿宋" w:eastAsia="仿宋" w:cs="仿宋"/>
                <w:b w:val="0"/>
                <w:bCs w:val="0"/>
                <w:sz w:val="21"/>
                <w:szCs w:val="21"/>
                <w:vertAlign w:val="baseline"/>
                <w:lang w:val="en-US" w:eastAsia="zh-CN"/>
              </w:rPr>
              <w:t>参加政府采购活动前三年内，在经营活动中没有重大违法记录</w:t>
            </w:r>
            <w:bookmarkEnd w:id="38"/>
          </w:p>
        </w:tc>
        <w:tc>
          <w:tcPr>
            <w:tcW w:w="5228" w:type="dxa"/>
            <w:vAlign w:val="center"/>
          </w:tcPr>
          <w:p w14:paraId="6FF7CE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39" w:name="OLE_LINK36"/>
            <w:r>
              <w:rPr>
                <w:rFonts w:hint="eastAsia" w:ascii="仿宋" w:hAnsi="仿宋" w:eastAsia="仿宋" w:cs="仿宋"/>
                <w:b w:val="0"/>
                <w:bCs w:val="0"/>
                <w:sz w:val="21"/>
                <w:szCs w:val="21"/>
                <w:vertAlign w:val="baseline"/>
                <w:lang w:val="en-US" w:eastAsia="zh-CN"/>
              </w:rPr>
              <w:t>须提供声明函原件</w:t>
            </w:r>
            <w:bookmarkEnd w:id="39"/>
          </w:p>
        </w:tc>
      </w:tr>
      <w:tr w14:paraId="5FA7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4C375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536" w:type="dxa"/>
            <w:vAlign w:val="center"/>
          </w:tcPr>
          <w:p w14:paraId="078C2C9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40" w:name="OLE_LINK37"/>
            <w:r>
              <w:rPr>
                <w:rFonts w:hint="eastAsia" w:ascii="仿宋" w:hAnsi="仿宋" w:eastAsia="仿宋" w:cs="仿宋"/>
                <w:b w:val="0"/>
                <w:bCs w:val="0"/>
                <w:sz w:val="21"/>
                <w:szCs w:val="21"/>
                <w:vertAlign w:val="baseline"/>
                <w:lang w:val="en-US" w:eastAsia="zh-CN"/>
              </w:rPr>
              <w:t>供应商信用记录</w:t>
            </w:r>
            <w:bookmarkEnd w:id="40"/>
          </w:p>
        </w:tc>
        <w:tc>
          <w:tcPr>
            <w:tcW w:w="5228" w:type="dxa"/>
            <w:vAlign w:val="center"/>
          </w:tcPr>
          <w:p w14:paraId="5E3677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41" w:name="OLE_LINK38"/>
            <w:r>
              <w:rPr>
                <w:rFonts w:hint="eastAsia" w:ascii="仿宋" w:hAnsi="仿宋" w:eastAsia="仿宋" w:cs="仿宋"/>
                <w:b w:val="0"/>
                <w:bCs w:val="0"/>
                <w:sz w:val="21"/>
                <w:szCs w:val="21"/>
                <w:vertAlign w:val="baseline"/>
                <w:lang w:val="en-US" w:eastAsia="zh-CN"/>
              </w:rPr>
              <w:t>查询渠道：信用中国网站和中国政府采购网</w:t>
            </w:r>
          </w:p>
          <w:p w14:paraId="58457D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14:paraId="04DA00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242B1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无须供应商提供，由采购人或采购代理机构查询结果为准。</w:t>
            </w:r>
            <w:bookmarkEnd w:id="41"/>
          </w:p>
        </w:tc>
      </w:tr>
      <w:tr w14:paraId="6C15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6373E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536" w:type="dxa"/>
            <w:vAlign w:val="center"/>
          </w:tcPr>
          <w:p w14:paraId="63C252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落实政府采购政策</w:t>
            </w:r>
          </w:p>
          <w:p w14:paraId="49B1374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的资格要求</w:t>
            </w:r>
          </w:p>
        </w:tc>
        <w:tc>
          <w:tcPr>
            <w:tcW w:w="5228" w:type="dxa"/>
            <w:vAlign w:val="center"/>
          </w:tcPr>
          <w:p w14:paraId="70C7D3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42" w:name="OLE_LINK27"/>
            <w:r>
              <w:rPr>
                <w:rFonts w:hint="eastAsia" w:ascii="仿宋" w:hAnsi="仿宋" w:eastAsia="仿宋" w:cs="仿宋"/>
                <w:b w:val="0"/>
                <w:bCs w:val="0"/>
                <w:sz w:val="21"/>
                <w:szCs w:val="21"/>
                <w:vertAlign w:val="baseline"/>
                <w:lang w:val="en-US" w:eastAsia="zh-CN"/>
              </w:rPr>
              <w:t>本标项专门面向中小微企业，供应商请根据要求单独上传《中小企业声明函》，格式以招标文件要求为准。</w:t>
            </w:r>
            <w:bookmarkEnd w:id="42"/>
          </w:p>
        </w:tc>
      </w:tr>
    </w:tbl>
    <w:p w14:paraId="33C82464">
      <w:pPr>
        <w:pStyle w:val="19"/>
        <w:rPr>
          <w:rFonts w:hint="eastAsia" w:ascii="仿宋" w:hAnsi="仿宋" w:eastAsia="仿宋" w:cs="仿宋"/>
          <w:lang w:val="en-US" w:eastAsia="zh-CN"/>
        </w:rPr>
      </w:pPr>
    </w:p>
    <w:p w14:paraId="6CDB13B7">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43" w:name="_Toc4337"/>
      <w:r>
        <w:rPr>
          <w:rFonts w:hint="eastAsia" w:ascii="仿宋" w:hAnsi="仿宋" w:eastAsia="仿宋" w:cs="仿宋"/>
          <w:b/>
          <w:bCs/>
          <w:sz w:val="24"/>
          <w:szCs w:val="24"/>
          <w:lang w:val="en-US" w:eastAsia="zh-CN"/>
        </w:rPr>
        <w:t>符合性审查</w:t>
      </w:r>
      <w:bookmarkEnd w:id="43"/>
    </w:p>
    <w:p w14:paraId="2F18FA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通过资格审查的合格供应商的投标文件进行符合性审查。评标委员会根据《符合性审查要求》中规定的审查因素和审查内容，对供应商的投标文件是否实质上响应招标文件进行符合性审查，并形成符合性审查评审结果。符合性审查中凡有其中任意一项未通过的，评审结果为未通过，未通过符合性审查的供应商按无效投标处理，不进入详细评审。符合性审查要求如下：</w:t>
      </w:r>
    </w:p>
    <w:p w14:paraId="2E844C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符合性审查要求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645D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3240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132" w:type="dxa"/>
            <w:vAlign w:val="center"/>
          </w:tcPr>
          <w:p w14:paraId="6A723E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573" w:type="dxa"/>
            <w:vAlign w:val="center"/>
          </w:tcPr>
          <w:p w14:paraId="2AC89B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4037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BE7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132" w:type="dxa"/>
            <w:vAlign w:val="center"/>
          </w:tcPr>
          <w:p w14:paraId="4F7D66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44" w:name="OLE_LINK41"/>
            <w:r>
              <w:rPr>
                <w:rFonts w:hint="eastAsia" w:ascii="仿宋" w:hAnsi="仿宋" w:eastAsia="仿宋" w:cs="仿宋"/>
                <w:b w:val="0"/>
                <w:bCs w:val="0"/>
                <w:sz w:val="21"/>
                <w:szCs w:val="21"/>
                <w:vertAlign w:val="baseline"/>
                <w:lang w:val="en-US" w:eastAsia="zh-CN"/>
              </w:rPr>
              <w:t>授权委托书</w:t>
            </w:r>
            <w:bookmarkEnd w:id="44"/>
          </w:p>
        </w:tc>
        <w:tc>
          <w:tcPr>
            <w:tcW w:w="5573" w:type="dxa"/>
            <w:vAlign w:val="center"/>
          </w:tcPr>
          <w:p w14:paraId="46A690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45" w:name="OLE_LINK42"/>
            <w:r>
              <w:rPr>
                <w:rFonts w:hint="eastAsia" w:ascii="仿宋" w:hAnsi="仿宋" w:eastAsia="仿宋" w:cs="仿宋"/>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bookmarkEnd w:id="45"/>
          </w:p>
        </w:tc>
      </w:tr>
      <w:tr w14:paraId="6950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727F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132" w:type="dxa"/>
            <w:vAlign w:val="center"/>
          </w:tcPr>
          <w:p w14:paraId="5A3C654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46" w:name="OLE_LINK43"/>
            <w:r>
              <w:rPr>
                <w:rFonts w:hint="eastAsia" w:ascii="仿宋" w:hAnsi="仿宋" w:eastAsia="仿宋" w:cs="仿宋"/>
                <w:b w:val="0"/>
                <w:bCs w:val="0"/>
                <w:sz w:val="21"/>
                <w:szCs w:val="21"/>
                <w:vertAlign w:val="baseline"/>
                <w:lang w:val="en-US" w:eastAsia="zh-CN"/>
              </w:rPr>
              <w:t>投标完整性</w:t>
            </w:r>
            <w:bookmarkEnd w:id="46"/>
          </w:p>
        </w:tc>
        <w:tc>
          <w:tcPr>
            <w:tcW w:w="5573" w:type="dxa"/>
            <w:vAlign w:val="center"/>
          </w:tcPr>
          <w:p w14:paraId="1854E8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47" w:name="OLE_LINK44"/>
            <w:r>
              <w:rPr>
                <w:rFonts w:hint="eastAsia" w:ascii="仿宋" w:hAnsi="仿宋" w:eastAsia="仿宋" w:cs="仿宋"/>
                <w:b w:val="0"/>
                <w:bCs w:val="0"/>
                <w:sz w:val="21"/>
                <w:szCs w:val="21"/>
                <w:vertAlign w:val="baseline"/>
                <w:lang w:val="en-US" w:eastAsia="zh-CN"/>
              </w:rPr>
              <w:t>未将一个采购包/标项中的内容拆开投标</w:t>
            </w:r>
            <w:bookmarkEnd w:id="47"/>
          </w:p>
        </w:tc>
      </w:tr>
      <w:tr w14:paraId="7DD4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9512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132" w:type="dxa"/>
            <w:vAlign w:val="center"/>
          </w:tcPr>
          <w:p w14:paraId="37993F2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48" w:name="OLE_LINK45"/>
            <w:r>
              <w:rPr>
                <w:rFonts w:hint="eastAsia" w:ascii="仿宋" w:hAnsi="仿宋" w:eastAsia="仿宋" w:cs="仿宋"/>
                <w:b w:val="0"/>
                <w:bCs w:val="0"/>
                <w:sz w:val="21"/>
                <w:szCs w:val="21"/>
                <w:vertAlign w:val="baseline"/>
                <w:lang w:val="en-US" w:eastAsia="zh-CN"/>
              </w:rPr>
              <w:t>投标报价</w:t>
            </w:r>
            <w:bookmarkEnd w:id="48"/>
          </w:p>
        </w:tc>
        <w:tc>
          <w:tcPr>
            <w:tcW w:w="5573" w:type="dxa"/>
            <w:vAlign w:val="center"/>
          </w:tcPr>
          <w:p w14:paraId="1B2AF9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49" w:name="OLE_LINK46"/>
            <w:r>
              <w:rPr>
                <w:rFonts w:hint="eastAsia" w:ascii="仿宋" w:hAnsi="仿宋" w:eastAsia="仿宋" w:cs="仿宋"/>
                <w:b w:val="0"/>
                <w:bCs w:val="0"/>
                <w:sz w:val="21"/>
                <w:szCs w:val="21"/>
                <w:vertAlign w:val="baseline"/>
                <w:lang w:val="en-US" w:eastAsia="zh-CN"/>
              </w:rPr>
              <w:t>投标报价未超过招标文件中规定的采购品目单价预算金额/单价最高限价或项目/采购包预算金额或者项目/采购包最高限价；</w:t>
            </w:r>
            <w:bookmarkEnd w:id="49"/>
          </w:p>
        </w:tc>
      </w:tr>
      <w:tr w14:paraId="274D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9F40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132" w:type="dxa"/>
            <w:vAlign w:val="center"/>
          </w:tcPr>
          <w:p w14:paraId="2FDD6DB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50" w:name="OLE_LINK47"/>
            <w:r>
              <w:rPr>
                <w:rFonts w:hint="eastAsia" w:ascii="仿宋" w:hAnsi="仿宋" w:eastAsia="仿宋" w:cs="仿宋"/>
                <w:b w:val="0"/>
                <w:bCs w:val="0"/>
                <w:sz w:val="21"/>
                <w:szCs w:val="21"/>
                <w:vertAlign w:val="baseline"/>
                <w:lang w:val="en-US" w:eastAsia="zh-CN"/>
              </w:rPr>
              <w:t>报价唯一性</w:t>
            </w:r>
            <w:bookmarkEnd w:id="50"/>
          </w:p>
        </w:tc>
        <w:tc>
          <w:tcPr>
            <w:tcW w:w="5573" w:type="dxa"/>
            <w:vAlign w:val="center"/>
          </w:tcPr>
          <w:p w14:paraId="7D4334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51" w:name="OLE_LINK48"/>
            <w:r>
              <w:rPr>
                <w:rFonts w:hint="eastAsia" w:ascii="仿宋" w:hAnsi="仿宋" w:eastAsia="仿宋" w:cs="仿宋"/>
                <w:b w:val="0"/>
                <w:bCs w:val="0"/>
                <w:sz w:val="21"/>
                <w:szCs w:val="21"/>
                <w:vertAlign w:val="baseline"/>
                <w:lang w:val="en-US" w:eastAsia="zh-CN"/>
              </w:rPr>
              <w:t>投标文件未出现可选择性或可调整的报价（招标文件另有规定的除外）</w:t>
            </w:r>
            <w:bookmarkEnd w:id="51"/>
          </w:p>
        </w:tc>
      </w:tr>
      <w:tr w14:paraId="084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EE9D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132" w:type="dxa"/>
            <w:vAlign w:val="center"/>
          </w:tcPr>
          <w:p w14:paraId="2E7D26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52" w:name="OLE_LINK49"/>
            <w:r>
              <w:rPr>
                <w:rFonts w:hint="eastAsia" w:ascii="仿宋" w:hAnsi="仿宋" w:eastAsia="仿宋" w:cs="仿宋"/>
                <w:b w:val="0"/>
                <w:bCs w:val="0"/>
                <w:sz w:val="21"/>
                <w:szCs w:val="21"/>
                <w:vertAlign w:val="baseline"/>
                <w:lang w:val="en-US" w:eastAsia="zh-CN"/>
              </w:rPr>
              <w:t>投标有效期</w:t>
            </w:r>
            <w:bookmarkEnd w:id="52"/>
          </w:p>
        </w:tc>
        <w:tc>
          <w:tcPr>
            <w:tcW w:w="5573" w:type="dxa"/>
            <w:vAlign w:val="center"/>
          </w:tcPr>
          <w:p w14:paraId="1386AB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53" w:name="OLE_LINK50"/>
            <w:r>
              <w:rPr>
                <w:rFonts w:hint="eastAsia" w:ascii="仿宋" w:hAnsi="仿宋" w:eastAsia="仿宋" w:cs="仿宋"/>
                <w:b w:val="0"/>
                <w:bCs w:val="0"/>
                <w:sz w:val="21"/>
                <w:szCs w:val="21"/>
                <w:vertAlign w:val="baseline"/>
                <w:lang w:val="en-US" w:eastAsia="zh-CN"/>
              </w:rPr>
              <w:t>投标文件中承诺的投标有效期满足招标文件中载明的投标有效期的</w:t>
            </w:r>
            <w:bookmarkEnd w:id="53"/>
          </w:p>
        </w:tc>
      </w:tr>
      <w:tr w14:paraId="760D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E0FA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132" w:type="dxa"/>
            <w:vAlign w:val="center"/>
          </w:tcPr>
          <w:p w14:paraId="2B6D931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54" w:name="OLE_LINK51"/>
            <w:r>
              <w:rPr>
                <w:rFonts w:hint="eastAsia" w:ascii="仿宋" w:hAnsi="仿宋" w:eastAsia="仿宋" w:cs="仿宋"/>
                <w:b w:val="0"/>
                <w:bCs w:val="0"/>
                <w:sz w:val="21"/>
                <w:szCs w:val="21"/>
                <w:vertAlign w:val="baseline"/>
                <w:lang w:val="en-US" w:eastAsia="zh-CN"/>
              </w:rPr>
              <w:t>签署、盖章</w:t>
            </w:r>
            <w:bookmarkEnd w:id="54"/>
          </w:p>
        </w:tc>
        <w:tc>
          <w:tcPr>
            <w:tcW w:w="5573" w:type="dxa"/>
            <w:vAlign w:val="center"/>
          </w:tcPr>
          <w:p w14:paraId="2371DA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55" w:name="OLE_LINK52"/>
            <w:r>
              <w:rPr>
                <w:rFonts w:hint="eastAsia" w:ascii="仿宋" w:hAnsi="仿宋" w:eastAsia="仿宋" w:cs="仿宋"/>
                <w:b w:val="0"/>
                <w:bCs w:val="0"/>
                <w:sz w:val="21"/>
                <w:szCs w:val="21"/>
                <w:vertAlign w:val="baseline"/>
                <w:lang w:val="en-US" w:eastAsia="zh-CN"/>
              </w:rPr>
              <w:t>按照招标文件要求签署、盖章的</w:t>
            </w:r>
            <w:bookmarkEnd w:id="55"/>
          </w:p>
        </w:tc>
      </w:tr>
      <w:tr w14:paraId="1443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32E38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132" w:type="dxa"/>
            <w:vAlign w:val="center"/>
          </w:tcPr>
          <w:p w14:paraId="24C8647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56" w:name="OLE_LINK53"/>
            <w:r>
              <w:rPr>
                <w:rFonts w:hint="eastAsia" w:ascii="仿宋" w:hAnsi="仿宋" w:eastAsia="仿宋" w:cs="仿宋"/>
                <w:b w:val="0"/>
                <w:bCs w:val="0"/>
                <w:sz w:val="21"/>
                <w:szCs w:val="21"/>
                <w:vertAlign w:val="baseline"/>
                <w:lang w:val="en-US" w:eastAsia="zh-CN"/>
              </w:rPr>
              <w:t>报价合理性</w:t>
            </w:r>
            <w:bookmarkEnd w:id="56"/>
          </w:p>
        </w:tc>
        <w:tc>
          <w:tcPr>
            <w:tcW w:w="5573" w:type="dxa"/>
            <w:vAlign w:val="center"/>
          </w:tcPr>
          <w:p w14:paraId="5BB026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57" w:name="OLE_LINK54"/>
            <w:r>
              <w:rPr>
                <w:rFonts w:hint="eastAsia" w:ascii="仿宋" w:hAnsi="仿宋" w:eastAsia="仿宋" w:cs="仿宋"/>
                <w:b w:val="0"/>
                <w:bCs w:val="0"/>
                <w:sz w:val="21"/>
                <w:szCs w:val="21"/>
                <w:vertAlign w:val="baseline"/>
                <w:lang w:val="en-US" w:eastAsia="zh-CN"/>
              </w:rPr>
              <w:t>报价合理，或供应商的报价明显低于其他通过符合性审查供应商的报价，有可能影响产品质量或者不能诚信履约的，能够应评标委员会要求在规定时间内证明其报价合理性的</w:t>
            </w:r>
            <w:bookmarkEnd w:id="57"/>
          </w:p>
        </w:tc>
      </w:tr>
      <w:tr w14:paraId="6A09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2A5F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132" w:type="dxa"/>
            <w:vAlign w:val="center"/>
          </w:tcPr>
          <w:p w14:paraId="5FA56E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采购需求的响应</w:t>
            </w:r>
          </w:p>
        </w:tc>
        <w:tc>
          <w:tcPr>
            <w:tcW w:w="5573" w:type="dxa"/>
            <w:vAlign w:val="center"/>
          </w:tcPr>
          <w:p w14:paraId="722DF7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投标文件满足招标文件中★号条款要求的</w:t>
            </w:r>
          </w:p>
        </w:tc>
      </w:tr>
      <w:tr w14:paraId="20B6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E029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132" w:type="dxa"/>
            <w:vAlign w:val="center"/>
          </w:tcPr>
          <w:p w14:paraId="4824DD7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投标保证金</w:t>
            </w:r>
          </w:p>
        </w:tc>
        <w:tc>
          <w:tcPr>
            <w:tcW w:w="5573" w:type="dxa"/>
            <w:vAlign w:val="center"/>
          </w:tcPr>
          <w:p w14:paraId="4D179B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按照招标文件的规定提交投标保证金。</w:t>
            </w:r>
          </w:p>
        </w:tc>
      </w:tr>
      <w:tr w14:paraId="4D2A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DBCF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2132" w:type="dxa"/>
            <w:vAlign w:val="center"/>
          </w:tcPr>
          <w:p w14:paraId="771BF2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58" w:name="OLE_LINK55"/>
            <w:r>
              <w:rPr>
                <w:rFonts w:hint="eastAsia" w:ascii="仿宋" w:hAnsi="仿宋" w:eastAsia="仿宋" w:cs="仿宋"/>
                <w:b w:val="0"/>
                <w:bCs w:val="0"/>
                <w:sz w:val="21"/>
                <w:szCs w:val="21"/>
                <w:vertAlign w:val="baseline"/>
                <w:lang w:val="en-US" w:eastAsia="zh-CN"/>
              </w:rPr>
              <w:t>附加条件</w:t>
            </w:r>
            <w:bookmarkEnd w:id="58"/>
          </w:p>
        </w:tc>
        <w:tc>
          <w:tcPr>
            <w:tcW w:w="5573" w:type="dxa"/>
            <w:vAlign w:val="center"/>
          </w:tcPr>
          <w:p w14:paraId="067DCF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59" w:name="OLE_LINK56"/>
            <w:r>
              <w:rPr>
                <w:rFonts w:hint="eastAsia" w:ascii="仿宋" w:hAnsi="仿宋" w:eastAsia="仿宋" w:cs="仿宋"/>
                <w:b w:val="0"/>
                <w:bCs w:val="0"/>
                <w:sz w:val="21"/>
                <w:szCs w:val="21"/>
                <w:vertAlign w:val="baseline"/>
                <w:lang w:val="en-US" w:eastAsia="zh-CN"/>
              </w:rPr>
              <w:t>投标文件未含有采购人不能接受的附加条件的</w:t>
            </w:r>
            <w:bookmarkEnd w:id="59"/>
          </w:p>
        </w:tc>
      </w:tr>
      <w:tr w14:paraId="64B6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965D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11</w:t>
            </w:r>
          </w:p>
        </w:tc>
        <w:tc>
          <w:tcPr>
            <w:tcW w:w="2132" w:type="dxa"/>
            <w:vAlign w:val="center"/>
          </w:tcPr>
          <w:p w14:paraId="4AAA50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bookmarkStart w:id="60" w:name="OLE_LINK57"/>
            <w:r>
              <w:rPr>
                <w:rFonts w:hint="eastAsia" w:ascii="仿宋" w:hAnsi="仿宋" w:eastAsia="仿宋" w:cs="仿宋"/>
                <w:b w:val="0"/>
                <w:bCs w:val="0"/>
                <w:sz w:val="21"/>
                <w:szCs w:val="21"/>
                <w:vertAlign w:val="baseline"/>
                <w:lang w:val="en-US" w:eastAsia="zh-CN"/>
              </w:rPr>
              <w:t>其他</w:t>
            </w:r>
            <w:bookmarkEnd w:id="60"/>
          </w:p>
        </w:tc>
        <w:tc>
          <w:tcPr>
            <w:tcW w:w="5573" w:type="dxa"/>
            <w:vAlign w:val="center"/>
          </w:tcPr>
          <w:p w14:paraId="184574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bookmarkStart w:id="61" w:name="OLE_LINK58"/>
            <w:r>
              <w:rPr>
                <w:rFonts w:hint="eastAsia" w:ascii="仿宋" w:hAnsi="仿宋" w:eastAsia="仿宋" w:cs="仿宋"/>
                <w:b w:val="0"/>
                <w:bCs w:val="0"/>
                <w:sz w:val="21"/>
                <w:szCs w:val="21"/>
                <w:vertAlign w:val="baseline"/>
                <w:lang w:val="en-US" w:eastAsia="zh-CN"/>
              </w:rPr>
              <w:t>投标文件中不存在违反国家法律、法规和招标文件规定的其他无效情形</w:t>
            </w:r>
            <w:bookmarkEnd w:id="61"/>
          </w:p>
        </w:tc>
      </w:tr>
    </w:tbl>
    <w:p w14:paraId="2AA85C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701A977F">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62" w:name="_Toc23924"/>
      <w:r>
        <w:rPr>
          <w:rFonts w:hint="eastAsia" w:ascii="仿宋" w:hAnsi="仿宋" w:eastAsia="仿宋" w:cs="仿宋"/>
          <w:b/>
          <w:bCs/>
          <w:sz w:val="24"/>
          <w:szCs w:val="24"/>
          <w:lang w:val="en-US" w:eastAsia="zh-CN"/>
        </w:rPr>
        <w:t>投标文件有关事项的澄清或者说明</w:t>
      </w:r>
      <w:bookmarkEnd w:id="62"/>
    </w:p>
    <w:p w14:paraId="5532691A">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过程中，评标委员会将以书面形式要求供应商对其投标文件中含义不明确、同类问题表述不一致或者有明显文字和计算错误的内容，作出必要的澄清、说明或者补正。代理机构可根据开标环节记录的授权代表人联系方式电话告知供应商，供应商需登录电子招投标系统，在规定时间内完成澄清（响应），并加盖电子印章。若因供应商联系方式错误未接收短信、未接听电话或超时未进行澄清（响应）造成的不利后果由供应商自行承担。供应商的澄清、说明或者补正不得超出投标文件的范围或者改变投标文件的实质性内容。澄清文件将作为投标文件内容的一部分。</w:t>
      </w:r>
    </w:p>
    <w:p w14:paraId="0BFE9D9C">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认为供应商的报价明显低于其他通过符合性审查供应商的报价，有可能影响产品质量或者不能诚信履约的，有权要求该供应商在评标现场合理的时间内提供书面说明，必要时提交相关证明材料；若供应商不能证明其报价合理性，评标委员会将其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14:paraId="3416B67B">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须包含招标文件全部内容，如分项报价表有缺漏视为已含在其他各项报价中，将不对投标总价进行调整。评标委员会有权要求供应商在评标现场合理的时间内对此进行书面确认，供应商不确认的，视为将一个采购包中的内容拆开投标，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4BC8206C">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评标委员会不接受供应商主动提出的澄清、说明或补正。</w:t>
      </w:r>
    </w:p>
    <w:p w14:paraId="666306C9">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评标委员会对供应商提交的澄清、说明或补正有疑问的，可以要求供应商进一步澄清、说明或补正。</w:t>
      </w:r>
    </w:p>
    <w:p w14:paraId="5E4ADB9F">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对报价的计算错误按以下原则修正：</w:t>
      </w:r>
    </w:p>
    <w:p w14:paraId="10A8E9E5">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765DFCF5">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大写金额和小写金额不一致的，以大写金额为准；</w:t>
      </w:r>
    </w:p>
    <w:p w14:paraId="161B1B0A">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单价金额小数点或者百分比有明显错位的，以开标一览表的总价为准，并修改单价。</w:t>
      </w:r>
    </w:p>
    <w:p w14:paraId="2296C107">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14:paraId="52655881">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14:paraId="7758B9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注：同时出现两种以上不一致的，按照前款规定的顺序在系统上进行价格澄清。澄清后的价格加盖电子印章确认后产生约束力，但不得超出投标文件的范围或者改变投标文件的实质性内容，供应商不确认的，其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4948874B">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63" w:name="_Toc22049"/>
      <w:r>
        <w:rPr>
          <w:rFonts w:hint="eastAsia" w:ascii="仿宋" w:hAnsi="仿宋" w:eastAsia="仿宋" w:cs="仿宋"/>
          <w:b/>
          <w:bCs/>
          <w:sz w:val="24"/>
          <w:szCs w:val="24"/>
          <w:lang w:val="en-US" w:eastAsia="zh-CN"/>
        </w:rPr>
        <w:t>详细评审</w:t>
      </w:r>
      <w:bookmarkEnd w:id="63"/>
    </w:p>
    <w:p w14:paraId="4D6849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14:paraId="0000E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详细评审标准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75"/>
        <w:gridCol w:w="687"/>
        <w:gridCol w:w="5186"/>
      </w:tblGrid>
      <w:tr w14:paraId="26EA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49" w:type="dxa"/>
            <w:gridSpan w:val="2"/>
            <w:vAlign w:val="center"/>
          </w:tcPr>
          <w:p w14:paraId="12F9A8A6">
            <w:pPr>
              <w:spacing w:line="240" w:lineRule="auto"/>
              <w:ind w:left="0" w:leftChars="0" w:right="638" w:rightChars="304"/>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评分因素</w:t>
            </w:r>
          </w:p>
        </w:tc>
        <w:tc>
          <w:tcPr>
            <w:tcW w:w="687" w:type="dxa"/>
            <w:vAlign w:val="center"/>
          </w:tcPr>
          <w:p w14:paraId="3AC8392A">
            <w:pPr>
              <w:spacing w:line="240" w:lineRule="auto"/>
              <w:ind w:left="0" w:leftChars="0" w:right="0" w:rightChars="0"/>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分值</w:t>
            </w:r>
          </w:p>
        </w:tc>
        <w:tc>
          <w:tcPr>
            <w:tcW w:w="5186" w:type="dxa"/>
            <w:vAlign w:val="center"/>
          </w:tcPr>
          <w:p w14:paraId="79FD3815">
            <w:pPr>
              <w:spacing w:line="240" w:lineRule="auto"/>
              <w:ind w:left="0" w:leftChars="0" w:right="-31" w:rightChars="-15"/>
              <w:jc w:val="center"/>
              <w:rPr>
                <w:rFonts w:hint="eastAsia" w:ascii="仿宋" w:hAnsi="仿宋" w:eastAsia="仿宋" w:cs="仿宋"/>
                <w:b/>
                <w:bCs w:val="0"/>
                <w:color w:val="auto"/>
                <w:sz w:val="21"/>
                <w:szCs w:val="21"/>
                <w:vertAlign w:val="baseline"/>
              </w:rPr>
            </w:pPr>
            <w:r>
              <w:rPr>
                <w:rFonts w:hint="eastAsia" w:ascii="仿宋" w:hAnsi="仿宋" w:eastAsia="仿宋" w:cs="仿宋"/>
                <w:b/>
                <w:bCs w:val="0"/>
                <w:color w:val="auto"/>
                <w:kern w:val="0"/>
                <w:sz w:val="21"/>
                <w:szCs w:val="21"/>
              </w:rPr>
              <w:t>评分细则</w:t>
            </w:r>
          </w:p>
        </w:tc>
      </w:tr>
      <w:tr w14:paraId="7533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649" w:type="dxa"/>
            <w:gridSpan w:val="2"/>
            <w:vAlign w:val="center"/>
          </w:tcPr>
          <w:p w14:paraId="0ED1A3C2">
            <w:pPr>
              <w:spacing w:line="240" w:lineRule="auto"/>
              <w:ind w:left="0" w:leftChars="0" w:right="638" w:rightChars="304"/>
              <w:jc w:val="center"/>
              <w:rPr>
                <w:rFonts w:hint="eastAsia" w:ascii="仿宋" w:hAnsi="仿宋" w:eastAsia="仿宋" w:cs="仿宋"/>
                <w:b/>
                <w:bCs w:val="0"/>
                <w:color w:val="auto"/>
                <w:kern w:val="0"/>
                <w:sz w:val="21"/>
                <w:szCs w:val="21"/>
                <w:lang w:val="en-US" w:eastAsia="zh-CN"/>
              </w:rPr>
            </w:pPr>
            <w:r>
              <w:rPr>
                <w:rFonts w:hint="eastAsia" w:ascii="仿宋" w:hAnsi="仿宋" w:eastAsia="仿宋" w:cs="仿宋"/>
                <w:b w:val="0"/>
                <w:bCs/>
                <w:color w:val="auto"/>
                <w:kern w:val="0"/>
                <w:sz w:val="21"/>
                <w:szCs w:val="21"/>
                <w:lang w:val="en-US" w:eastAsia="zh-CN"/>
              </w:rPr>
              <w:t>分值构成</w:t>
            </w:r>
          </w:p>
        </w:tc>
        <w:tc>
          <w:tcPr>
            <w:tcW w:w="5873" w:type="dxa"/>
            <w:gridSpan w:val="2"/>
            <w:vAlign w:val="center"/>
          </w:tcPr>
          <w:p w14:paraId="153EE1FD">
            <w:pPr>
              <w:spacing w:line="240" w:lineRule="auto"/>
              <w:ind w:left="0" w:leftChars="0" w:right="-31" w:rightChars="-15"/>
              <w:jc w:val="left"/>
              <w:rPr>
                <w:rFonts w:hint="eastAsia" w:ascii="仿宋" w:hAnsi="仿宋" w:eastAsia="仿宋" w:cs="仿宋"/>
                <w:b w:val="0"/>
                <w:bCs/>
                <w:color w:val="auto"/>
                <w:kern w:val="0"/>
                <w:sz w:val="21"/>
                <w:szCs w:val="21"/>
              </w:rPr>
            </w:pPr>
            <w:r>
              <w:rPr>
                <w:rFonts w:hint="eastAsia" w:ascii="仿宋" w:hAnsi="仿宋" w:eastAsia="仿宋" w:cs="仿宋"/>
                <w:b w:val="0"/>
                <w:bCs/>
                <w:color w:val="auto"/>
                <w:kern w:val="0"/>
                <w:sz w:val="21"/>
                <w:szCs w:val="21"/>
              </w:rPr>
              <w:t>商务</w:t>
            </w:r>
            <w:r>
              <w:rPr>
                <w:rFonts w:hint="eastAsia" w:ascii="仿宋" w:hAnsi="仿宋" w:eastAsia="仿宋" w:cs="仿宋"/>
                <w:b w:val="0"/>
                <w:bCs/>
                <w:color w:val="auto"/>
                <w:kern w:val="0"/>
                <w:sz w:val="21"/>
                <w:szCs w:val="21"/>
                <w:lang w:eastAsia="zh-CN"/>
              </w:rPr>
              <w:t>、技术</w:t>
            </w:r>
            <w:r>
              <w:rPr>
                <w:rFonts w:hint="eastAsia" w:ascii="仿宋" w:hAnsi="仿宋" w:eastAsia="仿宋" w:cs="仿宋"/>
                <w:b w:val="0"/>
                <w:bCs/>
                <w:color w:val="auto"/>
                <w:kern w:val="0"/>
                <w:sz w:val="21"/>
                <w:szCs w:val="21"/>
              </w:rPr>
              <w:t>部分</w:t>
            </w:r>
            <w:r>
              <w:rPr>
                <w:rFonts w:hint="eastAsia" w:ascii="仿宋" w:hAnsi="仿宋" w:eastAsia="仿宋" w:cs="仿宋"/>
                <w:b w:val="0"/>
                <w:bCs/>
                <w:color w:val="auto"/>
                <w:kern w:val="0"/>
                <w:sz w:val="21"/>
                <w:szCs w:val="21"/>
                <w:lang w:val="en-US" w:eastAsia="zh-CN"/>
              </w:rPr>
              <w:t>90</w:t>
            </w:r>
            <w:r>
              <w:rPr>
                <w:rFonts w:hint="eastAsia" w:ascii="仿宋" w:hAnsi="仿宋" w:eastAsia="仿宋" w:cs="仿宋"/>
                <w:b w:val="0"/>
                <w:bCs/>
                <w:color w:val="auto"/>
                <w:kern w:val="0"/>
                <w:sz w:val="21"/>
                <w:szCs w:val="21"/>
              </w:rPr>
              <w:t>.0分</w:t>
            </w:r>
          </w:p>
          <w:p w14:paraId="6F6B7F5B">
            <w:pPr>
              <w:spacing w:line="240" w:lineRule="auto"/>
              <w:ind w:left="0" w:leftChars="0" w:right="-31" w:rightChars="-15"/>
              <w:jc w:val="left"/>
              <w:rPr>
                <w:rFonts w:hint="eastAsia" w:ascii="仿宋" w:hAnsi="仿宋" w:eastAsia="仿宋" w:cs="仿宋"/>
                <w:b/>
                <w:bCs w:val="0"/>
                <w:color w:val="auto"/>
                <w:kern w:val="0"/>
                <w:sz w:val="21"/>
                <w:szCs w:val="21"/>
              </w:rPr>
            </w:pPr>
            <w:r>
              <w:rPr>
                <w:rFonts w:hint="eastAsia" w:ascii="仿宋" w:hAnsi="仿宋" w:eastAsia="仿宋" w:cs="仿宋"/>
                <w:b w:val="0"/>
                <w:bCs/>
                <w:color w:val="auto"/>
                <w:kern w:val="0"/>
                <w:sz w:val="21"/>
                <w:szCs w:val="21"/>
              </w:rPr>
              <w:t>报价得分</w:t>
            </w:r>
            <w:r>
              <w:rPr>
                <w:rFonts w:hint="eastAsia" w:ascii="仿宋" w:hAnsi="仿宋" w:eastAsia="仿宋" w:cs="仿宋"/>
                <w:b w:val="0"/>
                <w:bCs/>
                <w:color w:val="auto"/>
                <w:kern w:val="0"/>
                <w:sz w:val="21"/>
                <w:szCs w:val="21"/>
                <w:lang w:val="en-US" w:eastAsia="zh-CN"/>
              </w:rPr>
              <w:t>10</w:t>
            </w:r>
            <w:r>
              <w:rPr>
                <w:rFonts w:hint="eastAsia" w:ascii="仿宋" w:hAnsi="仿宋" w:eastAsia="仿宋" w:cs="仿宋"/>
                <w:b w:val="0"/>
                <w:bCs/>
                <w:color w:val="auto"/>
                <w:kern w:val="0"/>
                <w:sz w:val="21"/>
                <w:szCs w:val="21"/>
              </w:rPr>
              <w:t>.0分</w:t>
            </w:r>
          </w:p>
        </w:tc>
      </w:tr>
      <w:tr w14:paraId="5BCD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649" w:type="dxa"/>
            <w:gridSpan w:val="2"/>
            <w:vAlign w:val="center"/>
          </w:tcPr>
          <w:p w14:paraId="60B52E19">
            <w:pPr>
              <w:pStyle w:val="6"/>
              <w:spacing w:line="240" w:lineRule="auto"/>
              <w:ind w:right="8" w:rightChars="0"/>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报价</w:t>
            </w:r>
            <w:r>
              <w:rPr>
                <w:rFonts w:hint="eastAsia" w:ascii="仿宋" w:hAnsi="仿宋" w:eastAsia="仿宋" w:cs="仿宋"/>
                <w:sz w:val="21"/>
                <w:szCs w:val="21"/>
                <w:vertAlign w:val="baseline"/>
              </w:rPr>
              <w:t>部分（</w:t>
            </w:r>
            <w:r>
              <w:rPr>
                <w:rFonts w:hint="eastAsia" w:ascii="仿宋" w:hAnsi="仿宋" w:eastAsia="仿宋" w:cs="仿宋"/>
                <w:sz w:val="21"/>
                <w:szCs w:val="21"/>
                <w:vertAlign w:val="baseline"/>
                <w:lang w:val="en-US" w:eastAsia="zh-CN"/>
              </w:rPr>
              <w:t>10</w:t>
            </w:r>
            <w:r>
              <w:rPr>
                <w:rFonts w:hint="eastAsia" w:ascii="仿宋" w:hAnsi="仿宋" w:eastAsia="仿宋" w:cs="仿宋"/>
                <w:sz w:val="21"/>
                <w:szCs w:val="21"/>
                <w:vertAlign w:val="baseline"/>
              </w:rPr>
              <w:t xml:space="preserve"> 分）</w:t>
            </w:r>
          </w:p>
        </w:tc>
        <w:tc>
          <w:tcPr>
            <w:tcW w:w="687" w:type="dxa"/>
            <w:vAlign w:val="center"/>
          </w:tcPr>
          <w:p w14:paraId="5FF1389C">
            <w:pPr>
              <w:pStyle w:val="6"/>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5186" w:type="dxa"/>
          </w:tcPr>
          <w:p w14:paraId="780F8B05">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满足招</w:t>
            </w:r>
            <w:r>
              <w:rPr>
                <w:rFonts w:hint="eastAsia" w:ascii="仿宋" w:hAnsi="仿宋" w:eastAsia="仿宋" w:cs="仿宋"/>
                <w:sz w:val="21"/>
                <w:szCs w:val="21"/>
                <w:vertAlign w:val="baseline"/>
              </w:rPr>
              <w:t>标文件要求且投标价格最低的有效投标报价（即除低于成本报价以外的报价）为评标基准价。其他</w:t>
            </w:r>
            <w:r>
              <w:rPr>
                <w:rFonts w:hint="eastAsia" w:ascii="仿宋" w:hAnsi="仿宋" w:eastAsia="仿宋" w:cs="仿宋"/>
                <w:sz w:val="21"/>
                <w:szCs w:val="21"/>
                <w:vertAlign w:val="baseline"/>
                <w:lang w:val="en-US" w:eastAsia="zh-CN"/>
              </w:rPr>
              <w:t>供应商</w:t>
            </w:r>
            <w:r>
              <w:rPr>
                <w:rFonts w:hint="eastAsia" w:ascii="仿宋" w:hAnsi="仿宋" w:eastAsia="仿宋" w:cs="仿宋"/>
                <w:sz w:val="21"/>
                <w:szCs w:val="21"/>
                <w:vertAlign w:val="baseline"/>
              </w:rPr>
              <w:t>的价格分统一按照下列公式计算：</w:t>
            </w:r>
          </w:p>
          <w:p w14:paraId="1A051963">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投标报价得分=（评标基准价/投标报价）×</w:t>
            </w:r>
            <w:r>
              <w:rPr>
                <w:rFonts w:hint="eastAsia" w:ascii="仿宋" w:hAnsi="仿宋" w:eastAsia="仿宋" w:cs="仿宋"/>
                <w:sz w:val="21"/>
                <w:szCs w:val="21"/>
                <w:vertAlign w:val="baseline"/>
                <w:lang w:val="en-US" w:eastAsia="zh-CN"/>
              </w:rPr>
              <w:t>价格满分分值</w:t>
            </w:r>
          </w:p>
        </w:tc>
      </w:tr>
      <w:tr w14:paraId="203F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1074" w:type="dxa"/>
            <w:vMerge w:val="restart"/>
            <w:tcBorders>
              <w:right w:val="single" w:color="000000" w:sz="4" w:space="0"/>
            </w:tcBorders>
            <w:vAlign w:val="center"/>
          </w:tcPr>
          <w:p w14:paraId="5466783A">
            <w:pPr>
              <w:pStyle w:val="6"/>
              <w:spacing w:line="240" w:lineRule="auto"/>
              <w:ind w:right="-19" w:rightChars="-9"/>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rPr>
              <w:t>商务部分(</w:t>
            </w:r>
            <w:r>
              <w:rPr>
                <w:rFonts w:hint="eastAsia" w:ascii="仿宋" w:hAnsi="仿宋" w:eastAsia="仿宋" w:cs="仿宋"/>
                <w:sz w:val="21"/>
                <w:szCs w:val="21"/>
                <w:vertAlign w:val="baseline"/>
                <w:lang w:val="en-US" w:eastAsia="zh-CN"/>
              </w:rPr>
              <w:t>23</w:t>
            </w:r>
            <w:r>
              <w:rPr>
                <w:rFonts w:hint="eastAsia" w:ascii="仿宋" w:hAnsi="仿宋" w:eastAsia="仿宋" w:cs="仿宋"/>
                <w:sz w:val="21"/>
                <w:szCs w:val="21"/>
                <w:vertAlign w:val="baseline"/>
              </w:rPr>
              <w:t>分)</w:t>
            </w:r>
          </w:p>
        </w:tc>
        <w:tc>
          <w:tcPr>
            <w:tcW w:w="1575" w:type="dxa"/>
            <w:tcBorders>
              <w:left w:val="single" w:color="000000" w:sz="4" w:space="0"/>
            </w:tcBorders>
            <w:vAlign w:val="center"/>
          </w:tcPr>
          <w:p w14:paraId="514BA06E">
            <w:pPr>
              <w:pStyle w:val="6"/>
              <w:spacing w:line="240" w:lineRule="auto"/>
              <w:ind w:right="31" w:rightChars="15"/>
              <w:jc w:val="center"/>
              <w:rPr>
                <w:rFonts w:hint="eastAsia" w:ascii="仿宋" w:hAnsi="仿宋" w:eastAsia="仿宋" w:cs="仿宋"/>
                <w:sz w:val="21"/>
                <w:szCs w:val="21"/>
                <w:vertAlign w:val="baseline"/>
              </w:rPr>
            </w:pPr>
            <w:bookmarkStart w:id="64" w:name="OLE_LINK60"/>
            <w:r>
              <w:rPr>
                <w:rFonts w:hint="eastAsia" w:ascii="仿宋" w:hAnsi="仿宋" w:eastAsia="仿宋" w:cs="仿宋"/>
                <w:sz w:val="21"/>
                <w:szCs w:val="21"/>
                <w:highlight w:val="none"/>
                <w:vertAlign w:val="baseline"/>
              </w:rPr>
              <w:t>类似项目业绩</w:t>
            </w:r>
            <w:bookmarkEnd w:id="64"/>
          </w:p>
        </w:tc>
        <w:tc>
          <w:tcPr>
            <w:tcW w:w="687" w:type="dxa"/>
            <w:vAlign w:val="center"/>
          </w:tcPr>
          <w:p w14:paraId="3F6233D5">
            <w:pPr>
              <w:pStyle w:val="6"/>
              <w:spacing w:line="240" w:lineRule="auto"/>
              <w:ind w:right="0" w:right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5186" w:type="dxa"/>
          </w:tcPr>
          <w:p w14:paraId="7C268830">
            <w:pPr>
              <w:pStyle w:val="6"/>
              <w:spacing w:line="240" w:lineRule="auto"/>
              <w:ind w:right="-31" w:rightChars="-15"/>
              <w:rPr>
                <w:rFonts w:hint="eastAsia" w:ascii="仿宋" w:hAnsi="仿宋" w:eastAsia="仿宋" w:cs="仿宋"/>
                <w:color w:val="000000" w:themeColor="text1"/>
                <w:sz w:val="21"/>
                <w:szCs w:val="21"/>
                <w:vertAlign w:val="baseline"/>
                <w14:textFill>
                  <w14:solidFill>
                    <w14:schemeClr w14:val="tx1"/>
                  </w14:solidFill>
                </w14:textFill>
              </w:rPr>
            </w:pPr>
            <w:bookmarkStart w:id="65" w:name="OLE_LINK61"/>
            <w:r>
              <w:rPr>
                <w:rFonts w:hint="eastAsia" w:ascii="仿宋" w:hAnsi="仿宋" w:eastAsia="仿宋" w:cs="仿宋"/>
                <w:color w:val="000000" w:themeColor="text1"/>
                <w:sz w:val="21"/>
                <w:szCs w:val="21"/>
                <w:vertAlign w:val="baseline"/>
                <w:lang w:val="en-US" w:eastAsia="zh-CN"/>
                <w14:textFill>
                  <w14:solidFill>
                    <w14:schemeClr w14:val="tx1"/>
                  </w14:solidFill>
                </w14:textFill>
              </w:rPr>
              <w:t>供应商</w:t>
            </w:r>
            <w:r>
              <w:rPr>
                <w:rFonts w:hint="eastAsia" w:ascii="仿宋" w:hAnsi="仿宋" w:eastAsia="仿宋" w:cs="仿宋"/>
                <w:color w:val="000000" w:themeColor="text1"/>
                <w:sz w:val="21"/>
                <w:szCs w:val="21"/>
                <w:vertAlign w:val="baseline"/>
                <w14:textFill>
                  <w14:solidFill>
                    <w14:schemeClr w14:val="tx1"/>
                  </w14:solidFill>
                </w14:textFill>
              </w:rPr>
              <w:t>自 20</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22</w:t>
            </w:r>
            <w:r>
              <w:rPr>
                <w:rFonts w:hint="eastAsia" w:ascii="仿宋" w:hAnsi="仿宋" w:eastAsia="仿宋" w:cs="仿宋"/>
                <w:color w:val="000000" w:themeColor="text1"/>
                <w:sz w:val="21"/>
                <w:szCs w:val="21"/>
                <w:vertAlign w:val="baseline"/>
                <w14:textFill>
                  <w14:solidFill>
                    <w14:schemeClr w14:val="tx1"/>
                  </w14:solidFill>
                </w14:textFill>
              </w:rPr>
              <w:t>年</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01</w:t>
            </w:r>
            <w:r>
              <w:rPr>
                <w:rFonts w:hint="eastAsia" w:ascii="仿宋" w:hAnsi="仿宋" w:eastAsia="仿宋" w:cs="仿宋"/>
                <w:color w:val="000000" w:themeColor="text1"/>
                <w:sz w:val="21"/>
                <w:szCs w:val="21"/>
                <w:vertAlign w:val="baseline"/>
                <w14:textFill>
                  <w14:solidFill>
                    <w14:schemeClr w14:val="tx1"/>
                  </w14:solidFill>
                </w14:textFill>
              </w:rPr>
              <w:t>月</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01</w:t>
            </w:r>
            <w:r>
              <w:rPr>
                <w:rFonts w:hint="eastAsia" w:ascii="仿宋" w:hAnsi="仿宋" w:eastAsia="仿宋" w:cs="仿宋"/>
                <w:color w:val="000000" w:themeColor="text1"/>
                <w:sz w:val="21"/>
                <w:szCs w:val="21"/>
                <w:vertAlign w:val="baseline"/>
                <w14:textFill>
                  <w14:solidFill>
                    <w14:schemeClr w14:val="tx1"/>
                  </w14:solidFill>
                </w14:textFill>
              </w:rPr>
              <w:t>日至投标截止日止（以合同签订合同时间为准）独立承担的类似项目，每提供 1 份有效的业绩资料得</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2</w:t>
            </w:r>
            <w:r>
              <w:rPr>
                <w:rFonts w:hint="eastAsia" w:ascii="仿宋" w:hAnsi="仿宋" w:eastAsia="仿宋" w:cs="仿宋"/>
                <w:color w:val="000000" w:themeColor="text1"/>
                <w:sz w:val="21"/>
                <w:szCs w:val="21"/>
                <w:vertAlign w:val="baseline"/>
                <w14:textFill>
                  <w14:solidFill>
                    <w14:schemeClr w14:val="tx1"/>
                  </w14:solidFill>
                </w14:textFill>
              </w:rPr>
              <w:t>分，满分</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10</w:t>
            </w:r>
            <w:r>
              <w:rPr>
                <w:rFonts w:hint="eastAsia" w:ascii="仿宋" w:hAnsi="仿宋" w:eastAsia="仿宋" w:cs="仿宋"/>
                <w:color w:val="000000" w:themeColor="text1"/>
                <w:sz w:val="21"/>
                <w:szCs w:val="21"/>
                <w:vertAlign w:val="baseline"/>
                <w14:textFill>
                  <w14:solidFill>
                    <w14:schemeClr w14:val="tx1"/>
                  </w14:solidFill>
                </w14:textFill>
              </w:rPr>
              <w:t>分。</w:t>
            </w:r>
          </w:p>
          <w:p w14:paraId="50131C07">
            <w:pPr>
              <w:pStyle w:val="6"/>
              <w:spacing w:line="240" w:lineRule="auto"/>
              <w:ind w:right="-31" w:rightChars="-15"/>
              <w:rPr>
                <w:rFonts w:hint="eastAsia" w:ascii="仿宋" w:hAnsi="仿宋" w:eastAsia="仿宋" w:cs="仿宋"/>
                <w:color w:val="000000" w:themeColor="text1"/>
                <w:sz w:val="21"/>
                <w:szCs w:val="21"/>
                <w:vertAlign w:val="baseline"/>
                <w14:textFill>
                  <w14:solidFill>
                    <w14:schemeClr w14:val="tx1"/>
                  </w14:solidFill>
                </w14:textFill>
              </w:rPr>
            </w:pPr>
            <w:r>
              <w:rPr>
                <w:rFonts w:hint="eastAsia" w:ascii="仿宋" w:hAnsi="仿宋" w:eastAsia="仿宋" w:cs="仿宋"/>
                <w:color w:val="000000" w:themeColor="text1"/>
                <w:sz w:val="21"/>
                <w:szCs w:val="21"/>
                <w:vertAlign w:val="baseline"/>
                <w14:textFill>
                  <w14:solidFill>
                    <w14:schemeClr w14:val="tx1"/>
                  </w14:solidFill>
                </w14:textFill>
              </w:rPr>
              <w:t>注：1.须提供业绩合同关键页</w:t>
            </w:r>
            <w:r>
              <w:rPr>
                <w:rFonts w:hint="eastAsia" w:ascii="仿宋" w:hAnsi="仿宋" w:eastAsia="仿宋" w:cs="仿宋"/>
                <w:color w:val="000000" w:themeColor="text1"/>
                <w:sz w:val="21"/>
                <w:szCs w:val="21"/>
                <w:vertAlign w:val="baseline"/>
                <w:lang w:eastAsia="zh-CN"/>
                <w14:textFill>
                  <w14:solidFill>
                    <w14:schemeClr w14:val="tx1"/>
                  </w14:solidFill>
                </w14:textFill>
              </w:rPr>
              <w:t>、其客户服务评价满意的评价函</w:t>
            </w:r>
            <w:r>
              <w:rPr>
                <w:rFonts w:hint="eastAsia" w:ascii="仿宋" w:hAnsi="仿宋" w:eastAsia="仿宋" w:cs="仿宋"/>
                <w:color w:val="000000" w:themeColor="text1"/>
                <w:sz w:val="21"/>
                <w:szCs w:val="21"/>
                <w:vertAlign w:val="baseline"/>
                <w14:textFill>
                  <w14:solidFill>
                    <w14:schemeClr w14:val="tx1"/>
                  </w14:solidFill>
                </w14:textFill>
              </w:rPr>
              <w:t>（含：首页、服务内容信息页、合同金额页、签字盖章页）。</w:t>
            </w:r>
            <w:r>
              <w:rPr>
                <w:rFonts w:hint="eastAsia" w:ascii="仿宋" w:hAnsi="仿宋" w:eastAsia="仿宋" w:cs="仿宋"/>
                <w:color w:val="000000" w:themeColor="text1"/>
                <w:sz w:val="21"/>
                <w:szCs w:val="21"/>
                <w:vertAlign w:val="baseline"/>
                <w:lang w:eastAsia="zh-CN"/>
                <w14:textFill>
                  <w14:solidFill>
                    <w14:schemeClr w14:val="tx1"/>
                  </w14:solidFill>
                </w14:textFill>
              </w:rPr>
              <w:t>扫描件</w:t>
            </w:r>
            <w:r>
              <w:rPr>
                <w:rFonts w:hint="eastAsia" w:ascii="仿宋" w:hAnsi="仿宋" w:eastAsia="仿宋" w:cs="仿宋"/>
                <w:color w:val="000000" w:themeColor="text1"/>
                <w:sz w:val="21"/>
                <w:szCs w:val="21"/>
                <w:vertAlign w:val="baseline"/>
                <w14:textFill>
                  <w14:solidFill>
                    <w14:schemeClr w14:val="tx1"/>
                  </w14:solidFill>
                </w14:textFill>
              </w:rPr>
              <w:t>加盖公章，时间以合同签订日期为准。不符合上述要求或未按要求提供有效证明文件的业绩在评审时将不予承认。</w:t>
            </w:r>
          </w:p>
          <w:p w14:paraId="68107007">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2.</w:t>
            </w:r>
            <w:r>
              <w:rPr>
                <w:rFonts w:hint="eastAsia" w:ascii="仿宋" w:hAnsi="仿宋" w:eastAsia="仿宋" w:cs="仿宋"/>
                <w:color w:val="000000" w:themeColor="text1"/>
                <w:sz w:val="21"/>
                <w:szCs w:val="21"/>
                <w:vertAlign w:val="baseline"/>
                <w:lang w:eastAsia="zh-CN"/>
                <w14:textFill>
                  <w14:solidFill>
                    <w14:schemeClr w14:val="tx1"/>
                  </w14:solidFill>
                </w14:textFill>
              </w:rPr>
              <w:t>供应商</w:t>
            </w:r>
            <w:r>
              <w:rPr>
                <w:rFonts w:hint="eastAsia" w:ascii="仿宋" w:hAnsi="仿宋" w:eastAsia="仿宋" w:cs="仿宋"/>
                <w:color w:val="000000" w:themeColor="text1"/>
                <w:sz w:val="21"/>
                <w:szCs w:val="21"/>
                <w:vertAlign w:val="baseline"/>
                <w14:textFill>
                  <w14:solidFill>
                    <w14:schemeClr w14:val="tx1"/>
                  </w14:solidFill>
                </w14:textFill>
              </w:rPr>
              <w:t>提供虚假合同的，按虚假投标处理。</w:t>
            </w:r>
            <w:bookmarkEnd w:id="65"/>
          </w:p>
        </w:tc>
      </w:tr>
      <w:tr w14:paraId="0F7A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74" w:type="dxa"/>
            <w:vMerge w:val="continue"/>
            <w:tcBorders>
              <w:right w:val="single" w:color="000000" w:sz="4" w:space="0"/>
            </w:tcBorders>
            <w:vAlign w:val="center"/>
          </w:tcPr>
          <w:p w14:paraId="3BFBEEEC">
            <w:pPr>
              <w:pStyle w:val="6"/>
              <w:spacing w:line="240" w:lineRule="auto"/>
              <w:ind w:right="-19" w:rightChars="-9"/>
              <w:jc w:val="center"/>
              <w:rPr>
                <w:rFonts w:hint="eastAsia" w:ascii="仿宋" w:hAnsi="仿宋" w:eastAsia="仿宋" w:cs="仿宋"/>
                <w:sz w:val="21"/>
                <w:szCs w:val="21"/>
                <w:vertAlign w:val="baseline"/>
              </w:rPr>
            </w:pPr>
          </w:p>
        </w:tc>
        <w:tc>
          <w:tcPr>
            <w:tcW w:w="1575" w:type="dxa"/>
            <w:tcBorders>
              <w:left w:val="single" w:color="000000" w:sz="4" w:space="0"/>
            </w:tcBorders>
            <w:vAlign w:val="center"/>
          </w:tcPr>
          <w:p w14:paraId="2B97DB33">
            <w:pPr>
              <w:pStyle w:val="6"/>
              <w:spacing w:line="240" w:lineRule="auto"/>
              <w:ind w:right="31" w:rightChars="15"/>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人员配置</w:t>
            </w:r>
          </w:p>
        </w:tc>
        <w:tc>
          <w:tcPr>
            <w:tcW w:w="687" w:type="dxa"/>
            <w:vAlign w:val="center"/>
          </w:tcPr>
          <w:p w14:paraId="00E7EFC7">
            <w:pPr>
              <w:pStyle w:val="6"/>
              <w:spacing w:line="240" w:lineRule="auto"/>
              <w:ind w:right="0" w:right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5186" w:type="dxa"/>
            <w:vAlign w:val="top"/>
          </w:tcPr>
          <w:p w14:paraId="6F56DA1C">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1、供应商针对本项目拟派项目负责人具有高级及以上职称证书的得3分，本项最高得3分；</w:t>
            </w:r>
          </w:p>
          <w:p w14:paraId="01C5FF31">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2、供应商针对本项目拟派团队技术人员中具有中级及以上职称证书（不含项目负责人）的，每提供1人得2分，本项最高得6分；</w:t>
            </w:r>
          </w:p>
          <w:p w14:paraId="3AE39C67">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3、供应商针对本项目拟派团队技术人员中具有初级及以上职称证书（不含项目负责人）的，每提供1人得1分，本项最高得4分。</w:t>
            </w:r>
          </w:p>
          <w:p w14:paraId="79C4B985">
            <w:pPr>
              <w:pStyle w:val="6"/>
              <w:spacing w:line="240" w:lineRule="auto"/>
              <w:ind w:right="-31" w:rightChars="-15"/>
              <w:rPr>
                <w:rFonts w:hint="default"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注：1-3项人员不重复计分；提供相关证书扫描件。</w:t>
            </w:r>
          </w:p>
        </w:tc>
      </w:tr>
      <w:tr w14:paraId="60FF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74" w:type="dxa"/>
            <w:vMerge w:val="restart"/>
            <w:tcBorders>
              <w:right w:val="single" w:color="000000" w:sz="4" w:space="0"/>
            </w:tcBorders>
            <w:vAlign w:val="center"/>
          </w:tcPr>
          <w:p w14:paraId="4A06A106">
            <w:pPr>
              <w:pStyle w:val="6"/>
              <w:spacing w:line="240" w:lineRule="auto"/>
              <w:ind w:right="-19" w:rightChars="-9"/>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技术部分 (</w:t>
            </w:r>
            <w:r>
              <w:rPr>
                <w:rFonts w:hint="eastAsia" w:ascii="仿宋" w:hAnsi="仿宋" w:eastAsia="仿宋" w:cs="仿宋"/>
                <w:sz w:val="21"/>
                <w:szCs w:val="21"/>
                <w:vertAlign w:val="baseline"/>
                <w:lang w:val="en-US" w:eastAsia="zh-CN"/>
              </w:rPr>
              <w:t>67</w:t>
            </w:r>
            <w:r>
              <w:rPr>
                <w:rFonts w:hint="eastAsia" w:ascii="仿宋" w:hAnsi="仿宋" w:eastAsia="仿宋" w:cs="仿宋"/>
                <w:sz w:val="21"/>
                <w:szCs w:val="21"/>
                <w:vertAlign w:val="baseline"/>
              </w:rPr>
              <w:t>分)</w:t>
            </w:r>
          </w:p>
        </w:tc>
        <w:tc>
          <w:tcPr>
            <w:tcW w:w="1575" w:type="dxa"/>
            <w:tcBorders>
              <w:left w:val="single" w:color="000000" w:sz="4" w:space="0"/>
            </w:tcBorders>
            <w:vAlign w:val="center"/>
          </w:tcPr>
          <w:p w14:paraId="729A43BD">
            <w:pPr>
              <w:pStyle w:val="6"/>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履约能力</w:t>
            </w:r>
          </w:p>
        </w:tc>
        <w:tc>
          <w:tcPr>
            <w:tcW w:w="687" w:type="dxa"/>
            <w:vAlign w:val="center"/>
          </w:tcPr>
          <w:p w14:paraId="59D7E2E0">
            <w:pPr>
              <w:pStyle w:val="6"/>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4</w:t>
            </w:r>
          </w:p>
        </w:tc>
        <w:tc>
          <w:tcPr>
            <w:tcW w:w="5186" w:type="dxa"/>
            <w:shd w:val="clear" w:color="auto" w:fill="auto"/>
            <w:vAlign w:val="top"/>
          </w:tcPr>
          <w:p w14:paraId="69E48886">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供应商通过 CMA 认证的项目覆盖范围占本项目要求的检测项目的比例情况：</w:t>
            </w:r>
          </w:p>
          <w:p w14:paraId="53438ADD">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①95%（含）及以上得4分；</w:t>
            </w:r>
          </w:p>
          <w:p w14:paraId="4A7255CC">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②90%（含）-95%（不含）得 2 分；</w:t>
            </w:r>
          </w:p>
          <w:p w14:paraId="1606AC2E">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③85%（含）-90%（不含）得 1 分；</w:t>
            </w:r>
          </w:p>
          <w:p w14:paraId="20554683">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本项最高得4分，低于85%或未提供有效证明文件的不得分；另行分包、送其它机构检测不纳入检测项目统计。</w:t>
            </w:r>
          </w:p>
          <w:p w14:paraId="35B05BE5">
            <w:pPr>
              <w:pStyle w:val="6"/>
              <w:spacing w:line="240" w:lineRule="auto"/>
              <w:ind w:right="-31" w:rightChars="-15"/>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b/>
                <w:bCs/>
                <w:kern w:val="2"/>
                <w:sz w:val="21"/>
                <w:szCs w:val="21"/>
                <w:highlight w:val="none"/>
                <w:vertAlign w:val="baseline"/>
                <w:lang w:val="en-US" w:eastAsia="zh-CN" w:bidi="ar-SA"/>
              </w:rPr>
              <w:t>注：提供须提供 CMA证书附表扫描件并加盖公章。</w:t>
            </w:r>
          </w:p>
        </w:tc>
      </w:tr>
      <w:tr w14:paraId="1F0E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074" w:type="dxa"/>
            <w:vMerge w:val="continue"/>
            <w:tcBorders>
              <w:right w:val="single" w:color="000000" w:sz="4" w:space="0"/>
            </w:tcBorders>
            <w:vAlign w:val="center"/>
          </w:tcPr>
          <w:p w14:paraId="0ED29F04">
            <w:pPr>
              <w:pStyle w:val="6"/>
              <w:spacing w:line="240" w:lineRule="auto"/>
              <w:ind w:right="-19" w:rightChars="-9"/>
              <w:jc w:val="center"/>
              <w:rPr>
                <w:rFonts w:hint="eastAsia" w:ascii="仿宋" w:hAnsi="仿宋" w:eastAsia="仿宋" w:cs="仿宋"/>
                <w:sz w:val="21"/>
                <w:szCs w:val="21"/>
                <w:vertAlign w:val="baseline"/>
              </w:rPr>
            </w:pPr>
          </w:p>
        </w:tc>
        <w:tc>
          <w:tcPr>
            <w:tcW w:w="1575" w:type="dxa"/>
            <w:tcBorders>
              <w:left w:val="single" w:color="000000" w:sz="4" w:space="0"/>
            </w:tcBorders>
            <w:vAlign w:val="center"/>
          </w:tcPr>
          <w:p w14:paraId="3B5AA044">
            <w:pPr>
              <w:pStyle w:val="6"/>
              <w:spacing w:line="240" w:lineRule="auto"/>
              <w:ind w:right="31" w:rightChars="15"/>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项目实施方案</w:t>
            </w:r>
          </w:p>
        </w:tc>
        <w:tc>
          <w:tcPr>
            <w:tcW w:w="687" w:type="dxa"/>
            <w:vAlign w:val="center"/>
          </w:tcPr>
          <w:p w14:paraId="16F87694">
            <w:pPr>
              <w:pStyle w:val="6"/>
              <w:spacing w:line="240" w:lineRule="auto"/>
              <w:ind w:right="0" w:right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32</w:t>
            </w:r>
          </w:p>
        </w:tc>
        <w:tc>
          <w:tcPr>
            <w:tcW w:w="5186" w:type="dxa"/>
            <w:vAlign w:val="top"/>
          </w:tcPr>
          <w:p w14:paraId="0636F91B">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供应商需针对本项目提供项目实施方案，包含但不限于：</w:t>
            </w:r>
          </w:p>
          <w:p w14:paraId="51C47E62">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①项目的组织及任务部署方案；</w:t>
            </w:r>
          </w:p>
          <w:p w14:paraId="356CE85F">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②服务标准及工作流程；</w:t>
            </w:r>
          </w:p>
          <w:p w14:paraId="75470172">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③样品抽取及核查接收方案；</w:t>
            </w:r>
          </w:p>
          <w:p w14:paraId="503D50D8">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④质量控制方案；</w:t>
            </w:r>
          </w:p>
          <w:p w14:paraId="21517F35">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⑤结果处理方案；</w:t>
            </w:r>
          </w:p>
          <w:p w14:paraId="6CC88D70">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⑥安全处理及保密措施；</w:t>
            </w:r>
          </w:p>
          <w:p w14:paraId="2E9528E1">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⑦应急方案；</w:t>
            </w:r>
          </w:p>
          <w:p w14:paraId="338C9470">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⑧人员分工安排等内容，</w:t>
            </w:r>
          </w:p>
          <w:p w14:paraId="752A942B">
            <w:pPr>
              <w:pStyle w:val="6"/>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rPr>
              <w:t>以上方案内容完整清晰明确且科学合理、可行性高具有针对性并满足采购需求的得32分，每缺少一项内容扣4分</w:t>
            </w:r>
            <w:r>
              <w:rPr>
                <w:rFonts w:hint="eastAsia" w:ascii="仿宋" w:hAnsi="仿宋" w:eastAsia="仿宋" w:cs="仿宋"/>
                <w:sz w:val="21"/>
                <w:szCs w:val="21"/>
                <w:vertAlign w:val="baseline"/>
                <w:lang w:eastAsia="zh-CN"/>
              </w:rPr>
              <w:t>，</w:t>
            </w:r>
            <w:r>
              <w:rPr>
                <w:rFonts w:hint="eastAsia" w:ascii="仿宋" w:hAnsi="仿宋" w:eastAsia="仿宋" w:cs="仿宋"/>
                <w:sz w:val="21"/>
                <w:szCs w:val="21"/>
                <w:vertAlign w:val="baseline"/>
                <w:lang w:val="en-US" w:eastAsia="zh-CN"/>
              </w:rPr>
              <w:t>每出现一处不满足或方案缺失（缺失是指：凭空编造、明显的套用错误、内容前后表述不一致、前后逻辑错误、涉及的规范及标准错误、地点区域错误、内容不完整、项目背景错误、不可能实现的情形等任意一种情形）的扣 2 分，扣完为止。</w:t>
            </w:r>
          </w:p>
        </w:tc>
      </w:tr>
      <w:tr w14:paraId="5776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74" w:type="dxa"/>
            <w:vMerge w:val="continue"/>
            <w:tcBorders>
              <w:right w:val="single" w:color="000000" w:sz="4" w:space="0"/>
            </w:tcBorders>
            <w:vAlign w:val="center"/>
          </w:tcPr>
          <w:p w14:paraId="2E8D48F5">
            <w:pPr>
              <w:pStyle w:val="6"/>
              <w:spacing w:line="240" w:lineRule="auto"/>
              <w:ind w:right="-19" w:rightChars="-9"/>
              <w:jc w:val="center"/>
              <w:rPr>
                <w:rFonts w:hint="eastAsia" w:ascii="仿宋" w:hAnsi="仿宋" w:eastAsia="仿宋" w:cs="仿宋"/>
                <w:sz w:val="21"/>
                <w:szCs w:val="21"/>
                <w:vertAlign w:val="baseline"/>
              </w:rPr>
            </w:pPr>
          </w:p>
        </w:tc>
        <w:tc>
          <w:tcPr>
            <w:tcW w:w="1575" w:type="dxa"/>
            <w:tcBorders>
              <w:left w:val="single" w:color="000000" w:sz="4" w:space="0"/>
            </w:tcBorders>
            <w:vAlign w:val="center"/>
          </w:tcPr>
          <w:p w14:paraId="4BBE4AC1">
            <w:pPr>
              <w:pStyle w:val="6"/>
              <w:spacing w:line="240" w:lineRule="auto"/>
              <w:ind w:right="31" w:rightChars="15"/>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抽检服务方案</w:t>
            </w:r>
          </w:p>
        </w:tc>
        <w:tc>
          <w:tcPr>
            <w:tcW w:w="687" w:type="dxa"/>
            <w:vAlign w:val="center"/>
          </w:tcPr>
          <w:p w14:paraId="61474FA9">
            <w:pPr>
              <w:pStyle w:val="6"/>
              <w:spacing w:line="240" w:lineRule="auto"/>
              <w:ind w:right="0" w:rightChars="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5186" w:type="dxa"/>
            <w:vAlign w:val="top"/>
          </w:tcPr>
          <w:p w14:paraId="5E14D258">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供应商需针对本项目提供项目抽检服务方案，包含但不限于：</w:t>
            </w:r>
          </w:p>
          <w:p w14:paraId="7B409E72">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①运输方案；</w:t>
            </w:r>
          </w:p>
          <w:p w14:paraId="67C3F2A8">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②检测方案；</w:t>
            </w:r>
          </w:p>
          <w:p w14:paraId="314FED3D">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③抽检工作流程；</w:t>
            </w:r>
          </w:p>
          <w:p w14:paraId="5CBEFD32">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④结果异议处理措施；</w:t>
            </w:r>
          </w:p>
          <w:p w14:paraId="0455E684">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⑤抽样工作实施方案等内容，</w:t>
            </w:r>
          </w:p>
          <w:p w14:paraId="091F7D79">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以上方案内容完整清晰明确且科学合理、可行性高具有针对性并满足采购需求的得20分，每缺少一项内容扣4分；每出现一处不满足或方案缺失（缺失是指：凭空编造、明显的套用错误、内容前后表述不一致、前后逻辑错误、涉及的规范及标准错误、地点区域错误、内容不完整、项目背景错误、不可能实现的情形等任意一种情形）的扣 2 分，扣完为止。</w:t>
            </w:r>
          </w:p>
        </w:tc>
      </w:tr>
      <w:tr w14:paraId="3DB9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74" w:type="dxa"/>
            <w:vMerge w:val="continue"/>
            <w:tcBorders>
              <w:right w:val="single" w:color="000000" w:sz="4" w:space="0"/>
            </w:tcBorders>
            <w:vAlign w:val="center"/>
          </w:tcPr>
          <w:p w14:paraId="14746E1A">
            <w:pPr>
              <w:pStyle w:val="6"/>
              <w:spacing w:line="240" w:lineRule="auto"/>
              <w:ind w:right="-19" w:rightChars="-9"/>
              <w:jc w:val="center"/>
              <w:rPr>
                <w:rFonts w:hint="eastAsia" w:ascii="仿宋" w:hAnsi="仿宋" w:eastAsia="仿宋" w:cs="仿宋"/>
                <w:sz w:val="21"/>
                <w:szCs w:val="21"/>
                <w:vertAlign w:val="baseline"/>
              </w:rPr>
            </w:pPr>
          </w:p>
        </w:tc>
        <w:tc>
          <w:tcPr>
            <w:tcW w:w="1575" w:type="dxa"/>
            <w:tcBorders>
              <w:left w:val="single" w:color="000000" w:sz="4" w:space="0"/>
            </w:tcBorders>
            <w:vAlign w:val="center"/>
          </w:tcPr>
          <w:p w14:paraId="3B0D359E">
            <w:pPr>
              <w:pStyle w:val="6"/>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能力检验</w:t>
            </w:r>
          </w:p>
        </w:tc>
        <w:tc>
          <w:tcPr>
            <w:tcW w:w="687" w:type="dxa"/>
            <w:vAlign w:val="center"/>
          </w:tcPr>
          <w:p w14:paraId="25A16FB1">
            <w:pPr>
              <w:pStyle w:val="6"/>
              <w:spacing w:line="240" w:lineRule="auto"/>
              <w:ind w:right="0" w:rightChars="0"/>
              <w:jc w:val="center"/>
              <w:rPr>
                <w:rFonts w:hint="default" w:ascii="仿宋" w:hAnsi="仿宋" w:eastAsia="仿宋" w:cs="仿宋"/>
                <w:sz w:val="21"/>
                <w:szCs w:val="21"/>
                <w:vertAlign w:val="baseline"/>
                <w:lang w:val="en-US" w:eastAsia="zh-CN"/>
              </w:rPr>
            </w:pPr>
            <w:r>
              <w:rPr>
                <w:rFonts w:hint="eastAsia" w:ascii="仿宋" w:hAnsi="仿宋" w:eastAsia="仿宋" w:cs="仿宋"/>
                <w:kern w:val="2"/>
                <w:sz w:val="21"/>
                <w:szCs w:val="21"/>
                <w:highlight w:val="none"/>
                <w:vertAlign w:val="baseline"/>
                <w:lang w:val="en-US" w:eastAsia="zh-CN" w:bidi="ar-SA"/>
              </w:rPr>
              <w:t>11</w:t>
            </w:r>
          </w:p>
        </w:tc>
        <w:tc>
          <w:tcPr>
            <w:tcW w:w="5186" w:type="dxa"/>
            <w:vAlign w:val="top"/>
          </w:tcPr>
          <w:p w14:paraId="436B1A80">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1、供应商针对本项目提供相关检验设备的，提供8台及以上的得5分；提供5-7台的得3分，提供2-4台的得1分；提供1台或不提供的不得分；本项最高得5分；</w:t>
            </w:r>
          </w:p>
          <w:p w14:paraId="11AED052">
            <w:pPr>
              <w:pStyle w:val="6"/>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2、供应商针对本项目提供专用车辆的，每提供1辆得2分，最高得6分，未提供不得分。</w:t>
            </w:r>
          </w:p>
          <w:p w14:paraId="76C83661">
            <w:pPr>
              <w:pStyle w:val="6"/>
              <w:spacing w:line="240" w:lineRule="auto"/>
              <w:ind w:right="-31" w:rightChars="-15"/>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注：1项提供《2025年X产品检验任务检测设备情况表》，有效检定校准证书或设备购买（租赁）合同扫描件并加盖供应商公章；</w:t>
            </w:r>
          </w:p>
          <w:p w14:paraId="0CF082EE">
            <w:pPr>
              <w:pStyle w:val="6"/>
              <w:spacing w:line="240" w:lineRule="auto"/>
              <w:ind w:right="-31" w:rightChars="-15"/>
              <w:rPr>
                <w:rFonts w:hint="default" w:ascii="仿宋" w:hAnsi="仿宋" w:eastAsia="仿宋" w:cs="仿宋"/>
                <w:sz w:val="21"/>
                <w:szCs w:val="21"/>
                <w:vertAlign w:val="baseline"/>
                <w:lang w:val="en-US" w:eastAsia="zh-CN"/>
              </w:rPr>
            </w:pPr>
            <w:r>
              <w:rPr>
                <w:rFonts w:hint="eastAsia" w:ascii="仿宋" w:hAnsi="仿宋" w:eastAsia="仿宋" w:cs="仿宋"/>
                <w:b/>
                <w:bCs/>
                <w:color w:val="auto"/>
                <w:sz w:val="21"/>
                <w:szCs w:val="21"/>
                <w:vertAlign w:val="baseline"/>
                <w:lang w:val="en-US" w:eastAsia="zh-CN"/>
              </w:rPr>
              <w:t>2项提供车辆行驶证扫描件、车辆照片；提供车辆租赁或购买凭证扫描件并加盖公章。</w:t>
            </w:r>
          </w:p>
        </w:tc>
      </w:tr>
    </w:tbl>
    <w:p w14:paraId="5E85BF1E">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每位成员独立对每个有效供应商的投标文件进行评价、打分；然后汇总每个供应商的得分，计算得分平均值，以平均值由高到低进行排序，按排序顺序推荐中标候选人。分值计算保留小数点后二位，第三位四舍五入。</w:t>
      </w:r>
    </w:p>
    <w:p w14:paraId="66E72351">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落实中小企业政府采购政策的价格调整：</w:t>
      </w:r>
    </w:p>
    <w:p w14:paraId="71EBB85F">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供应商，其投标报价扣除</w:t>
      </w:r>
      <w:r>
        <w:rPr>
          <w:rFonts w:hint="eastAsia" w:ascii="仿宋" w:hAnsi="仿宋" w:eastAsia="仿宋" w:cs="仿宋"/>
          <w:b w:val="0"/>
          <w:bCs w:val="0"/>
          <w:sz w:val="24"/>
          <w:szCs w:val="24"/>
          <w:u w:val="single"/>
          <w:lang w:val="en-US" w:eastAsia="zh-CN"/>
        </w:rPr>
        <w:t xml:space="preserve"> 10 % </w:t>
      </w:r>
      <w:r>
        <w:rPr>
          <w:rFonts w:hint="eastAsia" w:ascii="仿宋" w:hAnsi="仿宋" w:eastAsia="仿宋" w:cs="仿宋"/>
          <w:b w:val="0"/>
          <w:bCs w:val="0"/>
          <w:sz w:val="24"/>
          <w:szCs w:val="24"/>
          <w:lang w:val="en-US" w:eastAsia="zh-CN"/>
        </w:rPr>
        <w:t>后参与评审。对于同时属于小微企业、监狱企业或残疾人福利性单位的，不重复进行投标报价扣除。</w:t>
      </w:r>
    </w:p>
    <w:p w14:paraId="4B19989A">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u w:val="single"/>
          <w:lang w:val="en-US" w:eastAsia="zh-CN"/>
        </w:rPr>
        <w:t xml:space="preserve"> 30 %</w:t>
      </w:r>
      <w:r>
        <w:rPr>
          <w:rFonts w:hint="eastAsia" w:ascii="仿宋" w:hAnsi="仿宋" w:eastAsia="仿宋" w:cs="仿宋"/>
          <w:b w:val="0"/>
          <w:bCs w:val="0"/>
          <w:sz w:val="24"/>
          <w:szCs w:val="24"/>
          <w:lang w:val="en-US" w:eastAsia="zh-CN"/>
        </w:rPr>
        <w:t>以上的联合体或者大中型企业的报价给予</w:t>
      </w:r>
      <w:r>
        <w:rPr>
          <w:rFonts w:hint="eastAsia" w:ascii="仿宋" w:hAnsi="仿宋" w:eastAsia="仿宋" w:cs="仿宋"/>
          <w:b w:val="0"/>
          <w:bCs w:val="0"/>
          <w:sz w:val="24"/>
          <w:szCs w:val="24"/>
          <w:u w:val="single"/>
          <w:lang w:val="en-US" w:eastAsia="zh-CN"/>
        </w:rPr>
        <w:t xml:space="preserve"> 4% </w:t>
      </w:r>
      <w:r>
        <w:rPr>
          <w:rFonts w:hint="eastAsia" w:ascii="仿宋" w:hAnsi="仿宋" w:eastAsia="仿宋" w:cs="仿宋"/>
          <w:b w:val="0"/>
          <w:bCs w:val="0"/>
          <w:sz w:val="24"/>
          <w:szCs w:val="24"/>
          <w:lang w:val="en-US" w:eastAsia="zh-CN"/>
        </w:rPr>
        <w:t>的扣除，用扣除后的价格参加评审。</w:t>
      </w:r>
    </w:p>
    <w:p w14:paraId="3874872B">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组成联合体或者接受分包的小微企业与联合体内其他企业、分包企业之间存在直接控股、管理关系的，不享受价格扣除优惠政策。</w:t>
      </w:r>
    </w:p>
    <w:p w14:paraId="1C74B674">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价格扣除比例对小型企业和微型企业同等对待，不作区分。</w:t>
      </w:r>
    </w:p>
    <w:p w14:paraId="5B4C63BE">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中小企业参加政府采购活动，应当按照招标文件给定的格式出具《中小企业声明函》，否则不得享受相关中小企业扶持政策。</w:t>
      </w:r>
    </w:p>
    <w:p w14:paraId="1B5E7527">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监狱企业提供了由省级以上监狱管理局、戒毒管理局（含新疆生产建设兵团）出具的属于监狱企业的证明文件的，视同小微企业。</w:t>
      </w:r>
    </w:p>
    <w:p w14:paraId="1F3E78FD">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残疾人福利性单位按招标文件要求提供了《残疾人福利性单位声明函》（见附件）的，视同小微企业。</w:t>
      </w:r>
    </w:p>
    <w:p w14:paraId="038049BE">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若供应商同时属于小型或微型企业、监狱企业、残疾人福利性单位中的两种及以上，将不重复享受小微企业价格扣减的优惠政策。</w:t>
      </w:r>
    </w:p>
    <w:p w14:paraId="23D843C1">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w:t>
      </w:r>
    </w:p>
    <w:p w14:paraId="4BB7C8B6">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如采购人所采购产品为政府强制采购的节能产品，供应商所投产品的品牌及型号必须为清单中有效期内产品并提供证明文件，否则其投标将作为</w:t>
      </w:r>
      <w:r>
        <w:rPr>
          <w:rFonts w:hint="eastAsia" w:ascii="仿宋" w:hAnsi="仿宋" w:eastAsia="仿宋" w:cs="仿宋"/>
          <w:b/>
          <w:bCs/>
          <w:sz w:val="24"/>
          <w:szCs w:val="24"/>
          <w:u w:val="none"/>
          <w:lang w:val="en-US" w:eastAsia="zh-CN"/>
        </w:rPr>
        <w:t>无效投标</w:t>
      </w:r>
      <w:r>
        <w:rPr>
          <w:rFonts w:hint="eastAsia" w:ascii="仿宋" w:hAnsi="仿宋" w:eastAsia="仿宋" w:cs="仿宋"/>
          <w:b w:val="0"/>
          <w:bCs w:val="0"/>
          <w:sz w:val="24"/>
          <w:szCs w:val="24"/>
          <w:u w:val="none"/>
          <w:lang w:val="en-US" w:eastAsia="zh-CN"/>
        </w:rPr>
        <w:t>被拒绝。</w:t>
      </w:r>
    </w:p>
    <w:p w14:paraId="5EB3F2DA">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供应商所投产品列入无线局域网产品清单，应提供相关证明，在评标时予以优先采购，具体优惠措施为：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 。</w:t>
      </w:r>
    </w:p>
    <w:p w14:paraId="1FAE211E">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同品牌处理办法：</w:t>
      </w:r>
    </w:p>
    <w:p w14:paraId="3A5F6D5A">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如采用最低评标办法，则：</w:t>
      </w:r>
      <w:r>
        <w:rPr>
          <w:rFonts w:hint="eastAsia" w:ascii="仿宋" w:hAnsi="仿宋" w:eastAsia="仿宋" w:cs="仿宋"/>
          <w:b w:val="0"/>
          <w:bCs w:val="0"/>
          <w:sz w:val="24"/>
          <w:szCs w:val="24"/>
          <w:u w:val="single"/>
          <w:lang w:val="en-US" w:eastAsia="zh-CN"/>
        </w:rPr>
        <w:t>提供相同品牌产品（单一产品或核心产品品牌相同）的不同供应商以其中通过资格审查、符合性审查且报价最低的参加评标；报价相同的，由采购人或者采购人委托评标委员会采取随机抽取方式确定，其他同品牌供应商不作为中标候选人。</w:t>
      </w:r>
    </w:p>
    <w:p w14:paraId="257D995C">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如采用综合评标法，则：</w:t>
      </w:r>
      <w:r>
        <w:rPr>
          <w:rFonts w:hint="eastAsia" w:ascii="仿宋" w:hAnsi="仿宋" w:eastAsia="仿宋" w:cs="仿宋"/>
          <w:b w:val="0"/>
          <w:bCs w:val="0"/>
          <w:sz w:val="24"/>
          <w:szCs w:val="24"/>
          <w:u w:val="single"/>
          <w:lang w:val="en-US" w:eastAsia="zh-CN"/>
        </w:rPr>
        <w:t>提供相同品牌产品（单一产品或核心产品品牌相同）且通过资格审查、符合性审查的不同供应商参加同一合同项下投标的，按一家供应商计算，评审后得分最高的同品牌供应商获得中标人推荐资格；评审得分相同的，以投标报价低的为中标候选人；评审得分且投标报价均相同的，以技术部分得分高者为中标候选人；若投标报价、技术部分均相同的，由评标委员会采取随机抽取方式确定，其他同品牌供应商不作为中标候选人。</w:t>
      </w:r>
    </w:p>
    <w:p w14:paraId="037E93A7">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如一个分包内包含多种产品的，采购人或采购代理机构将在</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u w:val="none"/>
          <w:lang w:val="en-US" w:eastAsia="zh-CN"/>
        </w:rPr>
        <w:t xml:space="preserve">中载明核心产品，多家供应商提供的所有核心产品品牌均相同的，按前两条规定处理。 </w:t>
      </w:r>
    </w:p>
    <w:p w14:paraId="4108F19F">
      <w:pPr>
        <w:keepNext w:val="0"/>
        <w:keepLines w:val="0"/>
        <w:pageBreakBefore w:val="0"/>
        <w:widowControl w:val="0"/>
        <w:numPr>
          <w:ilvl w:val="1"/>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确定中标候选人名单</w:t>
      </w:r>
    </w:p>
    <w:p w14:paraId="10C79318">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评分分值计算保留小数点后两位，第三位四舍五入。</w:t>
      </w:r>
    </w:p>
    <w:p w14:paraId="2917FD04">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采用最低评标价法的，评标结果按投标报价由低到高顺序排列。投标报价相同的并列。投标文件满足招标文件全部实质性要求且投标报价最低的供应商为排名第一的中标候选人。</w:t>
      </w:r>
    </w:p>
    <w:p w14:paraId="69F71F1E">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评标委员会要对评分汇总情况进行复核，特别是对排名第一的、报价最低的、投标或响应文件被认定为无效的情形进行重点复核。</w:t>
      </w:r>
    </w:p>
    <w:p w14:paraId="6B44FFBF">
      <w:pPr>
        <w:keepNext w:val="0"/>
        <w:keepLines w:val="0"/>
        <w:pageBreakBefore w:val="0"/>
        <w:widowControl w:val="0"/>
        <w:numPr>
          <w:ilvl w:val="2"/>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评标委员会将根据各供应商的评标排序，依次推荐本项目（各采购包/标项）的中标候选人，起草并签署评标报告。本项目（各采购包/标项）评标委员会共（各）推荐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u w:val="single"/>
          <w:lang w:val="en-US" w:eastAsia="zh-CN"/>
        </w:rPr>
        <w:t xml:space="preserve"> 1 </w:t>
      </w:r>
      <w:r>
        <w:rPr>
          <w:rFonts w:hint="eastAsia" w:ascii="仿宋" w:hAnsi="仿宋" w:eastAsia="仿宋" w:cs="仿宋"/>
          <w:b w:val="0"/>
          <w:bCs w:val="0"/>
          <w:sz w:val="24"/>
          <w:szCs w:val="24"/>
          <w:u w:val="none"/>
          <w:lang w:val="en-US" w:eastAsia="zh-CN"/>
        </w:rPr>
        <w:t>名中标候选人。</w:t>
      </w:r>
    </w:p>
    <w:p w14:paraId="20356E3F">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14:paraId="3100A486">
      <w:pPr>
        <w:pStyle w:val="7"/>
        <w:numPr>
          <w:ilvl w:val="0"/>
          <w:numId w:val="2"/>
        </w:numPr>
        <w:bidi w:val="0"/>
        <w:jc w:val="center"/>
        <w:rPr>
          <w:rFonts w:hint="eastAsia" w:ascii="仿宋" w:hAnsi="仿宋" w:eastAsia="仿宋" w:cs="仿宋"/>
          <w:sz w:val="32"/>
          <w:szCs w:val="32"/>
          <w:lang w:val="en-US" w:eastAsia="zh-CN"/>
        </w:rPr>
      </w:pPr>
      <w:bookmarkStart w:id="66" w:name="_Toc31337"/>
      <w:r>
        <w:rPr>
          <w:rFonts w:hint="eastAsia" w:ascii="仿宋" w:hAnsi="仿宋" w:eastAsia="仿宋" w:cs="仿宋"/>
          <w:sz w:val="32"/>
          <w:szCs w:val="32"/>
          <w:lang w:val="en-US" w:eastAsia="zh-CN"/>
        </w:rPr>
        <w:t>投标文件格式</w:t>
      </w:r>
      <w:bookmarkEnd w:id="66"/>
    </w:p>
    <w:p w14:paraId="388AE0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p>
    <w:p w14:paraId="67111A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供应商编制文件须知</w:t>
      </w:r>
    </w:p>
    <w:p w14:paraId="3105E9D8">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为保证评标工作的顺利进行，各供应商需参照如下的格式，认真进行投标文件的编写工作。需建立详细的目录。</w:t>
      </w:r>
    </w:p>
    <w:p w14:paraId="0AE02E08">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各供应商提交文件中涉及商业机密的，应明确标明，采购人及最终用户将给予保密处理，否则视为公开资料。</w:t>
      </w:r>
    </w:p>
    <w:p w14:paraId="05A2747D">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全部声明和问题的回答及所附材料必须是真实的、准确的和完整的。</w:t>
      </w:r>
    </w:p>
    <w:p w14:paraId="68D79D3B">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本采购文件中所要求加盖的供应商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94D1817">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“法定代表人（单位负责人）”指供应商营业执照或登记证书载明的“法定代表人”、“负责人”、“执行事务合伙人”、“投资人”等。</w:t>
      </w:r>
    </w:p>
    <w:p w14:paraId="53CACFAB">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14:paraId="18C53FCE">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14:paraId="54297137">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14:paraId="52190428">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bookmarkStart w:id="67" w:name="_Toc10196"/>
      <w:r>
        <w:rPr>
          <w:rFonts w:hint="eastAsia" w:ascii="仿宋" w:hAnsi="仿宋" w:eastAsia="仿宋" w:cs="仿宋"/>
          <w:b/>
          <w:bCs/>
          <w:color w:val="000000"/>
          <w:kern w:val="0"/>
          <w:sz w:val="24"/>
          <w:szCs w:val="24"/>
          <w:lang w:val="en-US" w:eastAsia="zh-CN" w:bidi="ar"/>
        </w:rPr>
        <w:t>投标文件封面（参考格式）</w:t>
      </w:r>
      <w:bookmarkEnd w:id="67"/>
    </w:p>
    <w:p w14:paraId="29AC244F">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14:paraId="5D843424">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14:paraId="162AE787">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84"/>
          <w:szCs w:val="84"/>
          <w:lang w:val="en-US" w:eastAsia="zh-CN" w:bidi="ar"/>
        </w:rPr>
        <w:t>投标文件</w:t>
      </w:r>
    </w:p>
    <w:p w14:paraId="062D094F">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14:paraId="2151360F">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14:paraId="53EC9CD7">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52"/>
          <w:szCs w:val="52"/>
          <w:lang w:val="en-US" w:eastAsia="zh-CN" w:bidi="ar"/>
        </w:rPr>
        <w:t xml:space="preserve"> </w:t>
      </w:r>
    </w:p>
    <w:p w14:paraId="759A873B">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789C36B0">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1FDB6F40">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45154D74">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项目名称: </w:t>
      </w:r>
    </w:p>
    <w:p w14:paraId="16BF3310">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项目编号： </w:t>
      </w:r>
    </w:p>
    <w:p w14:paraId="3EABB515">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2A9E70EA">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4FC5735C">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4796CE4C">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供应商名称（盖公章）：</w:t>
      </w:r>
    </w:p>
    <w:p w14:paraId="7678E54A">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法定代表人或其授权代表（签字或印鉴）：</w:t>
      </w:r>
    </w:p>
    <w:p w14:paraId="2765CC3F">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36D897D3">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14:paraId="632950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   满足《中华人民共和国政府采购法》第二十二条规定及法律法规的其他规定 </w:t>
      </w:r>
    </w:p>
    <w:p w14:paraId="4915FA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p>
    <w:p w14:paraId="0951422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附件 1-1 法人或者其他组织的营业执照等证明文件或自然人的身份证明扫描件;</w:t>
      </w:r>
    </w:p>
    <w:p w14:paraId="6DA3B64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6EDC35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61DE176C">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66640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2</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具有良好的商业信誉和健全的财务会计制度的证明文件</w:t>
      </w:r>
    </w:p>
    <w:p w14:paraId="394FA1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5D3F4CB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68" w:name="_Toc16703"/>
      <w:r>
        <w:rPr>
          <w:rFonts w:hint="eastAsia" w:ascii="仿宋" w:hAnsi="仿宋" w:eastAsia="仿宋" w:cs="仿宋"/>
          <w:color w:val="000000"/>
          <w:kern w:val="0"/>
          <w:sz w:val="24"/>
          <w:u w:val="none"/>
          <w:lang w:bidi="ar"/>
        </w:rPr>
        <w:t>1、</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并加盖本单位公章</w:t>
      </w:r>
      <w:bookmarkEnd w:id="68"/>
    </w:p>
    <w:p w14:paraId="02580C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，采购人、采购代理机构保留审核原件的权利。</w:t>
      </w:r>
    </w:p>
    <w:p w14:paraId="6A07035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69" w:name="_Toc32425"/>
      <w:r>
        <w:rPr>
          <w:rFonts w:hint="eastAsia" w:ascii="仿宋" w:hAnsi="仿宋" w:eastAsia="仿宋" w:cs="仿宋"/>
          <w:color w:val="000000"/>
          <w:kern w:val="0"/>
          <w:sz w:val="24"/>
          <w:u w:val="none"/>
          <w:lang w:bidi="ar"/>
        </w:rPr>
        <w:t>3、如果是联合体投标，联合体各方均需提供上述证明。</w:t>
      </w:r>
      <w:bookmarkEnd w:id="69"/>
    </w:p>
    <w:p w14:paraId="4F7A13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7E28ED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7BC941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3</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缴纳税收的证明</w:t>
      </w:r>
    </w:p>
    <w:p w14:paraId="5E068F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1FC4173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70" w:name="_Toc7512"/>
      <w:r>
        <w:rPr>
          <w:rFonts w:hint="eastAsia" w:ascii="仿宋" w:hAnsi="仿宋" w:eastAsia="仿宋" w:cs="仿宋"/>
          <w:color w:val="000000"/>
          <w:kern w:val="0"/>
          <w:sz w:val="24"/>
          <w:u w:val="none"/>
          <w:lang w:bidi="ar"/>
        </w:rPr>
        <w:t>1、</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并加盖本单位公章</w:t>
      </w:r>
      <w:bookmarkEnd w:id="70"/>
    </w:p>
    <w:p w14:paraId="3223AA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，采购人、采购代理机构保留审核原件的权利。</w:t>
      </w:r>
    </w:p>
    <w:p w14:paraId="64A2E96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71" w:name="_Toc8376"/>
      <w:r>
        <w:rPr>
          <w:rFonts w:hint="eastAsia" w:ascii="仿宋" w:hAnsi="仿宋" w:eastAsia="仿宋" w:cs="仿宋"/>
          <w:color w:val="000000"/>
          <w:kern w:val="0"/>
          <w:sz w:val="24"/>
          <w:u w:val="none"/>
          <w:lang w:bidi="ar"/>
        </w:rPr>
        <w:t>3、如果是联合体投标，联合体各方均需提供上述证明。</w:t>
      </w:r>
      <w:r>
        <w:rPr>
          <w:rFonts w:hint="eastAsia" w:ascii="仿宋" w:hAnsi="仿宋" w:eastAsia="仿宋" w:cs="仿宋"/>
          <w:color w:val="000000"/>
          <w:kern w:val="0"/>
          <w:sz w:val="24"/>
          <w:u w:val="none"/>
          <w:lang w:bidi="ar"/>
        </w:rPr>
        <w:br w:type="page"/>
      </w:r>
      <w:bookmarkEnd w:id="71"/>
    </w:p>
    <w:p w14:paraId="19FDA1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4</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为职工缴纳社会保险的证明</w:t>
      </w:r>
    </w:p>
    <w:p w14:paraId="0C32F2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5262FF6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72" w:name="_Toc3006"/>
      <w:r>
        <w:rPr>
          <w:rFonts w:hint="eastAsia" w:ascii="仿宋" w:hAnsi="仿宋" w:eastAsia="仿宋" w:cs="仿宋"/>
          <w:color w:val="000000"/>
          <w:kern w:val="0"/>
          <w:sz w:val="24"/>
          <w:u w:val="none"/>
          <w:lang w:bidi="ar"/>
        </w:rPr>
        <w:t>1、</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并加盖本单位公章</w:t>
      </w:r>
      <w:bookmarkEnd w:id="72"/>
    </w:p>
    <w:p w14:paraId="4ED191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w:t>
      </w:r>
      <w:r>
        <w:rPr>
          <w:rFonts w:hint="eastAsia" w:ascii="仿宋" w:hAnsi="仿宋" w:eastAsia="仿宋" w:cs="仿宋"/>
          <w:color w:val="000000"/>
          <w:kern w:val="0"/>
          <w:sz w:val="24"/>
          <w:u w:val="none"/>
          <w:lang w:eastAsia="zh-CN" w:bidi="ar"/>
        </w:rPr>
        <w:t>扫描件</w:t>
      </w:r>
      <w:r>
        <w:rPr>
          <w:rFonts w:hint="eastAsia" w:ascii="仿宋" w:hAnsi="仿宋" w:eastAsia="仿宋" w:cs="仿宋"/>
          <w:color w:val="000000"/>
          <w:kern w:val="0"/>
          <w:sz w:val="24"/>
          <w:u w:val="none"/>
          <w:lang w:bidi="ar"/>
        </w:rPr>
        <w:t>，采购人、采购代理机构保留审核原件的权利。</w:t>
      </w:r>
    </w:p>
    <w:p w14:paraId="7D5CB2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73" w:name="_Toc28907"/>
      <w:r>
        <w:rPr>
          <w:rFonts w:hint="eastAsia" w:ascii="仿宋" w:hAnsi="仿宋" w:eastAsia="仿宋" w:cs="仿宋"/>
          <w:color w:val="000000"/>
          <w:kern w:val="0"/>
          <w:sz w:val="24"/>
          <w:u w:val="none"/>
          <w:lang w:bidi="ar"/>
        </w:rPr>
        <w:t>3、如果是联合体投标，联合体各方均需提供上述证明。</w:t>
      </w:r>
      <w:bookmarkEnd w:id="73"/>
    </w:p>
    <w:p w14:paraId="43D229CD">
      <w:pPr>
        <w:rPr>
          <w:rFonts w:hint="eastAsia" w:ascii="仿宋" w:hAnsi="仿宋" w:eastAsia="仿宋" w:cs="仿宋"/>
          <w:color w:val="000000"/>
          <w:kern w:val="0"/>
          <w:sz w:val="24"/>
          <w:u w:val="none"/>
          <w:lang w:bidi="ar"/>
        </w:rPr>
      </w:pPr>
    </w:p>
    <w:p w14:paraId="2C37E6DB">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14:paraId="4FA0010C">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5</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eastAsia="zh-CN" w:bidi="ar"/>
        </w:rPr>
        <w:t>供应商</w:t>
      </w:r>
      <w:r>
        <w:rPr>
          <w:rFonts w:hint="eastAsia" w:ascii="仿宋" w:hAnsi="仿宋" w:eastAsia="仿宋" w:cs="仿宋"/>
          <w:color w:val="000000"/>
          <w:kern w:val="0"/>
          <w:sz w:val="24"/>
          <w:u w:val="none"/>
          <w:lang w:bidi="ar"/>
        </w:rPr>
        <w:t>资格声明书</w:t>
      </w:r>
    </w:p>
    <w:p w14:paraId="7B66F494">
      <w:pPr>
        <w:rPr>
          <w:rFonts w:hint="eastAsia" w:ascii="仿宋" w:hAnsi="仿宋" w:eastAsia="仿宋" w:cs="仿宋"/>
          <w:color w:val="000000"/>
          <w:kern w:val="0"/>
          <w:sz w:val="24"/>
          <w:u w:val="none"/>
          <w:lang w:bidi="ar"/>
        </w:rPr>
      </w:pPr>
    </w:p>
    <w:p w14:paraId="75B07B47">
      <w:pPr>
        <w:keepNext w:val="0"/>
        <w:keepLines w:val="0"/>
        <w:widowControl/>
        <w:suppressLineNumbers w:val="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供应商资格声明书</w:t>
      </w:r>
    </w:p>
    <w:p w14:paraId="07F4AAD9">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4E003F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402EC0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在参与本次项目投标中，我单位承诺： </w:t>
      </w:r>
    </w:p>
    <w:p w14:paraId="14EEFC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（一）具有良好的商业信誉和健全的财务会计制度； </w:t>
      </w:r>
    </w:p>
    <w:p w14:paraId="3B616B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（二）具有履行合同所必需的设备和专业技术能力； </w:t>
      </w:r>
    </w:p>
    <w:p w14:paraId="1D866B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（三）有依法缴纳税收和社会保障资金的良好记录； </w:t>
      </w:r>
    </w:p>
    <w:p w14:paraId="24000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73B09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02BF92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1A966F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40C0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8193D6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3798" w:type="dxa"/>
            <w:vAlign w:val="center"/>
          </w:tcPr>
          <w:p w14:paraId="6348CF8B">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单位名称</w:t>
            </w:r>
          </w:p>
        </w:tc>
        <w:tc>
          <w:tcPr>
            <w:tcW w:w="3406" w:type="dxa"/>
            <w:vAlign w:val="center"/>
          </w:tcPr>
          <w:p w14:paraId="7A26F04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相互关系</w:t>
            </w:r>
          </w:p>
        </w:tc>
      </w:tr>
      <w:tr w14:paraId="79F6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D7BF76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3798" w:type="dxa"/>
          </w:tcPr>
          <w:p w14:paraId="5D9CD64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54C86E1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4E7C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1DC111">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3798" w:type="dxa"/>
          </w:tcPr>
          <w:p w14:paraId="1DA4F0D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6F32051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34E0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D4ECD1F">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3798" w:type="dxa"/>
          </w:tcPr>
          <w:p w14:paraId="4F95497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3B34B92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bl>
    <w:p w14:paraId="2B4481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上述声明真实有效，否则我方负全部责任。 </w:t>
      </w:r>
    </w:p>
    <w:p w14:paraId="59A53D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DBE6D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0294D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供应商名称：  </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（加盖公章）</w:t>
      </w:r>
    </w:p>
    <w:p w14:paraId="58927E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法定代表人或其授权代理人：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ab/>
      </w:r>
      <w:r>
        <w:rPr>
          <w:rFonts w:hint="eastAsia" w:ascii="仿宋" w:hAnsi="仿宋" w:eastAsia="仿宋" w:cs="仿宋"/>
          <w:color w:val="000000"/>
          <w:kern w:val="0"/>
          <w:sz w:val="24"/>
          <w:szCs w:val="24"/>
          <w:u w:val="single"/>
          <w:lang w:val="en-US" w:eastAsia="zh-CN" w:bidi="ar"/>
        </w:rPr>
        <w:t>（签字或印鉴）</w:t>
      </w:r>
      <w:r>
        <w:rPr>
          <w:rFonts w:hint="eastAsia" w:ascii="仿宋" w:hAnsi="仿宋" w:eastAsia="仿宋" w:cs="仿宋"/>
          <w:color w:val="000000"/>
          <w:kern w:val="0"/>
          <w:sz w:val="24"/>
          <w:szCs w:val="24"/>
          <w:lang w:val="en-US" w:eastAsia="zh-CN" w:bidi="ar"/>
        </w:rPr>
        <w:tab/>
      </w:r>
    </w:p>
    <w:p w14:paraId="69EF21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1DA044E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23F200C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说明：（1）单位负责人为同一人或者存在直接控股、管理关系的不同供应商，不得参加同一合同项下的政府采购活动。</w:t>
      </w:r>
    </w:p>
    <w:p w14:paraId="20581FA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（2）本条所指单位负责人为同一人指单位法定代表人或者法律、行政法规规定代表单位行使职权的主要负责人。</w:t>
      </w:r>
    </w:p>
    <w:p w14:paraId="65F0B8D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（3）本条所指控股关系指单位或股东的控股关系。控股股东指:</w:t>
      </w:r>
    </w:p>
    <w:p w14:paraId="2E9E15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a.出资额占有限责任公司资本总额百分之五十以上或者其持有的股份占股份有限公司股本总额百分之五十以上的股东；</w:t>
      </w:r>
    </w:p>
    <w:p w14:paraId="2D62151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71E2A5C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（4）本条所指管理关系指不具有出资持股关系的其他单位之间存在的管理与被管理关系。</w:t>
      </w:r>
    </w:p>
    <w:p w14:paraId="619511B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（5）本条所指的控股、管理关系仅限于直接控股、直接管理关系，不包括间接控股或管理关系。</w:t>
      </w:r>
    </w:p>
    <w:p w14:paraId="238AB0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（6）如无相关情况，请在相应栏填写“无”。</w:t>
      </w:r>
    </w:p>
    <w:p w14:paraId="590315F2">
      <w:pPr>
        <w:rPr>
          <w:rFonts w:hint="eastAsia" w:ascii="仿宋" w:hAnsi="仿宋" w:eastAsia="仿宋" w:cs="仿宋"/>
          <w:color w:val="000000"/>
          <w:kern w:val="0"/>
          <w:sz w:val="24"/>
          <w:szCs w:val="24"/>
          <w:lang w:val="en-US" w:eastAsia="zh-CN" w:bidi="ar"/>
        </w:rPr>
      </w:pPr>
    </w:p>
    <w:p w14:paraId="360134C4">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3F44B9B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74" w:name="_Toc32152"/>
      <w:r>
        <w:rPr>
          <w:rFonts w:hint="eastAsia" w:ascii="仿宋" w:hAnsi="仿宋" w:eastAsia="仿宋" w:cs="仿宋"/>
          <w:color w:val="000000"/>
          <w:kern w:val="0"/>
          <w:sz w:val="24"/>
          <w:szCs w:val="24"/>
          <w:lang w:val="en-US" w:eastAsia="zh-CN" w:bidi="ar"/>
        </w:rPr>
        <w:t>2 落实政府采购政策需满足的资格要求（如有）</w:t>
      </w:r>
      <w:bookmarkEnd w:id="74"/>
      <w:r>
        <w:rPr>
          <w:rFonts w:hint="eastAsia" w:ascii="仿宋" w:hAnsi="仿宋" w:eastAsia="仿宋" w:cs="仿宋"/>
          <w:color w:val="000000"/>
          <w:kern w:val="0"/>
          <w:sz w:val="24"/>
          <w:szCs w:val="24"/>
          <w:lang w:val="en-US" w:eastAsia="zh-CN" w:bidi="ar"/>
        </w:rPr>
        <w:t xml:space="preserve"> </w:t>
      </w:r>
    </w:p>
    <w:p w14:paraId="7391AE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2-1 中小企业声明函 </w:t>
      </w:r>
    </w:p>
    <w:p w14:paraId="480CE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14:paraId="0E7D4D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（1）如本项目（包）不专门面向中小企业预留采购份额，资格证明文件部分无需提供《中小企业声明函》。 </w:t>
      </w:r>
    </w:p>
    <w:p w14:paraId="46D52E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06D1AB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57D3A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级以上监狱管理局、戒毒管理局（含新疆生产建设兵团）出具的属于监狱企业</w:t>
      </w:r>
    </w:p>
    <w:p w14:paraId="54768E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的证明文件，还须同时提供《拟分包情况说明》及《分包意向协议》，且建议</w:t>
      </w:r>
    </w:p>
    <w:p w14:paraId="428E7B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在资格证明文件部分提供。 </w:t>
      </w:r>
    </w:p>
    <w:p w14:paraId="664EEA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D2272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（5）中小企业声明函填写注意事项 </w:t>
      </w:r>
    </w:p>
    <w:p w14:paraId="0145896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1）中小企业参加政府采购活动，应当出具此格式文件。《中小企业声明函》由参加政府采购活动的供应商出具。联合体投标的，《中小企业声明函》由牵头人出具。 </w:t>
      </w:r>
    </w:p>
    <w:p w14:paraId="41A014C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2）对于联合体中由中小企业承担的部分，或者分包给中小企业的部分，必须全</w:t>
      </w:r>
    </w:p>
    <w:p w14:paraId="11CEC2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部由中小企业制造、承建或者承接。供应商应当在声明函“标的名称”部分标明</w:t>
      </w:r>
    </w:p>
    <w:p w14:paraId="2AB67D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联合体中中小企业承担的具体内容或者中小企业的具体分包内容。 </w:t>
      </w:r>
    </w:p>
    <w:p w14:paraId="1F140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4B8880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B740716">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5540FCF">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lang w:val="en-US" w:eastAsia="zh-CN"/>
        </w:rPr>
      </w:pPr>
      <w:r>
        <w:rPr>
          <w:rStyle w:val="27"/>
          <w:rFonts w:hint="eastAsia" w:ascii="仿宋" w:hAnsi="仿宋" w:eastAsia="仿宋" w:cs="仿宋"/>
          <w:i w:val="0"/>
          <w:iCs w:val="0"/>
          <w:caps w:val="0"/>
          <w:color w:val="000000"/>
          <w:spacing w:val="0"/>
          <w:sz w:val="32"/>
          <w:szCs w:val="32"/>
        </w:rPr>
        <w:t>中小企业声明函</w:t>
      </w:r>
      <w:r>
        <w:rPr>
          <w:rStyle w:val="27"/>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b/>
          <w:bCs/>
          <w:color w:val="000000"/>
          <w:kern w:val="0"/>
          <w:sz w:val="32"/>
          <w:szCs w:val="32"/>
          <w:lang w:bidi="ar"/>
        </w:rPr>
        <w:t>服务</w:t>
      </w:r>
      <w:r>
        <w:rPr>
          <w:rStyle w:val="27"/>
          <w:rFonts w:hint="eastAsia" w:ascii="仿宋" w:hAnsi="仿宋" w:eastAsia="仿宋" w:cs="仿宋"/>
          <w:i w:val="0"/>
          <w:iCs w:val="0"/>
          <w:caps w:val="0"/>
          <w:color w:val="000000"/>
          <w:spacing w:val="0"/>
          <w:sz w:val="32"/>
          <w:szCs w:val="32"/>
          <w:lang w:eastAsia="zh-CN"/>
        </w:rPr>
        <w:t>）</w:t>
      </w:r>
    </w:p>
    <w:p w14:paraId="0B32413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p>
    <w:p w14:paraId="2586D2B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本公司（联合体）郑重声明，根据《政府采购促进中小企业发展管理办法》 </w:t>
      </w:r>
    </w:p>
    <w:p w14:paraId="019467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（财库﹝2020﹞46号）的规定，本公司（联合体）参加</w:t>
      </w:r>
      <w:r>
        <w:rPr>
          <w:rFonts w:hint="eastAsia" w:ascii="仿宋" w:hAnsi="仿宋" w:eastAsia="仿宋" w:cs="仿宋"/>
          <w:i/>
          <w:iCs/>
          <w:color w:val="000000"/>
          <w:kern w:val="0"/>
          <w:sz w:val="24"/>
          <w:szCs w:val="24"/>
          <w:u w:val="single"/>
          <w:lang w:val="en-US" w:eastAsia="zh-CN" w:bidi="ar"/>
        </w:rPr>
        <w:t>（单位名称）</w:t>
      </w:r>
      <w:r>
        <w:rPr>
          <w:rFonts w:hint="eastAsia" w:ascii="仿宋" w:hAnsi="仿宋" w:eastAsia="仿宋" w:cs="仿宋"/>
          <w:color w:val="000000"/>
          <w:kern w:val="0"/>
          <w:sz w:val="24"/>
          <w:szCs w:val="24"/>
          <w:lang w:val="en-US" w:eastAsia="zh-CN" w:bidi="ar"/>
        </w:rPr>
        <w:t>的</w:t>
      </w:r>
      <w:r>
        <w:rPr>
          <w:rFonts w:hint="eastAsia" w:ascii="仿宋" w:hAnsi="仿宋" w:eastAsia="仿宋" w:cs="仿宋"/>
          <w:i/>
          <w:iCs/>
          <w:color w:val="000000"/>
          <w:kern w:val="0"/>
          <w:sz w:val="24"/>
          <w:szCs w:val="24"/>
          <w:u w:val="single"/>
          <w:lang w:val="en-US" w:eastAsia="zh-CN" w:bidi="ar"/>
        </w:rPr>
        <w:t>（项目名称）</w:t>
      </w:r>
      <w:r>
        <w:rPr>
          <w:rFonts w:hint="eastAsia" w:ascii="仿宋" w:hAnsi="仿宋" w:eastAsia="仿宋" w:cs="仿宋"/>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8587B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 xml:space="preserve">；承建（承接）企业 </w:t>
      </w:r>
    </w:p>
    <w:p w14:paraId="4378BF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14:paraId="2126F3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；承建（承接）企业</w:t>
      </w:r>
    </w:p>
    <w:p w14:paraId="72754B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14:paraId="3A3E14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14:paraId="3DEF3E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以上企业，不属于大企业的分支机构，不存在控股股东为大企业的情形， </w:t>
      </w:r>
    </w:p>
    <w:p w14:paraId="08686A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也不存在与大企业的负责人为同一人的情形。 </w:t>
      </w:r>
    </w:p>
    <w:p w14:paraId="005282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仿宋" w:hAnsi="仿宋" w:eastAsia="仿宋" w:cs="仿宋"/>
          <w:color w:val="000000"/>
          <w:kern w:val="0"/>
          <w:sz w:val="24"/>
          <w:szCs w:val="24"/>
          <w:lang w:val="en-US" w:eastAsia="zh-CN" w:bidi="ar"/>
        </w:rPr>
        <w:t>本企业对上述声明内容的真实性负责。如有虚假，将依法承担相应责任。</w:t>
      </w:r>
    </w:p>
    <w:p w14:paraId="39127273">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w:t>
      </w:r>
    </w:p>
    <w:p w14:paraId="619510FD">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u w:val="single"/>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企业名称（盖章）：</w:t>
      </w:r>
      <w:r>
        <w:rPr>
          <w:rFonts w:hint="eastAsia" w:ascii="仿宋" w:hAnsi="仿宋" w:eastAsia="仿宋" w:cs="仿宋"/>
          <w:i w:val="0"/>
          <w:iCs w:val="0"/>
          <w:caps w:val="0"/>
          <w:color w:val="000000"/>
          <w:spacing w:val="0"/>
          <w:sz w:val="24"/>
          <w:szCs w:val="24"/>
          <w:u w:val="single"/>
          <w:lang w:val="en-US" w:eastAsia="zh-CN"/>
        </w:rPr>
        <w:t xml:space="preserve">          </w:t>
      </w:r>
    </w:p>
    <w:p w14:paraId="059A44D2">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4"/>
          <w:szCs w:val="24"/>
        </w:rPr>
        <w:t>日期：</w:t>
      </w:r>
      <w:r>
        <w:rPr>
          <w:rFonts w:hint="eastAsia" w:ascii="仿宋" w:hAnsi="仿宋" w:eastAsia="仿宋" w:cs="仿宋"/>
          <w:i w:val="0"/>
          <w:iCs w:val="0"/>
          <w:caps w:val="0"/>
          <w:color w:val="000000"/>
          <w:spacing w:val="0"/>
          <w:sz w:val="24"/>
          <w:szCs w:val="24"/>
          <w:u w:val="single"/>
          <w:lang w:val="en-US" w:eastAsia="zh-CN"/>
        </w:rPr>
        <w:t xml:space="preserve">         </w:t>
      </w:r>
    </w:p>
    <w:p w14:paraId="58A6F793">
      <w:pPr>
        <w:rPr>
          <w:rFonts w:hint="eastAsia" w:ascii="仿宋" w:hAnsi="仿宋" w:eastAsia="仿宋" w:cs="仿宋"/>
          <w:b w:val="0"/>
          <w:bCs w:val="0"/>
          <w:color w:val="000000"/>
          <w:kern w:val="0"/>
          <w:sz w:val="21"/>
          <w:szCs w:val="21"/>
          <w:lang w:val="en-US" w:eastAsia="zh-CN" w:bidi="ar"/>
        </w:rPr>
      </w:pPr>
    </w:p>
    <w:p w14:paraId="06DA6809">
      <w:pPr>
        <w:rPr>
          <w:rFonts w:hint="eastAsia" w:ascii="仿宋" w:hAnsi="仿宋" w:eastAsia="仿宋" w:cs="仿宋"/>
          <w:b w:val="0"/>
          <w:bCs w:val="0"/>
          <w:color w:val="000000"/>
          <w:kern w:val="0"/>
          <w:sz w:val="21"/>
          <w:szCs w:val="21"/>
          <w:lang w:val="en-US" w:eastAsia="zh-CN" w:bidi="ar"/>
        </w:rPr>
      </w:pPr>
    </w:p>
    <w:p w14:paraId="2B08C2C0">
      <w:pPr>
        <w:rPr>
          <w:rFonts w:hint="eastAsia" w:ascii="仿宋" w:hAnsi="仿宋" w:eastAsia="仿宋" w:cs="仿宋"/>
          <w:b w:val="0"/>
          <w:bCs w:val="0"/>
          <w:color w:val="000000"/>
          <w:kern w:val="0"/>
          <w:sz w:val="21"/>
          <w:szCs w:val="21"/>
          <w:lang w:val="en-US" w:eastAsia="zh-CN" w:bidi="ar"/>
        </w:rPr>
      </w:pPr>
    </w:p>
    <w:p w14:paraId="503B368B">
      <w:pPr>
        <w:rPr>
          <w:rFonts w:hint="eastAsia" w:ascii="仿宋" w:hAnsi="仿宋" w:eastAsia="仿宋" w:cs="仿宋"/>
          <w:b w:val="0"/>
          <w:bCs w:val="0"/>
          <w:color w:val="000000"/>
          <w:kern w:val="0"/>
          <w:sz w:val="21"/>
          <w:szCs w:val="21"/>
          <w:lang w:val="en-US" w:eastAsia="zh-CN" w:bidi="ar"/>
        </w:rPr>
      </w:pPr>
    </w:p>
    <w:p w14:paraId="7248097D">
      <w:pPr>
        <w:rPr>
          <w:rFonts w:hint="eastAsia" w:ascii="仿宋" w:hAnsi="仿宋" w:eastAsia="仿宋" w:cs="仿宋"/>
          <w:b w:val="0"/>
          <w:bCs w:val="0"/>
          <w:color w:val="000000"/>
          <w:kern w:val="0"/>
          <w:sz w:val="21"/>
          <w:szCs w:val="21"/>
          <w:lang w:val="en-US" w:eastAsia="zh-CN" w:bidi="ar"/>
        </w:rPr>
      </w:pPr>
    </w:p>
    <w:p w14:paraId="3DAEB9DD">
      <w:pPr>
        <w:rPr>
          <w:rFonts w:hint="eastAsia" w:ascii="仿宋" w:hAnsi="仿宋" w:eastAsia="仿宋" w:cs="仿宋"/>
          <w:b w:val="0"/>
          <w:bCs w:val="0"/>
          <w:color w:val="000000"/>
          <w:kern w:val="0"/>
          <w:sz w:val="21"/>
          <w:szCs w:val="21"/>
          <w:lang w:val="en-US" w:eastAsia="zh-CN" w:bidi="ar"/>
        </w:rPr>
      </w:pPr>
    </w:p>
    <w:p w14:paraId="55B5FA54">
      <w:pPr>
        <w:rPr>
          <w:rFonts w:hint="eastAsia" w:ascii="仿宋" w:hAnsi="仿宋" w:eastAsia="仿宋" w:cs="仿宋"/>
          <w:b w:val="0"/>
          <w:bCs w:val="0"/>
          <w:color w:val="000000"/>
          <w:kern w:val="0"/>
          <w:sz w:val="21"/>
          <w:szCs w:val="21"/>
          <w:lang w:val="en-US" w:eastAsia="zh-CN" w:bidi="ar"/>
        </w:rPr>
      </w:pPr>
    </w:p>
    <w:p w14:paraId="5D13F07A">
      <w:pP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从业人员、营业收入、资产总额填报上一年度数据，无上一年度数据的新成立企业可不填报。</w:t>
      </w:r>
    </w:p>
    <w:p w14:paraId="295FE4B4">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5958B6A0">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残疾人福利性单位声明函格式</w:t>
      </w:r>
    </w:p>
    <w:p w14:paraId="64D71F56">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14:paraId="5276B89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lang w:val="en-US" w:eastAsia="zh-CN" w:bidi="ar"/>
        </w:rPr>
        <w:t>（请进行勾选）</w:t>
      </w:r>
      <w:r>
        <w:rPr>
          <w:rFonts w:hint="eastAsia" w:ascii="仿宋" w:hAnsi="仿宋" w:eastAsia="仿宋" w:cs="仿宋"/>
          <w:color w:val="000000"/>
          <w:kern w:val="0"/>
          <w:sz w:val="24"/>
          <w:szCs w:val="24"/>
          <w:lang w:val="en-US" w:eastAsia="zh-CN" w:bidi="ar"/>
        </w:rPr>
        <w:t xml:space="preserve">： </w:t>
      </w:r>
    </w:p>
    <w:p w14:paraId="03D402C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□不属于符合条件的残疾人福利性单位。 </w:t>
      </w:r>
    </w:p>
    <w:p w14:paraId="38A76703">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□属于符合条件的残疾人福利性单位，</w:t>
      </w:r>
      <w:r>
        <w:rPr>
          <w:rFonts w:hint="eastAsia" w:ascii="仿宋" w:hAnsi="仿宋" w:eastAsia="仿宋" w:cs="仿宋"/>
          <w:color w:val="000000"/>
          <w:kern w:val="0"/>
          <w:sz w:val="24"/>
          <w:szCs w:val="24"/>
          <w:lang w:val="en-US" w:eastAsia="zh-CN" w:bidi="ar"/>
        </w:rPr>
        <w:t>且本单位参加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3FD8BCE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本单位对上述声明的真实性负责。如有虚假，将依法承担相应责任。 </w:t>
      </w:r>
    </w:p>
    <w:p w14:paraId="2B5B1E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3B9216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4975DE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单位名称（盖章）：</w:t>
      </w:r>
    </w:p>
    <w:p w14:paraId="105F8A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日期：</w:t>
      </w:r>
    </w:p>
    <w:p w14:paraId="58FDDC0B">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4D936AE">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2-2 其它落实政府采购政策的资格要求（如有）</w:t>
      </w:r>
    </w:p>
    <w:p w14:paraId="49E681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635E444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5CC47A7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A48BFEB">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本项目的特定资格要求（如有） </w:t>
      </w:r>
    </w:p>
    <w:p w14:paraId="7BC53D3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CB55297">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19151AA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938129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365EC37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  投标保证金凭证/交款单据电子件</w:t>
      </w:r>
    </w:p>
    <w:p w14:paraId="2F70FC08">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1E06FC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412704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12291C4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86D9985">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  投标书 </w:t>
      </w:r>
    </w:p>
    <w:p w14:paraId="71D957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0761ED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投标书</w:t>
      </w:r>
    </w:p>
    <w:p w14:paraId="581C02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F20EA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（采购人或采购代理机构）</w:t>
      </w:r>
      <w:r>
        <w:rPr>
          <w:rFonts w:hint="eastAsia" w:ascii="仿宋" w:hAnsi="仿宋" w:eastAsia="仿宋" w:cs="仿宋"/>
          <w:color w:val="000000"/>
          <w:kern w:val="0"/>
          <w:sz w:val="24"/>
          <w:szCs w:val="24"/>
          <w:lang w:val="en-US" w:eastAsia="zh-CN" w:bidi="ar"/>
        </w:rPr>
        <w:t xml:space="preserve"> </w:t>
      </w:r>
    </w:p>
    <w:p w14:paraId="2AB8C5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我方参加你方就</w:t>
      </w:r>
      <w:r>
        <w:rPr>
          <w:rFonts w:hint="eastAsia" w:ascii="仿宋" w:hAnsi="仿宋" w:eastAsia="仿宋" w:cs="仿宋"/>
          <w:color w:val="000000"/>
          <w:kern w:val="0"/>
          <w:sz w:val="24"/>
          <w:szCs w:val="24"/>
          <w:u w:val="single"/>
          <w:lang w:val="en-US" w:eastAsia="zh-CN" w:bidi="ar"/>
        </w:rPr>
        <w:t>（项目名称，项目编号/包号）</w:t>
      </w:r>
      <w:r>
        <w:rPr>
          <w:rFonts w:hint="eastAsia" w:ascii="仿宋" w:hAnsi="仿宋" w:eastAsia="仿宋" w:cs="仿宋"/>
          <w:color w:val="000000"/>
          <w:kern w:val="0"/>
          <w:sz w:val="24"/>
          <w:szCs w:val="24"/>
          <w:lang w:val="en-US" w:eastAsia="zh-CN" w:bidi="ar"/>
        </w:rPr>
        <w:t xml:space="preserve">组织的招标活动，并对 </w:t>
      </w:r>
    </w:p>
    <w:p w14:paraId="4DAB85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此项目进行投标。 </w:t>
      </w:r>
    </w:p>
    <w:p w14:paraId="6FFC8A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75" w:name="_Toc30504"/>
      <w:r>
        <w:rPr>
          <w:rFonts w:hint="eastAsia" w:ascii="仿宋" w:hAnsi="仿宋" w:eastAsia="仿宋" w:cs="仿宋"/>
          <w:color w:val="000000"/>
          <w:kern w:val="0"/>
          <w:sz w:val="24"/>
          <w:szCs w:val="24"/>
          <w:lang w:val="en-US" w:eastAsia="zh-CN" w:bidi="ar"/>
        </w:rPr>
        <w:t>1. 我方已详细审查全部招标文件，自愿参与投标并承诺如下：</w:t>
      </w:r>
      <w:bookmarkEnd w:id="75"/>
      <w:r>
        <w:rPr>
          <w:rFonts w:hint="eastAsia" w:ascii="仿宋" w:hAnsi="仿宋" w:eastAsia="仿宋" w:cs="仿宋"/>
          <w:color w:val="000000"/>
          <w:kern w:val="0"/>
          <w:sz w:val="24"/>
          <w:szCs w:val="24"/>
          <w:lang w:val="en-US" w:eastAsia="zh-CN" w:bidi="ar"/>
        </w:rPr>
        <w:t xml:space="preserve"> </w:t>
      </w:r>
    </w:p>
    <w:p w14:paraId="7172D1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（1）本投标有效期为自提交投标文件的截止之日起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个日历日。 </w:t>
      </w:r>
    </w:p>
    <w:p w14:paraId="4E1C424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（2）除合同条款及采购需求偏离表列出的偏离外，我方响应招标文件的全部要求。 </w:t>
      </w:r>
    </w:p>
    <w:p w14:paraId="1307E2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（3）我方已提供的全部文件资料是真实、准确的，并对此承担一切法律后果。 </w:t>
      </w:r>
    </w:p>
    <w:p w14:paraId="1FD7F8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7CC7497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76" w:name="_Toc24785"/>
      <w:r>
        <w:rPr>
          <w:rFonts w:hint="eastAsia" w:ascii="仿宋" w:hAnsi="仿宋" w:eastAsia="仿宋" w:cs="仿宋"/>
          <w:color w:val="000000"/>
          <w:kern w:val="0"/>
          <w:sz w:val="24"/>
          <w:szCs w:val="24"/>
          <w:lang w:val="en-US" w:eastAsia="zh-CN" w:bidi="ar"/>
        </w:rPr>
        <w:t>2. 其他补充条款（如有）：</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bookmarkEnd w:id="76"/>
      <w:r>
        <w:rPr>
          <w:rFonts w:hint="eastAsia" w:ascii="仿宋" w:hAnsi="仿宋" w:eastAsia="仿宋" w:cs="仿宋"/>
          <w:color w:val="000000"/>
          <w:kern w:val="0"/>
          <w:sz w:val="24"/>
          <w:szCs w:val="24"/>
          <w:lang w:val="en-US" w:eastAsia="zh-CN" w:bidi="ar"/>
        </w:rPr>
        <w:t xml:space="preserve"> </w:t>
      </w:r>
    </w:p>
    <w:p w14:paraId="1D71BF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与本投标有关的一切正式往来信函请寄： </w:t>
      </w:r>
    </w:p>
    <w:p w14:paraId="032E797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传真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32A7D6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电话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电子函件</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31DF8A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供应商名称（加盖公章）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492EC1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5874D49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D8C7D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77" w:name="_Toc6076"/>
      <w:r>
        <w:rPr>
          <w:rFonts w:hint="eastAsia" w:ascii="仿宋" w:hAnsi="仿宋" w:eastAsia="仿宋" w:cs="仿宋"/>
          <w:color w:val="000000"/>
          <w:kern w:val="0"/>
          <w:sz w:val="24"/>
          <w:szCs w:val="24"/>
          <w:lang w:val="en-US" w:eastAsia="zh-CN" w:bidi="ar"/>
        </w:rPr>
        <w:t>6  授权委托书</w:t>
      </w:r>
      <w:bookmarkEnd w:id="77"/>
      <w:r>
        <w:rPr>
          <w:rFonts w:hint="eastAsia" w:ascii="仿宋" w:hAnsi="仿宋" w:eastAsia="仿宋" w:cs="仿宋"/>
          <w:color w:val="000000"/>
          <w:kern w:val="0"/>
          <w:sz w:val="24"/>
          <w:szCs w:val="24"/>
          <w:lang w:val="en-US" w:eastAsia="zh-CN" w:bidi="ar"/>
        </w:rPr>
        <w:t xml:space="preserve"> </w:t>
      </w:r>
    </w:p>
    <w:p w14:paraId="2F4423F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lang w:val="en-US" w:eastAsia="zh-CN" w:bidi="ar"/>
        </w:rPr>
      </w:pPr>
    </w:p>
    <w:p w14:paraId="770F24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授权委托书</w:t>
      </w:r>
    </w:p>
    <w:p w14:paraId="19BB13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6A1E306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（姓名）系</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（供应商名称）的法定代表人（单位负责人），现委托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u w:val="single"/>
          <w:lang w:val="en-US" w:eastAsia="zh-CN" w:bidi="ar"/>
        </w:rPr>
        <w:t xml:space="preserve">           （项目名称）</w:t>
      </w:r>
      <w:r>
        <w:rPr>
          <w:rFonts w:hint="eastAsia" w:ascii="仿宋" w:hAnsi="仿宋" w:eastAsia="仿宋" w:cs="仿宋"/>
          <w:color w:val="000000"/>
          <w:kern w:val="0"/>
          <w:sz w:val="24"/>
          <w:szCs w:val="24"/>
          <w:lang w:val="en-US" w:eastAsia="zh-CN" w:bidi="ar"/>
        </w:rPr>
        <w:t xml:space="preserve">投标文件和处理有关事宜，其法律后果由我方承担。 </w:t>
      </w:r>
    </w:p>
    <w:p w14:paraId="39744B9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委托期限：自本授权委托书签署之日起至响应有效期届满之日止。 </w:t>
      </w:r>
    </w:p>
    <w:p w14:paraId="79540B6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代理人无转委托权。 </w:t>
      </w:r>
    </w:p>
    <w:p w14:paraId="6F61D8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416F6E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31962C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8A6EE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1133E9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r>
        <w:rPr>
          <w:rFonts w:hint="eastAsia" w:ascii="仿宋" w:hAnsi="仿宋" w:eastAsia="仿宋" w:cs="仿宋"/>
          <w:color w:val="000000"/>
          <w:kern w:val="0"/>
          <w:sz w:val="24"/>
          <w:szCs w:val="24"/>
          <w:lang w:val="en-US" w:eastAsia="zh-CN" w:bidi="ar"/>
        </w:rPr>
        <w:t xml:space="preserve"> </w:t>
      </w:r>
    </w:p>
    <w:p w14:paraId="59D4F8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56DAA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E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191F13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5B82F7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7DF7B3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1D6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5A4E42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535BF69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70636E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14:paraId="1EAE1C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5986AD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78" w:name="_Toc18807"/>
      <w:r>
        <w:rPr>
          <w:rFonts w:hint="eastAsia" w:ascii="仿宋" w:hAnsi="仿宋" w:eastAsia="仿宋" w:cs="仿宋"/>
          <w:color w:val="000000"/>
          <w:kern w:val="0"/>
          <w:sz w:val="24"/>
          <w:szCs w:val="24"/>
          <w:lang w:val="en-US" w:eastAsia="zh-CN" w:bidi="ar"/>
        </w:rPr>
        <w:t>3.供应商为自然人的情形，可不提供本《授权委托书》。</w:t>
      </w:r>
      <w:bookmarkEnd w:id="78"/>
    </w:p>
    <w:p w14:paraId="72D63BB8">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7B4CB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附：法定代表人（单位负责人）身份证明</w:t>
      </w:r>
    </w:p>
    <w:p w14:paraId="106C7C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D19A8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3E09EC4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兹证明， </w:t>
      </w:r>
    </w:p>
    <w:p w14:paraId="53117C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职务：</w:t>
      </w:r>
      <w:r>
        <w:rPr>
          <w:rFonts w:hint="eastAsia" w:ascii="仿宋" w:hAnsi="仿宋" w:eastAsia="仿宋" w:cs="仿宋"/>
          <w:color w:val="000000"/>
          <w:kern w:val="0"/>
          <w:sz w:val="24"/>
          <w:szCs w:val="24"/>
          <w:u w:val="single"/>
          <w:lang w:val="en-US" w:eastAsia="zh-CN" w:bidi="ar"/>
        </w:rPr>
        <w:t xml:space="preserve">     </w:t>
      </w:r>
    </w:p>
    <w:p w14:paraId="608E0E1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w:t>
      </w:r>
      <w:r>
        <w:rPr>
          <w:rFonts w:hint="eastAsia" w:ascii="仿宋" w:hAnsi="仿宋" w:eastAsia="仿宋" w:cs="仿宋"/>
          <w:color w:val="000000"/>
          <w:kern w:val="0"/>
          <w:sz w:val="24"/>
          <w:szCs w:val="24"/>
          <w:u w:val="single"/>
          <w:lang w:val="en-US" w:eastAsia="zh-CN" w:bidi="ar"/>
        </w:rPr>
        <w:t xml:space="preserve">       （供应商名称）</w:t>
      </w:r>
      <w:r>
        <w:rPr>
          <w:rFonts w:hint="eastAsia" w:ascii="仿宋" w:hAnsi="仿宋" w:eastAsia="仿宋" w:cs="仿宋"/>
          <w:color w:val="000000"/>
          <w:kern w:val="0"/>
          <w:sz w:val="24"/>
          <w:szCs w:val="24"/>
          <w:lang w:val="en-US" w:eastAsia="zh-CN" w:bidi="ar"/>
        </w:rPr>
        <w:t xml:space="preserve">的法定代表人（单位负责人）。 </w:t>
      </w:r>
    </w:p>
    <w:p w14:paraId="3AE0E7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B54F6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220E27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附：法定代表人（单位负责人）有效期内的身份证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扫描件。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35D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BFFFAC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c>
          <w:tcPr>
            <w:tcW w:w="4261" w:type="dxa"/>
          </w:tcPr>
          <w:p w14:paraId="1C03E72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r>
    </w:tbl>
    <w:p w14:paraId="45EF5D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3B2EF61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009165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供应商名称（加盖公章）：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0F639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709CB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6210CAD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2DEE15B0">
      <w:pPr>
        <w:rPr>
          <w:rFonts w:hint="eastAsia" w:ascii="仿宋" w:hAnsi="仿宋" w:eastAsia="仿宋" w:cs="仿宋"/>
          <w:lang w:val="en-US" w:eastAsia="zh-CN"/>
        </w:rPr>
      </w:pPr>
      <w:r>
        <w:rPr>
          <w:rFonts w:hint="eastAsia" w:ascii="仿宋" w:hAnsi="仿宋" w:eastAsia="仿宋" w:cs="仿宋"/>
          <w:lang w:val="en-US" w:eastAsia="zh-CN"/>
        </w:rPr>
        <w:br w:type="page"/>
      </w:r>
    </w:p>
    <w:p w14:paraId="49125B2C">
      <w:pPr>
        <w:outlineLvl w:val="1"/>
        <w:rPr>
          <w:rFonts w:hint="eastAsia" w:ascii="仿宋" w:hAnsi="仿宋" w:eastAsia="仿宋" w:cs="仿宋"/>
          <w:sz w:val="24"/>
          <w:szCs w:val="24"/>
          <w:lang w:val="en-US" w:eastAsia="zh-CN"/>
        </w:rPr>
      </w:pPr>
      <w:bookmarkStart w:id="79" w:name="_Toc23107"/>
      <w:r>
        <w:rPr>
          <w:rFonts w:hint="eastAsia" w:ascii="仿宋" w:hAnsi="仿宋" w:eastAsia="仿宋" w:cs="仿宋"/>
          <w:sz w:val="24"/>
          <w:szCs w:val="24"/>
          <w:lang w:val="en-US" w:eastAsia="zh-CN"/>
        </w:rPr>
        <w:t>7  开标一览表</w:t>
      </w:r>
      <w:bookmarkEnd w:id="79"/>
    </w:p>
    <w:p w14:paraId="2E06A93E">
      <w:pPr>
        <w:rPr>
          <w:rFonts w:hint="eastAsia" w:ascii="仿宋" w:hAnsi="仿宋" w:eastAsia="仿宋" w:cs="仿宋"/>
          <w:lang w:val="en-US" w:eastAsia="zh-CN"/>
        </w:rPr>
      </w:pPr>
    </w:p>
    <w:p w14:paraId="4F767D7B">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开标一览表</w:t>
      </w:r>
    </w:p>
    <w:p w14:paraId="4DB89F48">
      <w:pPr>
        <w:rPr>
          <w:rFonts w:hint="eastAsia" w:ascii="仿宋" w:hAnsi="仿宋" w:eastAsia="仿宋" w:cs="仿宋"/>
          <w:lang w:val="en-US" w:eastAsia="zh-CN"/>
        </w:rPr>
      </w:pPr>
    </w:p>
    <w:p w14:paraId="31A38C40">
      <w:pPr>
        <w:rPr>
          <w:rFonts w:hint="eastAsia" w:ascii="仿宋" w:hAnsi="仿宋" w:eastAsia="仿宋" w:cs="仿宋"/>
          <w:lang w:val="en-US" w:eastAsia="zh-CN"/>
        </w:rPr>
      </w:pPr>
    </w:p>
    <w:p w14:paraId="543B6738">
      <w:pP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28B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FDB0BF0">
            <w:pPr>
              <w:pStyle w:val="23"/>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2130" w:type="dxa"/>
            <w:vMerge w:val="restart"/>
            <w:vAlign w:val="center"/>
          </w:tcPr>
          <w:p w14:paraId="76FC9279">
            <w:pPr>
              <w:pStyle w:val="23"/>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供应商名称</w:t>
            </w:r>
          </w:p>
        </w:tc>
        <w:tc>
          <w:tcPr>
            <w:tcW w:w="4262" w:type="dxa"/>
            <w:gridSpan w:val="2"/>
            <w:vAlign w:val="center"/>
          </w:tcPr>
          <w:p w14:paraId="20415A71">
            <w:pPr>
              <w:pStyle w:val="23"/>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投标报价（元）</w:t>
            </w:r>
          </w:p>
        </w:tc>
      </w:tr>
      <w:tr w14:paraId="383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14:paraId="024715F0">
            <w:pPr>
              <w:pStyle w:val="23"/>
              <w:jc w:val="center"/>
              <w:rPr>
                <w:rFonts w:hint="eastAsia" w:ascii="仿宋" w:hAnsi="仿宋" w:eastAsia="仿宋" w:cs="仿宋"/>
                <w:b/>
                <w:bCs/>
                <w:vertAlign w:val="baseline"/>
                <w:lang w:val="en-US" w:eastAsia="zh-CN"/>
              </w:rPr>
            </w:pPr>
          </w:p>
        </w:tc>
        <w:tc>
          <w:tcPr>
            <w:tcW w:w="2130" w:type="dxa"/>
            <w:vMerge w:val="continue"/>
            <w:vAlign w:val="center"/>
          </w:tcPr>
          <w:p w14:paraId="7BE50A86">
            <w:pPr>
              <w:pStyle w:val="23"/>
              <w:jc w:val="center"/>
              <w:rPr>
                <w:rFonts w:hint="eastAsia" w:ascii="仿宋" w:hAnsi="仿宋" w:eastAsia="仿宋" w:cs="仿宋"/>
                <w:b/>
                <w:bCs/>
                <w:vertAlign w:val="baseline"/>
                <w:lang w:val="en-US" w:eastAsia="zh-CN"/>
              </w:rPr>
            </w:pPr>
          </w:p>
        </w:tc>
        <w:tc>
          <w:tcPr>
            <w:tcW w:w="2131" w:type="dxa"/>
            <w:vAlign w:val="center"/>
          </w:tcPr>
          <w:p w14:paraId="38060311">
            <w:pPr>
              <w:pStyle w:val="23"/>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大写</w:t>
            </w:r>
          </w:p>
        </w:tc>
        <w:tc>
          <w:tcPr>
            <w:tcW w:w="2131" w:type="dxa"/>
            <w:vAlign w:val="center"/>
          </w:tcPr>
          <w:p w14:paraId="119A6228">
            <w:pPr>
              <w:pStyle w:val="23"/>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小写</w:t>
            </w:r>
          </w:p>
        </w:tc>
      </w:tr>
      <w:tr w14:paraId="4C3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A09CF35">
            <w:pPr>
              <w:pStyle w:val="23"/>
              <w:jc w:val="center"/>
              <w:rPr>
                <w:rFonts w:hint="eastAsia" w:ascii="仿宋" w:hAnsi="仿宋" w:eastAsia="仿宋" w:cs="仿宋"/>
                <w:vertAlign w:val="baseline"/>
                <w:lang w:val="en-US" w:eastAsia="zh-CN"/>
              </w:rPr>
            </w:pPr>
          </w:p>
        </w:tc>
        <w:tc>
          <w:tcPr>
            <w:tcW w:w="2130" w:type="dxa"/>
            <w:vAlign w:val="center"/>
          </w:tcPr>
          <w:p w14:paraId="5B9B9302">
            <w:pPr>
              <w:pStyle w:val="23"/>
              <w:jc w:val="center"/>
              <w:rPr>
                <w:rFonts w:hint="eastAsia" w:ascii="仿宋" w:hAnsi="仿宋" w:eastAsia="仿宋" w:cs="仿宋"/>
                <w:vertAlign w:val="baseline"/>
                <w:lang w:val="en-US" w:eastAsia="zh-CN"/>
              </w:rPr>
            </w:pPr>
          </w:p>
        </w:tc>
        <w:tc>
          <w:tcPr>
            <w:tcW w:w="2131" w:type="dxa"/>
            <w:vAlign w:val="center"/>
          </w:tcPr>
          <w:p w14:paraId="1F379FE2">
            <w:pPr>
              <w:pStyle w:val="23"/>
              <w:jc w:val="center"/>
              <w:rPr>
                <w:rFonts w:hint="eastAsia" w:ascii="仿宋" w:hAnsi="仿宋" w:eastAsia="仿宋" w:cs="仿宋"/>
                <w:vertAlign w:val="baseline"/>
                <w:lang w:val="en-US" w:eastAsia="zh-CN"/>
              </w:rPr>
            </w:pPr>
          </w:p>
        </w:tc>
        <w:tc>
          <w:tcPr>
            <w:tcW w:w="2131" w:type="dxa"/>
            <w:vAlign w:val="center"/>
          </w:tcPr>
          <w:p w14:paraId="48971606">
            <w:pPr>
              <w:pStyle w:val="23"/>
              <w:jc w:val="center"/>
              <w:rPr>
                <w:rFonts w:hint="eastAsia" w:ascii="仿宋" w:hAnsi="仿宋" w:eastAsia="仿宋" w:cs="仿宋"/>
                <w:vertAlign w:val="baseline"/>
                <w:lang w:val="en-US" w:eastAsia="zh-CN"/>
              </w:rPr>
            </w:pPr>
          </w:p>
        </w:tc>
      </w:tr>
      <w:tr w14:paraId="43E9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8522" w:type="dxa"/>
            <w:gridSpan w:val="4"/>
            <w:vAlign w:val="center"/>
          </w:tcPr>
          <w:p w14:paraId="3E2215AB">
            <w:pPr>
              <w:pStyle w:val="23"/>
              <w:ind w:left="0" w:leftChars="0" w:firstLine="0" w:firstLineChars="0"/>
              <w:jc w:val="left"/>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合同履约期限：</w:t>
            </w:r>
          </w:p>
        </w:tc>
      </w:tr>
    </w:tbl>
    <w:p w14:paraId="38D06E9C">
      <w:pPr>
        <w:pStyle w:val="23"/>
        <w:ind w:left="0" w:leftChars="0" w:firstLine="0" w:firstLineChars="0"/>
        <w:rPr>
          <w:rFonts w:hint="eastAsia" w:ascii="仿宋" w:hAnsi="仿宋" w:eastAsia="仿宋" w:cs="仿宋"/>
          <w:lang w:val="en-US" w:eastAsia="zh-CN"/>
        </w:rPr>
      </w:pPr>
    </w:p>
    <w:p w14:paraId="5A7353E2">
      <w:pPr>
        <w:pStyle w:val="4"/>
        <w:rPr>
          <w:rFonts w:hint="eastAsia" w:ascii="仿宋" w:hAnsi="仿宋" w:eastAsia="仿宋" w:cs="仿宋"/>
          <w:lang w:val="en-US" w:eastAsia="zh-CN"/>
        </w:rPr>
      </w:pPr>
      <w:r>
        <w:rPr>
          <w:rFonts w:hint="eastAsia" w:ascii="仿宋" w:hAnsi="仿宋" w:eastAsia="仿宋" w:cs="仿宋"/>
          <w:lang w:val="en-US" w:eastAsia="zh-CN"/>
        </w:rPr>
        <w:t>注：1.此表中，每包的投标报价应和《投标分项报价表》中的总价相一致。</w:t>
      </w:r>
    </w:p>
    <w:p w14:paraId="7089CD5E">
      <w:pPr>
        <w:pStyle w:val="4"/>
        <w:outlineLvl w:val="1"/>
        <w:rPr>
          <w:rFonts w:hint="eastAsia" w:ascii="仿宋" w:hAnsi="仿宋" w:eastAsia="仿宋" w:cs="仿宋"/>
          <w:lang w:val="en-US" w:eastAsia="zh-CN"/>
        </w:rPr>
      </w:pPr>
      <w:bookmarkStart w:id="80" w:name="_Toc31128"/>
      <w:r>
        <w:rPr>
          <w:rFonts w:hint="eastAsia" w:ascii="仿宋" w:hAnsi="仿宋" w:eastAsia="仿宋" w:cs="仿宋"/>
          <w:lang w:val="en-US" w:eastAsia="zh-CN"/>
        </w:rPr>
        <w:t>2.本表必须按包分别填写。</w:t>
      </w:r>
      <w:bookmarkEnd w:id="80"/>
    </w:p>
    <w:p w14:paraId="224E2826">
      <w:pPr>
        <w:pStyle w:val="4"/>
        <w:rPr>
          <w:rFonts w:hint="eastAsia" w:ascii="仿宋" w:hAnsi="仿宋" w:eastAsia="仿宋" w:cs="仿宋"/>
          <w:lang w:val="en-US" w:eastAsia="zh-CN"/>
        </w:rPr>
      </w:pPr>
    </w:p>
    <w:p w14:paraId="45115921">
      <w:pPr>
        <w:pStyle w:val="4"/>
        <w:rPr>
          <w:rFonts w:hint="eastAsia" w:ascii="仿宋" w:hAnsi="仿宋" w:eastAsia="仿宋" w:cs="仿宋"/>
          <w:lang w:val="en-US" w:eastAsia="zh-CN"/>
        </w:rPr>
      </w:pPr>
    </w:p>
    <w:p w14:paraId="510547CB">
      <w:pPr>
        <w:pStyle w:val="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供应商名称（加盖公章）：</w:t>
      </w:r>
      <w:r>
        <w:rPr>
          <w:rFonts w:hint="eastAsia" w:ascii="仿宋" w:hAnsi="仿宋" w:eastAsia="仿宋" w:cs="仿宋"/>
          <w:sz w:val="24"/>
          <w:szCs w:val="24"/>
          <w:u w:val="single"/>
          <w:lang w:val="en-US" w:eastAsia="zh-CN"/>
        </w:rPr>
        <w:t xml:space="preserve">             </w:t>
      </w:r>
    </w:p>
    <w:p w14:paraId="3C690F0C">
      <w:pPr>
        <w:pStyle w:val="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58F8B44B">
      <w:pPr>
        <w:pStyle w:val="20"/>
        <w:rPr>
          <w:rFonts w:hint="eastAsia" w:ascii="仿宋" w:hAnsi="仿宋" w:eastAsia="仿宋" w:cs="仿宋"/>
          <w:lang w:val="en-US" w:eastAsia="zh-CN"/>
        </w:rPr>
      </w:pPr>
    </w:p>
    <w:p w14:paraId="4F16674E">
      <w:pPr>
        <w:rPr>
          <w:rFonts w:hint="eastAsia" w:ascii="仿宋" w:hAnsi="仿宋" w:eastAsia="仿宋" w:cs="仿宋"/>
          <w:lang w:val="en-US" w:eastAsia="zh-CN"/>
        </w:rPr>
      </w:pPr>
      <w:r>
        <w:rPr>
          <w:rFonts w:hint="eastAsia" w:ascii="仿宋" w:hAnsi="仿宋" w:eastAsia="仿宋" w:cs="仿宋"/>
          <w:lang w:val="en-US" w:eastAsia="zh-CN"/>
        </w:rPr>
        <w:br w:type="page"/>
      </w:r>
    </w:p>
    <w:p w14:paraId="5A354A73">
      <w:pPr>
        <w:pStyle w:val="23"/>
        <w:ind w:left="0" w:leftChars="0" w:firstLine="0" w:firstLineChars="0"/>
        <w:outlineLvl w:val="1"/>
        <w:rPr>
          <w:rFonts w:hint="eastAsia" w:ascii="仿宋" w:hAnsi="仿宋" w:eastAsia="仿宋" w:cs="仿宋"/>
          <w:sz w:val="24"/>
          <w:szCs w:val="24"/>
          <w:lang w:val="en-US" w:eastAsia="zh-CN"/>
        </w:rPr>
      </w:pPr>
      <w:bookmarkStart w:id="81" w:name="_Toc7007"/>
      <w:r>
        <w:rPr>
          <w:rFonts w:hint="eastAsia" w:ascii="仿宋" w:hAnsi="仿宋" w:eastAsia="仿宋" w:cs="仿宋"/>
          <w:sz w:val="24"/>
          <w:szCs w:val="24"/>
          <w:lang w:val="en-US" w:eastAsia="zh-CN"/>
        </w:rPr>
        <w:t>7  投标分项报价表</w:t>
      </w:r>
      <w:bookmarkEnd w:id="81"/>
    </w:p>
    <w:p w14:paraId="21C01353">
      <w:pPr>
        <w:pStyle w:val="23"/>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投标分项报价表</w:t>
      </w:r>
    </w:p>
    <w:p w14:paraId="4C278AA0">
      <w:pPr>
        <w:pStyle w:val="23"/>
        <w:ind w:left="0" w:leftChars="0" w:firstLine="0" w:firstLineChars="0"/>
        <w:jc w:val="center"/>
        <w:rPr>
          <w:rFonts w:hint="eastAsia" w:ascii="仿宋" w:hAnsi="仿宋" w:eastAsia="仿宋" w:cs="仿宋"/>
          <w:lang w:val="en-US" w:eastAsia="zh-CN"/>
        </w:rPr>
      </w:pPr>
    </w:p>
    <w:p w14:paraId="5EB1A300">
      <w:pPr>
        <w:pStyle w:val="23"/>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报价单位：人民币元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3206"/>
        <w:gridCol w:w="1262"/>
        <w:gridCol w:w="1088"/>
        <w:gridCol w:w="1350"/>
        <w:gridCol w:w="1098"/>
      </w:tblGrid>
      <w:tr w14:paraId="5315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0B1736E">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bidi="zh-CN"/>
              </w:rPr>
              <w:t>序号</w:t>
            </w:r>
          </w:p>
        </w:tc>
        <w:tc>
          <w:tcPr>
            <w:tcW w:w="3206" w:type="dxa"/>
            <w:vAlign w:val="center"/>
          </w:tcPr>
          <w:p w14:paraId="6F282B20">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val="en-US" w:eastAsia="zh-CN" w:bidi="zh-CN"/>
              </w:rPr>
              <w:t>产品名称</w:t>
            </w:r>
          </w:p>
        </w:tc>
        <w:tc>
          <w:tcPr>
            <w:tcW w:w="1262" w:type="dxa"/>
            <w:vAlign w:val="center"/>
          </w:tcPr>
          <w:p w14:paraId="218B3BC3">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bidi="zh-CN"/>
              </w:rPr>
              <w:t>单价（元）</w:t>
            </w:r>
          </w:p>
        </w:tc>
        <w:tc>
          <w:tcPr>
            <w:tcW w:w="1088" w:type="dxa"/>
            <w:vAlign w:val="center"/>
          </w:tcPr>
          <w:p w14:paraId="38D5E0F0">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val="en-US" w:eastAsia="zh-CN" w:bidi="zh-CN"/>
              </w:rPr>
              <w:t>批次数</w:t>
            </w:r>
          </w:p>
        </w:tc>
        <w:tc>
          <w:tcPr>
            <w:tcW w:w="1350" w:type="dxa"/>
            <w:vAlign w:val="center"/>
          </w:tcPr>
          <w:p w14:paraId="370FF87C">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bidi="zh-CN"/>
              </w:rPr>
              <w:t>合价（元）</w:t>
            </w:r>
          </w:p>
        </w:tc>
        <w:tc>
          <w:tcPr>
            <w:tcW w:w="1098" w:type="dxa"/>
            <w:vAlign w:val="center"/>
          </w:tcPr>
          <w:p w14:paraId="2B8C3B13">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bidi="zh-CN"/>
              </w:rPr>
              <w:t>备注/说明</w:t>
            </w:r>
          </w:p>
        </w:tc>
      </w:tr>
      <w:tr w14:paraId="28F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781CA6D">
            <w:pPr>
              <w:spacing w:line="360" w:lineRule="auto"/>
              <w:jc w:val="center"/>
              <w:rPr>
                <w:rFonts w:hint="eastAsia" w:ascii="仿宋" w:hAnsi="仿宋" w:eastAsia="仿宋" w:cs="仿宋"/>
                <w:sz w:val="21"/>
                <w:szCs w:val="21"/>
                <w:lang w:bidi="zh-CN"/>
              </w:rPr>
            </w:pPr>
          </w:p>
        </w:tc>
        <w:tc>
          <w:tcPr>
            <w:tcW w:w="3206" w:type="dxa"/>
            <w:vAlign w:val="center"/>
          </w:tcPr>
          <w:p w14:paraId="37A83D38">
            <w:pPr>
              <w:spacing w:line="360" w:lineRule="auto"/>
              <w:jc w:val="center"/>
              <w:rPr>
                <w:rFonts w:hint="eastAsia" w:ascii="仿宋" w:hAnsi="仿宋" w:eastAsia="仿宋" w:cs="仿宋"/>
                <w:sz w:val="21"/>
                <w:szCs w:val="21"/>
                <w:lang w:bidi="zh-CN"/>
              </w:rPr>
            </w:pPr>
          </w:p>
        </w:tc>
        <w:tc>
          <w:tcPr>
            <w:tcW w:w="1262" w:type="dxa"/>
            <w:vAlign w:val="center"/>
          </w:tcPr>
          <w:p w14:paraId="3F042EDF">
            <w:pPr>
              <w:spacing w:line="360" w:lineRule="auto"/>
              <w:jc w:val="center"/>
              <w:rPr>
                <w:rFonts w:hint="eastAsia" w:ascii="仿宋" w:hAnsi="仿宋" w:eastAsia="仿宋" w:cs="仿宋"/>
                <w:sz w:val="21"/>
                <w:szCs w:val="21"/>
                <w:lang w:bidi="zh-CN"/>
              </w:rPr>
            </w:pPr>
          </w:p>
        </w:tc>
        <w:tc>
          <w:tcPr>
            <w:tcW w:w="1088" w:type="dxa"/>
            <w:vAlign w:val="center"/>
          </w:tcPr>
          <w:p w14:paraId="606DE28B">
            <w:pPr>
              <w:spacing w:line="360" w:lineRule="auto"/>
              <w:jc w:val="center"/>
              <w:rPr>
                <w:rFonts w:hint="eastAsia" w:ascii="仿宋" w:hAnsi="仿宋" w:eastAsia="仿宋" w:cs="仿宋"/>
                <w:sz w:val="21"/>
                <w:szCs w:val="21"/>
                <w:lang w:bidi="zh-CN"/>
              </w:rPr>
            </w:pPr>
          </w:p>
        </w:tc>
        <w:tc>
          <w:tcPr>
            <w:tcW w:w="1350" w:type="dxa"/>
            <w:vAlign w:val="center"/>
          </w:tcPr>
          <w:p w14:paraId="62AA25C4">
            <w:pPr>
              <w:spacing w:line="360" w:lineRule="auto"/>
              <w:jc w:val="center"/>
              <w:rPr>
                <w:rFonts w:hint="eastAsia" w:ascii="仿宋" w:hAnsi="仿宋" w:eastAsia="仿宋" w:cs="仿宋"/>
                <w:sz w:val="21"/>
                <w:szCs w:val="21"/>
                <w:lang w:bidi="zh-CN"/>
              </w:rPr>
            </w:pPr>
          </w:p>
        </w:tc>
        <w:tc>
          <w:tcPr>
            <w:tcW w:w="1098" w:type="dxa"/>
            <w:vAlign w:val="center"/>
          </w:tcPr>
          <w:p w14:paraId="6E2F2C2B">
            <w:pPr>
              <w:spacing w:line="360" w:lineRule="auto"/>
              <w:jc w:val="center"/>
              <w:rPr>
                <w:rFonts w:hint="eastAsia" w:ascii="仿宋" w:hAnsi="仿宋" w:eastAsia="仿宋" w:cs="仿宋"/>
                <w:sz w:val="21"/>
                <w:szCs w:val="21"/>
                <w:lang w:bidi="zh-CN"/>
              </w:rPr>
            </w:pPr>
          </w:p>
        </w:tc>
      </w:tr>
      <w:tr w14:paraId="4166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40E2E04">
            <w:pPr>
              <w:spacing w:line="360" w:lineRule="auto"/>
              <w:jc w:val="center"/>
              <w:rPr>
                <w:rFonts w:hint="eastAsia" w:ascii="仿宋" w:hAnsi="仿宋" w:eastAsia="仿宋" w:cs="仿宋"/>
                <w:sz w:val="21"/>
                <w:szCs w:val="21"/>
                <w:lang w:bidi="zh-CN"/>
              </w:rPr>
            </w:pPr>
          </w:p>
        </w:tc>
        <w:tc>
          <w:tcPr>
            <w:tcW w:w="3206" w:type="dxa"/>
            <w:vAlign w:val="center"/>
          </w:tcPr>
          <w:p w14:paraId="13913CE6">
            <w:pPr>
              <w:spacing w:line="360" w:lineRule="auto"/>
              <w:jc w:val="center"/>
              <w:rPr>
                <w:rFonts w:hint="eastAsia" w:ascii="仿宋" w:hAnsi="仿宋" w:eastAsia="仿宋" w:cs="仿宋"/>
                <w:sz w:val="21"/>
                <w:szCs w:val="21"/>
                <w:lang w:bidi="zh-CN"/>
              </w:rPr>
            </w:pPr>
          </w:p>
        </w:tc>
        <w:tc>
          <w:tcPr>
            <w:tcW w:w="1262" w:type="dxa"/>
            <w:vAlign w:val="center"/>
          </w:tcPr>
          <w:p w14:paraId="6344ECF4">
            <w:pPr>
              <w:spacing w:line="360" w:lineRule="auto"/>
              <w:jc w:val="center"/>
              <w:rPr>
                <w:rFonts w:hint="eastAsia" w:ascii="仿宋" w:hAnsi="仿宋" w:eastAsia="仿宋" w:cs="仿宋"/>
                <w:sz w:val="21"/>
                <w:szCs w:val="21"/>
                <w:lang w:bidi="zh-CN"/>
              </w:rPr>
            </w:pPr>
          </w:p>
        </w:tc>
        <w:tc>
          <w:tcPr>
            <w:tcW w:w="1088" w:type="dxa"/>
            <w:vAlign w:val="center"/>
          </w:tcPr>
          <w:p w14:paraId="5D5848E9">
            <w:pPr>
              <w:spacing w:line="360" w:lineRule="auto"/>
              <w:jc w:val="center"/>
              <w:rPr>
                <w:rFonts w:hint="eastAsia" w:ascii="仿宋" w:hAnsi="仿宋" w:eastAsia="仿宋" w:cs="仿宋"/>
                <w:sz w:val="21"/>
                <w:szCs w:val="21"/>
                <w:lang w:bidi="zh-CN"/>
              </w:rPr>
            </w:pPr>
          </w:p>
        </w:tc>
        <w:tc>
          <w:tcPr>
            <w:tcW w:w="1350" w:type="dxa"/>
            <w:vAlign w:val="center"/>
          </w:tcPr>
          <w:p w14:paraId="6912BCCF">
            <w:pPr>
              <w:spacing w:line="360" w:lineRule="auto"/>
              <w:jc w:val="center"/>
              <w:rPr>
                <w:rFonts w:hint="eastAsia" w:ascii="仿宋" w:hAnsi="仿宋" w:eastAsia="仿宋" w:cs="仿宋"/>
                <w:sz w:val="21"/>
                <w:szCs w:val="21"/>
                <w:lang w:bidi="zh-CN"/>
              </w:rPr>
            </w:pPr>
          </w:p>
        </w:tc>
        <w:tc>
          <w:tcPr>
            <w:tcW w:w="1098" w:type="dxa"/>
            <w:vAlign w:val="center"/>
          </w:tcPr>
          <w:p w14:paraId="55BDA81F">
            <w:pPr>
              <w:spacing w:line="360" w:lineRule="auto"/>
              <w:jc w:val="center"/>
              <w:rPr>
                <w:rFonts w:hint="eastAsia" w:ascii="仿宋" w:hAnsi="仿宋" w:eastAsia="仿宋" w:cs="仿宋"/>
                <w:sz w:val="21"/>
                <w:szCs w:val="21"/>
                <w:lang w:bidi="zh-CN"/>
              </w:rPr>
            </w:pPr>
          </w:p>
        </w:tc>
      </w:tr>
      <w:tr w14:paraId="153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87E2929">
            <w:pPr>
              <w:spacing w:line="360" w:lineRule="auto"/>
              <w:jc w:val="center"/>
              <w:rPr>
                <w:rFonts w:hint="eastAsia" w:ascii="仿宋" w:hAnsi="仿宋" w:eastAsia="仿宋" w:cs="仿宋"/>
                <w:sz w:val="21"/>
                <w:szCs w:val="21"/>
                <w:lang w:bidi="zh-CN"/>
              </w:rPr>
            </w:pPr>
          </w:p>
        </w:tc>
        <w:tc>
          <w:tcPr>
            <w:tcW w:w="3206" w:type="dxa"/>
            <w:vAlign w:val="center"/>
          </w:tcPr>
          <w:p w14:paraId="261A39C9">
            <w:pPr>
              <w:spacing w:line="360" w:lineRule="auto"/>
              <w:jc w:val="center"/>
              <w:rPr>
                <w:rFonts w:hint="eastAsia" w:ascii="仿宋" w:hAnsi="仿宋" w:eastAsia="仿宋" w:cs="仿宋"/>
                <w:sz w:val="21"/>
                <w:szCs w:val="21"/>
                <w:lang w:bidi="zh-CN"/>
              </w:rPr>
            </w:pPr>
          </w:p>
        </w:tc>
        <w:tc>
          <w:tcPr>
            <w:tcW w:w="1262" w:type="dxa"/>
            <w:vAlign w:val="center"/>
          </w:tcPr>
          <w:p w14:paraId="4AA18359">
            <w:pPr>
              <w:spacing w:line="360" w:lineRule="auto"/>
              <w:jc w:val="center"/>
              <w:rPr>
                <w:rFonts w:hint="eastAsia" w:ascii="仿宋" w:hAnsi="仿宋" w:eastAsia="仿宋" w:cs="仿宋"/>
                <w:sz w:val="21"/>
                <w:szCs w:val="21"/>
                <w:lang w:bidi="zh-CN"/>
              </w:rPr>
            </w:pPr>
          </w:p>
        </w:tc>
        <w:tc>
          <w:tcPr>
            <w:tcW w:w="1088" w:type="dxa"/>
            <w:vAlign w:val="center"/>
          </w:tcPr>
          <w:p w14:paraId="2A4E494F">
            <w:pPr>
              <w:spacing w:line="360" w:lineRule="auto"/>
              <w:jc w:val="center"/>
              <w:rPr>
                <w:rFonts w:hint="eastAsia" w:ascii="仿宋" w:hAnsi="仿宋" w:eastAsia="仿宋" w:cs="仿宋"/>
                <w:sz w:val="21"/>
                <w:szCs w:val="21"/>
                <w:lang w:bidi="zh-CN"/>
              </w:rPr>
            </w:pPr>
          </w:p>
        </w:tc>
        <w:tc>
          <w:tcPr>
            <w:tcW w:w="1350" w:type="dxa"/>
            <w:vAlign w:val="center"/>
          </w:tcPr>
          <w:p w14:paraId="67EA881A">
            <w:pPr>
              <w:spacing w:line="360" w:lineRule="auto"/>
              <w:jc w:val="center"/>
              <w:rPr>
                <w:rFonts w:hint="eastAsia" w:ascii="仿宋" w:hAnsi="仿宋" w:eastAsia="仿宋" w:cs="仿宋"/>
                <w:sz w:val="21"/>
                <w:szCs w:val="21"/>
                <w:lang w:bidi="zh-CN"/>
              </w:rPr>
            </w:pPr>
          </w:p>
        </w:tc>
        <w:tc>
          <w:tcPr>
            <w:tcW w:w="1098" w:type="dxa"/>
            <w:vAlign w:val="center"/>
          </w:tcPr>
          <w:p w14:paraId="6FA26D8A">
            <w:pPr>
              <w:spacing w:line="360" w:lineRule="auto"/>
              <w:jc w:val="center"/>
              <w:rPr>
                <w:rFonts w:hint="eastAsia" w:ascii="仿宋" w:hAnsi="仿宋" w:eastAsia="仿宋" w:cs="仿宋"/>
                <w:sz w:val="21"/>
                <w:szCs w:val="21"/>
                <w:lang w:bidi="zh-CN"/>
              </w:rPr>
            </w:pPr>
          </w:p>
        </w:tc>
      </w:tr>
      <w:tr w14:paraId="1638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FCC393E">
            <w:pPr>
              <w:spacing w:line="360" w:lineRule="auto"/>
              <w:jc w:val="center"/>
              <w:rPr>
                <w:rFonts w:hint="eastAsia" w:ascii="仿宋" w:hAnsi="仿宋" w:eastAsia="仿宋" w:cs="仿宋"/>
                <w:sz w:val="21"/>
                <w:szCs w:val="21"/>
                <w:lang w:bidi="zh-CN"/>
              </w:rPr>
            </w:pPr>
          </w:p>
        </w:tc>
        <w:tc>
          <w:tcPr>
            <w:tcW w:w="3206" w:type="dxa"/>
            <w:vAlign w:val="center"/>
          </w:tcPr>
          <w:p w14:paraId="7956A79D">
            <w:pPr>
              <w:spacing w:line="360" w:lineRule="auto"/>
              <w:jc w:val="center"/>
              <w:rPr>
                <w:rFonts w:hint="eastAsia" w:ascii="仿宋" w:hAnsi="仿宋" w:eastAsia="仿宋" w:cs="仿宋"/>
                <w:sz w:val="21"/>
                <w:szCs w:val="21"/>
                <w:lang w:bidi="zh-CN"/>
              </w:rPr>
            </w:pPr>
          </w:p>
        </w:tc>
        <w:tc>
          <w:tcPr>
            <w:tcW w:w="1262" w:type="dxa"/>
            <w:vAlign w:val="center"/>
          </w:tcPr>
          <w:p w14:paraId="08F7DA9E">
            <w:pPr>
              <w:spacing w:line="360" w:lineRule="auto"/>
              <w:jc w:val="center"/>
              <w:rPr>
                <w:rFonts w:hint="eastAsia" w:ascii="仿宋" w:hAnsi="仿宋" w:eastAsia="仿宋" w:cs="仿宋"/>
                <w:sz w:val="21"/>
                <w:szCs w:val="21"/>
                <w:lang w:bidi="zh-CN"/>
              </w:rPr>
            </w:pPr>
          </w:p>
        </w:tc>
        <w:tc>
          <w:tcPr>
            <w:tcW w:w="1088" w:type="dxa"/>
            <w:vAlign w:val="center"/>
          </w:tcPr>
          <w:p w14:paraId="0F2227B1">
            <w:pPr>
              <w:spacing w:line="360" w:lineRule="auto"/>
              <w:jc w:val="center"/>
              <w:rPr>
                <w:rFonts w:hint="eastAsia" w:ascii="仿宋" w:hAnsi="仿宋" w:eastAsia="仿宋" w:cs="仿宋"/>
                <w:sz w:val="21"/>
                <w:szCs w:val="21"/>
                <w:lang w:bidi="zh-CN"/>
              </w:rPr>
            </w:pPr>
          </w:p>
        </w:tc>
        <w:tc>
          <w:tcPr>
            <w:tcW w:w="1350" w:type="dxa"/>
            <w:vAlign w:val="center"/>
          </w:tcPr>
          <w:p w14:paraId="194F874F">
            <w:pPr>
              <w:spacing w:line="360" w:lineRule="auto"/>
              <w:jc w:val="center"/>
              <w:rPr>
                <w:rFonts w:hint="eastAsia" w:ascii="仿宋" w:hAnsi="仿宋" w:eastAsia="仿宋" w:cs="仿宋"/>
                <w:sz w:val="21"/>
                <w:szCs w:val="21"/>
                <w:lang w:bidi="zh-CN"/>
              </w:rPr>
            </w:pPr>
          </w:p>
        </w:tc>
        <w:tc>
          <w:tcPr>
            <w:tcW w:w="1098" w:type="dxa"/>
            <w:vAlign w:val="center"/>
          </w:tcPr>
          <w:p w14:paraId="54B802F1">
            <w:pPr>
              <w:spacing w:line="360" w:lineRule="auto"/>
              <w:jc w:val="center"/>
              <w:rPr>
                <w:rFonts w:hint="eastAsia" w:ascii="仿宋" w:hAnsi="仿宋" w:eastAsia="仿宋" w:cs="仿宋"/>
                <w:sz w:val="21"/>
                <w:szCs w:val="21"/>
                <w:lang w:bidi="zh-CN"/>
              </w:rPr>
            </w:pPr>
          </w:p>
        </w:tc>
      </w:tr>
      <w:tr w14:paraId="3B0F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4" w:type="dxa"/>
            <w:gridSpan w:val="4"/>
          </w:tcPr>
          <w:p w14:paraId="5FE95348">
            <w:pPr>
              <w:spacing w:line="360" w:lineRule="auto"/>
              <w:jc w:val="center"/>
              <w:rPr>
                <w:rFonts w:hint="eastAsia" w:ascii="仿宋" w:hAnsi="仿宋" w:eastAsia="仿宋" w:cs="仿宋"/>
                <w:sz w:val="21"/>
                <w:szCs w:val="21"/>
                <w:lang w:bidi="zh-CN"/>
              </w:rPr>
            </w:pPr>
            <w:r>
              <w:rPr>
                <w:rFonts w:hint="eastAsia" w:ascii="仿宋" w:hAnsi="仿宋" w:eastAsia="仿宋" w:cs="仿宋"/>
                <w:sz w:val="21"/>
                <w:szCs w:val="21"/>
                <w:lang w:bidi="zh-CN"/>
              </w:rPr>
              <w:t>总价（元）</w:t>
            </w:r>
          </w:p>
        </w:tc>
        <w:tc>
          <w:tcPr>
            <w:tcW w:w="2448" w:type="dxa"/>
            <w:gridSpan w:val="2"/>
            <w:vAlign w:val="center"/>
          </w:tcPr>
          <w:p w14:paraId="7D24A875">
            <w:pPr>
              <w:spacing w:line="360" w:lineRule="auto"/>
              <w:jc w:val="center"/>
              <w:rPr>
                <w:rFonts w:hint="eastAsia" w:ascii="仿宋" w:hAnsi="仿宋" w:eastAsia="仿宋" w:cs="仿宋"/>
                <w:sz w:val="21"/>
                <w:szCs w:val="21"/>
                <w:lang w:bidi="zh-CN"/>
              </w:rPr>
            </w:pPr>
          </w:p>
        </w:tc>
      </w:tr>
    </w:tbl>
    <w:p w14:paraId="72F3BACC">
      <w:pPr>
        <w:pStyle w:val="4"/>
        <w:ind w:left="0" w:leftChars="0" w:firstLine="0" w:firstLineChars="0"/>
        <w:rPr>
          <w:rFonts w:hint="eastAsia" w:ascii="仿宋" w:hAnsi="仿宋" w:eastAsia="仿宋" w:cs="仿宋"/>
          <w:lang w:val="en-US" w:eastAsia="zh-CN"/>
        </w:rPr>
      </w:pPr>
    </w:p>
    <w:p w14:paraId="57C7D583">
      <w:pPr>
        <w:pStyle w:val="20"/>
        <w:rPr>
          <w:rFonts w:hint="eastAsia" w:ascii="仿宋" w:hAnsi="仿宋" w:eastAsia="仿宋" w:cs="仿宋"/>
          <w:lang w:val="en-US" w:eastAsia="zh-CN"/>
        </w:rPr>
      </w:pPr>
    </w:p>
    <w:p w14:paraId="3058D2D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注：1.本表应按包分别填写。</w:t>
      </w:r>
    </w:p>
    <w:p w14:paraId="2E60DD4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2.如果不提供分项报价将视为没有实质性响应招标文件。</w:t>
      </w:r>
    </w:p>
    <w:p w14:paraId="5575CCA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3.上述各项的详细规格（如有），可另页描述。</w:t>
      </w:r>
    </w:p>
    <w:p w14:paraId="696A724F">
      <w:pPr>
        <w:spacing w:line="360" w:lineRule="auto"/>
        <w:rPr>
          <w:rFonts w:hint="eastAsia" w:ascii="仿宋" w:hAnsi="仿宋" w:eastAsia="仿宋" w:cs="仿宋"/>
          <w:sz w:val="24"/>
          <w:szCs w:val="24"/>
          <w:lang w:val="en-US" w:eastAsia="zh-CN"/>
        </w:rPr>
      </w:pPr>
    </w:p>
    <w:p w14:paraId="128CA657">
      <w:pPr>
        <w:spacing w:line="360" w:lineRule="auto"/>
        <w:rPr>
          <w:rFonts w:hint="eastAsia" w:ascii="仿宋" w:hAnsi="仿宋" w:eastAsia="仿宋" w:cs="仿宋"/>
          <w:sz w:val="24"/>
          <w:szCs w:val="24"/>
          <w:lang w:val="en-US" w:eastAsia="zh-CN"/>
        </w:rPr>
      </w:pPr>
    </w:p>
    <w:p w14:paraId="302BFF4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供应商名称（加盖公章）：____________</w:t>
      </w:r>
    </w:p>
    <w:p w14:paraId="3184ADD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24916621">
      <w:pPr>
        <w:pStyle w:val="23"/>
        <w:rPr>
          <w:rFonts w:hint="eastAsia" w:ascii="仿宋" w:hAnsi="仿宋" w:eastAsia="仿宋" w:cs="仿宋"/>
          <w:sz w:val="24"/>
          <w:szCs w:val="24"/>
          <w:lang w:val="en-US" w:eastAsia="zh-CN"/>
        </w:rPr>
      </w:pPr>
    </w:p>
    <w:p w14:paraId="4FF69A7E">
      <w:pPr>
        <w:rPr>
          <w:rFonts w:hint="eastAsia" w:ascii="仿宋" w:hAnsi="仿宋" w:eastAsia="仿宋" w:cs="仿宋"/>
          <w:lang w:val="en-US" w:eastAsia="zh-CN"/>
        </w:rPr>
      </w:pPr>
      <w:r>
        <w:rPr>
          <w:rFonts w:hint="eastAsia" w:ascii="仿宋" w:hAnsi="仿宋" w:eastAsia="仿宋" w:cs="仿宋"/>
          <w:lang w:val="en-US" w:eastAsia="zh-CN"/>
        </w:rPr>
        <w:br w:type="page"/>
      </w:r>
    </w:p>
    <w:p w14:paraId="3D152E5E">
      <w:pPr>
        <w:pStyle w:val="20"/>
        <w:ind w:left="0" w:leftChars="0" w:firstLine="0" w:firstLineChars="0"/>
        <w:jc w:val="left"/>
        <w:outlineLvl w:val="1"/>
        <w:rPr>
          <w:rFonts w:hint="eastAsia" w:ascii="仿宋" w:hAnsi="仿宋" w:eastAsia="仿宋" w:cs="仿宋"/>
          <w:sz w:val="24"/>
          <w:szCs w:val="24"/>
          <w:lang w:val="en-US" w:eastAsia="zh-CN"/>
        </w:rPr>
      </w:pPr>
      <w:bookmarkStart w:id="82" w:name="_Toc6119"/>
      <w:r>
        <w:rPr>
          <w:rFonts w:hint="eastAsia" w:ascii="仿宋" w:hAnsi="仿宋" w:eastAsia="仿宋" w:cs="仿宋"/>
          <w:sz w:val="24"/>
          <w:szCs w:val="24"/>
          <w:lang w:val="en-US" w:eastAsia="zh-CN"/>
        </w:rPr>
        <w:t>8  合同条款偏离表</w:t>
      </w:r>
      <w:bookmarkEnd w:id="82"/>
    </w:p>
    <w:p w14:paraId="4CBDF27C">
      <w:pPr>
        <w:pStyle w:val="20"/>
        <w:ind w:left="0" w:leftChars="0" w:firstLine="0" w:firstLineChars="0"/>
        <w:jc w:val="center"/>
        <w:rPr>
          <w:rFonts w:hint="eastAsia" w:ascii="仿宋" w:hAnsi="仿宋" w:eastAsia="仿宋" w:cs="仿宋"/>
          <w:sz w:val="32"/>
          <w:szCs w:val="32"/>
          <w:lang w:val="en-US" w:eastAsia="zh-CN"/>
        </w:rPr>
      </w:pPr>
    </w:p>
    <w:p w14:paraId="4AFAD25C">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合同条款偏离表</w:t>
      </w:r>
    </w:p>
    <w:p w14:paraId="5E082E21">
      <w:pPr>
        <w:pStyle w:val="23"/>
        <w:ind w:left="0" w:leftChars="0" w:firstLine="0" w:firstLineChars="0"/>
        <w:rPr>
          <w:rFonts w:hint="eastAsia" w:ascii="仿宋" w:hAnsi="仿宋" w:eastAsia="仿宋" w:cs="仿宋"/>
          <w:lang w:val="en-US" w:eastAsia="zh-CN"/>
        </w:rPr>
      </w:pPr>
    </w:p>
    <w:p w14:paraId="3ECFF911">
      <w:pPr>
        <w:pStyle w:val="20"/>
        <w:ind w:left="0" w:leftChars="0" w:firstLine="0" w:firstLineChars="0"/>
        <w:jc w:val="left"/>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3F0B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33CE7DB8">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对本项目合同条款的偏离情况（请进行勾选）：</w:t>
            </w:r>
          </w:p>
          <w:p w14:paraId="688B53F6">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无偏离</w:t>
            </w:r>
            <w:r>
              <w:rPr>
                <w:rFonts w:hint="eastAsia" w:ascii="仿宋" w:hAnsi="仿宋" w:eastAsia="仿宋" w:cs="仿宋"/>
                <w:sz w:val="24"/>
                <w:szCs w:val="24"/>
                <w:vertAlign w:val="baseline"/>
                <w:lang w:val="en-US" w:eastAsia="zh-CN"/>
              </w:rPr>
              <w:t>（如无偏离，仅选择无偏离即可；无偏离即为对合同条款中的所有要求，均视作供应商已对之理解和响应。）</w:t>
            </w:r>
          </w:p>
          <w:p w14:paraId="3C52EABA">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有偏离</w:t>
            </w:r>
            <w:r>
              <w:rPr>
                <w:rFonts w:hint="eastAsia" w:ascii="仿宋" w:hAnsi="仿宋" w:eastAsia="仿宋" w:cs="仿宋"/>
                <w:sz w:val="24"/>
                <w:szCs w:val="24"/>
                <w:vertAlign w:val="baseline"/>
                <w:lang w:val="en-US" w:eastAsia="zh-CN"/>
              </w:rPr>
              <w:t>（如有偏离，则应在本表中对偏离项逐一列明，否则投标无效；对合同条款中的所有要求，除本表列明的偏离外，均视作供应商已对之理解和响应。）</w:t>
            </w:r>
          </w:p>
        </w:tc>
      </w:tr>
      <w:tr w14:paraId="6C60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3AB49CB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1" w:type="dxa"/>
            <w:vAlign w:val="center"/>
          </w:tcPr>
          <w:p w14:paraId="6183EB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w:t>
            </w:r>
          </w:p>
          <w:p w14:paraId="54F848E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条目号</w:t>
            </w:r>
          </w:p>
          <w:p w14:paraId="29E488C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（页码）</w:t>
            </w:r>
          </w:p>
        </w:tc>
        <w:tc>
          <w:tcPr>
            <w:tcW w:w="1901" w:type="dxa"/>
            <w:vAlign w:val="center"/>
          </w:tcPr>
          <w:p w14:paraId="6593199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753" w:type="dxa"/>
            <w:vAlign w:val="center"/>
          </w:tcPr>
          <w:p w14:paraId="5657DE0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投标文件内容</w:t>
            </w:r>
          </w:p>
        </w:tc>
        <w:tc>
          <w:tcPr>
            <w:tcW w:w="1561" w:type="dxa"/>
            <w:vAlign w:val="center"/>
          </w:tcPr>
          <w:p w14:paraId="2A3079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052" w:type="dxa"/>
            <w:vAlign w:val="center"/>
          </w:tcPr>
          <w:p w14:paraId="1A2EE64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1E5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5D323D2B">
            <w:pPr>
              <w:rPr>
                <w:rFonts w:hint="eastAsia" w:ascii="仿宋" w:hAnsi="仿宋" w:eastAsia="仿宋" w:cs="仿宋"/>
                <w:sz w:val="24"/>
                <w:szCs w:val="24"/>
                <w:vertAlign w:val="baseline"/>
                <w:lang w:val="en-US" w:eastAsia="zh-CN"/>
              </w:rPr>
            </w:pPr>
          </w:p>
        </w:tc>
        <w:tc>
          <w:tcPr>
            <w:tcW w:w="1421" w:type="dxa"/>
          </w:tcPr>
          <w:p w14:paraId="2860FFFA">
            <w:pPr>
              <w:rPr>
                <w:rFonts w:hint="eastAsia" w:ascii="仿宋" w:hAnsi="仿宋" w:eastAsia="仿宋" w:cs="仿宋"/>
                <w:sz w:val="24"/>
                <w:szCs w:val="24"/>
                <w:vertAlign w:val="baseline"/>
                <w:lang w:val="en-US" w:eastAsia="zh-CN"/>
              </w:rPr>
            </w:pPr>
          </w:p>
        </w:tc>
        <w:tc>
          <w:tcPr>
            <w:tcW w:w="1901" w:type="dxa"/>
          </w:tcPr>
          <w:p w14:paraId="55203131">
            <w:pPr>
              <w:rPr>
                <w:rFonts w:hint="eastAsia" w:ascii="仿宋" w:hAnsi="仿宋" w:eastAsia="仿宋" w:cs="仿宋"/>
                <w:sz w:val="24"/>
                <w:szCs w:val="24"/>
                <w:vertAlign w:val="baseline"/>
                <w:lang w:val="en-US" w:eastAsia="zh-CN"/>
              </w:rPr>
            </w:pPr>
          </w:p>
        </w:tc>
        <w:tc>
          <w:tcPr>
            <w:tcW w:w="1753" w:type="dxa"/>
          </w:tcPr>
          <w:p w14:paraId="53D44631">
            <w:pPr>
              <w:rPr>
                <w:rFonts w:hint="eastAsia" w:ascii="仿宋" w:hAnsi="仿宋" w:eastAsia="仿宋" w:cs="仿宋"/>
                <w:sz w:val="24"/>
                <w:szCs w:val="24"/>
                <w:vertAlign w:val="baseline"/>
                <w:lang w:val="en-US" w:eastAsia="zh-CN"/>
              </w:rPr>
            </w:pPr>
          </w:p>
        </w:tc>
        <w:tc>
          <w:tcPr>
            <w:tcW w:w="1561" w:type="dxa"/>
          </w:tcPr>
          <w:p w14:paraId="6529F813">
            <w:pPr>
              <w:rPr>
                <w:rFonts w:hint="eastAsia" w:ascii="仿宋" w:hAnsi="仿宋" w:eastAsia="仿宋" w:cs="仿宋"/>
                <w:sz w:val="24"/>
                <w:szCs w:val="24"/>
                <w:vertAlign w:val="baseline"/>
                <w:lang w:val="en-US" w:eastAsia="zh-CN"/>
              </w:rPr>
            </w:pPr>
          </w:p>
        </w:tc>
        <w:tc>
          <w:tcPr>
            <w:tcW w:w="1052" w:type="dxa"/>
          </w:tcPr>
          <w:p w14:paraId="70E07671">
            <w:pPr>
              <w:rPr>
                <w:rFonts w:hint="eastAsia" w:ascii="仿宋" w:hAnsi="仿宋" w:eastAsia="仿宋" w:cs="仿宋"/>
                <w:sz w:val="24"/>
                <w:szCs w:val="24"/>
                <w:vertAlign w:val="baseline"/>
                <w:lang w:val="en-US" w:eastAsia="zh-CN"/>
              </w:rPr>
            </w:pPr>
          </w:p>
        </w:tc>
      </w:tr>
      <w:tr w14:paraId="51D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F4F4B0B">
            <w:pPr>
              <w:rPr>
                <w:rFonts w:hint="eastAsia" w:ascii="仿宋" w:hAnsi="仿宋" w:eastAsia="仿宋" w:cs="仿宋"/>
                <w:sz w:val="24"/>
                <w:szCs w:val="24"/>
                <w:vertAlign w:val="baseline"/>
                <w:lang w:val="en-US" w:eastAsia="zh-CN"/>
              </w:rPr>
            </w:pPr>
          </w:p>
        </w:tc>
        <w:tc>
          <w:tcPr>
            <w:tcW w:w="1421" w:type="dxa"/>
          </w:tcPr>
          <w:p w14:paraId="1007C269">
            <w:pPr>
              <w:rPr>
                <w:rFonts w:hint="eastAsia" w:ascii="仿宋" w:hAnsi="仿宋" w:eastAsia="仿宋" w:cs="仿宋"/>
                <w:sz w:val="24"/>
                <w:szCs w:val="24"/>
                <w:vertAlign w:val="baseline"/>
                <w:lang w:val="en-US" w:eastAsia="zh-CN"/>
              </w:rPr>
            </w:pPr>
          </w:p>
        </w:tc>
        <w:tc>
          <w:tcPr>
            <w:tcW w:w="1901" w:type="dxa"/>
          </w:tcPr>
          <w:p w14:paraId="0614FEBA">
            <w:pPr>
              <w:rPr>
                <w:rFonts w:hint="eastAsia" w:ascii="仿宋" w:hAnsi="仿宋" w:eastAsia="仿宋" w:cs="仿宋"/>
                <w:sz w:val="24"/>
                <w:szCs w:val="24"/>
                <w:vertAlign w:val="baseline"/>
                <w:lang w:val="en-US" w:eastAsia="zh-CN"/>
              </w:rPr>
            </w:pPr>
          </w:p>
        </w:tc>
        <w:tc>
          <w:tcPr>
            <w:tcW w:w="1753" w:type="dxa"/>
          </w:tcPr>
          <w:p w14:paraId="6F6506E1">
            <w:pPr>
              <w:rPr>
                <w:rFonts w:hint="eastAsia" w:ascii="仿宋" w:hAnsi="仿宋" w:eastAsia="仿宋" w:cs="仿宋"/>
                <w:sz w:val="24"/>
                <w:szCs w:val="24"/>
                <w:vertAlign w:val="baseline"/>
                <w:lang w:val="en-US" w:eastAsia="zh-CN"/>
              </w:rPr>
            </w:pPr>
          </w:p>
        </w:tc>
        <w:tc>
          <w:tcPr>
            <w:tcW w:w="1561" w:type="dxa"/>
          </w:tcPr>
          <w:p w14:paraId="271E240C">
            <w:pPr>
              <w:rPr>
                <w:rFonts w:hint="eastAsia" w:ascii="仿宋" w:hAnsi="仿宋" w:eastAsia="仿宋" w:cs="仿宋"/>
                <w:sz w:val="24"/>
                <w:szCs w:val="24"/>
                <w:vertAlign w:val="baseline"/>
                <w:lang w:val="en-US" w:eastAsia="zh-CN"/>
              </w:rPr>
            </w:pPr>
          </w:p>
        </w:tc>
        <w:tc>
          <w:tcPr>
            <w:tcW w:w="1052" w:type="dxa"/>
          </w:tcPr>
          <w:p w14:paraId="60C3CD01">
            <w:pPr>
              <w:rPr>
                <w:rFonts w:hint="eastAsia" w:ascii="仿宋" w:hAnsi="仿宋" w:eastAsia="仿宋" w:cs="仿宋"/>
                <w:sz w:val="24"/>
                <w:szCs w:val="24"/>
                <w:vertAlign w:val="baseline"/>
                <w:lang w:val="en-US" w:eastAsia="zh-CN"/>
              </w:rPr>
            </w:pPr>
          </w:p>
        </w:tc>
      </w:tr>
      <w:tr w14:paraId="3941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2A700FDF">
            <w:pPr>
              <w:rPr>
                <w:rFonts w:hint="eastAsia" w:ascii="仿宋" w:hAnsi="仿宋" w:eastAsia="仿宋" w:cs="仿宋"/>
                <w:sz w:val="24"/>
                <w:szCs w:val="24"/>
                <w:vertAlign w:val="baseline"/>
                <w:lang w:val="en-US" w:eastAsia="zh-CN"/>
              </w:rPr>
            </w:pPr>
          </w:p>
        </w:tc>
        <w:tc>
          <w:tcPr>
            <w:tcW w:w="1421" w:type="dxa"/>
          </w:tcPr>
          <w:p w14:paraId="2B538290">
            <w:pPr>
              <w:rPr>
                <w:rFonts w:hint="eastAsia" w:ascii="仿宋" w:hAnsi="仿宋" w:eastAsia="仿宋" w:cs="仿宋"/>
                <w:sz w:val="24"/>
                <w:szCs w:val="24"/>
                <w:vertAlign w:val="baseline"/>
                <w:lang w:val="en-US" w:eastAsia="zh-CN"/>
              </w:rPr>
            </w:pPr>
          </w:p>
        </w:tc>
        <w:tc>
          <w:tcPr>
            <w:tcW w:w="1901" w:type="dxa"/>
          </w:tcPr>
          <w:p w14:paraId="60015BDD">
            <w:pPr>
              <w:rPr>
                <w:rFonts w:hint="eastAsia" w:ascii="仿宋" w:hAnsi="仿宋" w:eastAsia="仿宋" w:cs="仿宋"/>
                <w:sz w:val="24"/>
                <w:szCs w:val="24"/>
                <w:vertAlign w:val="baseline"/>
                <w:lang w:val="en-US" w:eastAsia="zh-CN"/>
              </w:rPr>
            </w:pPr>
          </w:p>
        </w:tc>
        <w:tc>
          <w:tcPr>
            <w:tcW w:w="1753" w:type="dxa"/>
          </w:tcPr>
          <w:p w14:paraId="330156FD">
            <w:pPr>
              <w:rPr>
                <w:rFonts w:hint="eastAsia" w:ascii="仿宋" w:hAnsi="仿宋" w:eastAsia="仿宋" w:cs="仿宋"/>
                <w:sz w:val="24"/>
                <w:szCs w:val="24"/>
                <w:vertAlign w:val="baseline"/>
                <w:lang w:val="en-US" w:eastAsia="zh-CN"/>
              </w:rPr>
            </w:pPr>
          </w:p>
        </w:tc>
        <w:tc>
          <w:tcPr>
            <w:tcW w:w="1561" w:type="dxa"/>
          </w:tcPr>
          <w:p w14:paraId="353BD49A">
            <w:pPr>
              <w:rPr>
                <w:rFonts w:hint="eastAsia" w:ascii="仿宋" w:hAnsi="仿宋" w:eastAsia="仿宋" w:cs="仿宋"/>
                <w:sz w:val="24"/>
                <w:szCs w:val="24"/>
                <w:vertAlign w:val="baseline"/>
                <w:lang w:val="en-US" w:eastAsia="zh-CN"/>
              </w:rPr>
            </w:pPr>
          </w:p>
        </w:tc>
        <w:tc>
          <w:tcPr>
            <w:tcW w:w="1052" w:type="dxa"/>
          </w:tcPr>
          <w:p w14:paraId="7AFD794A">
            <w:pPr>
              <w:rPr>
                <w:rFonts w:hint="eastAsia" w:ascii="仿宋" w:hAnsi="仿宋" w:eastAsia="仿宋" w:cs="仿宋"/>
                <w:sz w:val="24"/>
                <w:szCs w:val="24"/>
                <w:vertAlign w:val="baseline"/>
                <w:lang w:val="en-US" w:eastAsia="zh-CN"/>
              </w:rPr>
            </w:pPr>
          </w:p>
        </w:tc>
      </w:tr>
      <w:tr w14:paraId="2BB7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623BAB8">
            <w:pPr>
              <w:rPr>
                <w:rFonts w:hint="eastAsia" w:ascii="仿宋" w:hAnsi="仿宋" w:eastAsia="仿宋" w:cs="仿宋"/>
                <w:sz w:val="24"/>
                <w:szCs w:val="24"/>
                <w:vertAlign w:val="baseline"/>
                <w:lang w:val="en-US" w:eastAsia="zh-CN"/>
              </w:rPr>
            </w:pPr>
          </w:p>
        </w:tc>
        <w:tc>
          <w:tcPr>
            <w:tcW w:w="1421" w:type="dxa"/>
          </w:tcPr>
          <w:p w14:paraId="3CE11F8D">
            <w:pPr>
              <w:rPr>
                <w:rFonts w:hint="eastAsia" w:ascii="仿宋" w:hAnsi="仿宋" w:eastAsia="仿宋" w:cs="仿宋"/>
                <w:sz w:val="24"/>
                <w:szCs w:val="24"/>
                <w:vertAlign w:val="baseline"/>
                <w:lang w:val="en-US" w:eastAsia="zh-CN"/>
              </w:rPr>
            </w:pPr>
          </w:p>
        </w:tc>
        <w:tc>
          <w:tcPr>
            <w:tcW w:w="1901" w:type="dxa"/>
          </w:tcPr>
          <w:p w14:paraId="4F37F3EE">
            <w:pPr>
              <w:rPr>
                <w:rFonts w:hint="eastAsia" w:ascii="仿宋" w:hAnsi="仿宋" w:eastAsia="仿宋" w:cs="仿宋"/>
                <w:sz w:val="24"/>
                <w:szCs w:val="24"/>
                <w:vertAlign w:val="baseline"/>
                <w:lang w:val="en-US" w:eastAsia="zh-CN"/>
              </w:rPr>
            </w:pPr>
          </w:p>
        </w:tc>
        <w:tc>
          <w:tcPr>
            <w:tcW w:w="1753" w:type="dxa"/>
          </w:tcPr>
          <w:p w14:paraId="37B1C4A6">
            <w:pPr>
              <w:rPr>
                <w:rFonts w:hint="eastAsia" w:ascii="仿宋" w:hAnsi="仿宋" w:eastAsia="仿宋" w:cs="仿宋"/>
                <w:sz w:val="24"/>
                <w:szCs w:val="24"/>
                <w:vertAlign w:val="baseline"/>
                <w:lang w:val="en-US" w:eastAsia="zh-CN"/>
              </w:rPr>
            </w:pPr>
          </w:p>
        </w:tc>
        <w:tc>
          <w:tcPr>
            <w:tcW w:w="1561" w:type="dxa"/>
          </w:tcPr>
          <w:p w14:paraId="714D9C9B">
            <w:pPr>
              <w:rPr>
                <w:rFonts w:hint="eastAsia" w:ascii="仿宋" w:hAnsi="仿宋" w:eastAsia="仿宋" w:cs="仿宋"/>
                <w:sz w:val="24"/>
                <w:szCs w:val="24"/>
                <w:vertAlign w:val="baseline"/>
                <w:lang w:val="en-US" w:eastAsia="zh-CN"/>
              </w:rPr>
            </w:pPr>
          </w:p>
        </w:tc>
        <w:tc>
          <w:tcPr>
            <w:tcW w:w="1052" w:type="dxa"/>
          </w:tcPr>
          <w:p w14:paraId="68BCB3DC">
            <w:pPr>
              <w:rPr>
                <w:rFonts w:hint="eastAsia" w:ascii="仿宋" w:hAnsi="仿宋" w:eastAsia="仿宋" w:cs="仿宋"/>
                <w:sz w:val="24"/>
                <w:szCs w:val="24"/>
                <w:vertAlign w:val="baseline"/>
                <w:lang w:val="en-US" w:eastAsia="zh-CN"/>
              </w:rPr>
            </w:pPr>
          </w:p>
        </w:tc>
      </w:tr>
      <w:tr w14:paraId="49B6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4FE6CB38">
            <w:pPr>
              <w:rPr>
                <w:rFonts w:hint="eastAsia" w:ascii="仿宋" w:hAnsi="仿宋" w:eastAsia="仿宋" w:cs="仿宋"/>
                <w:sz w:val="24"/>
                <w:szCs w:val="24"/>
                <w:vertAlign w:val="baseline"/>
                <w:lang w:val="en-US" w:eastAsia="zh-CN"/>
              </w:rPr>
            </w:pPr>
          </w:p>
        </w:tc>
        <w:tc>
          <w:tcPr>
            <w:tcW w:w="1421" w:type="dxa"/>
          </w:tcPr>
          <w:p w14:paraId="65CEDF83">
            <w:pPr>
              <w:rPr>
                <w:rFonts w:hint="eastAsia" w:ascii="仿宋" w:hAnsi="仿宋" w:eastAsia="仿宋" w:cs="仿宋"/>
                <w:sz w:val="24"/>
                <w:szCs w:val="24"/>
                <w:vertAlign w:val="baseline"/>
                <w:lang w:val="en-US" w:eastAsia="zh-CN"/>
              </w:rPr>
            </w:pPr>
          </w:p>
        </w:tc>
        <w:tc>
          <w:tcPr>
            <w:tcW w:w="1901" w:type="dxa"/>
          </w:tcPr>
          <w:p w14:paraId="25D5CA5A">
            <w:pPr>
              <w:rPr>
                <w:rFonts w:hint="eastAsia" w:ascii="仿宋" w:hAnsi="仿宋" w:eastAsia="仿宋" w:cs="仿宋"/>
                <w:sz w:val="24"/>
                <w:szCs w:val="24"/>
                <w:vertAlign w:val="baseline"/>
                <w:lang w:val="en-US" w:eastAsia="zh-CN"/>
              </w:rPr>
            </w:pPr>
          </w:p>
        </w:tc>
        <w:tc>
          <w:tcPr>
            <w:tcW w:w="1753" w:type="dxa"/>
          </w:tcPr>
          <w:p w14:paraId="2D45EC35">
            <w:pPr>
              <w:rPr>
                <w:rFonts w:hint="eastAsia" w:ascii="仿宋" w:hAnsi="仿宋" w:eastAsia="仿宋" w:cs="仿宋"/>
                <w:sz w:val="24"/>
                <w:szCs w:val="24"/>
                <w:vertAlign w:val="baseline"/>
                <w:lang w:val="en-US" w:eastAsia="zh-CN"/>
              </w:rPr>
            </w:pPr>
          </w:p>
        </w:tc>
        <w:tc>
          <w:tcPr>
            <w:tcW w:w="1561" w:type="dxa"/>
          </w:tcPr>
          <w:p w14:paraId="54AAB15B">
            <w:pPr>
              <w:rPr>
                <w:rFonts w:hint="eastAsia" w:ascii="仿宋" w:hAnsi="仿宋" w:eastAsia="仿宋" w:cs="仿宋"/>
                <w:sz w:val="24"/>
                <w:szCs w:val="24"/>
                <w:vertAlign w:val="baseline"/>
                <w:lang w:val="en-US" w:eastAsia="zh-CN"/>
              </w:rPr>
            </w:pPr>
          </w:p>
        </w:tc>
        <w:tc>
          <w:tcPr>
            <w:tcW w:w="1052" w:type="dxa"/>
          </w:tcPr>
          <w:p w14:paraId="606E994E">
            <w:pPr>
              <w:rPr>
                <w:rFonts w:hint="eastAsia" w:ascii="仿宋" w:hAnsi="仿宋" w:eastAsia="仿宋" w:cs="仿宋"/>
                <w:sz w:val="24"/>
                <w:szCs w:val="24"/>
                <w:vertAlign w:val="baseline"/>
                <w:lang w:val="en-US" w:eastAsia="zh-CN"/>
              </w:rPr>
            </w:pPr>
          </w:p>
        </w:tc>
      </w:tr>
    </w:tbl>
    <w:p w14:paraId="672607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254A30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对合同条款中的所有要求，除本表所列明的所有偏离外，均视作供应商已对之理解和响应。</w:t>
      </w:r>
    </w:p>
    <w:p w14:paraId="04E89E1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lang w:val="en-US" w:eastAsia="zh-CN"/>
        </w:rPr>
      </w:pPr>
      <w:bookmarkStart w:id="83" w:name="_Toc6441"/>
      <w:r>
        <w:rPr>
          <w:rFonts w:hint="eastAsia" w:ascii="仿宋" w:hAnsi="仿宋" w:eastAsia="仿宋" w:cs="仿宋"/>
          <w:sz w:val="24"/>
          <w:szCs w:val="24"/>
          <w:lang w:val="en-US" w:eastAsia="zh-CN"/>
        </w:rPr>
        <w:t>2. “偏离情况”列应据实填写“正偏离”或“负偏离”。</w:t>
      </w:r>
      <w:bookmarkEnd w:id="83"/>
    </w:p>
    <w:p w14:paraId="08F898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4AB239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F5040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供应商名称（加盖公章）： </w:t>
      </w:r>
    </w:p>
    <w:p w14:paraId="37A36D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14:paraId="005A3183">
      <w:pPr>
        <w:pStyle w:val="23"/>
        <w:rPr>
          <w:rFonts w:hint="eastAsia" w:ascii="仿宋" w:hAnsi="仿宋" w:eastAsia="仿宋" w:cs="仿宋"/>
          <w:sz w:val="24"/>
          <w:szCs w:val="24"/>
          <w:lang w:val="en-US" w:eastAsia="zh-CN"/>
        </w:rPr>
      </w:pPr>
    </w:p>
    <w:p w14:paraId="552CF264">
      <w:pPr>
        <w:rPr>
          <w:rFonts w:hint="eastAsia" w:ascii="仿宋" w:hAnsi="仿宋" w:eastAsia="仿宋" w:cs="仿宋"/>
          <w:lang w:val="en-US" w:eastAsia="zh-CN"/>
        </w:rPr>
      </w:pPr>
      <w:r>
        <w:rPr>
          <w:rFonts w:hint="eastAsia" w:ascii="仿宋" w:hAnsi="仿宋" w:eastAsia="仿宋" w:cs="仿宋"/>
          <w:lang w:val="en-US" w:eastAsia="zh-CN"/>
        </w:rPr>
        <w:br w:type="page"/>
      </w:r>
    </w:p>
    <w:p w14:paraId="2108C7BA">
      <w:pPr>
        <w:pStyle w:val="20"/>
        <w:ind w:left="0" w:leftChars="0" w:firstLine="0" w:firstLineChars="0"/>
        <w:outlineLvl w:val="1"/>
        <w:rPr>
          <w:rFonts w:hint="eastAsia" w:ascii="仿宋" w:hAnsi="仿宋" w:eastAsia="仿宋" w:cs="仿宋"/>
          <w:sz w:val="24"/>
          <w:szCs w:val="24"/>
          <w:lang w:val="en-US" w:eastAsia="zh-CN"/>
        </w:rPr>
      </w:pPr>
      <w:bookmarkStart w:id="84" w:name="_Toc7042"/>
      <w:r>
        <w:rPr>
          <w:rFonts w:hint="eastAsia" w:ascii="仿宋" w:hAnsi="仿宋" w:eastAsia="仿宋" w:cs="仿宋"/>
          <w:sz w:val="24"/>
          <w:szCs w:val="24"/>
          <w:lang w:val="en-US" w:eastAsia="zh-CN"/>
        </w:rPr>
        <w:t xml:space="preserve">9  </w:t>
      </w:r>
      <w:bookmarkEnd w:id="84"/>
      <w:r>
        <w:rPr>
          <w:rFonts w:hint="eastAsia" w:ascii="仿宋" w:hAnsi="仿宋" w:eastAsia="仿宋" w:cs="仿宋"/>
          <w:sz w:val="24"/>
          <w:szCs w:val="24"/>
          <w:lang w:val="en-US" w:eastAsia="zh-CN"/>
        </w:rPr>
        <w:t>采购需求偏离表</w:t>
      </w:r>
    </w:p>
    <w:p w14:paraId="1E8BAE3E">
      <w:pPr>
        <w:pStyle w:val="20"/>
        <w:ind w:left="0" w:leftChars="0" w:firstLine="0" w:firstLineChars="0"/>
        <w:rPr>
          <w:rFonts w:hint="eastAsia" w:ascii="仿宋" w:hAnsi="仿宋" w:eastAsia="仿宋" w:cs="仿宋"/>
          <w:sz w:val="24"/>
          <w:szCs w:val="24"/>
          <w:lang w:val="en-US" w:eastAsia="zh-CN"/>
        </w:rPr>
      </w:pPr>
    </w:p>
    <w:p w14:paraId="5B51CFD4">
      <w:pPr>
        <w:pStyle w:val="20"/>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采购需求偏离表</w:t>
      </w:r>
    </w:p>
    <w:p w14:paraId="58C9A8E0">
      <w:pPr>
        <w:pStyle w:val="20"/>
        <w:ind w:left="0" w:leftChars="0" w:firstLine="0" w:firstLineChars="0"/>
        <w:rPr>
          <w:rFonts w:hint="eastAsia" w:ascii="仿宋" w:hAnsi="仿宋" w:eastAsia="仿宋" w:cs="仿宋"/>
          <w:sz w:val="24"/>
          <w:szCs w:val="24"/>
          <w:lang w:val="en-US" w:eastAsia="zh-CN"/>
        </w:rPr>
      </w:pPr>
    </w:p>
    <w:p w14:paraId="3E3965B9">
      <w:pPr>
        <w:pStyle w:val="20"/>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项目编号/包号：                 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3D7C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759E2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2" w:type="dxa"/>
            <w:vAlign w:val="center"/>
          </w:tcPr>
          <w:p w14:paraId="4DA4D9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招标文件条</w:t>
            </w:r>
          </w:p>
          <w:p w14:paraId="043748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目号(页码)</w:t>
            </w:r>
          </w:p>
        </w:tc>
        <w:tc>
          <w:tcPr>
            <w:tcW w:w="1805" w:type="dxa"/>
            <w:vAlign w:val="center"/>
          </w:tcPr>
          <w:p w14:paraId="527A57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672" w:type="dxa"/>
            <w:vAlign w:val="center"/>
          </w:tcPr>
          <w:p w14:paraId="6BF2A8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投标响应内容</w:t>
            </w:r>
          </w:p>
        </w:tc>
        <w:tc>
          <w:tcPr>
            <w:tcW w:w="1421" w:type="dxa"/>
            <w:vAlign w:val="center"/>
          </w:tcPr>
          <w:p w14:paraId="48578F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421" w:type="dxa"/>
            <w:vAlign w:val="center"/>
          </w:tcPr>
          <w:p w14:paraId="6401FD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6D5D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FDD6D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71968D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0EB7A2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851E2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33CDA7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3A507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4F77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ED1E2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01AE70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3FC483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2AF9A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F7F77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49CF4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0503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9896D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31CBEF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253E29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2632D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104F2A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90493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747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D99CD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30FB12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693F41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7A5EB8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A3064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4B91D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589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92B7B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545708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687703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3150D0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6CADF8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036683D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bl>
    <w:p w14:paraId="166900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35AA238C">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供应商应对招标文件第五章采购需求的内容给予逐条响应，以投标产品和服务所能达到的内容予以填写，而不得复制招标的技术要求作为响应内容，有具体参数的应填写具体参数。</w:t>
      </w:r>
    </w:p>
    <w:p w14:paraId="5BC8FFB8">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在本表中未对招标文件第五章采购需求的内容给予逐条响应的视为没有实质上响应招标文件的要求，投标无效。 此表中仅标注“全部满足”、“全部响应”等，无法体现供应商实质性响应或者偏离技术要求的；或无任何文字说明，内容为空白的，其投标无效。</w:t>
      </w:r>
    </w:p>
    <w:p w14:paraId="77B3CB0A">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供应商应按照招标文件第五章采购需求中要求提供投标产品技术支持资料（或证明材料），并在采购需求响应及偏离表中给予文件名称、所处投标文件页码或位置等必要说明。</w:t>
      </w:r>
    </w:p>
    <w:p w14:paraId="5A707AE7">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“偏离情况”列应据实填写“正偏离”、“负偏离”或“无偏离”。</w:t>
      </w:r>
    </w:p>
    <w:p w14:paraId="5D09B9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B0CCF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1223F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供应商名称（加盖公章）： ____________</w:t>
      </w:r>
    </w:p>
    <w:p w14:paraId="3F2CFD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3772B53F">
      <w:pPr>
        <w:rPr>
          <w:rFonts w:hint="eastAsia" w:ascii="仿宋" w:hAnsi="仿宋" w:eastAsia="仿宋" w:cs="仿宋"/>
          <w:lang w:val="en-US" w:eastAsia="zh-CN"/>
        </w:rPr>
      </w:pPr>
      <w:r>
        <w:rPr>
          <w:rFonts w:hint="eastAsia" w:ascii="仿宋" w:hAnsi="仿宋" w:eastAsia="仿宋" w:cs="仿宋"/>
          <w:lang w:val="en-US" w:eastAsia="zh-CN"/>
        </w:rPr>
        <w:br w:type="page"/>
      </w:r>
    </w:p>
    <w:p w14:paraId="1D9786F1">
      <w:pPr>
        <w:pStyle w:val="4"/>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招标文件要求提供或供应商认为应附的其他材料</w:t>
      </w:r>
    </w:p>
    <w:p w14:paraId="1B873B3C">
      <w:pPr>
        <w:pStyle w:val="20"/>
        <w:rPr>
          <w:rFonts w:hint="eastAsia" w:ascii="仿宋" w:hAnsi="仿宋" w:eastAsia="仿宋" w:cs="仿宋"/>
          <w:lang w:val="en-US" w:eastAsia="zh-CN"/>
        </w:rPr>
      </w:pPr>
    </w:p>
    <w:p w14:paraId="5C0B061A">
      <w:pPr>
        <w:rPr>
          <w:rFonts w:hint="eastAsia" w:ascii="仿宋" w:hAnsi="仿宋" w:eastAsia="仿宋" w:cs="仿宋"/>
          <w:lang w:val="en-US" w:eastAsia="zh-CN"/>
        </w:rPr>
      </w:pPr>
      <w:r>
        <w:rPr>
          <w:rFonts w:hint="eastAsia" w:ascii="仿宋" w:hAnsi="仿宋" w:eastAsia="仿宋" w:cs="仿宋"/>
          <w:lang w:val="en-US" w:eastAsia="zh-CN"/>
        </w:rPr>
        <w:br w:type="page"/>
      </w:r>
    </w:p>
    <w:p w14:paraId="5E20D84C">
      <w:pPr>
        <w:keepNext/>
        <w:keepLines/>
        <w:widowControl w:val="0"/>
        <w:spacing w:before="0" w:after="260" w:line="240" w:lineRule="atLeast"/>
        <w:jc w:val="both"/>
        <w:outlineLvl w:val="1"/>
        <w:rPr>
          <w:rFonts w:hint="eastAsia" w:ascii="仿宋" w:hAnsi="仿宋" w:eastAsia="仿宋" w:cs="仿宋"/>
          <w:b w:val="0"/>
          <w:bCs/>
          <w:kern w:val="2"/>
          <w:sz w:val="24"/>
          <w:szCs w:val="32"/>
          <w:lang w:val="en-US" w:eastAsia="zh-CN" w:bidi="ar-SA"/>
        </w:rPr>
      </w:pPr>
      <w:bookmarkStart w:id="85" w:name="_Toc480942355"/>
      <w:bookmarkStart w:id="86" w:name="_Toc216582819"/>
      <w:bookmarkStart w:id="87" w:name="_Toc520356224"/>
      <w:bookmarkStart w:id="88" w:name="_Ref467988543"/>
      <w:bookmarkStart w:id="89" w:name="_Toc20238"/>
      <w:bookmarkStart w:id="90" w:name="_Toc9592"/>
      <w:bookmarkStart w:id="91" w:name="_Toc15963"/>
      <w:bookmarkStart w:id="92" w:name="_Toc4183"/>
      <w:bookmarkStart w:id="93" w:name="_Toc21320"/>
      <w:bookmarkStart w:id="94" w:name="_Toc522"/>
      <w:bookmarkStart w:id="95" w:name="_Toc17143"/>
      <w:bookmarkStart w:id="96" w:name="_Toc507399535"/>
      <w:bookmarkStart w:id="97" w:name="_Toc3420"/>
      <w:bookmarkStart w:id="98" w:name="_Toc8281"/>
      <w:r>
        <w:rPr>
          <w:rFonts w:hint="eastAsia" w:ascii="仿宋" w:hAnsi="仿宋" w:eastAsia="仿宋" w:cs="仿宋"/>
          <w:b/>
          <w:bCs/>
          <w:kern w:val="2"/>
          <w:sz w:val="24"/>
          <w:szCs w:val="32"/>
          <w:lang w:val="en-US" w:eastAsia="zh-CN" w:bidi="ar-SA"/>
        </w:rPr>
        <w:t xml:space="preserve">11   </w:t>
      </w:r>
      <w:bookmarkEnd w:id="85"/>
      <w:bookmarkEnd w:id="86"/>
      <w:bookmarkEnd w:id="87"/>
      <w:bookmarkEnd w:id="88"/>
      <w:bookmarkStart w:id="99" w:name="_Hlt520274065"/>
      <w:bookmarkEnd w:id="99"/>
      <w:bookmarkStart w:id="100" w:name="_Hlt520274911"/>
      <w:bookmarkEnd w:id="100"/>
      <w:bookmarkStart w:id="101" w:name="_Hlt520343392"/>
      <w:bookmarkEnd w:id="101"/>
      <w:bookmarkStart w:id="102" w:name="_Hlt520273711"/>
      <w:bookmarkEnd w:id="102"/>
      <w:bookmarkStart w:id="103" w:name="_Hlt520274393"/>
      <w:bookmarkEnd w:id="103"/>
      <w:bookmarkStart w:id="104" w:name="_Hlt520273973"/>
      <w:bookmarkEnd w:id="104"/>
      <w:bookmarkStart w:id="105" w:name="_Hlt520350918"/>
      <w:bookmarkEnd w:id="105"/>
      <w:bookmarkStart w:id="106" w:name="_Hlt520271212"/>
      <w:bookmarkEnd w:id="106"/>
      <w:bookmarkStart w:id="107" w:name="_Hlt520343000"/>
      <w:bookmarkEnd w:id="107"/>
      <w:bookmarkStart w:id="108" w:name="_Hlt520274407"/>
      <w:bookmarkEnd w:id="108"/>
      <w:bookmarkStart w:id="109" w:name="_Hlt520350957"/>
      <w:bookmarkEnd w:id="109"/>
      <w:bookmarkStart w:id="110" w:name="_Toc216513801"/>
      <w:bookmarkStart w:id="111" w:name="_Toc216582821"/>
      <w:r>
        <w:rPr>
          <w:rFonts w:hint="eastAsia" w:ascii="仿宋" w:hAnsi="仿宋" w:eastAsia="仿宋" w:cs="仿宋"/>
          <w:b/>
          <w:bCs/>
          <w:kern w:val="2"/>
          <w:sz w:val="24"/>
          <w:szCs w:val="32"/>
          <w:lang w:val="en-US" w:eastAsia="zh-CN" w:bidi="ar-SA"/>
        </w:rPr>
        <w:t>中标服务费承诺书</w:t>
      </w:r>
      <w:bookmarkEnd w:id="89"/>
      <w:bookmarkEnd w:id="90"/>
      <w:bookmarkEnd w:id="91"/>
      <w:bookmarkEnd w:id="92"/>
      <w:bookmarkEnd w:id="93"/>
      <w:bookmarkEnd w:id="94"/>
      <w:bookmarkEnd w:id="95"/>
      <w:bookmarkEnd w:id="96"/>
    </w:p>
    <w:p w14:paraId="4459EAA1">
      <w:pPr>
        <w:spacing w:line="240" w:lineRule="atLeast"/>
        <w:ind w:left="1080" w:leftChars="257" w:hanging="540"/>
        <w:rPr>
          <w:rFonts w:hint="eastAsia" w:ascii="仿宋" w:hAnsi="仿宋" w:eastAsia="仿宋" w:cs="仿宋"/>
          <w:b/>
          <w:sz w:val="24"/>
        </w:rPr>
      </w:pPr>
    </w:p>
    <w:p w14:paraId="6A00F38D">
      <w:pPr>
        <w:spacing w:line="240" w:lineRule="atLeast"/>
        <w:ind w:left="1080" w:leftChars="257" w:hanging="540"/>
        <w:jc w:val="center"/>
        <w:rPr>
          <w:rFonts w:hint="eastAsia" w:ascii="仿宋" w:hAnsi="仿宋" w:eastAsia="仿宋" w:cs="仿宋"/>
          <w:b/>
          <w:bCs/>
          <w:sz w:val="24"/>
        </w:rPr>
      </w:pPr>
      <w:r>
        <w:rPr>
          <w:rFonts w:hint="eastAsia" w:ascii="仿宋" w:hAnsi="仿宋" w:eastAsia="仿宋" w:cs="仿宋"/>
          <w:b/>
          <w:bCs/>
          <w:sz w:val="24"/>
        </w:rPr>
        <w:t>中标服务费承诺书</w:t>
      </w:r>
    </w:p>
    <w:p w14:paraId="00EA50D0">
      <w:pPr>
        <w:spacing w:line="440" w:lineRule="exact"/>
        <w:ind w:left="1080" w:hanging="1080"/>
        <w:rPr>
          <w:rFonts w:hint="eastAsia" w:ascii="仿宋" w:hAnsi="仿宋" w:eastAsia="仿宋" w:cs="仿宋"/>
          <w:sz w:val="24"/>
        </w:rPr>
      </w:pPr>
    </w:p>
    <w:p w14:paraId="588A8DCE">
      <w:pPr>
        <w:spacing w:line="440" w:lineRule="exact"/>
        <w:ind w:left="1080" w:hanging="1080"/>
        <w:rPr>
          <w:rFonts w:hint="eastAsia" w:ascii="仿宋" w:hAnsi="仿宋" w:eastAsia="仿宋" w:cs="仿宋"/>
          <w:sz w:val="24"/>
          <w:u w:val="single"/>
          <w:lang w:val="en-US" w:eastAsia="zh-CN"/>
        </w:rPr>
      </w:pPr>
      <w:r>
        <w:rPr>
          <w:rFonts w:hint="eastAsia" w:ascii="仿宋" w:hAnsi="仿宋" w:eastAsia="仿宋" w:cs="仿宋"/>
          <w:sz w:val="24"/>
        </w:rPr>
        <w:t>致：</w:t>
      </w:r>
      <w:r>
        <w:rPr>
          <w:rFonts w:hint="eastAsia" w:ascii="仿宋" w:hAnsi="仿宋" w:eastAsia="仿宋" w:cs="仿宋"/>
          <w:sz w:val="24"/>
          <w:lang w:val="en-US" w:eastAsia="zh-CN"/>
        </w:rPr>
        <w:t>新疆世纪星工程咨询有限公司</w:t>
      </w:r>
    </w:p>
    <w:p w14:paraId="711EDA60">
      <w:pPr>
        <w:spacing w:line="440" w:lineRule="exact"/>
        <w:ind w:left="1080" w:leftChars="257" w:hanging="540"/>
        <w:rPr>
          <w:rFonts w:hint="eastAsia" w:ascii="仿宋" w:hAnsi="仿宋" w:eastAsia="仿宋" w:cs="仿宋"/>
          <w:sz w:val="24"/>
        </w:rPr>
      </w:pPr>
    </w:p>
    <w:p w14:paraId="0A78972C">
      <w:pPr>
        <w:spacing w:line="440" w:lineRule="exac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项目名称、项目编号</w:t>
      </w:r>
      <w:r>
        <w:rPr>
          <w:rFonts w:hint="eastAsia" w:ascii="仿宋" w:hAnsi="仿宋" w:eastAsia="仿宋" w:cs="仿宋"/>
          <w:sz w:val="24"/>
          <w:u w:val="single"/>
          <w:lang w:eastAsia="zh-CN"/>
        </w:rPr>
        <w:t>）</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14:paraId="2943B28F">
      <w:pPr>
        <w:spacing w:line="440" w:lineRule="exact"/>
        <w:ind w:left="1080" w:leftChars="257" w:hanging="540"/>
        <w:rPr>
          <w:rFonts w:hint="eastAsia" w:ascii="仿宋" w:hAnsi="仿宋" w:eastAsia="仿宋" w:cs="仿宋"/>
          <w:sz w:val="24"/>
        </w:rPr>
      </w:pPr>
      <w:r>
        <w:rPr>
          <w:rFonts w:hint="eastAsia" w:ascii="仿宋" w:hAnsi="仿宋" w:eastAsia="仿宋" w:cs="仿宋"/>
          <w:sz w:val="24"/>
        </w:rPr>
        <w:t>特此承诺！</w:t>
      </w:r>
    </w:p>
    <w:p w14:paraId="1732B76D">
      <w:pPr>
        <w:spacing w:line="440" w:lineRule="exact"/>
        <w:ind w:left="1080" w:leftChars="257" w:hanging="540"/>
        <w:rPr>
          <w:rFonts w:hint="eastAsia" w:ascii="仿宋" w:hAnsi="仿宋" w:eastAsia="仿宋" w:cs="仿宋"/>
          <w:sz w:val="24"/>
        </w:rPr>
      </w:pPr>
    </w:p>
    <w:p w14:paraId="52E5871E">
      <w:pPr>
        <w:spacing w:line="440" w:lineRule="exact"/>
        <w:ind w:left="1080" w:leftChars="257" w:hanging="540"/>
        <w:rPr>
          <w:rFonts w:hint="eastAsia" w:ascii="仿宋" w:hAnsi="仿宋" w:eastAsia="仿宋" w:cs="仿宋"/>
          <w:sz w:val="24"/>
        </w:rPr>
      </w:pPr>
    </w:p>
    <w:p w14:paraId="728AAFB2">
      <w:pPr>
        <w:spacing w:line="440" w:lineRule="exact"/>
        <w:ind w:left="1080" w:leftChars="257" w:hanging="540"/>
        <w:rPr>
          <w:rFonts w:hint="eastAsia" w:ascii="仿宋" w:hAnsi="仿宋" w:eastAsia="仿宋" w:cs="仿宋"/>
          <w:sz w:val="24"/>
        </w:rPr>
      </w:pPr>
    </w:p>
    <w:p w14:paraId="7606F058">
      <w:pPr>
        <w:spacing w:line="440" w:lineRule="exact"/>
        <w:ind w:left="1080" w:leftChars="257" w:hanging="540"/>
        <w:rPr>
          <w:rFonts w:hint="eastAsia" w:ascii="仿宋" w:hAnsi="仿宋" w:eastAsia="仿宋" w:cs="仿宋"/>
          <w:sz w:val="24"/>
        </w:rPr>
      </w:pPr>
    </w:p>
    <w:p w14:paraId="50CCCA77">
      <w:pPr>
        <w:spacing w:line="440" w:lineRule="exact"/>
        <w:ind w:left="1080" w:hanging="1080"/>
        <w:rPr>
          <w:rFonts w:hint="eastAsia" w:ascii="仿宋" w:hAnsi="仿宋" w:eastAsia="仿宋" w:cs="仿宋"/>
          <w:sz w:val="24"/>
        </w:rPr>
      </w:pPr>
    </w:p>
    <w:p w14:paraId="33B8B396">
      <w:pPr>
        <w:spacing w:line="440" w:lineRule="exact"/>
        <w:ind w:left="1413" w:leftChars="273" w:hanging="840" w:hangingChars="350"/>
        <w:rPr>
          <w:rFonts w:hint="eastAsia"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（承诺方盖章）</w:t>
      </w:r>
      <w:bookmarkStart w:id="112" w:name="_GoBack"/>
      <w:bookmarkEnd w:id="112"/>
    </w:p>
    <w:p w14:paraId="3A0E43AC">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60AF24B8">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0A05541">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5B0F519E">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14:paraId="6E6EB4E9">
      <w:pPr>
        <w:spacing w:line="440" w:lineRule="exact"/>
        <w:ind w:left="1620" w:leftChars="257" w:hanging="1080"/>
        <w:rPr>
          <w:rFonts w:hint="eastAsia"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110"/>
      <w:bookmarkEnd w:id="111"/>
    </w:p>
    <w:bookmarkEnd w:id="97"/>
    <w:bookmarkEnd w:id="98"/>
    <w:p w14:paraId="04A4F14F">
      <w:pPr>
        <w:rPr>
          <w:rFonts w:hint="eastAsia" w:ascii="仿宋" w:hAnsi="仿宋" w:eastAsia="仿宋" w:cs="仿宋"/>
          <w:b w:val="0"/>
          <w:bCs w:val="0"/>
          <w:color w:val="000000"/>
          <w:kern w:val="0"/>
          <w:sz w:val="24"/>
          <w:szCs w:val="24"/>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A7095C6-F38D-4C0C-8CE8-4C623CC4912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B2597409-BB05-42B8-B02D-334D3691FE8F}"/>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5C6D4C1D-7996-48F5-B66C-36B1F3FAD925}"/>
  </w:font>
  <w:font w:name="新宋体">
    <w:panose1 w:val="02010609030101010101"/>
    <w:charset w:val="86"/>
    <w:family w:val="modern"/>
    <w:pitch w:val="default"/>
    <w:sig w:usb0="00000203" w:usb1="288F0000" w:usb2="00000006" w:usb3="00000000" w:csb0="00040001" w:csb1="00000000"/>
  </w:font>
  <w:font w:name="Microsoft JhengHei UI">
    <w:panose1 w:val="020B0604030504040204"/>
    <w:charset w:val="88"/>
    <w:family w:val="auto"/>
    <w:pitch w:val="default"/>
    <w:sig w:usb0="000002A7" w:usb1="28CF4400" w:usb2="00000016" w:usb3="00000000" w:csb0="00100009" w:csb1="00000000"/>
    <w:embedRegular r:id="rId4" w:fontKey="{73AC60F4-17A1-4D8A-96EA-B3EFC3A9B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12F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F9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4F9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5DF1">
    <w:pPr>
      <w:pStyle w:val="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1F38569B">
    <w:pPr>
      <w:pStyle w:val="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94F26C5"/>
    <w:multiLevelType w:val="singleLevel"/>
    <w:tmpl w:val="894F26C5"/>
    <w:lvl w:ilvl="0" w:tentative="0">
      <w:start w:val="1"/>
      <w:numFmt w:val="decimal"/>
      <w:suff w:val="space"/>
      <w:lvlText w:val="%1."/>
      <w:lvlJc w:val="left"/>
    </w:lvl>
  </w:abstractNum>
  <w:abstractNum w:abstractNumId="2">
    <w:nsid w:val="95372C77"/>
    <w:multiLevelType w:val="singleLevel"/>
    <w:tmpl w:val="95372C77"/>
    <w:lvl w:ilvl="0" w:tentative="0">
      <w:start w:val="1"/>
      <w:numFmt w:val="chineseCounting"/>
      <w:suff w:val="nothing"/>
      <w:lvlText w:val="%1、"/>
      <w:lvlJc w:val="left"/>
      <w:rPr>
        <w:rFonts w:hint="eastAsia"/>
      </w:rPr>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0000001"/>
    <w:multiLevelType w:val="singleLevel"/>
    <w:tmpl w:val="00000001"/>
    <w:lvl w:ilvl="0" w:tentative="0">
      <w:start w:val="1"/>
      <w:numFmt w:val="chineseCounting"/>
      <w:suff w:val="nothing"/>
      <w:lvlText w:val="%1、"/>
      <w:lvlJc w:val="left"/>
      <w:rPr>
        <w:rFonts w:hint="eastAsia"/>
      </w:rPr>
    </w:lvl>
  </w:abstractNum>
  <w:abstractNum w:abstractNumId="5">
    <w:nsid w:val="05FE2DA7"/>
    <w:multiLevelType w:val="singleLevel"/>
    <w:tmpl w:val="05FE2DA7"/>
    <w:lvl w:ilvl="0" w:tentative="0">
      <w:start w:val="1"/>
      <w:numFmt w:val="chineseCounting"/>
      <w:suff w:val="space"/>
      <w:lvlText w:val="第%1章"/>
      <w:lvlJc w:val="left"/>
      <w:rPr>
        <w:rFonts w:hint="eastAsia"/>
      </w:rPr>
    </w:lvl>
  </w:abstractNum>
  <w:abstractNum w:abstractNumId="6">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9E5A242"/>
    <w:multiLevelType w:val="singleLevel"/>
    <w:tmpl w:val="09E5A242"/>
    <w:lvl w:ilvl="0" w:tentative="0">
      <w:start w:val="2"/>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3">
    <w:nsid w:val="78F60E4F"/>
    <w:multiLevelType w:val="singleLevel"/>
    <w:tmpl w:val="78F60E4F"/>
    <w:lvl w:ilvl="0" w:tentative="0">
      <w:start w:val="1"/>
      <w:numFmt w:val="chineseCounting"/>
      <w:suff w:val="nothing"/>
      <w:lvlText w:val="%1、"/>
      <w:lvlJc w:val="left"/>
      <w:rPr>
        <w:rFonts w:hint="eastAsia"/>
      </w:rPr>
    </w:lvl>
  </w:abstractNum>
  <w:num w:numId="1">
    <w:abstractNumId w:val="10"/>
  </w:num>
  <w:num w:numId="2">
    <w:abstractNumId w:val="5"/>
  </w:num>
  <w:num w:numId="3">
    <w:abstractNumId w:val="13"/>
  </w:num>
  <w:num w:numId="4">
    <w:abstractNumId w:val="12"/>
  </w:num>
  <w:num w:numId="5">
    <w:abstractNumId w:val="6"/>
  </w:num>
  <w:num w:numId="6">
    <w:abstractNumId w:val="3"/>
  </w:num>
  <w:num w:numId="7">
    <w:abstractNumId w:val="9"/>
  </w:num>
  <w:num w:numId="8">
    <w:abstractNumId w:val="0"/>
  </w:num>
  <w:num w:numId="9">
    <w:abstractNumId w:val="7"/>
  </w:num>
  <w:num w:numId="10">
    <w:abstractNumId w:val="4"/>
  </w:num>
  <w:num w:numId="11">
    <w:abstractNumId w:val="2"/>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162517"/>
    <w:rsid w:val="002B4F43"/>
    <w:rsid w:val="00633977"/>
    <w:rsid w:val="00773916"/>
    <w:rsid w:val="0098000A"/>
    <w:rsid w:val="00AA6BF9"/>
    <w:rsid w:val="00EF7950"/>
    <w:rsid w:val="01671CF5"/>
    <w:rsid w:val="01B12E58"/>
    <w:rsid w:val="01B327A1"/>
    <w:rsid w:val="01BF5174"/>
    <w:rsid w:val="01D86637"/>
    <w:rsid w:val="02D36DFE"/>
    <w:rsid w:val="02D8427D"/>
    <w:rsid w:val="02E01C47"/>
    <w:rsid w:val="02EE5303"/>
    <w:rsid w:val="02FA1DC0"/>
    <w:rsid w:val="031A3DF1"/>
    <w:rsid w:val="0335752F"/>
    <w:rsid w:val="03695945"/>
    <w:rsid w:val="03771E7F"/>
    <w:rsid w:val="03836A76"/>
    <w:rsid w:val="038720C2"/>
    <w:rsid w:val="03B65646"/>
    <w:rsid w:val="03F90AE6"/>
    <w:rsid w:val="040E43DE"/>
    <w:rsid w:val="04497378"/>
    <w:rsid w:val="04A22F2C"/>
    <w:rsid w:val="04BC3E3E"/>
    <w:rsid w:val="04C123B2"/>
    <w:rsid w:val="04D836CC"/>
    <w:rsid w:val="04DF1A8A"/>
    <w:rsid w:val="052E656D"/>
    <w:rsid w:val="055F4854"/>
    <w:rsid w:val="0571302A"/>
    <w:rsid w:val="05775429"/>
    <w:rsid w:val="05816FE5"/>
    <w:rsid w:val="058B5394"/>
    <w:rsid w:val="05920721"/>
    <w:rsid w:val="05C66815"/>
    <w:rsid w:val="05CC108B"/>
    <w:rsid w:val="06314757"/>
    <w:rsid w:val="06454BBC"/>
    <w:rsid w:val="065643AE"/>
    <w:rsid w:val="068C3E93"/>
    <w:rsid w:val="06A64F55"/>
    <w:rsid w:val="06B22DB6"/>
    <w:rsid w:val="071874D5"/>
    <w:rsid w:val="075C1468"/>
    <w:rsid w:val="076068EE"/>
    <w:rsid w:val="07A74594"/>
    <w:rsid w:val="07AF3996"/>
    <w:rsid w:val="083500E3"/>
    <w:rsid w:val="08486D88"/>
    <w:rsid w:val="0858402D"/>
    <w:rsid w:val="086332A4"/>
    <w:rsid w:val="08634C5C"/>
    <w:rsid w:val="08AE43B8"/>
    <w:rsid w:val="08B374B6"/>
    <w:rsid w:val="08C547EB"/>
    <w:rsid w:val="08EB3467"/>
    <w:rsid w:val="08FE75D7"/>
    <w:rsid w:val="09322AD0"/>
    <w:rsid w:val="096174F4"/>
    <w:rsid w:val="09842F67"/>
    <w:rsid w:val="09915D53"/>
    <w:rsid w:val="09B71177"/>
    <w:rsid w:val="09EF36DF"/>
    <w:rsid w:val="09FE6BD3"/>
    <w:rsid w:val="0A456833"/>
    <w:rsid w:val="0A7D5FCD"/>
    <w:rsid w:val="0A9C14D3"/>
    <w:rsid w:val="0AE250C2"/>
    <w:rsid w:val="0B0A0C93"/>
    <w:rsid w:val="0B3A5C6C"/>
    <w:rsid w:val="0B421CFA"/>
    <w:rsid w:val="0B4B62A3"/>
    <w:rsid w:val="0BA54947"/>
    <w:rsid w:val="0C7B5426"/>
    <w:rsid w:val="0CB97065"/>
    <w:rsid w:val="0CDA7707"/>
    <w:rsid w:val="0D166265"/>
    <w:rsid w:val="0D2F0B75"/>
    <w:rsid w:val="0D3861DB"/>
    <w:rsid w:val="0D5D1B80"/>
    <w:rsid w:val="0D774F56"/>
    <w:rsid w:val="0D906017"/>
    <w:rsid w:val="0DC21F49"/>
    <w:rsid w:val="0E034A3B"/>
    <w:rsid w:val="0E095D84"/>
    <w:rsid w:val="0E3D7B44"/>
    <w:rsid w:val="0E5434E9"/>
    <w:rsid w:val="0E5D2BF2"/>
    <w:rsid w:val="0E774652"/>
    <w:rsid w:val="0E9C13E8"/>
    <w:rsid w:val="0EB65F51"/>
    <w:rsid w:val="0F003F13"/>
    <w:rsid w:val="0F33766C"/>
    <w:rsid w:val="0F423341"/>
    <w:rsid w:val="0F465E4A"/>
    <w:rsid w:val="0F6E649A"/>
    <w:rsid w:val="0F7A0D2D"/>
    <w:rsid w:val="0F7D081D"/>
    <w:rsid w:val="0F7F4595"/>
    <w:rsid w:val="0F856DAE"/>
    <w:rsid w:val="0FA7589A"/>
    <w:rsid w:val="0FAC4A5B"/>
    <w:rsid w:val="0FCE11FD"/>
    <w:rsid w:val="1058467F"/>
    <w:rsid w:val="108571AB"/>
    <w:rsid w:val="10B959E3"/>
    <w:rsid w:val="10DE78B7"/>
    <w:rsid w:val="10EC6CF5"/>
    <w:rsid w:val="11385C86"/>
    <w:rsid w:val="11DD59CF"/>
    <w:rsid w:val="11EC42FA"/>
    <w:rsid w:val="11ED63EA"/>
    <w:rsid w:val="121C16F2"/>
    <w:rsid w:val="12301B77"/>
    <w:rsid w:val="12371157"/>
    <w:rsid w:val="12672E66"/>
    <w:rsid w:val="12753A67"/>
    <w:rsid w:val="12767ED2"/>
    <w:rsid w:val="12986F2D"/>
    <w:rsid w:val="12A21A6D"/>
    <w:rsid w:val="12BC340B"/>
    <w:rsid w:val="12DD1CFF"/>
    <w:rsid w:val="13174AE5"/>
    <w:rsid w:val="13D5630C"/>
    <w:rsid w:val="147C72F5"/>
    <w:rsid w:val="148A7C64"/>
    <w:rsid w:val="14991C55"/>
    <w:rsid w:val="14B11D8D"/>
    <w:rsid w:val="14C8078D"/>
    <w:rsid w:val="15077CBF"/>
    <w:rsid w:val="1524323C"/>
    <w:rsid w:val="15673B02"/>
    <w:rsid w:val="15C61C55"/>
    <w:rsid w:val="15E348F4"/>
    <w:rsid w:val="15E34F8B"/>
    <w:rsid w:val="15E96C0C"/>
    <w:rsid w:val="15EE2D59"/>
    <w:rsid w:val="160A26DF"/>
    <w:rsid w:val="16192669"/>
    <w:rsid w:val="163D0635"/>
    <w:rsid w:val="16651E05"/>
    <w:rsid w:val="16CF4542"/>
    <w:rsid w:val="17093D38"/>
    <w:rsid w:val="17D336D0"/>
    <w:rsid w:val="180E3144"/>
    <w:rsid w:val="182865F3"/>
    <w:rsid w:val="182F1A7A"/>
    <w:rsid w:val="1833416F"/>
    <w:rsid w:val="1890336F"/>
    <w:rsid w:val="18E35B95"/>
    <w:rsid w:val="197C38F4"/>
    <w:rsid w:val="1A486F3C"/>
    <w:rsid w:val="1A6C1BBA"/>
    <w:rsid w:val="1AA05FE7"/>
    <w:rsid w:val="1AA9260A"/>
    <w:rsid w:val="1AB53523"/>
    <w:rsid w:val="1AC00AF1"/>
    <w:rsid w:val="1AD67034"/>
    <w:rsid w:val="1B0071E4"/>
    <w:rsid w:val="1B011FED"/>
    <w:rsid w:val="1B15245C"/>
    <w:rsid w:val="1B417B88"/>
    <w:rsid w:val="1B855497"/>
    <w:rsid w:val="1BA15D3E"/>
    <w:rsid w:val="1BF60959"/>
    <w:rsid w:val="1CD02907"/>
    <w:rsid w:val="1D005DD5"/>
    <w:rsid w:val="1D1D719C"/>
    <w:rsid w:val="1D331864"/>
    <w:rsid w:val="1D8B7ED2"/>
    <w:rsid w:val="1DE91501"/>
    <w:rsid w:val="1DF455AC"/>
    <w:rsid w:val="1E4C7D38"/>
    <w:rsid w:val="1E5933F2"/>
    <w:rsid w:val="1E641526"/>
    <w:rsid w:val="1E8733D6"/>
    <w:rsid w:val="1E88173F"/>
    <w:rsid w:val="1E916BC5"/>
    <w:rsid w:val="1EAF02C7"/>
    <w:rsid w:val="1FC81641"/>
    <w:rsid w:val="1FE30229"/>
    <w:rsid w:val="1FFC34F8"/>
    <w:rsid w:val="202B341F"/>
    <w:rsid w:val="20370574"/>
    <w:rsid w:val="207B66B3"/>
    <w:rsid w:val="20F43544"/>
    <w:rsid w:val="213B4F38"/>
    <w:rsid w:val="214E0B03"/>
    <w:rsid w:val="21803D31"/>
    <w:rsid w:val="21B53E47"/>
    <w:rsid w:val="21E34627"/>
    <w:rsid w:val="21F66939"/>
    <w:rsid w:val="21F93D33"/>
    <w:rsid w:val="22104126"/>
    <w:rsid w:val="22140108"/>
    <w:rsid w:val="22C96D6A"/>
    <w:rsid w:val="23246C54"/>
    <w:rsid w:val="2391082F"/>
    <w:rsid w:val="23C95987"/>
    <w:rsid w:val="23D031BA"/>
    <w:rsid w:val="23F76908"/>
    <w:rsid w:val="242B7B56"/>
    <w:rsid w:val="24A2318F"/>
    <w:rsid w:val="24E36E4C"/>
    <w:rsid w:val="253054B8"/>
    <w:rsid w:val="25430834"/>
    <w:rsid w:val="256E67E6"/>
    <w:rsid w:val="25A46AE0"/>
    <w:rsid w:val="25EB0C9E"/>
    <w:rsid w:val="26143832"/>
    <w:rsid w:val="262319BC"/>
    <w:rsid w:val="26A12BEB"/>
    <w:rsid w:val="26B008DD"/>
    <w:rsid w:val="26B446CD"/>
    <w:rsid w:val="26DB2065"/>
    <w:rsid w:val="274C491C"/>
    <w:rsid w:val="27EE1D9D"/>
    <w:rsid w:val="27F16B99"/>
    <w:rsid w:val="28003E99"/>
    <w:rsid w:val="280653FC"/>
    <w:rsid w:val="28101DC8"/>
    <w:rsid w:val="28292E99"/>
    <w:rsid w:val="28560F12"/>
    <w:rsid w:val="285F1218"/>
    <w:rsid w:val="28BE1833"/>
    <w:rsid w:val="28E75047"/>
    <w:rsid w:val="29001E4B"/>
    <w:rsid w:val="29361D11"/>
    <w:rsid w:val="293715E5"/>
    <w:rsid w:val="29602F09"/>
    <w:rsid w:val="299564DF"/>
    <w:rsid w:val="29CD40F6"/>
    <w:rsid w:val="2A331DAD"/>
    <w:rsid w:val="2A541D4F"/>
    <w:rsid w:val="2A9C76A8"/>
    <w:rsid w:val="2AED7A0A"/>
    <w:rsid w:val="2AF07C9E"/>
    <w:rsid w:val="2AF15811"/>
    <w:rsid w:val="2B0A6FB1"/>
    <w:rsid w:val="2B1E1887"/>
    <w:rsid w:val="2B724B56"/>
    <w:rsid w:val="2BE27F2E"/>
    <w:rsid w:val="2BEE01C4"/>
    <w:rsid w:val="2C46226B"/>
    <w:rsid w:val="2C9C62FC"/>
    <w:rsid w:val="2CE0242E"/>
    <w:rsid w:val="2CE07B13"/>
    <w:rsid w:val="2D782F8C"/>
    <w:rsid w:val="2DFD6AEA"/>
    <w:rsid w:val="2E393998"/>
    <w:rsid w:val="2E4072A5"/>
    <w:rsid w:val="2E9E2EA7"/>
    <w:rsid w:val="2EBA6F40"/>
    <w:rsid w:val="2F036928"/>
    <w:rsid w:val="2F221F67"/>
    <w:rsid w:val="2F2E6FE6"/>
    <w:rsid w:val="2F8008D4"/>
    <w:rsid w:val="2F835584"/>
    <w:rsid w:val="2FD309CC"/>
    <w:rsid w:val="2FFD5337"/>
    <w:rsid w:val="30007685"/>
    <w:rsid w:val="301A1E2F"/>
    <w:rsid w:val="30282F3E"/>
    <w:rsid w:val="3064299A"/>
    <w:rsid w:val="30BC6FA0"/>
    <w:rsid w:val="30BF439A"/>
    <w:rsid w:val="313D6184"/>
    <w:rsid w:val="31411253"/>
    <w:rsid w:val="31490E3D"/>
    <w:rsid w:val="31B929CB"/>
    <w:rsid w:val="32393423"/>
    <w:rsid w:val="323A5FF8"/>
    <w:rsid w:val="329B7A40"/>
    <w:rsid w:val="32A64356"/>
    <w:rsid w:val="33380434"/>
    <w:rsid w:val="337C0B48"/>
    <w:rsid w:val="33B01385"/>
    <w:rsid w:val="341A78AC"/>
    <w:rsid w:val="343926B5"/>
    <w:rsid w:val="34974172"/>
    <w:rsid w:val="34AF18DB"/>
    <w:rsid w:val="34D04C9C"/>
    <w:rsid w:val="354B0875"/>
    <w:rsid w:val="355F25B8"/>
    <w:rsid w:val="3568796F"/>
    <w:rsid w:val="35A50625"/>
    <w:rsid w:val="36174A41"/>
    <w:rsid w:val="3671332B"/>
    <w:rsid w:val="36F91BB4"/>
    <w:rsid w:val="371C57FE"/>
    <w:rsid w:val="37214579"/>
    <w:rsid w:val="37227EFA"/>
    <w:rsid w:val="3761620B"/>
    <w:rsid w:val="37B24BAF"/>
    <w:rsid w:val="38975BFC"/>
    <w:rsid w:val="38B67791"/>
    <w:rsid w:val="38C500B3"/>
    <w:rsid w:val="38C613AA"/>
    <w:rsid w:val="38E969EB"/>
    <w:rsid w:val="39317DFF"/>
    <w:rsid w:val="39875C71"/>
    <w:rsid w:val="3A9C399E"/>
    <w:rsid w:val="3AC36277"/>
    <w:rsid w:val="3AE03859"/>
    <w:rsid w:val="3AFA2E2F"/>
    <w:rsid w:val="3B754F4F"/>
    <w:rsid w:val="3BAC1062"/>
    <w:rsid w:val="3C2E6878"/>
    <w:rsid w:val="3C723088"/>
    <w:rsid w:val="3C8F5568"/>
    <w:rsid w:val="3CBE4D47"/>
    <w:rsid w:val="3CE83073"/>
    <w:rsid w:val="3CFB4C5D"/>
    <w:rsid w:val="3D6267D9"/>
    <w:rsid w:val="3D736C38"/>
    <w:rsid w:val="3D794AA7"/>
    <w:rsid w:val="3D871DA0"/>
    <w:rsid w:val="3D902001"/>
    <w:rsid w:val="3DC56D68"/>
    <w:rsid w:val="3E502AD5"/>
    <w:rsid w:val="3E837AA4"/>
    <w:rsid w:val="3E895FE7"/>
    <w:rsid w:val="3EFE31D1"/>
    <w:rsid w:val="3F055811"/>
    <w:rsid w:val="3F7647BE"/>
    <w:rsid w:val="3F942E96"/>
    <w:rsid w:val="3FC90D91"/>
    <w:rsid w:val="40022408"/>
    <w:rsid w:val="409F3063"/>
    <w:rsid w:val="40BA55B2"/>
    <w:rsid w:val="414F52C6"/>
    <w:rsid w:val="41C062B6"/>
    <w:rsid w:val="41E910AE"/>
    <w:rsid w:val="41F87F1F"/>
    <w:rsid w:val="42042F29"/>
    <w:rsid w:val="4206121C"/>
    <w:rsid w:val="423F533B"/>
    <w:rsid w:val="427871AA"/>
    <w:rsid w:val="42AE426E"/>
    <w:rsid w:val="43064193"/>
    <w:rsid w:val="43782C34"/>
    <w:rsid w:val="43B124FB"/>
    <w:rsid w:val="43DA4155"/>
    <w:rsid w:val="440F4B04"/>
    <w:rsid w:val="445D7CFA"/>
    <w:rsid w:val="447137A5"/>
    <w:rsid w:val="44786980"/>
    <w:rsid w:val="4484797D"/>
    <w:rsid w:val="44910D58"/>
    <w:rsid w:val="4497145E"/>
    <w:rsid w:val="44A66E43"/>
    <w:rsid w:val="44B2221E"/>
    <w:rsid w:val="44CF0729"/>
    <w:rsid w:val="44F3065E"/>
    <w:rsid w:val="456F23DB"/>
    <w:rsid w:val="4597548E"/>
    <w:rsid w:val="45B85B30"/>
    <w:rsid w:val="45CF4C28"/>
    <w:rsid w:val="47220315"/>
    <w:rsid w:val="474D2319"/>
    <w:rsid w:val="474E330B"/>
    <w:rsid w:val="475573AE"/>
    <w:rsid w:val="47A3011A"/>
    <w:rsid w:val="47A65E5C"/>
    <w:rsid w:val="47AF1118"/>
    <w:rsid w:val="47AF661B"/>
    <w:rsid w:val="47C85DD2"/>
    <w:rsid w:val="48025E29"/>
    <w:rsid w:val="48181044"/>
    <w:rsid w:val="48273D40"/>
    <w:rsid w:val="49683EF7"/>
    <w:rsid w:val="4977029A"/>
    <w:rsid w:val="49771967"/>
    <w:rsid w:val="49C5081B"/>
    <w:rsid w:val="4A1946C3"/>
    <w:rsid w:val="4A3A771B"/>
    <w:rsid w:val="4A42614C"/>
    <w:rsid w:val="4A6022F2"/>
    <w:rsid w:val="4AAD196E"/>
    <w:rsid w:val="4AC824A4"/>
    <w:rsid w:val="4AE41175"/>
    <w:rsid w:val="4B2E1DB1"/>
    <w:rsid w:val="4BA032C9"/>
    <w:rsid w:val="4BCA624B"/>
    <w:rsid w:val="4BD71EB9"/>
    <w:rsid w:val="4C001FDF"/>
    <w:rsid w:val="4C0E2F1B"/>
    <w:rsid w:val="4C491FB4"/>
    <w:rsid w:val="4C79769B"/>
    <w:rsid w:val="4CBB5F06"/>
    <w:rsid w:val="4CD36114"/>
    <w:rsid w:val="4CEB5ACC"/>
    <w:rsid w:val="4D0E4287"/>
    <w:rsid w:val="4D254F31"/>
    <w:rsid w:val="4D2A6E94"/>
    <w:rsid w:val="4D85116A"/>
    <w:rsid w:val="4DB14FF7"/>
    <w:rsid w:val="4DCD631C"/>
    <w:rsid w:val="4E01203E"/>
    <w:rsid w:val="4E125FF9"/>
    <w:rsid w:val="4E6E1558"/>
    <w:rsid w:val="4EED7B9B"/>
    <w:rsid w:val="4F044E27"/>
    <w:rsid w:val="4F250168"/>
    <w:rsid w:val="501C315F"/>
    <w:rsid w:val="50542403"/>
    <w:rsid w:val="507B64F0"/>
    <w:rsid w:val="50EC48E0"/>
    <w:rsid w:val="5101103A"/>
    <w:rsid w:val="51085492"/>
    <w:rsid w:val="511A58F1"/>
    <w:rsid w:val="51C85CAE"/>
    <w:rsid w:val="51D33CF1"/>
    <w:rsid w:val="52BB5FE7"/>
    <w:rsid w:val="52C40D30"/>
    <w:rsid w:val="52C673B2"/>
    <w:rsid w:val="537F158A"/>
    <w:rsid w:val="53864205"/>
    <w:rsid w:val="54143903"/>
    <w:rsid w:val="544B4013"/>
    <w:rsid w:val="54601280"/>
    <w:rsid w:val="54E35FFA"/>
    <w:rsid w:val="54EF0E42"/>
    <w:rsid w:val="550C692B"/>
    <w:rsid w:val="553A6FC3"/>
    <w:rsid w:val="553C5CE7"/>
    <w:rsid w:val="55A0038E"/>
    <w:rsid w:val="55D65293"/>
    <w:rsid w:val="55DD513F"/>
    <w:rsid w:val="55E517F1"/>
    <w:rsid w:val="55F67FAE"/>
    <w:rsid w:val="566E1EE2"/>
    <w:rsid w:val="566E6661"/>
    <w:rsid w:val="56AD4B11"/>
    <w:rsid w:val="56BF4844"/>
    <w:rsid w:val="56C703BD"/>
    <w:rsid w:val="57024406"/>
    <w:rsid w:val="57807D09"/>
    <w:rsid w:val="57DE5D41"/>
    <w:rsid w:val="57F86260"/>
    <w:rsid w:val="589A2E73"/>
    <w:rsid w:val="58A106A5"/>
    <w:rsid w:val="58D565A1"/>
    <w:rsid w:val="5949481C"/>
    <w:rsid w:val="5999137D"/>
    <w:rsid w:val="599F3CCB"/>
    <w:rsid w:val="59A95F7B"/>
    <w:rsid w:val="5A193128"/>
    <w:rsid w:val="5A5A4FB0"/>
    <w:rsid w:val="5B0311A3"/>
    <w:rsid w:val="5B4D241F"/>
    <w:rsid w:val="5B8862CC"/>
    <w:rsid w:val="5B9B762E"/>
    <w:rsid w:val="5BE32D83"/>
    <w:rsid w:val="5C1A2683"/>
    <w:rsid w:val="5C344533"/>
    <w:rsid w:val="5C5A7F7F"/>
    <w:rsid w:val="5C713B4F"/>
    <w:rsid w:val="5C9304B5"/>
    <w:rsid w:val="5CB6267A"/>
    <w:rsid w:val="5D111B77"/>
    <w:rsid w:val="5D1810C2"/>
    <w:rsid w:val="5D347B12"/>
    <w:rsid w:val="5D5A2308"/>
    <w:rsid w:val="5DDC5CDC"/>
    <w:rsid w:val="5E4A70E9"/>
    <w:rsid w:val="5E6420BF"/>
    <w:rsid w:val="5ED56ACA"/>
    <w:rsid w:val="5EE74938"/>
    <w:rsid w:val="5F182D44"/>
    <w:rsid w:val="5F334021"/>
    <w:rsid w:val="6015338E"/>
    <w:rsid w:val="604B1057"/>
    <w:rsid w:val="60707663"/>
    <w:rsid w:val="608B7265"/>
    <w:rsid w:val="60B2495D"/>
    <w:rsid w:val="60E07891"/>
    <w:rsid w:val="60F92C00"/>
    <w:rsid w:val="61170069"/>
    <w:rsid w:val="61AE115F"/>
    <w:rsid w:val="61B23AFD"/>
    <w:rsid w:val="61C40C64"/>
    <w:rsid w:val="61F62764"/>
    <w:rsid w:val="61FA05EF"/>
    <w:rsid w:val="62347F47"/>
    <w:rsid w:val="62637767"/>
    <w:rsid w:val="627C4C03"/>
    <w:rsid w:val="62B053C5"/>
    <w:rsid w:val="62C34E5F"/>
    <w:rsid w:val="62CC4571"/>
    <w:rsid w:val="62F31AFE"/>
    <w:rsid w:val="63293771"/>
    <w:rsid w:val="635B76A3"/>
    <w:rsid w:val="63C33BC6"/>
    <w:rsid w:val="63C96D02"/>
    <w:rsid w:val="641F5EA8"/>
    <w:rsid w:val="64320204"/>
    <w:rsid w:val="646B754D"/>
    <w:rsid w:val="64CD45D0"/>
    <w:rsid w:val="6505099A"/>
    <w:rsid w:val="65085608"/>
    <w:rsid w:val="65170E82"/>
    <w:rsid w:val="65423A05"/>
    <w:rsid w:val="65536958"/>
    <w:rsid w:val="65616EAE"/>
    <w:rsid w:val="65907AD8"/>
    <w:rsid w:val="65A9656A"/>
    <w:rsid w:val="66C41DBD"/>
    <w:rsid w:val="66D141F0"/>
    <w:rsid w:val="671E1113"/>
    <w:rsid w:val="672E75A8"/>
    <w:rsid w:val="67902011"/>
    <w:rsid w:val="67987117"/>
    <w:rsid w:val="67B65075"/>
    <w:rsid w:val="67BB4BB4"/>
    <w:rsid w:val="67D53EC8"/>
    <w:rsid w:val="67ED07E2"/>
    <w:rsid w:val="67EE0AE5"/>
    <w:rsid w:val="682C0CE1"/>
    <w:rsid w:val="68832A45"/>
    <w:rsid w:val="68DE4F7B"/>
    <w:rsid w:val="68EC771B"/>
    <w:rsid w:val="694035C3"/>
    <w:rsid w:val="695947C4"/>
    <w:rsid w:val="6980732B"/>
    <w:rsid w:val="69E718CB"/>
    <w:rsid w:val="69FF522C"/>
    <w:rsid w:val="6A07121D"/>
    <w:rsid w:val="6AA819B9"/>
    <w:rsid w:val="6AA87672"/>
    <w:rsid w:val="6AD761A9"/>
    <w:rsid w:val="6B7E03D2"/>
    <w:rsid w:val="6C08382D"/>
    <w:rsid w:val="6C163F72"/>
    <w:rsid w:val="6CB26586"/>
    <w:rsid w:val="6CFA1CDB"/>
    <w:rsid w:val="6D125276"/>
    <w:rsid w:val="6DC9306F"/>
    <w:rsid w:val="6DD30EA9"/>
    <w:rsid w:val="6E1E5238"/>
    <w:rsid w:val="6F2F0361"/>
    <w:rsid w:val="6F35524C"/>
    <w:rsid w:val="6FC54073"/>
    <w:rsid w:val="704363D0"/>
    <w:rsid w:val="705E150A"/>
    <w:rsid w:val="7064403B"/>
    <w:rsid w:val="70C76ADA"/>
    <w:rsid w:val="70F76C5D"/>
    <w:rsid w:val="7115799A"/>
    <w:rsid w:val="71445C1A"/>
    <w:rsid w:val="71527F65"/>
    <w:rsid w:val="71642F7A"/>
    <w:rsid w:val="71687B5B"/>
    <w:rsid w:val="716A5681"/>
    <w:rsid w:val="71C51DA1"/>
    <w:rsid w:val="71DE7825"/>
    <w:rsid w:val="71FB452B"/>
    <w:rsid w:val="720930EC"/>
    <w:rsid w:val="72120417"/>
    <w:rsid w:val="728118F5"/>
    <w:rsid w:val="73084FC0"/>
    <w:rsid w:val="73343B58"/>
    <w:rsid w:val="74547836"/>
    <w:rsid w:val="745F76F8"/>
    <w:rsid w:val="746B40D6"/>
    <w:rsid w:val="74806F69"/>
    <w:rsid w:val="749F7D37"/>
    <w:rsid w:val="74B86D27"/>
    <w:rsid w:val="74BB2697"/>
    <w:rsid w:val="75205A2D"/>
    <w:rsid w:val="752B5127"/>
    <w:rsid w:val="756B402D"/>
    <w:rsid w:val="75B309BE"/>
    <w:rsid w:val="75E76569"/>
    <w:rsid w:val="75F776FF"/>
    <w:rsid w:val="76286275"/>
    <w:rsid w:val="76607289"/>
    <w:rsid w:val="76634D94"/>
    <w:rsid w:val="766A117F"/>
    <w:rsid w:val="76C45833"/>
    <w:rsid w:val="76EE1957"/>
    <w:rsid w:val="770F7F6D"/>
    <w:rsid w:val="779306E9"/>
    <w:rsid w:val="77E06D61"/>
    <w:rsid w:val="7803238B"/>
    <w:rsid w:val="782B2DC7"/>
    <w:rsid w:val="788B1CC4"/>
    <w:rsid w:val="78AA2807"/>
    <w:rsid w:val="790A14F7"/>
    <w:rsid w:val="79490272"/>
    <w:rsid w:val="79517074"/>
    <w:rsid w:val="795D0EB7"/>
    <w:rsid w:val="79815C5D"/>
    <w:rsid w:val="79924211"/>
    <w:rsid w:val="79A33E26"/>
    <w:rsid w:val="79A951B4"/>
    <w:rsid w:val="7A2D1941"/>
    <w:rsid w:val="7A930C7D"/>
    <w:rsid w:val="7AAA4D40"/>
    <w:rsid w:val="7B2014A6"/>
    <w:rsid w:val="7B4F7695"/>
    <w:rsid w:val="7B810197"/>
    <w:rsid w:val="7BAC2C51"/>
    <w:rsid w:val="7BDC717B"/>
    <w:rsid w:val="7BE95CAB"/>
    <w:rsid w:val="7BF2699E"/>
    <w:rsid w:val="7C016BE2"/>
    <w:rsid w:val="7CBE1C46"/>
    <w:rsid w:val="7CC16371"/>
    <w:rsid w:val="7CD04806"/>
    <w:rsid w:val="7D32101D"/>
    <w:rsid w:val="7D3563BC"/>
    <w:rsid w:val="7D971126"/>
    <w:rsid w:val="7DB54128"/>
    <w:rsid w:val="7E665422"/>
    <w:rsid w:val="7E9247D6"/>
    <w:rsid w:val="7EE433E1"/>
    <w:rsid w:val="7F0D3AEF"/>
    <w:rsid w:val="7F0F5AB9"/>
    <w:rsid w:val="7F222F3F"/>
    <w:rsid w:val="7F4D4E68"/>
    <w:rsid w:val="7F4F4108"/>
    <w:rsid w:val="7F80367E"/>
    <w:rsid w:val="7F963AE5"/>
    <w:rsid w:val="7FB01880"/>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9">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10">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11">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1"/>
    <w:basedOn w:val="3"/>
    <w:next w:val="5"/>
    <w:qFormat/>
    <w:uiPriority w:val="99"/>
    <w:pPr>
      <w:ind w:firstLine="420" w:firstLineChars="100"/>
    </w:pPr>
    <w:rPr>
      <w:rFonts w:cs="Calibri"/>
      <w:szCs w:val="21"/>
    </w:rPr>
  </w:style>
  <w:style w:type="paragraph" w:styleId="3">
    <w:name w:val="Body Text"/>
    <w:basedOn w:val="1"/>
    <w:next w:val="4"/>
    <w:autoRedefine/>
    <w:qFormat/>
    <w:uiPriority w:val="1"/>
    <w:pPr>
      <w:widowControl w:val="0"/>
      <w:jc w:val="both"/>
    </w:pPr>
    <w:rPr>
      <w:rFonts w:ascii="楷体" w:hAnsi="楷体" w:eastAsia="楷体" w:cs="楷体"/>
      <w:kern w:val="2"/>
      <w:sz w:val="24"/>
      <w:szCs w:val="24"/>
      <w:lang w:val="zh-CN" w:eastAsia="zh-CN" w:bidi="zh-CN"/>
    </w:rPr>
  </w:style>
  <w:style w:type="paragraph" w:styleId="4">
    <w:name w:val="Body Text First Indent"/>
    <w:basedOn w:val="3"/>
    <w:next w:val="3"/>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5">
    <w:name w:val="header"/>
    <w:basedOn w:val="1"/>
    <w:next w:val="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next w:val="1"/>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2">
    <w:name w:val="Normal Indent"/>
    <w:next w:val="13"/>
    <w:autoRedefine/>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13">
    <w:name w:val="toa heading"/>
    <w:basedOn w:val="1"/>
    <w:next w:val="1"/>
    <w:autoRedefine/>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14">
    <w:name w:val="annotation text"/>
    <w:basedOn w:val="1"/>
    <w:autoRedefine/>
    <w:qFormat/>
    <w:uiPriority w:val="0"/>
    <w:pPr>
      <w:jc w:val="left"/>
    </w:pPr>
  </w:style>
  <w:style w:type="paragraph" w:styleId="15">
    <w:name w:val="Body Text Indent"/>
    <w:basedOn w:val="1"/>
    <w:next w:val="16"/>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8">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9">
    <w:name w:val="toc 1"/>
    <w:basedOn w:val="1"/>
    <w:next w:val="1"/>
    <w:autoRedefine/>
    <w:qFormat/>
    <w:uiPriority w:val="0"/>
  </w:style>
  <w:style w:type="paragraph" w:styleId="20">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2">
    <w:name w:val="Title"/>
    <w:next w:val="1"/>
    <w:qFormat/>
    <w:uiPriority w:val="98"/>
    <w:pPr>
      <w:widowControl w:val="0"/>
      <w:autoSpaceDE w:val="0"/>
      <w:autoSpaceDN w:val="0"/>
      <w:spacing w:before="240" w:after="60"/>
      <w:jc w:val="center"/>
      <w:outlineLvl w:val="0"/>
    </w:pPr>
    <w:rPr>
      <w:rFonts w:ascii="等线 Light" w:hAnsi="等线 Light" w:eastAsia="宋体" w:cs="宋体"/>
      <w:b/>
      <w:bCs/>
      <w:sz w:val="32"/>
      <w:szCs w:val="32"/>
      <w:lang w:val="zh-CN" w:eastAsia="zh-CN" w:bidi="zh-CN"/>
    </w:rPr>
  </w:style>
  <w:style w:type="paragraph" w:styleId="23">
    <w:name w:val="Body Text First Indent 2"/>
    <w:basedOn w:val="15"/>
    <w:next w:val="4"/>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qFormat/>
    <w:uiPriority w:val="0"/>
    <w:rPr>
      <w:color w:val="0000FF"/>
      <w:u w:val="single"/>
    </w:rPr>
  </w:style>
  <w:style w:type="paragraph" w:customStyle="1" w:styleId="29">
    <w:name w:val="正文缩进1"/>
    <w:basedOn w:val="30"/>
    <w:next w:val="15"/>
    <w:qFormat/>
    <w:uiPriority w:val="0"/>
    <w:pPr>
      <w:autoSpaceDE w:val="0"/>
      <w:autoSpaceDN w:val="0"/>
      <w:adjustRightInd w:val="0"/>
      <w:ind w:firstLine="420"/>
      <w:jc w:val="left"/>
    </w:pPr>
    <w:rPr>
      <w:rFonts w:ascii="宋体" w:hAnsi="宋体" w:eastAsia="宋体"/>
      <w:kern w:val="0"/>
      <w:sz w:val="24"/>
      <w:szCs w:val="20"/>
    </w:rPr>
  </w:style>
  <w:style w:type="paragraph" w:customStyle="1" w:styleId="30">
    <w:name w:val="正文2"/>
    <w:next w:val="1"/>
    <w:qFormat/>
    <w:uiPriority w:val="0"/>
    <w:rPr>
      <w:rFonts w:ascii="Times New Roman" w:hAnsi="Times New Roman" w:eastAsia="Times New Roman" w:cs="Times New Roman"/>
      <w:sz w:val="24"/>
      <w:szCs w:val="24"/>
      <w:lang w:val="en-US" w:eastAsia="zh-CN" w:bidi="ar-SA"/>
    </w:rPr>
  </w:style>
  <w:style w:type="paragraph" w:customStyle="1" w:styleId="31">
    <w:name w:val="表格文字2"/>
    <w:basedOn w:val="32"/>
    <w:autoRedefine/>
    <w:qFormat/>
    <w:uiPriority w:val="99"/>
    <w:pPr>
      <w:spacing w:before="25" w:after="25"/>
      <w:jc w:val="left"/>
    </w:pPr>
    <w:rPr>
      <w:bCs/>
      <w:spacing w:val="10"/>
      <w:kern w:val="0"/>
    </w:rPr>
  </w:style>
  <w:style w:type="paragraph" w:customStyle="1" w:styleId="3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 w:type="paragraph" w:customStyle="1" w:styleId="36">
    <w:name w:val="Heading #1|1"/>
    <w:basedOn w:val="1"/>
    <w:autoRedefine/>
    <w:qFormat/>
    <w:uiPriority w:val="0"/>
    <w:pPr>
      <w:spacing w:before="100"/>
      <w:jc w:val="center"/>
      <w:outlineLvl w:val="0"/>
    </w:pPr>
    <w:rPr>
      <w:rFonts w:ascii="宋体" w:hAnsi="宋体" w:eastAsia="宋体" w:cs="宋体"/>
      <w:sz w:val="36"/>
      <w:szCs w:val="36"/>
      <w:lang w:val="zh-TW" w:eastAsia="zh-TW" w:bidi="zh-TW"/>
    </w:rPr>
  </w:style>
  <w:style w:type="paragraph" w:customStyle="1" w:styleId="37">
    <w:name w:val="Body text|3"/>
    <w:basedOn w:val="1"/>
    <w:autoRedefine/>
    <w:qFormat/>
    <w:uiPriority w:val="0"/>
    <w:pPr>
      <w:jc w:val="center"/>
    </w:pPr>
    <w:rPr>
      <w:sz w:val="36"/>
      <w:szCs w:val="36"/>
      <w:lang w:val="zh-TW" w:eastAsia="zh-TW" w:bidi="zh-TW"/>
    </w:rPr>
  </w:style>
  <w:style w:type="character" w:customStyle="1" w:styleId="38">
    <w:name w:val="font71"/>
    <w:basedOn w:val="26"/>
    <w:autoRedefine/>
    <w:qFormat/>
    <w:uiPriority w:val="0"/>
    <w:rPr>
      <w:rFonts w:ascii="方正仿宋_GBK" w:hAnsi="方正仿宋_GBK" w:eastAsia="方正仿宋_GBK" w:cs="方正仿宋_GBK"/>
      <w:color w:val="000000"/>
      <w:sz w:val="20"/>
      <w:szCs w:val="20"/>
      <w:u w:val="none"/>
    </w:rPr>
  </w:style>
  <w:style w:type="character" w:customStyle="1" w:styleId="39">
    <w:name w:val="font11"/>
    <w:basedOn w:val="26"/>
    <w:autoRedefine/>
    <w:qFormat/>
    <w:uiPriority w:val="0"/>
    <w:rPr>
      <w:rFonts w:hint="default" w:ascii="Times New Roman" w:hAnsi="Times New Roman" w:cs="Times New Roman"/>
      <w:color w:val="000000"/>
      <w:sz w:val="20"/>
      <w:szCs w:val="20"/>
      <w:u w:val="none"/>
    </w:rPr>
  </w:style>
  <w:style w:type="character" w:customStyle="1" w:styleId="40">
    <w:name w:val="font5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41">
    <w:name w:val="font21"/>
    <w:basedOn w:val="26"/>
    <w:autoRedefine/>
    <w:qFormat/>
    <w:uiPriority w:val="0"/>
    <w:rPr>
      <w:rFonts w:hint="default" w:ascii="Times New Roman" w:hAnsi="Times New Roman" w:cs="Times New Roman"/>
      <w:color w:val="000000"/>
      <w:sz w:val="20"/>
      <w:szCs w:val="20"/>
      <w:u w:val="none"/>
    </w:rPr>
  </w:style>
  <w:style w:type="character" w:customStyle="1" w:styleId="42">
    <w:name w:val="font8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43">
    <w:name w:val="font31"/>
    <w:basedOn w:val="26"/>
    <w:autoRedefine/>
    <w:qFormat/>
    <w:uiPriority w:val="0"/>
    <w:rPr>
      <w:rFonts w:hint="default" w:ascii="Times New Roman" w:hAnsi="Times New Roman" w:cs="Times New Roman"/>
      <w:color w:val="000000"/>
      <w:sz w:val="20"/>
      <w:szCs w:val="20"/>
      <w:u w:val="none"/>
    </w:rPr>
  </w:style>
  <w:style w:type="character" w:customStyle="1" w:styleId="44">
    <w:name w:val="font41"/>
    <w:basedOn w:val="26"/>
    <w:autoRedefine/>
    <w:qFormat/>
    <w:uiPriority w:val="0"/>
    <w:rPr>
      <w:rFonts w:hint="default" w:ascii="Times New Roman" w:hAnsi="Times New Roman" w:cs="Times New Roman"/>
      <w:color w:val="000000"/>
      <w:sz w:val="20"/>
      <w:szCs w:val="20"/>
      <w:u w:val="none"/>
    </w:rPr>
  </w:style>
  <w:style w:type="character" w:customStyle="1" w:styleId="45">
    <w:name w:val="font6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46">
    <w:name w:val="font91"/>
    <w:basedOn w:val="26"/>
    <w:autoRedefine/>
    <w:qFormat/>
    <w:uiPriority w:val="0"/>
    <w:rPr>
      <w:rFonts w:hint="default" w:ascii="Times New Roman" w:hAnsi="Times New Roman" w:cs="Times New Roman"/>
      <w:color w:val="000000"/>
      <w:sz w:val="20"/>
      <w:szCs w:val="20"/>
      <w:u w:val="none"/>
    </w:rPr>
  </w:style>
  <w:style w:type="character" w:customStyle="1" w:styleId="47">
    <w:name w:val="font10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48">
    <w:name w:val="font12"/>
    <w:basedOn w:val="26"/>
    <w:autoRedefine/>
    <w:qFormat/>
    <w:uiPriority w:val="0"/>
    <w:rPr>
      <w:rFonts w:hint="default" w:ascii="Times New Roman" w:hAnsi="Times New Roman" w:cs="Times New Roman"/>
      <w:color w:val="000000"/>
      <w:sz w:val="20"/>
      <w:szCs w:val="20"/>
      <w:u w:val="none"/>
    </w:rPr>
  </w:style>
  <w:style w:type="character" w:customStyle="1" w:styleId="49">
    <w:name w:val="font11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50">
    <w:name w:val="font122"/>
    <w:basedOn w:val="26"/>
    <w:autoRedefine/>
    <w:qFormat/>
    <w:uiPriority w:val="0"/>
    <w:rPr>
      <w:rFonts w:hint="default" w:ascii="Times New Roman" w:hAnsi="Times New Roman" w:cs="Times New Roman"/>
      <w:color w:val="000000"/>
      <w:sz w:val="20"/>
      <w:szCs w:val="20"/>
      <w:u w:val="none"/>
    </w:rPr>
  </w:style>
  <w:style w:type="character" w:customStyle="1" w:styleId="51">
    <w:name w:val="font131"/>
    <w:basedOn w:val="26"/>
    <w:autoRedefine/>
    <w:qFormat/>
    <w:uiPriority w:val="0"/>
    <w:rPr>
      <w:rFonts w:hint="default" w:ascii="方正仿宋_GBK" w:hAnsi="方正仿宋_GBK" w:eastAsia="方正仿宋_GBK" w:cs="方正仿宋_GBK"/>
      <w:color w:val="000000"/>
      <w:sz w:val="20"/>
      <w:szCs w:val="20"/>
      <w:u w:val="none"/>
    </w:rPr>
  </w:style>
  <w:style w:type="character" w:customStyle="1" w:styleId="52">
    <w:name w:val="font112"/>
    <w:basedOn w:val="26"/>
    <w:qFormat/>
    <w:uiPriority w:val="0"/>
    <w:rPr>
      <w:rFonts w:ascii="Arial" w:hAnsi="Arial" w:cs="Arial"/>
      <w:color w:val="000000"/>
      <w:sz w:val="18"/>
      <w:szCs w:val="18"/>
      <w:u w:val="none"/>
    </w:rPr>
  </w:style>
  <w:style w:type="character" w:customStyle="1" w:styleId="53">
    <w:name w:val="font121"/>
    <w:basedOn w:val="26"/>
    <w:qFormat/>
    <w:uiPriority w:val="0"/>
    <w:rPr>
      <w:rFonts w:hint="default" w:ascii="Arial" w:hAnsi="Arial" w:cs="Arial"/>
      <w:color w:val="000000"/>
      <w:sz w:val="18"/>
      <w:szCs w:val="18"/>
      <w:u w:val="none"/>
    </w:rPr>
  </w:style>
  <w:style w:type="paragraph" w:customStyle="1" w:styleId="54">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55">
    <w:name w:val="纯文本1"/>
    <w:basedOn w:val="1"/>
    <w:qFormat/>
    <w:uiPriority w:val="0"/>
    <w:rPr>
      <w:rFonts w:ascii="宋体" w:hAnsi="Courier New" w:eastAsia="宋体" w:cs="Courier New"/>
      <w:kern w:val="0"/>
      <w:sz w:val="20"/>
      <w:szCs w:val="21"/>
    </w:rPr>
  </w:style>
  <w:style w:type="paragraph" w:customStyle="1" w:styleId="56">
    <w:name w:val="正文文本_0"/>
    <w:basedOn w:val="1"/>
    <w:qFormat/>
    <w:uiPriority w:val="0"/>
    <w:pPr>
      <w:spacing w:after="120"/>
    </w:pPr>
    <w:rPr>
      <w:rFonts w:ascii="Times New Roman" w:hAnsi="Times New Roman" w:eastAsia="宋体" w:cs="Times New Roman"/>
      <w:kern w:val="0"/>
      <w:sz w:val="20"/>
      <w:szCs w:val="24"/>
      <w:lang w:val="zh-CN"/>
    </w:r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0"/>
      <w:szCs w:val="20"/>
      <w:lang w:val="en-US" w:eastAsia="en-US" w:bidi="ar-SA"/>
    </w:rPr>
  </w:style>
  <w:style w:type="paragraph" w:customStyle="1" w:styleId="59">
    <w:name w:val="样式 首行缩进:  2 字符"/>
    <w:qFormat/>
    <w:uiPriority w:val="99"/>
    <w:pPr>
      <w:widowControl w:val="0"/>
      <w:autoSpaceDE w:val="0"/>
      <w:autoSpaceDN w:val="0"/>
      <w:ind w:firstLine="560"/>
    </w:pPr>
    <w:rPr>
      <w:rFonts w:ascii="宋体" w:hAnsi="宋体" w:eastAsia="宋体" w:cs="宋体"/>
      <w:sz w:val="22"/>
      <w:szCs w:val="22"/>
      <w:lang w:val="zh-CN" w:eastAsia="zh-CN" w:bidi="zh-CN"/>
    </w:rPr>
  </w:style>
  <w:style w:type="paragraph" w:customStyle="1" w:styleId="60">
    <w:name w:val="Default"/>
    <w:next w:val="7"/>
    <w:qFormat/>
    <w:uiPriority w:val="0"/>
    <w:pPr>
      <w:widowControl w:val="0"/>
      <w:autoSpaceDE w:val="0"/>
      <w:autoSpaceDN w:val="0"/>
      <w:adjustRightInd w:val="0"/>
      <w:spacing w:before="240" w:after="60"/>
      <w:jc w:val="center"/>
      <w:outlineLvl w:val="0"/>
    </w:pPr>
    <w:rPr>
      <w:rFonts w:ascii="新宋体" w:hAnsi="Calibri" w:eastAsia="新宋体" w:cs="Times New Roman"/>
      <w:b/>
      <w:bCs/>
      <w:color w:val="000000"/>
      <w:sz w:val="24"/>
      <w:szCs w:val="24"/>
      <w:lang w:val="en-US" w:eastAsia="zh-CN" w:bidi="ar-SA"/>
    </w:rPr>
  </w:style>
  <w:style w:type="paragraph" w:styleId="61">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1801</Words>
  <Characters>2057</Characters>
  <Lines>0</Lines>
  <Paragraphs>0</Paragraphs>
  <TotalTime>0</TotalTime>
  <ScaleCrop>false</ScaleCrop>
  <LinksUpToDate>false</LinksUpToDate>
  <CharactersWithSpaces>2181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zhjb</cp:lastModifiedBy>
  <cp:lastPrinted>2024-12-06T12:20:00Z</cp:lastPrinted>
  <dcterms:modified xsi:type="dcterms:W3CDTF">2025-06-30T05:39:10Z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A018BF86E8AE4F99914639A63E439D1C_13</vt:lpwstr>
  </property>
  <property fmtid="{D5CDD505-2E9C-101B-9397-08002B2CF9AE}" pid="4" name="KSOTemplateDocerSaveRecord">
    <vt:lpwstr>eyJoZGlkIjoiYzM5ZGJhZmVhOTRmMGRkNzNlM2ZkZmM5NzE0MjQ4NGUiLCJ1c2VySWQiOiIyMTU2NzE5MDMifQ==</vt:lpwstr>
  </property>
</Properties>
</file>