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91873">
      <w:pPr>
        <w:rPr>
          <w:rFonts w:hint="eastAsia" w:ascii="仿宋" w:hAnsi="仿宋" w:eastAsia="仿宋" w:cs="仿宋"/>
          <w:highlight w:val="none"/>
        </w:rPr>
      </w:pPr>
    </w:p>
    <w:p w14:paraId="00A039AD">
      <w:pPr>
        <w:rPr>
          <w:rFonts w:hint="eastAsia" w:ascii="仿宋" w:hAnsi="仿宋" w:eastAsia="仿宋" w:cs="仿宋"/>
          <w:highlight w:val="none"/>
        </w:rPr>
      </w:pPr>
    </w:p>
    <w:p w14:paraId="1A1DF431">
      <w:pPr>
        <w:tabs>
          <w:tab w:val="left" w:pos="5196"/>
        </w:tabs>
        <w:jc w:val="left"/>
        <w:rPr>
          <w:rFonts w:hint="eastAsia" w:ascii="仿宋" w:hAnsi="仿宋" w:eastAsia="仿宋" w:cs="仿宋"/>
          <w:sz w:val="36"/>
          <w:szCs w:val="36"/>
          <w:highlight w:val="none"/>
          <w:lang w:eastAsia="zh-CN"/>
        </w:rPr>
      </w:pPr>
      <w:r>
        <w:rPr>
          <w:rFonts w:hint="eastAsia" w:ascii="仿宋" w:hAnsi="仿宋" w:eastAsia="仿宋" w:cs="仿宋"/>
          <w:sz w:val="21"/>
          <w:highlight w:val="none"/>
        </w:rPr>
        <mc:AlternateContent>
          <mc:Choice Requires="wps">
            <w:drawing>
              <wp:anchor distT="0" distB="0" distL="114300" distR="114300" simplePos="0" relativeHeight="251661312" behindDoc="0" locked="0" layoutInCell="1" allowOverlap="1">
                <wp:simplePos x="0" y="0"/>
                <wp:positionH relativeFrom="column">
                  <wp:posOffset>-686435</wp:posOffset>
                </wp:positionH>
                <wp:positionV relativeFrom="paragraph">
                  <wp:posOffset>243840</wp:posOffset>
                </wp:positionV>
                <wp:extent cx="643763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43763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1FB29">
                            <w:pPr>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44"/>
                                <w:szCs w:val="44"/>
                                <w:lang w:val="en-US" w:eastAsia="zh-CN"/>
                              </w:rPr>
                              <w:t>2019年天山区老城区(棚户区)房屋功能完善项目竣工决算编制</w:t>
                            </w:r>
                          </w:p>
                          <w:p w14:paraId="79DBCAE7">
                            <w:pPr>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（项目编号：SJX-2025-436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5pt;margin-top:19.2pt;height:127.2pt;width:506.9pt;z-index:251661312;mso-width-relative:page;mso-height-relative:page;" filled="f" stroked="f" coordsize="21600,21600" o:gfxdata="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6fMsPcAAAACwEAAA8AAAAAAAAAAQAgAAAAIgAA&#10;AGRycy9kb3ducmV2LnhtbFBLAQIUABQAAAAIAIdO4kBJihOMPQIAAGcEAAAOAAAAAAAAAAEAIAAA&#10;ACsBAABkcnMvZTJvRG9jLnhtbFBLBQYAAAAABgAGAFkBAADaBQAAAAA=&#10;">
                <v:fill on="f" focussize="0,0"/>
                <v:stroke on="f" weight="0.5pt"/>
                <v:imagedata o:title=""/>
                <o:lock v:ext="edit" aspectratio="f"/>
                <v:textbox>
                  <w:txbxContent>
                    <w:p w14:paraId="4611FB29">
                      <w:pPr>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44"/>
                          <w:szCs w:val="44"/>
                          <w:lang w:val="en-US" w:eastAsia="zh-CN"/>
                        </w:rPr>
                        <w:t>2019年天山区老城区(棚户区)房屋功能完善项目竣工决算编制</w:t>
                      </w:r>
                    </w:p>
                    <w:p w14:paraId="79DBCAE7">
                      <w:pPr>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（项目编号：SJX-2025-436 ）</w:t>
                      </w:r>
                    </w:p>
                  </w:txbxContent>
                </v:textbox>
              </v:shape>
            </w:pict>
          </mc:Fallback>
        </mc:AlternateContent>
      </w:r>
      <w:r>
        <w:rPr>
          <w:rFonts w:hint="eastAsia" w:ascii="仿宋" w:hAnsi="仿宋" w:eastAsia="仿宋" w:cs="仿宋"/>
          <w:sz w:val="36"/>
          <w:szCs w:val="36"/>
          <w:highlight w:val="none"/>
          <w:lang w:eastAsia="zh-CN"/>
        </w:rPr>
        <w:tab/>
      </w:r>
    </w:p>
    <w:p w14:paraId="46719A01">
      <w:pPr>
        <w:jc w:val="center"/>
        <w:rPr>
          <w:rFonts w:hint="eastAsia" w:ascii="仿宋" w:hAnsi="仿宋" w:eastAsia="仿宋" w:cs="仿宋"/>
          <w:sz w:val="32"/>
          <w:szCs w:val="32"/>
          <w:highlight w:val="none"/>
        </w:rPr>
        <w:sectPr>
          <w:headerReference r:id="rId3" w:type="first"/>
          <w:footerReference r:id="rId5" w:type="first"/>
          <w:footerReference r:id="rId4" w:type="default"/>
          <w:pgSz w:w="11906" w:h="16838"/>
          <w:pgMar w:top="1440" w:right="1800" w:bottom="1440" w:left="1800" w:header="851" w:footer="992" w:gutter="0"/>
          <w:pgNumType w:fmt="decimal"/>
          <w:cols w:space="0" w:num="1"/>
          <w:rtlGutter w:val="0"/>
          <w:docGrid w:type="lines" w:linePitch="387" w:charSpace="0"/>
        </w:sectPr>
      </w:pPr>
      <w:r>
        <w:rPr>
          <w:rFonts w:hint="eastAsia" w:ascii="仿宋" w:hAnsi="仿宋" w:eastAsia="仿宋" w:cs="仿宋"/>
          <w:sz w:val="21"/>
          <w:highlight w:val="none"/>
        </w:rPr>
        <mc:AlternateContent>
          <mc:Choice Requires="wps">
            <w:drawing>
              <wp:anchor distT="0" distB="0" distL="114300" distR="114300" simplePos="0" relativeHeight="251664384" behindDoc="0" locked="0" layoutInCell="1" allowOverlap="1">
                <wp:simplePos x="0" y="0"/>
                <wp:positionH relativeFrom="column">
                  <wp:posOffset>-119380</wp:posOffset>
                </wp:positionH>
                <wp:positionV relativeFrom="paragraph">
                  <wp:posOffset>4523105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F0F2A">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采购人：乌鲁木齐市天山区建设局（盖章）</w:t>
                            </w:r>
                          </w:p>
                          <w:p w14:paraId="629E8556">
                            <w:pPr>
                              <w:jc w:val="left"/>
                              <w:rPr>
                                <w:rFonts w:hint="eastAsia" w:ascii="微软雅黑" w:hAnsi="微软雅黑" w:eastAsia="微软雅黑" w:cs="微软雅黑"/>
                                <w:b/>
                                <w:bCs/>
                                <w:color w:val="237085"/>
                                <w:sz w:val="32"/>
                                <w:szCs w:val="32"/>
                                <w:lang w:val="en-US" w:eastAsia="zh-CN"/>
                              </w:rPr>
                            </w:pPr>
                          </w:p>
                          <w:p w14:paraId="5C73836C">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4B70F5FB">
                            <w:pPr>
                              <w:jc w:val="center"/>
                              <w:rPr>
                                <w:rFonts w:hint="eastAsia" w:ascii="微软雅黑" w:hAnsi="微软雅黑" w:eastAsia="微软雅黑" w:cs="微软雅黑"/>
                                <w:b/>
                                <w:bCs/>
                                <w:color w:val="237085"/>
                                <w:sz w:val="32"/>
                                <w:szCs w:val="32"/>
                                <w:lang w:val="en-US" w:eastAsia="zh-CN"/>
                              </w:rPr>
                            </w:pPr>
                          </w:p>
                          <w:p w14:paraId="2C74E199">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日期：2025年07月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pt;margin-top:356.15pt;height:195.75pt;width:430.25pt;z-index:251664384;mso-width-relative:page;mso-height-relative:page;" filled="f" stroked="f" coordsize="21600,21600" o:gfxdata="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jhpMNwAAAAMAQAADwAAAAAAAAABACAAAAAiAAAA&#10;ZHJzL2Rvd25yZXYueG1sUEsBAhQAFAAAAAgAh07iQL0H0aI8AgAAZwQAAA4AAAAAAAAAAQAgAAAA&#10;KwEAAGRycy9lMm9Eb2MueG1sUEsFBgAAAAAGAAYAWQEAANkFAAAAAA==&#10;">
                <v:fill on="f" focussize="0,0"/>
                <v:stroke on="f" weight="0.5pt"/>
                <v:imagedata o:title=""/>
                <o:lock v:ext="edit" aspectratio="f"/>
                <v:textbox>
                  <w:txbxContent>
                    <w:p w14:paraId="6EDF0F2A">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采购人：乌鲁木齐市天山区建设局（盖章）</w:t>
                      </w:r>
                    </w:p>
                    <w:p w14:paraId="629E8556">
                      <w:pPr>
                        <w:jc w:val="left"/>
                        <w:rPr>
                          <w:rFonts w:hint="eastAsia" w:ascii="微软雅黑" w:hAnsi="微软雅黑" w:eastAsia="微软雅黑" w:cs="微软雅黑"/>
                          <w:b/>
                          <w:bCs/>
                          <w:color w:val="237085"/>
                          <w:sz w:val="32"/>
                          <w:szCs w:val="32"/>
                          <w:lang w:val="en-US" w:eastAsia="zh-CN"/>
                        </w:rPr>
                      </w:pPr>
                    </w:p>
                    <w:p w14:paraId="5C73836C">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4B70F5FB">
                      <w:pPr>
                        <w:jc w:val="center"/>
                        <w:rPr>
                          <w:rFonts w:hint="eastAsia" w:ascii="微软雅黑" w:hAnsi="微软雅黑" w:eastAsia="微软雅黑" w:cs="微软雅黑"/>
                          <w:b/>
                          <w:bCs/>
                          <w:color w:val="237085"/>
                          <w:sz w:val="32"/>
                          <w:szCs w:val="32"/>
                          <w:lang w:val="en-US" w:eastAsia="zh-CN"/>
                        </w:rPr>
                      </w:pPr>
                    </w:p>
                    <w:p w14:paraId="2C74E199">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日期：2025年07月</w:t>
                      </w:r>
                    </w:p>
                  </w:txbxContent>
                </v:textbox>
              </v:shape>
            </w:pict>
          </mc:Fallback>
        </mc:AlternateContent>
      </w:r>
      <w:r>
        <w:rPr>
          <w:rFonts w:hint="eastAsia" w:ascii="仿宋" w:hAnsi="仿宋" w:eastAsia="仿宋" w:cs="仿宋"/>
          <w:sz w:val="21"/>
          <w:highlight w:val="none"/>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3195320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51.6pt;height:7.85pt;width:208.55pt;z-index:251663360;v-text-anchor:middle;mso-width-relative:page;mso-height-relative:page;" fillcolor="#2E93B0" filled="t" stroked="f" coordsize="21600,21600" o:gfxdata="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jSgl9t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rFonts w:hint="eastAsia" w:ascii="仿宋" w:hAnsi="仿宋" w:eastAsia="仿宋" w:cs="仿宋"/>
          <w:sz w:val="21"/>
          <w:highlight w:val="none"/>
        </w:rPr>
        <mc:AlternateContent>
          <mc:Choice Requires="wps">
            <w:drawing>
              <wp:anchor distT="0" distB="0" distL="114300" distR="114300" simplePos="0" relativeHeight="251662336" behindDoc="0" locked="0" layoutInCell="1" allowOverlap="1">
                <wp:simplePos x="0" y="0"/>
                <wp:positionH relativeFrom="column">
                  <wp:posOffset>-889635</wp:posOffset>
                </wp:positionH>
                <wp:positionV relativeFrom="paragraph">
                  <wp:posOffset>2136775</wp:posOffset>
                </wp:positionV>
                <wp:extent cx="7130415" cy="98488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9848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9C965">
                            <w:pPr>
                              <w:pStyle w:val="2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竞争性磋商采购文件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05pt;margin-top:168.25pt;height:77.55pt;width:561.45pt;z-index:251662336;mso-width-relative:page;mso-height-relative:page;" filled="f" stroked="f" coordsize="21600,21600" o:gfxdata="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rE2bL3QAAAAwBAAAPAAAAAAAAAAEAIAAAACIA&#10;AABkcnMvZG93bnJldi54bWxQSwECFAAUAAAACACHTuJARb/aFT0CAABoBAAADgAAAAAAAAABACAA&#10;AAAsAQAAZHJzL2Uyb0RvYy54bWxQSwUGAAAAAAYABgBZAQAA2wUAAAAA&#10;">
                <v:fill on="f" focussize="0,0"/>
                <v:stroke on="f" weight="0.5pt"/>
                <v:imagedata o:title=""/>
                <o:lock v:ext="edit" aspectratio="f"/>
                <v:textbox>
                  <w:txbxContent>
                    <w:p w14:paraId="1079C965">
                      <w:pPr>
                        <w:pStyle w:val="2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竞争性磋商采购文件</w:t>
                      </w:r>
                    </w:p>
                  </w:txbxContent>
                </v:textbox>
              </v:shape>
            </w:pict>
          </mc:Fallback>
        </mc:AlternateContent>
      </w:r>
      <w:r>
        <w:rPr>
          <w:rFonts w:hint="eastAsia" w:ascii="仿宋" w:hAnsi="仿宋" w:eastAsia="仿宋" w:cs="仿宋"/>
          <w:highlight w:val="none"/>
        </w:rPr>
        <w:drawing>
          <wp:anchor distT="0" distB="0" distL="114300" distR="114300" simplePos="0" relativeHeight="251660288" behindDoc="1" locked="0" layoutInCell="1" allowOverlap="1">
            <wp:simplePos x="0" y="0"/>
            <wp:positionH relativeFrom="column">
              <wp:posOffset>-1240155</wp:posOffset>
            </wp:positionH>
            <wp:positionV relativeFrom="paragraph">
              <wp:posOffset>-1894205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7769225" cy="10739755"/>
                    </a:xfrm>
                    <a:prstGeom prst="rect">
                      <a:avLst/>
                    </a:prstGeom>
                    <a:noFill/>
                    <a:ln>
                      <a:noFill/>
                    </a:ln>
                  </pic:spPr>
                </pic:pic>
              </a:graphicData>
            </a:graphic>
          </wp:anchor>
        </w:drawing>
      </w:r>
    </w:p>
    <w:p w14:paraId="54E412FC">
      <w:pPr>
        <w:pStyle w:val="29"/>
        <w:rPr>
          <w:rFonts w:hint="eastAsia" w:ascii="仿宋" w:hAnsi="仿宋" w:eastAsia="仿宋" w:cs="仿宋"/>
          <w:highlight w:val="none"/>
        </w:rPr>
      </w:pPr>
    </w:p>
    <w:tbl>
      <w:tblPr>
        <w:tblStyle w:val="30"/>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72F87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85" w:hRule="atLeast"/>
          <w:jc w:val="center"/>
        </w:trPr>
        <w:tc>
          <w:tcPr>
            <w:tcW w:w="9280" w:type="dxa"/>
            <w:tcBorders>
              <w:tl2br w:val="nil"/>
              <w:tr2bl w:val="nil"/>
            </w:tcBorders>
            <w:noWrap w:val="0"/>
            <w:vAlign w:val="top"/>
          </w:tcPr>
          <w:p w14:paraId="5D114CE9">
            <w:pPr>
              <w:spacing w:line="360" w:lineRule="auto"/>
              <w:ind w:right="36" w:rightChars="15"/>
              <w:jc w:val="center"/>
              <w:rPr>
                <w:rFonts w:hint="eastAsia" w:ascii="仿宋" w:hAnsi="仿宋" w:eastAsia="仿宋" w:cs="仿宋"/>
                <w:b/>
                <w:bCs/>
                <w:sz w:val="32"/>
                <w:szCs w:val="32"/>
                <w:highlight w:val="none"/>
              </w:rPr>
            </w:pPr>
          </w:p>
          <w:p w14:paraId="4761FC67">
            <w:pPr>
              <w:spacing w:line="360" w:lineRule="auto"/>
              <w:ind w:right="36" w:rightChars="15"/>
              <w:jc w:val="center"/>
              <w:rPr>
                <w:rFonts w:hint="eastAsia" w:ascii="仿宋" w:hAnsi="仿宋" w:eastAsia="仿宋" w:cs="仿宋"/>
                <w:b/>
                <w:bCs/>
                <w:sz w:val="32"/>
                <w:szCs w:val="32"/>
                <w:highlight w:val="none"/>
              </w:rPr>
            </w:pPr>
          </w:p>
          <w:p w14:paraId="1B09A5CC">
            <w:pPr>
              <w:spacing w:line="360" w:lineRule="auto"/>
              <w:ind w:right="36" w:rightChars="15"/>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采购文件确认</w:t>
            </w:r>
            <w:r>
              <w:rPr>
                <w:rFonts w:hint="eastAsia" w:ascii="仿宋" w:hAnsi="仿宋" w:eastAsia="仿宋" w:cs="仿宋"/>
                <w:b/>
                <w:bCs/>
                <w:sz w:val="32"/>
                <w:szCs w:val="32"/>
                <w:highlight w:val="none"/>
                <w:lang w:val="en-US" w:eastAsia="zh-CN"/>
              </w:rPr>
              <w:t>表</w:t>
            </w:r>
          </w:p>
          <w:p w14:paraId="40BDACFE">
            <w:pPr>
              <w:spacing w:line="360" w:lineRule="auto"/>
              <w:ind w:firstLine="720" w:firstLineChars="300"/>
              <w:jc w:val="both"/>
              <w:rPr>
                <w:rFonts w:hint="eastAsia" w:ascii="仿宋" w:hAnsi="仿宋" w:eastAsia="仿宋" w:cs="仿宋"/>
                <w:sz w:val="24"/>
                <w:szCs w:val="24"/>
                <w:highlight w:val="none"/>
                <w:lang w:val="en-US" w:eastAsia="zh-CN"/>
              </w:rPr>
            </w:pPr>
          </w:p>
          <w:p w14:paraId="2AA2A27E">
            <w:pPr>
              <w:spacing w:line="360" w:lineRule="auto"/>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新疆世纪星工程咨询有限公司：</w:t>
            </w:r>
          </w:p>
          <w:p w14:paraId="13017ED1">
            <w:pPr>
              <w:spacing w:line="360" w:lineRule="auto"/>
              <w:ind w:firstLine="840" w:firstLineChars="3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u w:val="single"/>
                <w:lang w:val="en-US" w:eastAsia="zh-CN"/>
              </w:rPr>
              <w:t>2019年天山区老城区(棚户区)房屋功能完善项目竣工决算编制（项目编号:SJX-2025-436）</w:t>
            </w:r>
            <w:r>
              <w:rPr>
                <w:rFonts w:hint="eastAsia" w:ascii="仿宋" w:hAnsi="仿宋" w:eastAsia="仿宋" w:cs="仿宋"/>
                <w:sz w:val="28"/>
                <w:szCs w:val="28"/>
                <w:highlight w:val="none"/>
                <w:lang w:val="en-US" w:eastAsia="zh-CN"/>
              </w:rPr>
              <w:t>采购文件，经我单位审核符合我单位提出的招标（采购）要求，同意对外发布。</w:t>
            </w:r>
          </w:p>
          <w:p w14:paraId="5751979F">
            <w:pPr>
              <w:spacing w:line="360" w:lineRule="auto"/>
              <w:ind w:right="240"/>
              <w:jc w:val="both"/>
              <w:rPr>
                <w:rFonts w:hint="eastAsia" w:ascii="仿宋" w:hAnsi="仿宋" w:eastAsia="仿宋" w:cs="仿宋"/>
                <w:sz w:val="28"/>
                <w:szCs w:val="28"/>
                <w:highlight w:val="none"/>
              </w:rPr>
            </w:pPr>
          </w:p>
          <w:p w14:paraId="6B52B169">
            <w:pPr>
              <w:spacing w:line="360" w:lineRule="auto"/>
              <w:ind w:right="240"/>
              <w:jc w:val="both"/>
              <w:rPr>
                <w:rFonts w:hint="eastAsia" w:ascii="仿宋" w:hAnsi="仿宋" w:eastAsia="仿宋" w:cs="仿宋"/>
                <w:sz w:val="28"/>
                <w:szCs w:val="28"/>
                <w:highlight w:val="none"/>
              </w:rPr>
            </w:pPr>
          </w:p>
          <w:p w14:paraId="7E6183AE">
            <w:pPr>
              <w:spacing w:line="360" w:lineRule="auto"/>
              <w:ind w:right="84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采购人：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（盖章）</w:t>
            </w:r>
          </w:p>
          <w:p w14:paraId="4DBA5F98">
            <w:pPr>
              <w:spacing w:line="360" w:lineRule="auto"/>
              <w:ind w:right="960"/>
              <w:jc w:val="both"/>
              <w:rPr>
                <w:rFonts w:hint="eastAsia" w:ascii="仿宋" w:hAnsi="仿宋" w:eastAsia="仿宋" w:cs="仿宋"/>
                <w:b/>
                <w:sz w:val="40"/>
                <w:szCs w:val="32"/>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w:t>
            </w:r>
          </w:p>
        </w:tc>
      </w:tr>
    </w:tbl>
    <w:p w14:paraId="7335AE18">
      <w:pPr>
        <w:jc w:val="center"/>
        <w:rPr>
          <w:rFonts w:hint="eastAsia" w:ascii="仿宋" w:hAnsi="仿宋" w:eastAsia="仿宋" w:cs="仿宋"/>
          <w:sz w:val="32"/>
          <w:szCs w:val="32"/>
          <w:highlight w:val="none"/>
          <w:lang w:val="en-US" w:eastAsia="zh-CN"/>
        </w:rPr>
        <w:sectPr>
          <w:headerReference r:id="rId6" w:type="default"/>
          <w:pgSz w:w="11906" w:h="16838"/>
          <w:pgMar w:top="1440" w:right="1800" w:bottom="1440" w:left="1800" w:header="851" w:footer="992" w:gutter="0"/>
          <w:pgNumType w:fmt="decimal"/>
          <w:cols w:space="0" w:num="1"/>
          <w:rtlGutter w:val="0"/>
          <w:docGrid w:type="lines" w:linePitch="387" w:charSpace="0"/>
        </w:sectPr>
      </w:pPr>
    </w:p>
    <w:p w14:paraId="2F53C293">
      <w:pPr>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目 录</w:t>
      </w:r>
    </w:p>
    <w:p w14:paraId="5A9CB155">
      <w:pPr>
        <w:jc w:val="both"/>
        <w:rPr>
          <w:rFonts w:hint="eastAsia" w:ascii="仿宋" w:hAnsi="仿宋" w:eastAsia="仿宋" w:cs="仿宋"/>
          <w:sz w:val="24"/>
          <w:szCs w:val="24"/>
          <w:highlight w:val="none"/>
          <w:lang w:val="en-US" w:eastAsia="zh-CN"/>
        </w:rPr>
      </w:pPr>
    </w:p>
    <w:sdt>
      <w:sdtPr>
        <w:rPr>
          <w:rFonts w:hint="eastAsia" w:ascii="仿宋" w:hAnsi="仿宋" w:eastAsia="仿宋" w:cs="仿宋"/>
          <w:kern w:val="2"/>
          <w:sz w:val="21"/>
          <w:szCs w:val="24"/>
          <w:highlight w:val="none"/>
          <w:lang w:val="en-US" w:eastAsia="zh-CN" w:bidi="ar-SA"/>
        </w:rPr>
        <w:id w:val="147458556"/>
        <w15:color w:val="DBDBDB"/>
        <w:docPartObj>
          <w:docPartGallery w:val="Table of Contents"/>
          <w:docPartUnique/>
        </w:docPartObj>
      </w:sdtPr>
      <w:sdtEndPr>
        <w:rPr>
          <w:rFonts w:hint="eastAsia" w:ascii="仿宋" w:hAnsi="仿宋" w:eastAsia="仿宋" w:cs="仿宋"/>
          <w:b/>
          <w:kern w:val="2"/>
          <w:sz w:val="21"/>
          <w:szCs w:val="24"/>
          <w:highlight w:val="none"/>
          <w:lang w:val="en-US" w:eastAsia="zh-CN" w:bidi="ar-SA"/>
        </w:rPr>
      </w:sdtEndPr>
      <w:sdtContent>
        <w:p w14:paraId="31F4A271">
          <w:pPr>
            <w:spacing w:before="0" w:beforeLines="0" w:after="0" w:afterLines="0" w:line="240" w:lineRule="auto"/>
            <w:ind w:left="0" w:leftChars="0" w:right="0" w:rightChars="0" w:firstLine="0" w:firstLineChars="0"/>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TOC \o "1-2" \h \u </w:instrText>
          </w:r>
          <w:r>
            <w:rPr>
              <w:rFonts w:hint="eastAsia" w:ascii="仿宋" w:hAnsi="仿宋" w:eastAsia="仿宋" w:cs="仿宋"/>
              <w:sz w:val="24"/>
              <w:szCs w:val="24"/>
              <w:highlight w:val="none"/>
              <w:lang w:val="en-US" w:eastAsia="zh-CN"/>
            </w:rPr>
            <w:fldChar w:fldCharType="separate"/>
          </w:r>
        </w:p>
        <w:p w14:paraId="1A1C3481">
          <w:pPr>
            <w:pStyle w:val="2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highlight w:val="none"/>
              <w:lang w:val="en-US" w:eastAsia="zh-CN"/>
            </w:rPr>
            <w:fldChar w:fldCharType="begin"/>
          </w:r>
          <w:r>
            <w:rPr>
              <w:rFonts w:hint="eastAsia" w:ascii="仿宋" w:hAnsi="仿宋" w:eastAsia="仿宋" w:cs="仿宋"/>
              <w:b/>
              <w:bCs/>
              <w:sz w:val="28"/>
              <w:szCs w:val="28"/>
              <w:highlight w:val="none"/>
              <w:lang w:val="en-US" w:eastAsia="zh-CN"/>
            </w:rPr>
            <w:instrText xml:space="preserve"> HYPERLINK \l _Toc31208 </w:instrText>
          </w:r>
          <w:r>
            <w:rPr>
              <w:rFonts w:hint="eastAsia" w:ascii="仿宋" w:hAnsi="仿宋" w:eastAsia="仿宋" w:cs="仿宋"/>
              <w:b/>
              <w:bCs/>
              <w:sz w:val="28"/>
              <w:szCs w:val="28"/>
              <w:highlight w:val="none"/>
              <w:lang w:val="en-US" w:eastAsia="zh-CN"/>
            </w:rPr>
            <w:fldChar w:fldCharType="separate"/>
          </w:r>
          <w:r>
            <w:rPr>
              <w:rFonts w:hint="eastAsia" w:ascii="仿宋" w:hAnsi="仿宋" w:eastAsia="仿宋" w:cs="仿宋"/>
              <w:b/>
              <w:bCs/>
              <w:sz w:val="28"/>
              <w:szCs w:val="28"/>
            </w:rPr>
            <w:t xml:space="preserve">第一章 </w:t>
          </w:r>
          <w:r>
            <w:rPr>
              <w:rFonts w:hint="eastAsia" w:ascii="仿宋" w:hAnsi="仿宋" w:eastAsia="仿宋" w:cs="仿宋"/>
              <w:b/>
              <w:bCs/>
              <w:sz w:val="28"/>
              <w:szCs w:val="28"/>
              <w:highlight w:val="none"/>
              <w:lang w:val="en-US" w:eastAsia="zh-CN"/>
            </w:rPr>
            <w:t>竞争性磋商</w:t>
          </w:r>
          <w:r>
            <w:rPr>
              <w:rFonts w:hint="eastAsia" w:ascii="仿宋" w:hAnsi="仿宋" w:eastAsia="仿宋" w:cs="仿宋"/>
              <w:b/>
              <w:bCs/>
              <w:sz w:val="28"/>
              <w:szCs w:val="28"/>
              <w:highlight w:val="none"/>
            </w:rPr>
            <w:t>公告</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4</w:t>
          </w:r>
          <w:r>
            <w:rPr>
              <w:rFonts w:hint="eastAsia" w:ascii="仿宋" w:hAnsi="仿宋" w:eastAsia="仿宋" w:cs="仿宋"/>
              <w:b/>
              <w:bCs/>
              <w:sz w:val="28"/>
              <w:szCs w:val="28"/>
              <w:highlight w:val="none"/>
              <w:lang w:val="en-US" w:eastAsia="zh-CN"/>
            </w:rPr>
            <w:fldChar w:fldCharType="end"/>
          </w:r>
        </w:p>
        <w:p w14:paraId="04ED4F19">
          <w:pPr>
            <w:pStyle w:val="2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highlight w:val="none"/>
              <w:lang w:val="en-US" w:eastAsia="zh-CN"/>
            </w:rPr>
            <w:fldChar w:fldCharType="begin"/>
          </w:r>
          <w:r>
            <w:rPr>
              <w:rFonts w:hint="eastAsia" w:ascii="仿宋" w:hAnsi="仿宋" w:eastAsia="仿宋" w:cs="仿宋"/>
              <w:b/>
              <w:bCs/>
              <w:sz w:val="28"/>
              <w:szCs w:val="28"/>
              <w:highlight w:val="none"/>
              <w:lang w:val="en-US" w:eastAsia="zh-CN"/>
            </w:rPr>
            <w:instrText xml:space="preserve"> HYPERLINK \l _Toc19526 </w:instrText>
          </w:r>
          <w:r>
            <w:rPr>
              <w:rFonts w:hint="eastAsia" w:ascii="仿宋" w:hAnsi="仿宋" w:eastAsia="仿宋" w:cs="仿宋"/>
              <w:b/>
              <w:bCs/>
              <w:sz w:val="28"/>
              <w:szCs w:val="28"/>
              <w:highlight w:val="none"/>
              <w:lang w:val="en-US" w:eastAsia="zh-CN"/>
            </w:rPr>
            <w:fldChar w:fldCharType="separate"/>
          </w:r>
          <w:r>
            <w:rPr>
              <w:rFonts w:hint="eastAsia" w:ascii="仿宋" w:hAnsi="仿宋" w:eastAsia="仿宋" w:cs="仿宋"/>
              <w:b/>
              <w:bCs/>
              <w:sz w:val="28"/>
              <w:szCs w:val="28"/>
              <w:lang w:val="en-US" w:eastAsia="zh-CN"/>
            </w:rPr>
            <w:t xml:space="preserve">第二章 </w:t>
          </w:r>
          <w:r>
            <w:rPr>
              <w:rFonts w:hint="eastAsia" w:ascii="仿宋" w:hAnsi="仿宋" w:eastAsia="仿宋" w:cs="仿宋"/>
              <w:b/>
              <w:bCs/>
              <w:sz w:val="28"/>
              <w:szCs w:val="28"/>
              <w:highlight w:val="none"/>
              <w:lang w:val="en-US" w:eastAsia="zh-CN"/>
            </w:rPr>
            <w:t>供应商须知前附表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_Toc19526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w:t>
          </w:r>
          <w:r>
            <w:rPr>
              <w:rFonts w:hint="eastAsia" w:ascii="仿宋" w:hAnsi="仿宋" w:eastAsia="仿宋" w:cs="仿宋"/>
              <w:b/>
              <w:bCs/>
              <w:sz w:val="28"/>
              <w:szCs w:val="28"/>
            </w:rPr>
            <w:fldChar w:fldCharType="end"/>
          </w:r>
          <w:r>
            <w:rPr>
              <w:rFonts w:hint="eastAsia" w:ascii="仿宋" w:hAnsi="仿宋" w:eastAsia="仿宋" w:cs="仿宋"/>
              <w:b/>
              <w:bCs/>
              <w:sz w:val="28"/>
              <w:szCs w:val="28"/>
              <w:highlight w:val="none"/>
              <w:lang w:val="en-US" w:eastAsia="zh-CN"/>
            </w:rPr>
            <w:fldChar w:fldCharType="end"/>
          </w:r>
        </w:p>
        <w:p w14:paraId="1CE82E93">
          <w:pPr>
            <w:pStyle w:val="2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highlight w:val="none"/>
              <w:lang w:val="en-US" w:eastAsia="zh-CN"/>
            </w:rPr>
            <w:fldChar w:fldCharType="begin"/>
          </w:r>
          <w:r>
            <w:rPr>
              <w:rFonts w:hint="eastAsia" w:ascii="仿宋" w:hAnsi="仿宋" w:eastAsia="仿宋" w:cs="仿宋"/>
              <w:b/>
              <w:bCs/>
              <w:sz w:val="28"/>
              <w:szCs w:val="28"/>
              <w:highlight w:val="none"/>
              <w:lang w:val="en-US" w:eastAsia="zh-CN"/>
            </w:rPr>
            <w:instrText xml:space="preserve"> HYPERLINK \l _Toc24726 </w:instrText>
          </w:r>
          <w:r>
            <w:rPr>
              <w:rFonts w:hint="eastAsia" w:ascii="仿宋" w:hAnsi="仿宋" w:eastAsia="仿宋" w:cs="仿宋"/>
              <w:b/>
              <w:bCs/>
              <w:sz w:val="28"/>
              <w:szCs w:val="28"/>
              <w:highlight w:val="none"/>
              <w:lang w:val="en-US" w:eastAsia="zh-CN"/>
            </w:rPr>
            <w:fldChar w:fldCharType="separate"/>
          </w:r>
          <w:r>
            <w:rPr>
              <w:rFonts w:hint="eastAsia" w:ascii="仿宋" w:hAnsi="仿宋" w:eastAsia="仿宋" w:cs="仿宋"/>
              <w:b/>
              <w:bCs/>
              <w:sz w:val="28"/>
              <w:szCs w:val="28"/>
              <w:lang w:val="en-US" w:eastAsia="zh-CN"/>
            </w:rPr>
            <w:t xml:space="preserve">第三章 </w:t>
          </w:r>
          <w:r>
            <w:rPr>
              <w:rFonts w:hint="eastAsia" w:ascii="仿宋" w:hAnsi="仿宋" w:eastAsia="仿宋" w:cs="仿宋"/>
              <w:b/>
              <w:bCs/>
              <w:sz w:val="28"/>
              <w:szCs w:val="28"/>
              <w:highlight w:val="none"/>
              <w:lang w:val="en-US" w:eastAsia="zh-CN"/>
            </w:rPr>
            <w:t>供应商须知</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_Toc24726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13</w:t>
          </w:r>
          <w:r>
            <w:rPr>
              <w:rFonts w:hint="eastAsia" w:ascii="仿宋" w:hAnsi="仿宋" w:eastAsia="仿宋" w:cs="仿宋"/>
              <w:b/>
              <w:bCs/>
              <w:sz w:val="28"/>
              <w:szCs w:val="28"/>
            </w:rPr>
            <w:fldChar w:fldCharType="end"/>
          </w:r>
          <w:r>
            <w:rPr>
              <w:rFonts w:hint="eastAsia" w:ascii="仿宋" w:hAnsi="仿宋" w:eastAsia="仿宋" w:cs="仿宋"/>
              <w:b/>
              <w:bCs/>
              <w:sz w:val="28"/>
              <w:szCs w:val="28"/>
              <w:highlight w:val="none"/>
              <w:lang w:val="en-US" w:eastAsia="zh-CN"/>
            </w:rPr>
            <w:fldChar w:fldCharType="end"/>
          </w:r>
        </w:p>
        <w:p w14:paraId="33A59051">
          <w:pPr>
            <w:pStyle w:val="2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highlight w:val="none"/>
              <w:lang w:val="en-US" w:eastAsia="zh-CN"/>
            </w:rPr>
            <w:fldChar w:fldCharType="begin"/>
          </w:r>
          <w:r>
            <w:rPr>
              <w:rFonts w:hint="eastAsia" w:ascii="仿宋" w:hAnsi="仿宋" w:eastAsia="仿宋" w:cs="仿宋"/>
              <w:b/>
              <w:bCs/>
              <w:sz w:val="28"/>
              <w:szCs w:val="28"/>
              <w:highlight w:val="none"/>
              <w:lang w:val="en-US" w:eastAsia="zh-CN"/>
            </w:rPr>
            <w:instrText xml:space="preserve"> HYPERLINK \l _Toc24152 </w:instrText>
          </w:r>
          <w:r>
            <w:rPr>
              <w:rFonts w:hint="eastAsia" w:ascii="仿宋" w:hAnsi="仿宋" w:eastAsia="仿宋" w:cs="仿宋"/>
              <w:b/>
              <w:bCs/>
              <w:sz w:val="28"/>
              <w:szCs w:val="28"/>
              <w:highlight w:val="none"/>
              <w:lang w:val="en-US" w:eastAsia="zh-CN"/>
            </w:rPr>
            <w:fldChar w:fldCharType="separate"/>
          </w:r>
          <w:r>
            <w:rPr>
              <w:rFonts w:hint="eastAsia" w:ascii="仿宋" w:hAnsi="仿宋" w:eastAsia="仿宋" w:cs="仿宋"/>
              <w:b/>
              <w:bCs/>
              <w:sz w:val="28"/>
              <w:szCs w:val="28"/>
              <w:lang w:val="en-US" w:eastAsia="zh-CN"/>
            </w:rPr>
            <w:t xml:space="preserve">第四章 </w:t>
          </w:r>
          <w:r>
            <w:rPr>
              <w:rFonts w:hint="eastAsia" w:ascii="仿宋" w:hAnsi="仿宋" w:eastAsia="仿宋" w:cs="仿宋"/>
              <w:b/>
              <w:bCs/>
              <w:sz w:val="28"/>
              <w:szCs w:val="28"/>
              <w:highlight w:val="none"/>
              <w:lang w:val="en-US" w:eastAsia="zh-CN"/>
            </w:rPr>
            <w:t>政府采购合同</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_Toc24152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29</w:t>
          </w:r>
          <w:r>
            <w:rPr>
              <w:rFonts w:hint="eastAsia" w:ascii="仿宋" w:hAnsi="仿宋" w:eastAsia="仿宋" w:cs="仿宋"/>
              <w:b/>
              <w:bCs/>
              <w:sz w:val="28"/>
              <w:szCs w:val="28"/>
            </w:rPr>
            <w:fldChar w:fldCharType="end"/>
          </w:r>
          <w:r>
            <w:rPr>
              <w:rFonts w:hint="eastAsia" w:ascii="仿宋" w:hAnsi="仿宋" w:eastAsia="仿宋" w:cs="仿宋"/>
              <w:b/>
              <w:bCs/>
              <w:sz w:val="28"/>
              <w:szCs w:val="28"/>
              <w:highlight w:val="none"/>
              <w:lang w:val="en-US" w:eastAsia="zh-CN"/>
            </w:rPr>
            <w:fldChar w:fldCharType="end"/>
          </w:r>
        </w:p>
        <w:p w14:paraId="3BB876E4">
          <w:pPr>
            <w:pStyle w:val="2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highlight w:val="none"/>
              <w:lang w:val="en-US" w:eastAsia="zh-CN"/>
            </w:rPr>
            <w:fldChar w:fldCharType="begin"/>
          </w:r>
          <w:r>
            <w:rPr>
              <w:rFonts w:hint="eastAsia" w:ascii="仿宋" w:hAnsi="仿宋" w:eastAsia="仿宋" w:cs="仿宋"/>
              <w:b/>
              <w:bCs/>
              <w:sz w:val="28"/>
              <w:szCs w:val="28"/>
              <w:highlight w:val="none"/>
              <w:lang w:val="en-US" w:eastAsia="zh-CN"/>
            </w:rPr>
            <w:instrText xml:space="preserve"> HYPERLINK \l _Toc12164 </w:instrText>
          </w:r>
          <w:r>
            <w:rPr>
              <w:rFonts w:hint="eastAsia" w:ascii="仿宋" w:hAnsi="仿宋" w:eastAsia="仿宋" w:cs="仿宋"/>
              <w:b/>
              <w:bCs/>
              <w:sz w:val="28"/>
              <w:szCs w:val="28"/>
              <w:highlight w:val="none"/>
              <w:lang w:val="en-US" w:eastAsia="zh-CN"/>
            </w:rPr>
            <w:fldChar w:fldCharType="separate"/>
          </w:r>
          <w:r>
            <w:rPr>
              <w:rFonts w:hint="eastAsia" w:ascii="仿宋" w:hAnsi="仿宋" w:eastAsia="仿宋" w:cs="仿宋"/>
              <w:b/>
              <w:bCs/>
              <w:sz w:val="28"/>
              <w:szCs w:val="28"/>
              <w:lang w:val="en-US" w:eastAsia="zh-CN"/>
            </w:rPr>
            <w:t xml:space="preserve">第五章 </w:t>
          </w:r>
          <w:r>
            <w:rPr>
              <w:rFonts w:hint="eastAsia" w:ascii="仿宋" w:hAnsi="仿宋" w:eastAsia="仿宋" w:cs="仿宋"/>
              <w:b/>
              <w:bCs/>
              <w:sz w:val="28"/>
              <w:szCs w:val="28"/>
              <w:highlight w:val="none"/>
              <w:lang w:val="en-US" w:eastAsia="zh-CN"/>
            </w:rPr>
            <w:t>采购需求</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_Toc12164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59</w:t>
          </w:r>
          <w:r>
            <w:rPr>
              <w:rFonts w:hint="eastAsia" w:ascii="仿宋" w:hAnsi="仿宋" w:eastAsia="仿宋" w:cs="仿宋"/>
              <w:b/>
              <w:bCs/>
              <w:sz w:val="28"/>
              <w:szCs w:val="28"/>
            </w:rPr>
            <w:fldChar w:fldCharType="end"/>
          </w:r>
          <w:r>
            <w:rPr>
              <w:rFonts w:hint="eastAsia" w:ascii="仿宋" w:hAnsi="仿宋" w:eastAsia="仿宋" w:cs="仿宋"/>
              <w:b/>
              <w:bCs/>
              <w:sz w:val="28"/>
              <w:szCs w:val="28"/>
              <w:highlight w:val="none"/>
              <w:lang w:val="en-US" w:eastAsia="zh-CN"/>
            </w:rPr>
            <w:fldChar w:fldCharType="end"/>
          </w:r>
        </w:p>
        <w:p w14:paraId="52610074">
          <w:pPr>
            <w:pStyle w:val="2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highlight w:val="none"/>
              <w:lang w:val="en-US" w:eastAsia="zh-CN"/>
            </w:rPr>
            <w:fldChar w:fldCharType="begin"/>
          </w:r>
          <w:r>
            <w:rPr>
              <w:rFonts w:hint="eastAsia" w:ascii="仿宋" w:hAnsi="仿宋" w:eastAsia="仿宋" w:cs="仿宋"/>
              <w:b/>
              <w:bCs/>
              <w:sz w:val="28"/>
              <w:szCs w:val="28"/>
              <w:highlight w:val="none"/>
              <w:lang w:val="en-US" w:eastAsia="zh-CN"/>
            </w:rPr>
            <w:instrText xml:space="preserve"> HYPERLINK \l _Toc3888 </w:instrText>
          </w:r>
          <w:r>
            <w:rPr>
              <w:rFonts w:hint="eastAsia" w:ascii="仿宋" w:hAnsi="仿宋" w:eastAsia="仿宋" w:cs="仿宋"/>
              <w:b/>
              <w:bCs/>
              <w:sz w:val="28"/>
              <w:szCs w:val="28"/>
              <w:highlight w:val="none"/>
              <w:lang w:val="en-US" w:eastAsia="zh-CN"/>
            </w:rPr>
            <w:fldChar w:fldCharType="separate"/>
          </w:r>
          <w:r>
            <w:rPr>
              <w:rFonts w:hint="eastAsia" w:ascii="仿宋" w:hAnsi="仿宋" w:eastAsia="仿宋" w:cs="仿宋"/>
              <w:b/>
              <w:bCs/>
              <w:sz w:val="28"/>
              <w:szCs w:val="28"/>
              <w:lang w:val="en-US" w:eastAsia="zh-CN"/>
            </w:rPr>
            <w:t xml:space="preserve">第六章 </w:t>
          </w:r>
          <w:r>
            <w:rPr>
              <w:rFonts w:hint="eastAsia" w:ascii="仿宋" w:hAnsi="仿宋" w:eastAsia="仿宋" w:cs="仿宋"/>
              <w:b/>
              <w:bCs/>
              <w:sz w:val="28"/>
              <w:szCs w:val="28"/>
              <w:highlight w:val="none"/>
              <w:lang w:val="en-US" w:eastAsia="zh-CN"/>
            </w:rPr>
            <w:t>评标程序、评标方法和评标标准</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_Toc3888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63</w:t>
          </w:r>
          <w:r>
            <w:rPr>
              <w:rFonts w:hint="eastAsia" w:ascii="仿宋" w:hAnsi="仿宋" w:eastAsia="仿宋" w:cs="仿宋"/>
              <w:b/>
              <w:bCs/>
              <w:sz w:val="28"/>
              <w:szCs w:val="28"/>
            </w:rPr>
            <w:fldChar w:fldCharType="end"/>
          </w:r>
          <w:r>
            <w:rPr>
              <w:rFonts w:hint="eastAsia" w:ascii="仿宋" w:hAnsi="仿宋" w:eastAsia="仿宋" w:cs="仿宋"/>
              <w:b/>
              <w:bCs/>
              <w:sz w:val="28"/>
              <w:szCs w:val="28"/>
              <w:highlight w:val="none"/>
              <w:lang w:val="en-US" w:eastAsia="zh-CN"/>
            </w:rPr>
            <w:fldChar w:fldCharType="end"/>
          </w:r>
        </w:p>
        <w:p w14:paraId="55DF8E73">
          <w:pPr>
            <w:pStyle w:val="2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b/>
              <w:bCs/>
              <w:sz w:val="28"/>
              <w:szCs w:val="28"/>
              <w:highlight w:val="none"/>
              <w:lang w:val="en-US" w:eastAsia="zh-CN"/>
            </w:rPr>
            <w:fldChar w:fldCharType="begin"/>
          </w:r>
          <w:r>
            <w:rPr>
              <w:rFonts w:hint="eastAsia" w:ascii="仿宋" w:hAnsi="仿宋" w:eastAsia="仿宋" w:cs="仿宋"/>
              <w:b/>
              <w:bCs/>
              <w:sz w:val="28"/>
              <w:szCs w:val="28"/>
              <w:highlight w:val="none"/>
              <w:lang w:val="en-US" w:eastAsia="zh-CN"/>
            </w:rPr>
            <w:instrText xml:space="preserve"> HYPERLINK \l _Toc7801 </w:instrText>
          </w:r>
          <w:r>
            <w:rPr>
              <w:rFonts w:hint="eastAsia" w:ascii="仿宋" w:hAnsi="仿宋" w:eastAsia="仿宋" w:cs="仿宋"/>
              <w:b/>
              <w:bCs/>
              <w:sz w:val="28"/>
              <w:szCs w:val="28"/>
              <w:highlight w:val="none"/>
              <w:lang w:val="en-US" w:eastAsia="zh-CN"/>
            </w:rPr>
            <w:fldChar w:fldCharType="separate"/>
          </w:r>
          <w:r>
            <w:rPr>
              <w:rFonts w:hint="eastAsia" w:ascii="仿宋" w:hAnsi="仿宋" w:eastAsia="仿宋" w:cs="仿宋"/>
              <w:b/>
              <w:bCs/>
              <w:sz w:val="28"/>
              <w:szCs w:val="28"/>
              <w:lang w:val="en-US" w:eastAsia="zh-CN"/>
            </w:rPr>
            <w:t xml:space="preserve">第七章 </w:t>
          </w:r>
          <w:r>
            <w:rPr>
              <w:rFonts w:hint="eastAsia" w:ascii="仿宋" w:hAnsi="仿宋" w:eastAsia="仿宋" w:cs="仿宋"/>
              <w:b/>
              <w:bCs/>
              <w:sz w:val="28"/>
              <w:szCs w:val="28"/>
              <w:highlight w:val="none"/>
              <w:lang w:val="en-US" w:eastAsia="zh-CN"/>
            </w:rPr>
            <w:t>响应文件格式</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_Toc7801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76</w:t>
          </w:r>
          <w:r>
            <w:rPr>
              <w:rFonts w:hint="eastAsia" w:ascii="仿宋" w:hAnsi="仿宋" w:eastAsia="仿宋" w:cs="仿宋"/>
              <w:b/>
              <w:bCs/>
              <w:sz w:val="28"/>
              <w:szCs w:val="28"/>
            </w:rPr>
            <w:fldChar w:fldCharType="end"/>
          </w:r>
          <w:r>
            <w:rPr>
              <w:rFonts w:hint="eastAsia" w:ascii="仿宋" w:hAnsi="仿宋" w:eastAsia="仿宋" w:cs="仿宋"/>
              <w:b/>
              <w:bCs/>
              <w:sz w:val="28"/>
              <w:szCs w:val="28"/>
              <w:highlight w:val="none"/>
              <w:lang w:val="en-US" w:eastAsia="zh-CN"/>
            </w:rPr>
            <w:fldChar w:fldCharType="end"/>
          </w:r>
        </w:p>
        <w:p w14:paraId="4DB7D67B">
          <w:pPr>
            <w:pStyle w:val="26"/>
            <w:tabs>
              <w:tab w:val="right" w:leader="dot" w:pos="8306"/>
            </w:tabs>
          </w:pPr>
        </w:p>
        <w:p w14:paraId="3A4F61F9">
          <w:pPr>
            <w:spacing w:before="0" w:beforeLines="0" w:after="0" w:afterLines="0" w:line="240" w:lineRule="auto"/>
            <w:ind w:left="0" w:leftChars="0" w:right="0" w:rightChars="0"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b/>
              <w:szCs w:val="24"/>
              <w:highlight w:val="none"/>
              <w:lang w:val="en-US" w:eastAsia="zh-CN"/>
            </w:rPr>
            <w:fldChar w:fldCharType="end"/>
          </w:r>
        </w:p>
      </w:sdtContent>
    </w:sdt>
    <w:p w14:paraId="1CFC3A41">
      <w:pPr>
        <w:pStyle w:val="2"/>
        <w:numPr>
          <w:ilvl w:val="0"/>
          <w:numId w:val="1"/>
        </w:numPr>
        <w:bidi w:val="0"/>
        <w:jc w:val="center"/>
        <w:rPr>
          <w:rFonts w:hint="eastAsia" w:ascii="仿宋" w:hAnsi="仿宋" w:eastAsia="仿宋" w:cs="仿宋"/>
          <w:sz w:val="32"/>
          <w:szCs w:val="32"/>
          <w:highlight w:val="none"/>
        </w:rPr>
        <w:sectPr>
          <w:footerReference r:id="rId7" w:type="default"/>
          <w:pgSz w:w="11906" w:h="16838"/>
          <w:pgMar w:top="1440" w:right="1800" w:bottom="1440" w:left="1800" w:header="851" w:footer="992" w:gutter="0"/>
          <w:pgNumType w:fmt="decimal"/>
          <w:cols w:space="0" w:num="1"/>
          <w:rtlGutter w:val="0"/>
          <w:docGrid w:type="lines" w:linePitch="387" w:charSpace="0"/>
        </w:sectPr>
      </w:pPr>
    </w:p>
    <w:p w14:paraId="36093195">
      <w:pPr>
        <w:pStyle w:val="2"/>
        <w:keepNext/>
        <w:keepLines/>
        <w:pageBreakBefore w:val="0"/>
        <w:widowControl w:val="0"/>
        <w:numPr>
          <w:ilvl w:val="0"/>
          <w:numId w:val="1"/>
        </w:numPr>
        <w:kinsoku/>
        <w:wordWrap/>
        <w:overflowPunct/>
        <w:topLinePunct w:val="0"/>
        <w:autoSpaceDE/>
        <w:autoSpaceDN/>
        <w:bidi w:val="0"/>
        <w:adjustRightInd/>
        <w:snapToGrid/>
        <w:spacing w:before="0" w:after="0"/>
        <w:jc w:val="center"/>
        <w:textAlignment w:val="auto"/>
        <w:rPr>
          <w:rFonts w:hint="eastAsia" w:ascii="仿宋" w:hAnsi="仿宋" w:eastAsia="仿宋" w:cs="仿宋"/>
          <w:sz w:val="32"/>
          <w:szCs w:val="32"/>
          <w:highlight w:val="none"/>
        </w:rPr>
      </w:pPr>
      <w:bookmarkStart w:id="0" w:name="_Toc31208"/>
      <w:r>
        <w:rPr>
          <w:rFonts w:hint="eastAsia" w:ascii="仿宋" w:hAnsi="仿宋" w:eastAsia="仿宋" w:cs="仿宋"/>
          <w:sz w:val="32"/>
          <w:szCs w:val="32"/>
          <w:highlight w:val="none"/>
          <w:lang w:val="en-US" w:eastAsia="zh-CN"/>
        </w:rPr>
        <w:t>竞争性磋商</w:t>
      </w:r>
      <w:r>
        <w:rPr>
          <w:rFonts w:hint="eastAsia" w:ascii="仿宋" w:hAnsi="仿宋" w:eastAsia="仿宋" w:cs="仿宋"/>
          <w:sz w:val="32"/>
          <w:szCs w:val="32"/>
          <w:highlight w:val="none"/>
        </w:rPr>
        <w:t>公告</w:t>
      </w:r>
      <w:bookmarkEnd w:id="0"/>
    </w:p>
    <w:p w14:paraId="3FA1C33F">
      <w:pPr>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 xml:space="preserve">项目概况 </w:t>
      </w:r>
      <w:r>
        <w:rPr>
          <w:rFonts w:hint="eastAsia" w:ascii="仿宋" w:hAnsi="仿宋" w:eastAsia="仿宋" w:cs="仿宋"/>
          <w:color w:val="auto"/>
          <w:highlight w:val="none"/>
        </w:rPr>
        <w:t xml:space="preserve">                                                   </w:t>
      </w:r>
    </w:p>
    <w:p w14:paraId="224C2ACE">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eastAsia" w:ascii="仿宋" w:hAnsi="仿宋" w:eastAsia="仿宋" w:cs="仿宋"/>
          <w:sz w:val="32"/>
          <w:szCs w:val="32"/>
          <w:highlight w:val="none"/>
        </w:rPr>
      </w:pPr>
      <w:r>
        <w:rPr>
          <w:rFonts w:hint="eastAsia" w:ascii="仿宋" w:hAnsi="仿宋" w:eastAsia="仿宋" w:cs="仿宋"/>
          <w:color w:val="auto"/>
          <w:highlight w:val="none"/>
          <w:lang w:eastAsia="zh-CN"/>
        </w:rPr>
        <w:t>2019年天山区老城区(棚户区)房屋功能完善项目竣工决算编制</w:t>
      </w:r>
      <w:r>
        <w:rPr>
          <w:rFonts w:hint="eastAsia" w:ascii="仿宋" w:hAnsi="仿宋" w:eastAsia="仿宋" w:cs="仿宋"/>
          <w:color w:val="auto"/>
          <w:highlight w:val="none"/>
        </w:rPr>
        <w:t>的潜在供应商应在政采云平台http://www.zcygov.cn/获取采购文件，并于</w:t>
      </w:r>
      <w:r>
        <w:rPr>
          <w:rFonts w:hint="eastAsia" w:ascii="仿宋" w:hAnsi="仿宋" w:eastAsia="仿宋" w:cs="仿宋"/>
          <w:color w:val="auto"/>
          <w:highlight w:val="none"/>
          <w:lang w:eastAsia="zh-CN"/>
        </w:rPr>
        <w:t>2025年07月25日17:00</w:t>
      </w:r>
      <w:r>
        <w:rPr>
          <w:rFonts w:hint="eastAsia" w:ascii="仿宋" w:hAnsi="仿宋" w:eastAsia="仿宋" w:cs="仿宋"/>
          <w:color w:val="auto"/>
          <w:highlight w:val="none"/>
        </w:rPr>
        <w:t>（北京时间）前提交响应性文件。</w:t>
      </w:r>
    </w:p>
    <w:p w14:paraId="7128CA15">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1" w:name="_Toc31576"/>
      <w:bookmarkStart w:id="2" w:name="_Toc6343"/>
      <w:r>
        <w:rPr>
          <w:rFonts w:hint="eastAsia" w:ascii="仿宋" w:hAnsi="仿宋" w:eastAsia="仿宋" w:cs="仿宋"/>
          <w:b/>
          <w:bCs/>
          <w:sz w:val="24"/>
          <w:szCs w:val="24"/>
          <w:highlight w:val="none"/>
        </w:rPr>
        <w:t>项目基本情况</w:t>
      </w:r>
      <w:bookmarkEnd w:id="1"/>
      <w:bookmarkEnd w:id="2"/>
    </w:p>
    <w:p w14:paraId="74BF946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val="en-US" w:eastAsia="zh-CN"/>
        </w:rPr>
        <w:t>SJX-2025-436</w:t>
      </w:r>
    </w:p>
    <w:p w14:paraId="1E866A3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2019年天山区老城区(棚户区)房屋功能完善项目竣工决算编制</w:t>
      </w:r>
    </w:p>
    <w:p w14:paraId="0F55351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采购方式：</w:t>
      </w:r>
      <w:r>
        <w:rPr>
          <w:rFonts w:hint="eastAsia" w:ascii="仿宋" w:hAnsi="仿宋" w:eastAsia="仿宋" w:cs="仿宋"/>
          <w:sz w:val="24"/>
          <w:szCs w:val="24"/>
          <w:highlight w:val="none"/>
          <w:lang w:val="en-US" w:eastAsia="zh-CN"/>
        </w:rPr>
        <w:t>竞争性磋商</w:t>
      </w:r>
    </w:p>
    <w:p w14:paraId="03A793B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 xml:space="preserve"> 150000</w:t>
      </w:r>
    </w:p>
    <w:p w14:paraId="6595C54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最高限价（元）：</w:t>
      </w:r>
      <w:r>
        <w:rPr>
          <w:rFonts w:hint="eastAsia" w:ascii="仿宋" w:hAnsi="仿宋" w:eastAsia="仿宋" w:cs="仿宋"/>
          <w:sz w:val="24"/>
          <w:szCs w:val="24"/>
          <w:highlight w:val="none"/>
          <w:lang w:eastAsia="zh-CN"/>
        </w:rPr>
        <w:t xml:space="preserve"> 150000</w:t>
      </w:r>
    </w:p>
    <w:p w14:paraId="45FAE04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采购需求：</w:t>
      </w:r>
    </w:p>
    <w:p w14:paraId="7029A5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标项一:</w:t>
      </w:r>
    </w:p>
    <w:p w14:paraId="73429F0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标项名称:</w:t>
      </w:r>
      <w:r>
        <w:rPr>
          <w:rFonts w:hint="eastAsia" w:ascii="仿宋" w:hAnsi="仿宋" w:eastAsia="仿宋" w:cs="仿宋"/>
          <w:sz w:val="24"/>
          <w:szCs w:val="24"/>
          <w:highlight w:val="none"/>
          <w:lang w:eastAsia="zh-CN"/>
        </w:rPr>
        <w:t>2019年天山区老城区(棚户区)房屋功能完善项目竣工决算编制</w:t>
      </w:r>
    </w:p>
    <w:p w14:paraId="60E965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数量:</w:t>
      </w:r>
      <w:r>
        <w:rPr>
          <w:rFonts w:hint="eastAsia" w:ascii="仿宋" w:hAnsi="仿宋" w:eastAsia="仿宋" w:cs="仿宋"/>
          <w:sz w:val="24"/>
          <w:szCs w:val="24"/>
          <w:highlight w:val="none"/>
          <w:lang w:val="en-US" w:eastAsia="zh-CN"/>
        </w:rPr>
        <w:t>不限</w:t>
      </w:r>
    </w:p>
    <w:p w14:paraId="05086C4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 xml:space="preserve"> 150000</w:t>
      </w:r>
    </w:p>
    <w:p w14:paraId="0BFE198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简要规格描述或项目基本概况介绍、用途：</w:t>
      </w:r>
      <w:r>
        <w:rPr>
          <w:rFonts w:hint="eastAsia" w:ascii="仿宋" w:hAnsi="仿宋" w:eastAsia="仿宋" w:cs="仿宋"/>
          <w:sz w:val="24"/>
          <w:szCs w:val="24"/>
          <w:highlight w:val="none"/>
          <w:lang w:eastAsia="zh-CN"/>
        </w:rPr>
        <w:t>2019年天山区老城区(棚户区)房屋功能完善项目出具</w:t>
      </w:r>
      <w:r>
        <w:rPr>
          <w:rFonts w:hint="eastAsia" w:ascii="仿宋" w:hAnsi="仿宋" w:eastAsia="仿宋" w:cs="仿宋_GB2312"/>
        </w:rPr>
        <w:t>未作二审的施工标段</w:t>
      </w:r>
      <w:r>
        <w:rPr>
          <w:rFonts w:hint="eastAsia" w:ascii="仿宋" w:hAnsi="仿宋" w:eastAsia="仿宋" w:cs="仿宋_GB2312"/>
          <w:lang w:val="en-US" w:eastAsia="zh-CN"/>
        </w:rPr>
        <w:t>的</w:t>
      </w:r>
      <w:r>
        <w:rPr>
          <w:rFonts w:hint="eastAsia" w:ascii="仿宋" w:hAnsi="仿宋" w:eastAsia="仿宋" w:cs="仿宋"/>
          <w:sz w:val="24"/>
          <w:szCs w:val="24"/>
          <w:highlight w:val="none"/>
          <w:lang w:eastAsia="zh-CN"/>
        </w:rPr>
        <w:t>二审结算报告、编制项目竣工决算，具体详见采购需求。</w:t>
      </w:r>
    </w:p>
    <w:p w14:paraId="3692DA0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备注：</w:t>
      </w:r>
      <w:r>
        <w:rPr>
          <w:rFonts w:hint="eastAsia" w:ascii="仿宋" w:hAnsi="仿宋" w:eastAsia="仿宋" w:cs="仿宋"/>
          <w:sz w:val="24"/>
          <w:szCs w:val="24"/>
          <w:highlight w:val="none"/>
          <w:lang w:val="en-US" w:eastAsia="zh-CN"/>
        </w:rPr>
        <w:t>/</w:t>
      </w:r>
    </w:p>
    <w:p w14:paraId="4B6F82A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highlight w:val="none"/>
          <w:lang w:val="en-US" w:eastAsia="zh-CN"/>
        </w:rPr>
      </w:pPr>
      <w:r>
        <w:rPr>
          <w:rFonts w:hint="eastAsia" w:ascii="仿宋" w:hAnsi="仿宋" w:eastAsia="仿宋" w:cs="仿宋"/>
          <w:sz w:val="24"/>
          <w:szCs w:val="24"/>
          <w:highlight w:val="none"/>
        </w:rPr>
        <w:t>合同履约期限：</w:t>
      </w:r>
      <w:r>
        <w:rPr>
          <w:rFonts w:hint="eastAsia" w:ascii="仿宋" w:hAnsi="仿宋" w:eastAsia="仿宋" w:cs="仿宋"/>
          <w:sz w:val="24"/>
          <w:highlight w:val="none"/>
          <w:lang w:val="en-US" w:eastAsia="zh-CN"/>
        </w:rPr>
        <w:t>自合同签订至项目竣工决算审核工作完成。</w:t>
      </w:r>
    </w:p>
    <w:p w14:paraId="0939BAE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w:t>
      </w:r>
      <w:r>
        <w:rPr>
          <w:rFonts w:hint="eastAsia" w:ascii="仿宋" w:hAnsi="仿宋" w:eastAsia="仿宋" w:cs="仿宋"/>
          <w:sz w:val="24"/>
          <w:szCs w:val="24"/>
          <w:highlight w:val="none"/>
          <w:lang w:eastAsia="zh-CN"/>
        </w:rPr>
        <w:t>是</w:t>
      </w:r>
      <w:r>
        <w:rPr>
          <w:rFonts w:hint="eastAsia" w:ascii="仿宋" w:hAnsi="仿宋" w:eastAsia="仿宋" w:cs="仿宋"/>
          <w:sz w:val="24"/>
          <w:szCs w:val="24"/>
          <w:highlight w:val="none"/>
        </w:rPr>
        <w:t>）接受联合体投标。</w:t>
      </w:r>
    </w:p>
    <w:p w14:paraId="698BD890">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rPr>
      </w:pPr>
      <w:bookmarkStart w:id="3" w:name="_Toc7676"/>
      <w:bookmarkStart w:id="4" w:name="_Toc15999"/>
      <w:r>
        <w:rPr>
          <w:rFonts w:hint="eastAsia" w:ascii="仿宋" w:hAnsi="仿宋" w:eastAsia="仿宋" w:cs="仿宋"/>
          <w:b/>
          <w:bCs/>
          <w:sz w:val="24"/>
          <w:szCs w:val="24"/>
          <w:highlight w:val="none"/>
        </w:rPr>
        <w:t>申请人的资格要求：</w:t>
      </w:r>
      <w:bookmarkEnd w:id="3"/>
      <w:bookmarkEnd w:id="4"/>
    </w:p>
    <w:p w14:paraId="13F4873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1.满足《中华人民共和国政府采购法》第二十二条规定；</w:t>
      </w:r>
    </w:p>
    <w:p w14:paraId="042EF4C5">
      <w:pPr>
        <w:pStyle w:val="29"/>
        <w:keepNext/>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eastAsia" w:ascii="仿宋" w:hAnsi="仿宋" w:eastAsia="仿宋" w:cs="仿宋"/>
          <w:b w:val="0"/>
          <w:bCs w:val="0"/>
          <w:sz w:val="24"/>
          <w:szCs w:val="24"/>
          <w:highlight w:val="none"/>
          <w:lang w:val="en-US" w:eastAsia="zh-CN"/>
        </w:rPr>
        <w:sectPr>
          <w:headerReference r:id="rId8" w:type="default"/>
          <w:footerReference r:id="rId9" w:type="default"/>
          <w:pgSz w:w="11906" w:h="16838"/>
          <w:pgMar w:top="1418" w:right="1555" w:bottom="1418" w:left="1531" w:header="851" w:footer="992" w:gutter="0"/>
          <w:pgNumType w:fmt="decimal" w:start="0"/>
          <w:cols w:space="720" w:num="1"/>
          <w:titlePg/>
          <w:docGrid w:type="lines" w:linePitch="312" w:charSpace="0"/>
        </w:sectPr>
      </w:pPr>
      <w:r>
        <w:rPr>
          <w:rFonts w:hint="eastAsia" w:ascii="仿宋" w:hAnsi="仿宋" w:eastAsia="仿宋" w:cs="仿宋"/>
          <w:b w:val="0"/>
          <w:bCs w:val="0"/>
          <w:sz w:val="24"/>
          <w:szCs w:val="24"/>
          <w:highlight w:val="none"/>
          <w:lang w:val="en-US" w:eastAsia="zh-CN"/>
        </w:rPr>
        <w:t>2.落实政府采购政策需满足的资格要求：</w:t>
      </w:r>
      <w:r>
        <w:rPr>
          <w:rFonts w:hint="eastAsia" w:ascii="仿宋" w:hAnsi="仿宋" w:eastAsia="仿宋" w:cs="仿宋"/>
          <w:color w:val="auto"/>
          <w:sz w:val="24"/>
          <w:highlight w:val="none"/>
          <w:lang w:val="en-US" w:eastAsia="zh-CN"/>
        </w:rPr>
        <w:t>本项目</w:t>
      </w:r>
      <w:r>
        <w:rPr>
          <w:rFonts w:hint="eastAsia" w:ascii="仿宋" w:hAnsi="仿宋" w:eastAsia="仿宋" w:cs="仿宋"/>
          <w:b w:val="0"/>
          <w:bCs w:val="0"/>
          <w:color w:val="auto"/>
          <w:sz w:val="24"/>
          <w:szCs w:val="24"/>
          <w:highlight w:val="none"/>
          <w:lang w:val="en-US" w:eastAsia="zh-CN"/>
        </w:rPr>
        <w:t>专门面向中小企业（含中型、小型、微型企业）采购，</w:t>
      </w:r>
      <w:r>
        <w:rPr>
          <w:rFonts w:hint="eastAsia" w:ascii="仿宋" w:hAnsi="仿宋" w:eastAsia="仿宋" w:cs="仿宋"/>
          <w:b w:val="0"/>
          <w:bCs w:val="0"/>
          <w:sz w:val="24"/>
          <w:szCs w:val="24"/>
          <w:highlight w:val="none"/>
          <w:lang w:val="en-US" w:eastAsia="zh-CN"/>
        </w:rPr>
        <w:t>供应商应为中小企业</w:t>
      </w:r>
      <w:r>
        <w:rPr>
          <w:rFonts w:hint="eastAsia" w:ascii="仿宋" w:hAnsi="仿宋" w:eastAsia="仿宋" w:cs="仿宋"/>
          <w:b w:val="0"/>
          <w:bCs w:val="0"/>
          <w:color w:val="auto"/>
          <w:sz w:val="24"/>
          <w:szCs w:val="24"/>
          <w:highlight w:val="none"/>
          <w:lang w:val="en-US" w:eastAsia="zh-CN"/>
        </w:rPr>
        <w:t>或财库〔2014〕68号文规定的企业</w:t>
      </w:r>
      <w:r>
        <w:rPr>
          <w:rFonts w:hint="eastAsia" w:ascii="仿宋" w:hAnsi="仿宋" w:eastAsia="仿宋" w:cs="仿宋"/>
          <w:b w:val="0"/>
          <w:bCs w:val="0"/>
          <w:sz w:val="24"/>
          <w:szCs w:val="24"/>
          <w:highlight w:val="none"/>
          <w:lang w:val="en-US" w:eastAsia="zh-CN"/>
        </w:rPr>
        <w:t>或残疾人福利性单位。（以联合体形式参加政府采购活动，联合体各方均为中小企业的，联合体</w:t>
      </w:r>
    </w:p>
    <w:p w14:paraId="60B466FF">
      <w:pPr>
        <w:pStyle w:val="29"/>
        <w:keepNext w:val="0"/>
        <w:keepLines w:val="0"/>
        <w:pageBreakBefore w:val="0"/>
        <w:widowControl w:val="0"/>
        <w:kinsoku/>
        <w:wordWrap/>
        <w:overflowPunct/>
        <w:topLinePunct w:val="0"/>
        <w:bidi w:val="0"/>
        <w:adjustRightInd/>
        <w:snapToGrid/>
        <w:spacing w:after="0" w:line="500" w:lineRule="exact"/>
        <w:ind w:left="0" w:leftChars="0" w:firstLine="0"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视同中小企业。其中，联合体各方均为小微企业的，联合体视同小微企业</w:t>
      </w:r>
      <w:r>
        <w:rPr>
          <w:rFonts w:hint="eastAsia" w:ascii="仿宋" w:hAnsi="仿宋" w:eastAsia="仿宋" w:cs="仿宋"/>
          <w:b w:val="0"/>
          <w:bCs w:val="0"/>
          <w:color w:val="auto"/>
          <w:sz w:val="24"/>
          <w:szCs w:val="24"/>
          <w:highlight w:val="none"/>
          <w:lang w:val="en-US" w:eastAsia="zh-CN"/>
        </w:rPr>
        <w:t>）</w:t>
      </w:r>
    </w:p>
    <w:p w14:paraId="796DF7C4">
      <w:pPr>
        <w:pStyle w:val="42"/>
        <w:numPr>
          <w:ilvl w:val="0"/>
          <w:numId w:val="0"/>
        </w:numPr>
        <w:spacing w:line="440" w:lineRule="exact"/>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3.本项目的特定资格要求：</w:t>
      </w:r>
    </w:p>
    <w:p w14:paraId="57B4B439">
      <w:pPr>
        <w:pStyle w:val="42"/>
        <w:numPr>
          <w:ilvl w:val="0"/>
          <w:numId w:val="0"/>
        </w:numPr>
        <w:spacing w:line="440" w:lineRule="exact"/>
        <w:ind w:firstLine="480" w:firstLineChars="200"/>
        <w:jc w:val="left"/>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供应商具有国家行业主管部门核发的有效的会计师事务所执业证书。</w:t>
      </w:r>
    </w:p>
    <w:p w14:paraId="1F4F3928">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5" w:name="_Toc5651"/>
      <w:bookmarkStart w:id="6" w:name="_Toc19394"/>
      <w:r>
        <w:rPr>
          <w:rFonts w:hint="eastAsia" w:ascii="仿宋" w:hAnsi="仿宋" w:eastAsia="仿宋" w:cs="仿宋"/>
          <w:b/>
          <w:bCs/>
          <w:sz w:val="24"/>
          <w:szCs w:val="24"/>
          <w:highlight w:val="none"/>
          <w:lang w:val="en-US" w:eastAsia="zh-CN"/>
        </w:rPr>
        <w:t>获取采购文件</w:t>
      </w:r>
      <w:bookmarkEnd w:id="5"/>
      <w:bookmarkEnd w:id="6"/>
    </w:p>
    <w:p w14:paraId="28D2581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时间：</w:t>
      </w:r>
      <w:r>
        <w:rPr>
          <w:rFonts w:hint="eastAsia" w:ascii="仿宋" w:hAnsi="仿宋" w:eastAsia="仿宋" w:cs="仿宋"/>
          <w:color w:val="auto"/>
          <w:sz w:val="24"/>
          <w:szCs w:val="24"/>
          <w:highlight w:val="none"/>
          <w:lang w:eastAsia="zh-CN"/>
        </w:rPr>
        <w:t>2025年07月14日至2025年07月21日</w:t>
      </w:r>
      <w:r>
        <w:rPr>
          <w:rFonts w:hint="eastAsia" w:ascii="仿宋" w:hAnsi="仿宋" w:eastAsia="仿宋" w:cs="仿宋"/>
          <w:sz w:val="24"/>
          <w:szCs w:val="24"/>
          <w:highlight w:val="none"/>
        </w:rPr>
        <w:t>，每天上午</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:00至12:00，下午12:00至</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59</w:t>
      </w:r>
      <w:r>
        <w:rPr>
          <w:rFonts w:hint="eastAsia" w:ascii="仿宋" w:hAnsi="仿宋" w:eastAsia="仿宋" w:cs="仿宋"/>
          <w:sz w:val="24"/>
          <w:szCs w:val="24"/>
          <w:highlight w:val="none"/>
        </w:rPr>
        <w:t>（北京时间，法定节假日除外）</w:t>
      </w:r>
    </w:p>
    <w:p w14:paraId="390497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地点：政采云平台（https://www.zcygov.cn/）</w:t>
      </w:r>
    </w:p>
    <w:p w14:paraId="0DD82AD1">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方式：</w:t>
      </w:r>
      <w:r>
        <w:rPr>
          <w:rFonts w:hint="eastAsia" w:ascii="仿宋" w:hAnsi="仿宋" w:eastAsia="仿宋" w:cs="仿宋"/>
          <w:color w:val="auto"/>
          <w:sz w:val="24"/>
          <w:highlight w:val="none"/>
          <w:lang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13D1E2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rPr>
      </w:pPr>
      <w:r>
        <w:rPr>
          <w:rFonts w:hint="eastAsia" w:ascii="仿宋" w:hAnsi="仿宋" w:eastAsia="仿宋" w:cs="仿宋"/>
          <w:b w:val="0"/>
          <w:bCs w:val="0"/>
          <w:sz w:val="24"/>
          <w:szCs w:val="24"/>
          <w:highlight w:val="none"/>
          <w:lang w:val="en-US" w:eastAsia="zh-CN"/>
        </w:rPr>
        <w:t xml:space="preserve">售价（元）：0元 </w:t>
      </w:r>
    </w:p>
    <w:p w14:paraId="08DB2CBA">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rPr>
      </w:pPr>
      <w:bookmarkStart w:id="7" w:name="_Toc1511"/>
      <w:bookmarkStart w:id="8" w:name="_Toc30188"/>
      <w:r>
        <w:rPr>
          <w:rFonts w:hint="eastAsia" w:ascii="仿宋" w:hAnsi="仿宋" w:eastAsia="仿宋" w:cs="仿宋"/>
          <w:b/>
          <w:bCs/>
          <w:sz w:val="24"/>
          <w:szCs w:val="24"/>
          <w:highlight w:val="none"/>
          <w:lang w:val="en-US" w:eastAsia="zh-CN"/>
        </w:rPr>
        <w:t>响应文件提交</w:t>
      </w:r>
      <w:bookmarkEnd w:id="7"/>
      <w:bookmarkEnd w:id="8"/>
      <w:r>
        <w:rPr>
          <w:rFonts w:hint="eastAsia" w:ascii="仿宋" w:hAnsi="仿宋" w:eastAsia="仿宋" w:cs="仿宋"/>
          <w:b/>
          <w:bCs/>
          <w:sz w:val="24"/>
          <w:szCs w:val="24"/>
          <w:highlight w:val="none"/>
          <w:lang w:val="en-US" w:eastAsia="zh-CN"/>
        </w:rPr>
        <w:t xml:space="preserve"> </w:t>
      </w:r>
    </w:p>
    <w:p w14:paraId="73ABA59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截止时间：</w:t>
      </w:r>
      <w:r>
        <w:rPr>
          <w:rFonts w:hint="eastAsia" w:ascii="仿宋" w:hAnsi="仿宋" w:eastAsia="仿宋" w:cs="仿宋"/>
          <w:sz w:val="24"/>
          <w:szCs w:val="24"/>
          <w:highlight w:val="none"/>
          <w:lang w:eastAsia="zh-CN"/>
        </w:rPr>
        <w:t>2025年07月25日17:00（北京时间）</w:t>
      </w:r>
    </w:p>
    <w:p w14:paraId="094D7A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地    点：</w:t>
      </w:r>
      <w:r>
        <w:rPr>
          <w:rFonts w:hint="eastAsia" w:ascii="仿宋" w:hAnsi="仿宋" w:eastAsia="仿宋" w:cs="仿宋"/>
          <w:color w:val="auto"/>
          <w:sz w:val="24"/>
          <w:highlight w:val="none"/>
        </w:rPr>
        <w:t>政采云平台（https://www.zcygov.cn/），本项目采用不见面开标，加密的电子投标文件在投标截止时间前在政采云平台上传</w:t>
      </w:r>
      <w:r>
        <w:rPr>
          <w:rFonts w:hint="eastAsia" w:ascii="仿宋" w:hAnsi="仿宋" w:eastAsia="仿宋" w:cs="仿宋"/>
          <w:b w:val="0"/>
          <w:bCs w:val="0"/>
          <w:sz w:val="24"/>
          <w:szCs w:val="24"/>
          <w:highlight w:val="none"/>
          <w:lang w:val="en-US" w:eastAsia="zh-CN"/>
        </w:rPr>
        <w:t>。</w:t>
      </w:r>
    </w:p>
    <w:p w14:paraId="588776A9">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rPr>
      </w:pPr>
      <w:bookmarkStart w:id="9" w:name="_Toc1452"/>
      <w:bookmarkStart w:id="10" w:name="_Toc23021"/>
      <w:r>
        <w:rPr>
          <w:rFonts w:hint="eastAsia" w:ascii="仿宋" w:hAnsi="仿宋" w:eastAsia="仿宋" w:cs="仿宋"/>
          <w:b/>
          <w:bCs/>
          <w:sz w:val="24"/>
          <w:szCs w:val="24"/>
          <w:highlight w:val="none"/>
          <w:lang w:val="en-US" w:eastAsia="zh-CN"/>
        </w:rPr>
        <w:t>响应文件开启</w:t>
      </w:r>
      <w:bookmarkEnd w:id="9"/>
      <w:bookmarkEnd w:id="10"/>
    </w:p>
    <w:p w14:paraId="2839075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开标时间：</w:t>
      </w:r>
      <w:r>
        <w:rPr>
          <w:rFonts w:hint="eastAsia" w:ascii="仿宋" w:hAnsi="仿宋" w:eastAsia="仿宋" w:cs="仿宋"/>
          <w:sz w:val="24"/>
          <w:szCs w:val="24"/>
          <w:highlight w:val="none"/>
          <w:lang w:eastAsia="zh-CN"/>
        </w:rPr>
        <w:t>2025年07月25日17:00（北京时间）</w:t>
      </w:r>
    </w:p>
    <w:p w14:paraId="04D810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开标地点：政采云平台（https://www.zcygov.cn/）不见面开标系统</w:t>
      </w:r>
    </w:p>
    <w:p w14:paraId="3E92F6D8">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rPr>
      </w:pPr>
      <w:bookmarkStart w:id="11" w:name="_Toc20378"/>
      <w:bookmarkStart w:id="12" w:name="_Toc16334"/>
      <w:r>
        <w:rPr>
          <w:rFonts w:hint="eastAsia" w:ascii="仿宋" w:hAnsi="仿宋" w:eastAsia="仿宋" w:cs="仿宋"/>
          <w:b/>
          <w:bCs/>
          <w:sz w:val="24"/>
          <w:szCs w:val="24"/>
          <w:highlight w:val="none"/>
          <w:lang w:val="en-US" w:eastAsia="zh-CN"/>
        </w:rPr>
        <w:t>公告期限</w:t>
      </w:r>
      <w:bookmarkEnd w:id="11"/>
      <w:bookmarkEnd w:id="12"/>
      <w:r>
        <w:rPr>
          <w:rFonts w:hint="eastAsia" w:ascii="仿宋" w:hAnsi="仿宋" w:eastAsia="仿宋" w:cs="仿宋"/>
          <w:b/>
          <w:bCs/>
          <w:sz w:val="24"/>
          <w:szCs w:val="24"/>
          <w:highlight w:val="none"/>
          <w:lang w:val="en-US" w:eastAsia="zh-CN"/>
        </w:rPr>
        <w:t xml:space="preserve"> </w:t>
      </w:r>
    </w:p>
    <w:p w14:paraId="308259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自本公告发布之日起</w:t>
      </w: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rPr>
        <w:t>个工作日。</w:t>
      </w:r>
    </w:p>
    <w:p w14:paraId="78D76201">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rPr>
      </w:pPr>
      <w:bookmarkStart w:id="13" w:name="_Toc12168"/>
      <w:bookmarkStart w:id="14" w:name="_Toc28152"/>
      <w:r>
        <w:rPr>
          <w:rFonts w:hint="eastAsia" w:ascii="仿宋" w:hAnsi="仿宋" w:eastAsia="仿宋" w:cs="仿宋"/>
          <w:b/>
          <w:bCs/>
          <w:sz w:val="24"/>
          <w:szCs w:val="24"/>
          <w:highlight w:val="none"/>
          <w:lang w:val="en-US" w:eastAsia="zh-CN"/>
        </w:rPr>
        <w:t>其他补充事宜</w:t>
      </w:r>
      <w:bookmarkEnd w:id="13"/>
      <w:bookmarkEnd w:id="14"/>
      <w:r>
        <w:rPr>
          <w:rFonts w:hint="eastAsia" w:ascii="仿宋" w:hAnsi="仿宋" w:eastAsia="仿宋" w:cs="仿宋"/>
          <w:b/>
          <w:bCs/>
          <w:sz w:val="24"/>
          <w:szCs w:val="24"/>
          <w:highlight w:val="none"/>
          <w:lang w:val="en-US" w:eastAsia="zh-CN"/>
        </w:rPr>
        <w:t xml:space="preserve"> </w:t>
      </w:r>
    </w:p>
    <w:p w14:paraId="3AEF9E8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bookmarkStart w:id="15" w:name="_Toc10078"/>
      <w:r>
        <w:rPr>
          <w:rFonts w:hint="eastAsia" w:ascii="仿宋" w:hAnsi="仿宋" w:eastAsia="仿宋" w:cs="仿宋"/>
          <w:color w:val="auto"/>
          <w:sz w:val="24"/>
          <w:highlight w:val="none"/>
        </w:rPr>
        <w:t>1、本项目实行网上投标，采用电子投标文件。</w:t>
      </w:r>
    </w:p>
    <w:p w14:paraId="5FD60C8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p>
    <w:p w14:paraId="4F9475B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3、供应商将政采云电子交易客户端下载、安装完成后，可通过账号密码或CA登录客户端进行投标文件的制作。在使用政采云投标客户端时，建议使用WIN7及以上操作系统。</w:t>
      </w:r>
    </w:p>
    <w:p w14:paraId="5E1F2B5F">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、关于本项目所有公告、公示在新疆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兵团</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政府采购网发布。</w:t>
      </w:r>
    </w:p>
    <w:p w14:paraId="5F98F58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、请投标单位随时关注本项目的澄清、答疑、变更事项。</w:t>
      </w:r>
    </w:p>
    <w:p w14:paraId="45622601">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rPr>
      </w:pPr>
      <w:bookmarkStart w:id="16" w:name="_Toc26282"/>
      <w:r>
        <w:rPr>
          <w:rFonts w:hint="eastAsia" w:ascii="仿宋" w:hAnsi="仿宋" w:eastAsia="仿宋" w:cs="仿宋"/>
          <w:b/>
          <w:bCs/>
          <w:sz w:val="24"/>
          <w:szCs w:val="24"/>
          <w:highlight w:val="none"/>
        </w:rPr>
        <w:t>对本次采购提出询问，请按以下方式联系</w:t>
      </w:r>
      <w:bookmarkEnd w:id="15"/>
      <w:bookmarkEnd w:id="16"/>
    </w:p>
    <w:p w14:paraId="2551BB8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3072D5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名称：乌鲁木齐市天山区建设局　　　　　　　　　　　　</w:t>
      </w:r>
    </w:p>
    <w:p w14:paraId="1CA264A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地址：天山区东环路186号</w:t>
      </w:r>
    </w:p>
    <w:p w14:paraId="1814EBF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r>
        <w:rPr>
          <w:rFonts w:hint="eastAsia" w:ascii="仿宋" w:hAnsi="仿宋" w:eastAsia="仿宋" w:cs="仿宋"/>
          <w:color w:val="auto"/>
          <w:sz w:val="24"/>
          <w:highlight w:val="none"/>
          <w:lang w:val="en-US" w:eastAsia="zh-CN"/>
        </w:rPr>
        <w:t>0991-2650528</w:t>
      </w:r>
    </w:p>
    <w:p w14:paraId="689B7FE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p>
    <w:p w14:paraId="55372C6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eastAsia="zh-CN"/>
        </w:rPr>
        <w:t>新疆世纪星工程咨询有限公司</w:t>
      </w:r>
    </w:p>
    <w:p w14:paraId="5A7CF17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乌鲁木齐经济技术开发区二期黄山街一品九点阳光德港大厦B座20楼</w:t>
      </w:r>
    </w:p>
    <w:p w14:paraId="776D31F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eastAsia="zh-CN"/>
        </w:rPr>
        <w:t>13999295080</w:t>
      </w:r>
    </w:p>
    <w:p w14:paraId="76DBA07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3.项目联系方式</w:t>
      </w:r>
    </w:p>
    <w:p w14:paraId="60AF444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项目联系人：</w:t>
      </w:r>
      <w:r>
        <w:rPr>
          <w:rFonts w:hint="eastAsia" w:ascii="仿宋" w:hAnsi="仿宋" w:eastAsia="仿宋" w:cs="仿宋"/>
          <w:sz w:val="24"/>
          <w:szCs w:val="24"/>
          <w:highlight w:val="none"/>
          <w:lang w:val="en-US" w:eastAsia="zh-CN"/>
        </w:rPr>
        <w:t>李航、訾王贝、范燕娥、杜萍</w:t>
      </w:r>
    </w:p>
    <w:p w14:paraId="3C6928A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电话</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13999295080</w:t>
      </w:r>
    </w:p>
    <w:p w14:paraId="681103C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p>
    <w:p w14:paraId="36199D6E">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14:paraId="247D9BF0">
      <w:pPr>
        <w:pStyle w:val="2"/>
        <w:numPr>
          <w:ilvl w:val="0"/>
          <w:numId w:val="3"/>
        </w:numPr>
        <w:bidi w:val="0"/>
        <w:jc w:val="center"/>
        <w:rPr>
          <w:rFonts w:hint="eastAsia" w:ascii="仿宋" w:hAnsi="仿宋" w:eastAsia="仿宋" w:cs="仿宋"/>
          <w:sz w:val="32"/>
          <w:szCs w:val="32"/>
          <w:highlight w:val="none"/>
          <w:lang w:val="en-US" w:eastAsia="zh-CN"/>
        </w:rPr>
      </w:pPr>
      <w:bookmarkStart w:id="17" w:name="_Toc19526"/>
      <w:r>
        <w:rPr>
          <w:rFonts w:hint="eastAsia" w:ascii="仿宋" w:hAnsi="仿宋" w:eastAsia="仿宋" w:cs="仿宋"/>
          <w:sz w:val="32"/>
          <w:szCs w:val="32"/>
          <w:highlight w:val="none"/>
          <w:lang w:val="en-US" w:eastAsia="zh-CN"/>
        </w:rPr>
        <w:t>供应商须知前附表</w:t>
      </w:r>
      <w:bookmarkEnd w:id="17"/>
    </w:p>
    <w:p w14:paraId="16905682">
      <w:pPr>
        <w:rPr>
          <w:rFonts w:hint="eastAsia" w:ascii="仿宋" w:hAnsi="仿宋" w:eastAsia="仿宋" w:cs="仿宋"/>
          <w:sz w:val="24"/>
          <w:szCs w:val="24"/>
          <w:highlight w:val="none"/>
          <w:lang w:val="en-US" w:eastAsia="zh-CN"/>
        </w:rPr>
      </w:pPr>
    </w:p>
    <w:p w14:paraId="46A4FB1E">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auto"/>
          <w:sz w:val="24"/>
          <w:highlight w:val="none"/>
          <w:lang w:val="en-US" w:eastAsia="zh-CN"/>
        </w:rPr>
        <w:t>本表是本招标项目的具体资料，是对供应商须知的具体补充和修改，如有矛盾，均以本资料表为准。标记“☑”的选项意为适用于本项目，标记“□”的选项意为不适用于本项目。</w:t>
      </w:r>
    </w:p>
    <w:tbl>
      <w:tblPr>
        <w:tblStyle w:val="31"/>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219"/>
        <w:gridCol w:w="7817"/>
      </w:tblGrid>
      <w:tr w14:paraId="146CA8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19" w:type="dxa"/>
            <w:tcBorders>
              <w:tl2br w:val="nil"/>
              <w:tr2bl w:val="nil"/>
            </w:tcBorders>
            <w:vAlign w:val="center"/>
          </w:tcPr>
          <w:p w14:paraId="5282AC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highlight w:val="none"/>
                <w:vertAlign w:val="baseline"/>
              </w:rPr>
            </w:pPr>
            <w:r>
              <w:rPr>
                <w:rFonts w:hint="eastAsia" w:ascii="仿宋" w:hAnsi="仿宋" w:eastAsia="仿宋" w:cs="仿宋"/>
                <w:b/>
                <w:bCs/>
                <w:sz w:val="24"/>
                <w:szCs w:val="24"/>
                <w:highlight w:val="none"/>
                <w:vertAlign w:val="baseline"/>
                <w:lang w:val="en-US" w:eastAsia="zh-CN"/>
              </w:rPr>
              <w:t>条款号</w:t>
            </w:r>
          </w:p>
        </w:tc>
        <w:tc>
          <w:tcPr>
            <w:tcW w:w="7817" w:type="dxa"/>
            <w:tcBorders>
              <w:tl2br w:val="nil"/>
              <w:tr2bl w:val="nil"/>
            </w:tcBorders>
          </w:tcPr>
          <w:p w14:paraId="62D387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highlight w:val="none"/>
                <w:vertAlign w:val="baseline"/>
              </w:rPr>
            </w:pPr>
            <w:r>
              <w:rPr>
                <w:rFonts w:hint="eastAsia" w:ascii="仿宋" w:hAnsi="仿宋" w:eastAsia="仿宋" w:cs="仿宋"/>
                <w:b/>
                <w:bCs/>
                <w:sz w:val="24"/>
                <w:szCs w:val="24"/>
                <w:highlight w:val="none"/>
                <w:vertAlign w:val="baseline"/>
                <w:lang w:val="en-US" w:eastAsia="zh-CN"/>
              </w:rPr>
              <w:t>内容</w:t>
            </w:r>
          </w:p>
        </w:tc>
      </w:tr>
      <w:tr w14:paraId="151E17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19" w:type="dxa"/>
            <w:tcBorders>
              <w:tl2br w:val="nil"/>
              <w:tr2bl w:val="nil"/>
            </w:tcBorders>
            <w:vAlign w:val="center"/>
          </w:tcPr>
          <w:p w14:paraId="66F5CA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w:t>
            </w:r>
          </w:p>
        </w:tc>
        <w:tc>
          <w:tcPr>
            <w:tcW w:w="7817" w:type="dxa"/>
            <w:tcBorders>
              <w:tl2br w:val="nil"/>
              <w:tr2bl w:val="nil"/>
            </w:tcBorders>
            <w:vAlign w:val="center"/>
          </w:tcPr>
          <w:p w14:paraId="1DA7901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采购人：</w:t>
            </w:r>
            <w:r>
              <w:rPr>
                <w:rFonts w:hint="eastAsia" w:ascii="仿宋" w:hAnsi="仿宋" w:eastAsia="仿宋" w:cs="仿宋"/>
                <w:b w:val="0"/>
                <w:bCs w:val="0"/>
                <w:color w:val="auto"/>
                <w:kern w:val="0"/>
                <w:sz w:val="24"/>
                <w:szCs w:val="24"/>
                <w:highlight w:val="none"/>
                <w:u w:val="none"/>
                <w:vertAlign w:val="baseline"/>
                <w:lang w:val="en-US" w:eastAsia="zh-CN" w:bidi="ar"/>
              </w:rPr>
              <w:t>乌鲁木齐市天山区建设局</w:t>
            </w:r>
          </w:p>
          <w:p w14:paraId="0C244F2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地  址：天山区东环路186号</w:t>
            </w:r>
          </w:p>
          <w:p w14:paraId="6531EB2F">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highlight w:val="none"/>
                <w:u w:val="none"/>
                <w:vertAlign w:val="baseline"/>
                <w:lang w:val="en-US" w:eastAsia="zh-CN" w:bidi="ar"/>
              </w:rPr>
              <w:t>联系人：辛昌昊</w:t>
            </w:r>
          </w:p>
          <w:p w14:paraId="2CB1CC96">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b w:val="0"/>
                <w:bCs w:val="0"/>
                <w:color w:val="auto"/>
                <w:kern w:val="0"/>
                <w:sz w:val="24"/>
                <w:szCs w:val="24"/>
                <w:highlight w:val="none"/>
                <w:u w:val="none"/>
                <w:vertAlign w:val="baseline"/>
                <w:lang w:val="en-US" w:eastAsia="zh-CN" w:bidi="ar"/>
              </w:rPr>
              <w:t>联系电话：0991-2650528</w:t>
            </w:r>
          </w:p>
        </w:tc>
      </w:tr>
      <w:tr w14:paraId="72F49B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19" w:type="dxa"/>
            <w:tcBorders>
              <w:tl2br w:val="nil"/>
              <w:tr2bl w:val="nil"/>
            </w:tcBorders>
            <w:vAlign w:val="center"/>
          </w:tcPr>
          <w:p w14:paraId="4B690A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1.2</w:t>
            </w:r>
          </w:p>
        </w:tc>
        <w:tc>
          <w:tcPr>
            <w:tcW w:w="7817" w:type="dxa"/>
            <w:tcBorders>
              <w:tl2br w:val="nil"/>
              <w:tr2bl w:val="nil"/>
            </w:tcBorders>
            <w:vAlign w:val="center"/>
          </w:tcPr>
          <w:p w14:paraId="72C95A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采购代理机构：</w:t>
            </w:r>
            <w:r>
              <w:rPr>
                <w:rFonts w:hint="eastAsia" w:ascii="仿宋" w:hAnsi="仿宋" w:eastAsia="仿宋" w:cs="仿宋"/>
                <w:sz w:val="24"/>
                <w:szCs w:val="24"/>
                <w:highlight w:val="none"/>
                <w:vertAlign w:val="baseline"/>
                <w:lang w:eastAsia="zh-CN"/>
              </w:rPr>
              <w:t>新疆世纪星工程咨询有限公司</w:t>
            </w:r>
            <w:r>
              <w:rPr>
                <w:rFonts w:hint="eastAsia" w:ascii="仿宋" w:hAnsi="仿宋" w:eastAsia="仿宋" w:cs="仿宋"/>
                <w:sz w:val="24"/>
                <w:szCs w:val="24"/>
                <w:highlight w:val="none"/>
                <w:vertAlign w:val="baseline"/>
              </w:rPr>
              <w:t xml:space="preserve"> </w:t>
            </w:r>
          </w:p>
          <w:p w14:paraId="0EC9473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地址：</w:t>
            </w:r>
            <w:r>
              <w:rPr>
                <w:rFonts w:hint="eastAsia" w:ascii="仿宋" w:hAnsi="仿宋" w:eastAsia="仿宋" w:cs="仿宋"/>
                <w:sz w:val="24"/>
                <w:szCs w:val="24"/>
                <w:highlight w:val="none"/>
                <w:vertAlign w:val="baseline"/>
                <w:lang w:eastAsia="zh-CN"/>
              </w:rPr>
              <w:t>乌鲁木齐经济技术开发区二期黄山街一品九点阳光德港大厦B座20楼</w:t>
            </w:r>
          </w:p>
          <w:p w14:paraId="38CC868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联系人：</w:t>
            </w:r>
            <w:r>
              <w:rPr>
                <w:rFonts w:hint="eastAsia" w:ascii="仿宋" w:hAnsi="仿宋" w:eastAsia="仿宋" w:cs="仿宋"/>
                <w:sz w:val="24"/>
                <w:szCs w:val="24"/>
                <w:highlight w:val="none"/>
                <w:lang w:val="en-US" w:eastAsia="zh-CN"/>
              </w:rPr>
              <w:t>李航、訾王贝、范燕娥、杜萍</w:t>
            </w:r>
          </w:p>
          <w:p w14:paraId="784D0A1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联系</w:t>
            </w:r>
            <w:r>
              <w:rPr>
                <w:rFonts w:hint="eastAsia" w:ascii="仿宋" w:hAnsi="仿宋" w:eastAsia="仿宋" w:cs="仿宋"/>
                <w:sz w:val="24"/>
                <w:szCs w:val="24"/>
                <w:highlight w:val="none"/>
                <w:vertAlign w:val="baseline"/>
              </w:rPr>
              <w:t>电话：</w:t>
            </w:r>
            <w:r>
              <w:rPr>
                <w:rFonts w:hint="eastAsia" w:ascii="仿宋" w:hAnsi="仿宋" w:eastAsia="仿宋" w:cs="仿宋"/>
                <w:sz w:val="24"/>
                <w:szCs w:val="24"/>
                <w:highlight w:val="none"/>
                <w:vertAlign w:val="baseline"/>
                <w:lang w:eastAsia="zh-CN"/>
              </w:rPr>
              <w:t>13999295080</w:t>
            </w:r>
          </w:p>
          <w:p w14:paraId="51F936C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电子邮箱：</w:t>
            </w:r>
            <w:r>
              <w:rPr>
                <w:rFonts w:hint="eastAsia" w:ascii="仿宋" w:hAnsi="仿宋" w:eastAsia="仿宋" w:cs="仿宋"/>
                <w:sz w:val="24"/>
                <w:szCs w:val="24"/>
                <w:highlight w:val="none"/>
                <w:lang w:val="en-US" w:eastAsia="zh-CN"/>
              </w:rPr>
              <w:t>1814019006@qq.com</w:t>
            </w:r>
          </w:p>
        </w:tc>
      </w:tr>
      <w:tr w14:paraId="096D68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19" w:type="dxa"/>
            <w:tcBorders>
              <w:tl2br w:val="nil"/>
              <w:tr2bl w:val="nil"/>
            </w:tcBorders>
            <w:vAlign w:val="center"/>
          </w:tcPr>
          <w:p w14:paraId="17C7E2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1.3.3</w:t>
            </w:r>
          </w:p>
        </w:tc>
        <w:tc>
          <w:tcPr>
            <w:tcW w:w="7817" w:type="dxa"/>
            <w:tcBorders>
              <w:tl2br w:val="nil"/>
              <w:tr2bl w:val="nil"/>
            </w:tcBorders>
            <w:vAlign w:val="center"/>
          </w:tcPr>
          <w:p w14:paraId="0E14A61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rPr>
              <w:t>合格</w:t>
            </w:r>
            <w:r>
              <w:rPr>
                <w:rFonts w:hint="eastAsia" w:ascii="仿宋" w:hAnsi="仿宋" w:eastAsia="仿宋" w:cs="仿宋"/>
                <w:sz w:val="24"/>
                <w:szCs w:val="24"/>
                <w:highlight w:val="none"/>
                <w:vertAlign w:val="baseline"/>
                <w:lang w:val="en-US" w:eastAsia="zh-CN"/>
              </w:rPr>
              <w:t>供应商</w:t>
            </w:r>
            <w:r>
              <w:rPr>
                <w:rFonts w:hint="eastAsia" w:ascii="仿宋" w:hAnsi="仿宋" w:eastAsia="仿宋" w:cs="仿宋"/>
                <w:sz w:val="24"/>
                <w:szCs w:val="24"/>
                <w:highlight w:val="none"/>
                <w:vertAlign w:val="baseline"/>
              </w:rPr>
              <w:t>的其他资格要求：</w:t>
            </w:r>
            <w:r>
              <w:rPr>
                <w:rFonts w:hint="eastAsia" w:ascii="仿宋" w:hAnsi="仿宋" w:eastAsia="仿宋" w:cs="仿宋"/>
                <w:sz w:val="24"/>
                <w:highlight w:val="none"/>
              </w:rPr>
              <w:t>供应商未被列入“信用中国”网站（ www.creditchina.gov.cn）信用记录失信被执行人、税收违法黑名单以及政府采购严重违法失信行为记录名单。</w:t>
            </w:r>
          </w:p>
        </w:tc>
      </w:tr>
      <w:tr w14:paraId="6CAA43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19" w:type="dxa"/>
            <w:tcBorders>
              <w:tl2br w:val="nil"/>
              <w:tr2bl w:val="nil"/>
            </w:tcBorders>
            <w:vAlign w:val="center"/>
          </w:tcPr>
          <w:p w14:paraId="6CB465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w:t>
            </w:r>
          </w:p>
        </w:tc>
        <w:tc>
          <w:tcPr>
            <w:tcW w:w="7817" w:type="dxa"/>
            <w:tcBorders>
              <w:tl2br w:val="nil"/>
              <w:tr2bl w:val="nil"/>
            </w:tcBorders>
            <w:vAlign w:val="center"/>
          </w:tcPr>
          <w:p w14:paraId="5031F7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是否允许采购进口产品：否</w:t>
            </w:r>
          </w:p>
        </w:tc>
      </w:tr>
      <w:tr w14:paraId="2786CE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19" w:type="dxa"/>
            <w:tcBorders>
              <w:tl2br w:val="nil"/>
              <w:tr2bl w:val="nil"/>
            </w:tcBorders>
            <w:shd w:val="clear" w:color="auto" w:fill="auto"/>
            <w:vAlign w:val="center"/>
          </w:tcPr>
          <w:p w14:paraId="3D5E0138">
            <w:pPr>
              <w:spacing w:line="500" w:lineRule="exact"/>
              <w:jc w:val="center"/>
              <w:rPr>
                <w:rFonts w:hint="eastAsia" w:ascii="仿宋" w:hAnsi="仿宋" w:eastAsia="仿宋" w:cs="仿宋_GB2312"/>
                <w:kern w:val="2"/>
                <w:sz w:val="24"/>
                <w:szCs w:val="24"/>
                <w:lang w:val="en-US" w:eastAsia="zh-CN" w:bidi="ar-SA"/>
              </w:rPr>
            </w:pPr>
            <w:r>
              <w:rPr>
                <w:rFonts w:hint="eastAsia" w:ascii="仿宋" w:hAnsi="仿宋" w:eastAsia="仿宋" w:cs="仿宋_GB2312"/>
              </w:rPr>
              <w:t>1.5.1</w:t>
            </w:r>
          </w:p>
        </w:tc>
        <w:tc>
          <w:tcPr>
            <w:tcW w:w="7817" w:type="dxa"/>
            <w:tcBorders>
              <w:tl2br w:val="nil"/>
              <w:tr2bl w:val="nil"/>
            </w:tcBorders>
            <w:shd w:val="clear" w:color="auto" w:fill="auto"/>
            <w:vAlign w:val="center"/>
          </w:tcPr>
          <w:p w14:paraId="5FD3521C">
            <w:pPr>
              <w:spacing w:line="440" w:lineRule="exact"/>
              <w:rPr>
                <w:rFonts w:hint="eastAsia" w:ascii="仿宋" w:hAnsi="仿宋" w:eastAsia="仿宋" w:cs="仿宋_GB2312"/>
              </w:rPr>
            </w:pPr>
            <w:r>
              <w:rPr>
                <w:rFonts w:hint="eastAsia" w:ascii="仿宋" w:hAnsi="仿宋" w:eastAsia="仿宋" w:cs="仿宋_GB2312"/>
              </w:rPr>
              <w:t>本项目采购标的对应的中小企业划分标准所属行业：</w:t>
            </w:r>
          </w:p>
          <w:tbl>
            <w:tblPr>
              <w:tblStyle w:val="31"/>
              <w:tblW w:w="7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827"/>
              <w:gridCol w:w="2631"/>
            </w:tblGrid>
            <w:tr w14:paraId="08EB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79" w:type="dxa"/>
                  <w:vAlign w:val="center"/>
                </w:tcPr>
                <w:p w14:paraId="413FFDAA">
                  <w:pPr>
                    <w:pStyle w:val="29"/>
                    <w:spacing w:after="0" w:line="440" w:lineRule="exact"/>
                    <w:ind w:left="0" w:leftChars="0" w:firstLine="0" w:firstLineChars="0"/>
                    <w:jc w:val="center"/>
                    <w:rPr>
                      <w:rFonts w:hint="eastAsia" w:ascii="仿宋" w:hAnsi="仿宋" w:eastAsia="仿宋" w:cs="仿宋"/>
                    </w:rPr>
                  </w:pPr>
                  <w:r>
                    <w:rPr>
                      <w:rFonts w:hint="eastAsia" w:ascii="仿宋" w:hAnsi="仿宋" w:eastAsia="仿宋" w:cs="仿宋"/>
                    </w:rPr>
                    <w:t>包号</w:t>
                  </w:r>
                </w:p>
              </w:tc>
              <w:tc>
                <w:tcPr>
                  <w:tcW w:w="3827" w:type="dxa"/>
                  <w:vAlign w:val="center"/>
                </w:tcPr>
                <w:p w14:paraId="3CF6BC8B">
                  <w:pPr>
                    <w:pStyle w:val="29"/>
                    <w:spacing w:after="0" w:line="440" w:lineRule="exact"/>
                    <w:ind w:left="0" w:leftChars="0" w:firstLine="0" w:firstLineChars="0"/>
                    <w:jc w:val="center"/>
                    <w:rPr>
                      <w:rFonts w:hint="eastAsia" w:ascii="仿宋" w:hAnsi="仿宋" w:eastAsia="仿宋" w:cs="仿宋"/>
                    </w:rPr>
                  </w:pPr>
                  <w:r>
                    <w:rPr>
                      <w:rFonts w:hint="eastAsia" w:ascii="仿宋" w:hAnsi="仿宋" w:eastAsia="仿宋" w:cs="仿宋"/>
                    </w:rPr>
                    <w:t>标的名称</w:t>
                  </w:r>
                </w:p>
              </w:tc>
              <w:tc>
                <w:tcPr>
                  <w:tcW w:w="2631" w:type="dxa"/>
                  <w:vAlign w:val="center"/>
                </w:tcPr>
                <w:p w14:paraId="37FE0235">
                  <w:pPr>
                    <w:pStyle w:val="29"/>
                    <w:spacing w:after="0" w:line="440" w:lineRule="exact"/>
                    <w:ind w:left="0" w:leftChars="0" w:firstLine="0" w:firstLineChars="0"/>
                    <w:jc w:val="center"/>
                    <w:rPr>
                      <w:rFonts w:hint="eastAsia" w:ascii="仿宋" w:hAnsi="仿宋" w:eastAsia="仿宋" w:cs="仿宋"/>
                    </w:rPr>
                  </w:pPr>
                  <w:r>
                    <w:rPr>
                      <w:rFonts w:hint="eastAsia" w:ascii="仿宋" w:hAnsi="仿宋" w:eastAsia="仿宋" w:cs="仿宋"/>
                    </w:rPr>
                    <w:t>中小企业划分标准所属行业</w:t>
                  </w:r>
                </w:p>
              </w:tc>
            </w:tr>
            <w:tr w14:paraId="22DE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79" w:type="dxa"/>
                  <w:vAlign w:val="center"/>
                </w:tcPr>
                <w:p w14:paraId="079F9DFD">
                  <w:pPr>
                    <w:pStyle w:val="29"/>
                    <w:spacing w:after="0" w:line="440" w:lineRule="exact"/>
                    <w:ind w:left="0" w:leftChars="0" w:firstLine="0" w:firstLineChars="0"/>
                    <w:jc w:val="center"/>
                    <w:rPr>
                      <w:rFonts w:hint="eastAsia" w:ascii="仿宋" w:hAnsi="仿宋" w:eastAsia="仿宋" w:cs="仿宋"/>
                      <w:lang w:eastAsia="zh-CN"/>
                    </w:rPr>
                  </w:pPr>
                  <w:r>
                    <w:rPr>
                      <w:rFonts w:hint="eastAsia" w:ascii="仿宋" w:hAnsi="仿宋" w:eastAsia="仿宋" w:cs="仿宋"/>
                      <w:lang w:val="en-US" w:eastAsia="zh-CN"/>
                    </w:rPr>
                    <w:t>1</w:t>
                  </w:r>
                </w:p>
              </w:tc>
              <w:tc>
                <w:tcPr>
                  <w:tcW w:w="3827" w:type="dxa"/>
                  <w:vAlign w:val="center"/>
                </w:tcPr>
                <w:p w14:paraId="742E28C5">
                  <w:pPr>
                    <w:pStyle w:val="29"/>
                    <w:spacing w:after="0" w:line="440" w:lineRule="exact"/>
                    <w:ind w:left="0" w:leftChars="0" w:firstLine="0" w:firstLineChars="0"/>
                    <w:jc w:val="center"/>
                    <w:rPr>
                      <w:rFonts w:hint="eastAsia" w:ascii="仿宋" w:hAnsi="仿宋" w:eastAsia="仿宋" w:cs="仿宋"/>
                      <w:lang w:val="en-US" w:eastAsia="zh-CN"/>
                    </w:rPr>
                  </w:pPr>
                  <w:r>
                    <w:rPr>
                      <w:rFonts w:hint="eastAsia" w:ascii="仿宋" w:hAnsi="仿宋" w:eastAsia="仿宋" w:cs="仿宋"/>
                      <w:sz w:val="24"/>
                      <w:szCs w:val="24"/>
                      <w:highlight w:val="none"/>
                      <w:lang w:eastAsia="zh-CN"/>
                    </w:rPr>
                    <w:t>2019年天山区老城区(棚户区)房屋功能完善项目</w:t>
                  </w:r>
                  <w:r>
                    <w:rPr>
                      <w:rFonts w:hint="eastAsia" w:ascii="仿宋" w:hAnsi="仿宋" w:eastAsia="仿宋" w:cs="仿宋_GB2312"/>
                    </w:rPr>
                    <w:t>未作二审的施工标段进行二审结算</w:t>
                  </w:r>
                </w:p>
              </w:tc>
              <w:tc>
                <w:tcPr>
                  <w:tcW w:w="2631" w:type="dxa"/>
                  <w:vAlign w:val="center"/>
                </w:tcPr>
                <w:p w14:paraId="28AE54B4">
                  <w:pPr>
                    <w:pStyle w:val="29"/>
                    <w:spacing w:after="0" w:line="440" w:lineRule="exact"/>
                    <w:ind w:left="0" w:leftChars="0" w:firstLine="0" w:firstLineChars="0"/>
                    <w:jc w:val="center"/>
                    <w:rPr>
                      <w:rFonts w:hint="eastAsia" w:ascii="仿宋" w:hAnsi="仿宋" w:eastAsia="仿宋" w:cs="仿宋"/>
                    </w:rPr>
                  </w:pPr>
                  <w:r>
                    <w:rPr>
                      <w:rFonts w:hint="eastAsia" w:ascii="仿宋" w:hAnsi="仿宋" w:eastAsia="仿宋" w:cs="仿宋"/>
                    </w:rPr>
                    <w:t>其他未列明行业</w:t>
                  </w:r>
                </w:p>
              </w:tc>
            </w:tr>
            <w:tr w14:paraId="4FF1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79" w:type="dxa"/>
                  <w:vAlign w:val="center"/>
                </w:tcPr>
                <w:p w14:paraId="75FCE527">
                  <w:pPr>
                    <w:pStyle w:val="29"/>
                    <w:spacing w:after="0" w:line="440" w:lineRule="exact"/>
                    <w:ind w:left="0" w:leftChars="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3827" w:type="dxa"/>
                  <w:vAlign w:val="center"/>
                </w:tcPr>
                <w:p w14:paraId="6E46D010">
                  <w:pPr>
                    <w:pStyle w:val="29"/>
                    <w:spacing w:after="0" w:line="440" w:lineRule="exact"/>
                    <w:ind w:left="0" w:leftChars="0" w:firstLine="0" w:firstLineChars="0"/>
                    <w:jc w:val="center"/>
                    <w:rPr>
                      <w:rFonts w:hint="default" w:ascii="仿宋" w:hAnsi="仿宋" w:eastAsia="仿宋" w:cs="仿宋_GB2312"/>
                      <w:lang w:val="en-US"/>
                    </w:rPr>
                  </w:pPr>
                  <w:r>
                    <w:rPr>
                      <w:rFonts w:hint="eastAsia" w:ascii="仿宋" w:hAnsi="仿宋" w:eastAsia="仿宋" w:cs="仿宋"/>
                      <w:sz w:val="24"/>
                      <w:szCs w:val="24"/>
                      <w:highlight w:val="none"/>
                      <w:lang w:eastAsia="zh-CN"/>
                    </w:rPr>
                    <w:t>2019年天山区老城区(棚户区)房屋功能完善项目</w:t>
                  </w:r>
                  <w:r>
                    <w:rPr>
                      <w:rFonts w:hint="eastAsia" w:ascii="仿宋" w:hAnsi="仿宋" w:eastAsia="仿宋" w:cs="仿宋"/>
                      <w:sz w:val="24"/>
                      <w:szCs w:val="24"/>
                      <w:highlight w:val="none"/>
                      <w:lang w:val="en-US" w:eastAsia="zh-CN"/>
                    </w:rPr>
                    <w:t>竣工决算</w:t>
                  </w:r>
                </w:p>
              </w:tc>
              <w:tc>
                <w:tcPr>
                  <w:tcW w:w="2631" w:type="dxa"/>
                  <w:vAlign w:val="center"/>
                </w:tcPr>
                <w:p w14:paraId="6C1D8D37">
                  <w:pPr>
                    <w:pStyle w:val="29"/>
                    <w:spacing w:after="0" w:line="440" w:lineRule="exact"/>
                    <w:ind w:left="0" w:leftChars="0" w:firstLine="0" w:firstLineChars="0"/>
                    <w:jc w:val="center"/>
                    <w:rPr>
                      <w:rFonts w:hint="eastAsia" w:ascii="仿宋" w:hAnsi="仿宋" w:eastAsia="仿宋" w:cs="仿宋"/>
                    </w:rPr>
                  </w:pPr>
                  <w:r>
                    <w:rPr>
                      <w:rFonts w:hint="eastAsia" w:ascii="仿宋" w:hAnsi="仿宋" w:eastAsia="仿宋" w:cs="仿宋"/>
                    </w:rPr>
                    <w:t>租赁和商务服务业</w:t>
                  </w:r>
                </w:p>
              </w:tc>
            </w:tr>
          </w:tbl>
          <w:p w14:paraId="1285E125">
            <w:pPr>
              <w:spacing w:line="500" w:lineRule="exact"/>
              <w:rPr>
                <w:rFonts w:hint="eastAsia" w:ascii="仿宋" w:hAnsi="仿宋" w:eastAsia="仿宋" w:cs="仿宋_GB2312"/>
                <w:kern w:val="2"/>
                <w:sz w:val="24"/>
                <w:szCs w:val="24"/>
                <w:lang w:val="en-US" w:eastAsia="zh-CN" w:bidi="ar-SA"/>
              </w:rPr>
            </w:pPr>
          </w:p>
        </w:tc>
      </w:tr>
      <w:tr w14:paraId="08716C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19" w:type="dxa"/>
            <w:tcBorders>
              <w:tl2br w:val="nil"/>
              <w:tr2bl w:val="nil"/>
            </w:tcBorders>
            <w:vAlign w:val="center"/>
          </w:tcPr>
          <w:p w14:paraId="1C10B079">
            <w:pPr>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1.5.2</w:t>
            </w:r>
          </w:p>
        </w:tc>
        <w:tc>
          <w:tcPr>
            <w:tcW w:w="7817" w:type="dxa"/>
            <w:tcBorders>
              <w:tl2br w:val="nil"/>
              <w:tr2bl w:val="nil"/>
            </w:tcBorders>
            <w:vAlign w:val="center"/>
          </w:tcPr>
          <w:p w14:paraId="61ED751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本项目不专门面向中小企业预留采购份额。</w:t>
            </w:r>
          </w:p>
          <w:p w14:paraId="768903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highlight w:val="none"/>
                <w:lang w:val="en-US" w:eastAsia="zh-CN"/>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本项目专门面向中小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含中型、小型、微型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企业采购。即: </w:t>
            </w:r>
            <w:r>
              <w:rPr>
                <w:rFonts w:hint="eastAsia" w:ascii="仿宋" w:hAnsi="仿宋" w:eastAsia="仿宋" w:cs="仿宋"/>
                <w:color w:val="auto"/>
                <w:sz w:val="24"/>
                <w:highlight w:val="none"/>
                <w:lang w:val="en-US" w:eastAsia="zh-CN"/>
              </w:rPr>
              <w:t>【货物类项目】</w:t>
            </w:r>
            <w:r>
              <w:rPr>
                <w:rFonts w:hint="eastAsia" w:ascii="仿宋" w:hAnsi="仿宋" w:eastAsia="仿宋" w:cs="仿宋"/>
                <w:color w:val="auto"/>
                <w:sz w:val="24"/>
                <w:highlight w:val="none"/>
              </w:rPr>
              <w:t>提供的货物全部由符合政策要求的中小企业</w:t>
            </w:r>
            <w:r>
              <w:rPr>
                <w:rFonts w:hint="eastAsia" w:ascii="仿宋" w:hAnsi="仿宋" w:eastAsia="仿宋" w:cs="仿宋"/>
                <w:b w:val="0"/>
                <w:bCs w:val="0"/>
                <w:sz w:val="24"/>
                <w:szCs w:val="24"/>
                <w:highlight w:val="none"/>
                <w:lang w:val="en-US" w:eastAsia="zh-CN"/>
              </w:rPr>
              <w:t>或监狱企业或残疾人福利性单位所</w:t>
            </w:r>
            <w:r>
              <w:rPr>
                <w:rFonts w:hint="eastAsia" w:ascii="仿宋" w:hAnsi="仿宋" w:eastAsia="仿宋" w:cs="仿宋"/>
                <w:color w:val="auto"/>
                <w:sz w:val="24"/>
                <w:highlight w:val="none"/>
              </w:rPr>
              <w:t>制造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工程类项目】</w:t>
            </w:r>
            <w:r>
              <w:rPr>
                <w:rFonts w:hint="eastAsia" w:ascii="仿宋" w:hAnsi="仿宋" w:eastAsia="仿宋" w:cs="仿宋"/>
                <w:color w:val="auto"/>
                <w:sz w:val="24"/>
                <w:highlight w:val="none"/>
              </w:rPr>
              <w:t>服务(或工程) 由符合政策要求的中小企业</w:t>
            </w:r>
            <w:r>
              <w:rPr>
                <w:rFonts w:hint="eastAsia" w:ascii="仿宋" w:hAnsi="仿宋" w:eastAsia="仿宋" w:cs="仿宋"/>
                <w:sz w:val="24"/>
                <w:highlight w:val="none"/>
                <w:lang w:val="en-US" w:eastAsia="zh-CN"/>
              </w:rPr>
              <w:t>或监狱企业或残疾人福利性单位承接。</w:t>
            </w:r>
          </w:p>
          <w:p w14:paraId="1F3F4A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本项目专门面向</w:t>
            </w:r>
            <w:r>
              <w:rPr>
                <w:rFonts w:hint="eastAsia" w:ascii="仿宋" w:hAnsi="仿宋" w:eastAsia="仿宋" w:cs="仿宋"/>
                <w:color w:val="auto"/>
                <w:sz w:val="24"/>
                <w:highlight w:val="none"/>
                <w:lang w:val="en-US" w:eastAsia="zh-CN"/>
              </w:rPr>
              <w:t>小微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含小型、微型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企业采购。即: </w:t>
            </w:r>
            <w:r>
              <w:rPr>
                <w:rFonts w:hint="eastAsia" w:ascii="仿宋" w:hAnsi="仿宋" w:eastAsia="仿宋" w:cs="仿宋"/>
                <w:color w:val="auto"/>
                <w:sz w:val="24"/>
                <w:highlight w:val="none"/>
                <w:lang w:val="en-US" w:eastAsia="zh-CN"/>
              </w:rPr>
              <w:t>【货物类项目】</w:t>
            </w:r>
            <w:r>
              <w:rPr>
                <w:rFonts w:hint="eastAsia" w:ascii="仿宋" w:hAnsi="仿宋" w:eastAsia="仿宋" w:cs="仿宋"/>
                <w:color w:val="auto"/>
                <w:sz w:val="24"/>
                <w:highlight w:val="none"/>
              </w:rPr>
              <w:t>提供的货物全部由符合政策要求的</w:t>
            </w:r>
            <w:r>
              <w:rPr>
                <w:rFonts w:hint="eastAsia" w:ascii="仿宋" w:hAnsi="仿宋" w:eastAsia="仿宋" w:cs="仿宋"/>
                <w:color w:val="auto"/>
                <w:sz w:val="24"/>
                <w:highlight w:val="none"/>
                <w:lang w:val="en-US" w:eastAsia="zh-CN"/>
              </w:rPr>
              <w:t>小微</w:t>
            </w:r>
            <w:r>
              <w:rPr>
                <w:rFonts w:hint="eastAsia" w:ascii="仿宋" w:hAnsi="仿宋" w:eastAsia="仿宋" w:cs="仿宋"/>
                <w:color w:val="auto"/>
                <w:sz w:val="24"/>
                <w:highlight w:val="none"/>
              </w:rPr>
              <w:t>企业</w:t>
            </w:r>
            <w:r>
              <w:rPr>
                <w:rFonts w:hint="eastAsia" w:ascii="仿宋" w:hAnsi="仿宋" w:eastAsia="仿宋" w:cs="仿宋"/>
                <w:b w:val="0"/>
                <w:bCs w:val="0"/>
                <w:sz w:val="24"/>
                <w:szCs w:val="24"/>
                <w:highlight w:val="none"/>
                <w:lang w:val="en-US" w:eastAsia="zh-CN"/>
              </w:rPr>
              <w:t>或监狱企业或残疾人福利性单位所</w:t>
            </w:r>
            <w:r>
              <w:rPr>
                <w:rFonts w:hint="eastAsia" w:ascii="仿宋" w:hAnsi="仿宋" w:eastAsia="仿宋" w:cs="仿宋"/>
                <w:color w:val="auto"/>
                <w:sz w:val="24"/>
                <w:highlight w:val="none"/>
              </w:rPr>
              <w:t>制造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工程类项目】</w:t>
            </w:r>
            <w:r>
              <w:rPr>
                <w:rFonts w:hint="eastAsia" w:ascii="仿宋" w:hAnsi="仿宋" w:eastAsia="仿宋" w:cs="仿宋"/>
                <w:color w:val="auto"/>
                <w:sz w:val="24"/>
                <w:highlight w:val="none"/>
              </w:rPr>
              <w:t>服务(或工程) 由符合政策要求的</w:t>
            </w:r>
            <w:r>
              <w:rPr>
                <w:rFonts w:hint="eastAsia" w:ascii="仿宋" w:hAnsi="仿宋" w:eastAsia="仿宋" w:cs="仿宋"/>
                <w:color w:val="auto"/>
                <w:sz w:val="24"/>
                <w:highlight w:val="none"/>
                <w:lang w:val="en-US" w:eastAsia="zh-CN"/>
              </w:rPr>
              <w:t>小微</w:t>
            </w:r>
            <w:r>
              <w:rPr>
                <w:rFonts w:hint="eastAsia" w:ascii="仿宋" w:hAnsi="仿宋" w:eastAsia="仿宋" w:cs="仿宋"/>
                <w:color w:val="auto"/>
                <w:sz w:val="24"/>
                <w:highlight w:val="none"/>
              </w:rPr>
              <w:t>企业</w:t>
            </w:r>
            <w:r>
              <w:rPr>
                <w:rFonts w:hint="eastAsia" w:ascii="仿宋" w:hAnsi="仿宋" w:eastAsia="仿宋" w:cs="仿宋"/>
                <w:sz w:val="24"/>
                <w:highlight w:val="none"/>
                <w:lang w:val="en-US" w:eastAsia="zh-CN"/>
              </w:rPr>
              <w:t>或监狱企业或残疾人福利性单位承接。</w:t>
            </w:r>
          </w:p>
          <w:p w14:paraId="6C5C187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本项目预留部分采购项目预算专门面向中小企业采购。对于预留份额，</w:t>
            </w:r>
            <w:r>
              <w:rPr>
                <w:rFonts w:hint="eastAsia" w:ascii="仿宋" w:hAnsi="仿宋" w:eastAsia="仿宋" w:cs="仿宋"/>
                <w:color w:val="auto"/>
                <w:sz w:val="24"/>
                <w:highlight w:val="none"/>
                <w:lang w:val="en-US" w:eastAsia="zh-CN"/>
              </w:rPr>
              <w:t>【货物类项目】</w:t>
            </w:r>
            <w:r>
              <w:rPr>
                <w:rFonts w:hint="eastAsia" w:ascii="仿宋" w:hAnsi="仿宋" w:eastAsia="仿宋" w:cs="仿宋"/>
                <w:color w:val="auto"/>
                <w:sz w:val="24"/>
                <w:highlight w:val="none"/>
              </w:rPr>
              <w:t>提供的货物由符合政策要求的中小企业</w:t>
            </w:r>
            <w:r>
              <w:rPr>
                <w:rFonts w:hint="eastAsia" w:ascii="仿宋" w:hAnsi="仿宋" w:eastAsia="仿宋" w:cs="仿宋"/>
                <w:b w:val="0"/>
                <w:bCs w:val="0"/>
                <w:sz w:val="24"/>
                <w:szCs w:val="24"/>
                <w:highlight w:val="none"/>
                <w:lang w:val="en-US" w:eastAsia="zh-CN"/>
              </w:rPr>
              <w:t>或监狱企业或残疾人福利性单位所</w:t>
            </w:r>
            <w:r>
              <w:rPr>
                <w:rFonts w:hint="eastAsia" w:ascii="仿宋" w:hAnsi="仿宋" w:eastAsia="仿宋" w:cs="仿宋"/>
                <w:color w:val="auto"/>
                <w:sz w:val="24"/>
                <w:highlight w:val="none"/>
              </w:rPr>
              <w:t>制造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工程类项目】</w:t>
            </w:r>
            <w:r>
              <w:rPr>
                <w:rFonts w:hint="eastAsia" w:ascii="仿宋" w:hAnsi="仿宋" w:eastAsia="仿宋" w:cs="仿宋"/>
                <w:color w:val="auto"/>
                <w:sz w:val="24"/>
                <w:highlight w:val="none"/>
              </w:rPr>
              <w:t>服务(或工程) 由符合政策要求的中小企业</w:t>
            </w:r>
            <w:r>
              <w:rPr>
                <w:rFonts w:hint="eastAsia" w:ascii="仿宋" w:hAnsi="仿宋" w:eastAsia="仿宋" w:cs="仿宋"/>
                <w:sz w:val="24"/>
                <w:highlight w:val="none"/>
                <w:lang w:val="en-US" w:eastAsia="zh-CN"/>
              </w:rPr>
              <w:t>或监狱企业或残疾人福利性单位</w:t>
            </w:r>
            <w:r>
              <w:rPr>
                <w:rFonts w:hint="eastAsia" w:ascii="仿宋" w:hAnsi="仿宋" w:eastAsia="仿宋" w:cs="仿宋"/>
                <w:color w:val="auto"/>
                <w:sz w:val="24"/>
                <w:highlight w:val="none"/>
              </w:rPr>
              <w:t>承接。预留份额通过以下措施进行</w:t>
            </w:r>
            <w:r>
              <w:rPr>
                <w:rFonts w:hint="eastAsia" w:ascii="仿宋" w:hAnsi="仿宋" w:eastAsia="仿宋" w:cs="仿宋"/>
                <w:color w:val="auto"/>
                <w:sz w:val="24"/>
                <w:highlight w:val="none"/>
                <w:lang w:eastAsia="zh-CN"/>
              </w:rPr>
              <w:t>：</w:t>
            </w:r>
          </w:p>
          <w:p w14:paraId="76CD1B6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highlight w:val="none"/>
                <w:u w:val="single"/>
                <w:lang w:val="en-US" w:eastAsia="zh-CN"/>
              </w:rPr>
              <w:t xml:space="preserve">                    </w:t>
            </w:r>
          </w:p>
        </w:tc>
      </w:tr>
      <w:tr w14:paraId="377DA3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19" w:type="dxa"/>
            <w:tcBorders>
              <w:tl2br w:val="nil"/>
              <w:tr2bl w:val="nil"/>
            </w:tcBorders>
            <w:vAlign w:val="center"/>
          </w:tcPr>
          <w:p w14:paraId="65ADFB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1.10</w:t>
            </w:r>
          </w:p>
        </w:tc>
        <w:tc>
          <w:tcPr>
            <w:tcW w:w="7817" w:type="dxa"/>
            <w:tcBorders>
              <w:tl2br w:val="nil"/>
              <w:tr2bl w:val="nil"/>
            </w:tcBorders>
            <w:vAlign w:val="center"/>
          </w:tcPr>
          <w:p w14:paraId="52CA322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是否允许联合体参加</w:t>
            </w:r>
            <w:r>
              <w:rPr>
                <w:rFonts w:hint="eastAsia" w:ascii="仿宋" w:hAnsi="仿宋" w:eastAsia="仿宋" w:cs="仿宋"/>
                <w:sz w:val="24"/>
                <w:szCs w:val="24"/>
                <w:highlight w:val="none"/>
                <w:vertAlign w:val="baseline"/>
                <w:lang w:eastAsia="zh-CN"/>
              </w:rPr>
              <w:t>磋商</w:t>
            </w:r>
            <w:r>
              <w:rPr>
                <w:rFonts w:hint="eastAsia" w:ascii="仿宋" w:hAnsi="仿宋" w:eastAsia="仿宋" w:cs="仿宋"/>
                <w:sz w:val="24"/>
                <w:szCs w:val="24"/>
                <w:highlight w:val="none"/>
                <w:vertAlign w:val="baseline"/>
              </w:rPr>
              <w:t>：</w:t>
            </w:r>
            <w:r>
              <w:rPr>
                <w:rFonts w:hint="eastAsia" w:ascii="仿宋" w:hAnsi="仿宋" w:eastAsia="仿宋" w:cs="仿宋"/>
                <w:sz w:val="24"/>
                <w:szCs w:val="24"/>
                <w:highlight w:val="none"/>
                <w:vertAlign w:val="baseline"/>
                <w:lang w:eastAsia="zh-CN"/>
              </w:rPr>
              <w:t>是</w:t>
            </w:r>
          </w:p>
          <w:p w14:paraId="15D5B43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联合体的其他资格要求：无</w:t>
            </w:r>
          </w:p>
        </w:tc>
      </w:tr>
      <w:tr w14:paraId="7DA9AE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19" w:type="dxa"/>
            <w:tcBorders>
              <w:tl2br w:val="nil"/>
              <w:tr2bl w:val="nil"/>
            </w:tcBorders>
            <w:vAlign w:val="center"/>
          </w:tcPr>
          <w:p w14:paraId="765D69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2.2</w:t>
            </w:r>
          </w:p>
        </w:tc>
        <w:tc>
          <w:tcPr>
            <w:tcW w:w="7817" w:type="dxa"/>
            <w:tcBorders>
              <w:tl2br w:val="nil"/>
              <w:tr2bl w:val="nil"/>
            </w:tcBorders>
            <w:vAlign w:val="center"/>
          </w:tcPr>
          <w:p w14:paraId="01725B5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 xml:space="preserve"> 150000元</w:t>
            </w:r>
          </w:p>
          <w:p w14:paraId="11B9B97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最高限价（元）：</w:t>
            </w:r>
            <w:r>
              <w:rPr>
                <w:rFonts w:hint="eastAsia" w:ascii="仿宋" w:hAnsi="仿宋" w:eastAsia="仿宋" w:cs="仿宋"/>
                <w:sz w:val="24"/>
                <w:szCs w:val="24"/>
                <w:highlight w:val="none"/>
                <w:lang w:val="en-US" w:eastAsia="zh-CN"/>
              </w:rPr>
              <w:t>150000元</w:t>
            </w:r>
          </w:p>
        </w:tc>
      </w:tr>
      <w:tr w14:paraId="705C2A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19" w:type="dxa"/>
            <w:tcBorders>
              <w:tl2br w:val="nil"/>
              <w:tr2bl w:val="nil"/>
            </w:tcBorders>
            <w:vAlign w:val="center"/>
          </w:tcPr>
          <w:p w14:paraId="5FACE38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5.4</w:t>
            </w:r>
          </w:p>
        </w:tc>
        <w:tc>
          <w:tcPr>
            <w:tcW w:w="7817" w:type="dxa"/>
            <w:tcBorders>
              <w:tl2br w:val="nil"/>
              <w:tr2bl w:val="nil"/>
            </w:tcBorders>
            <w:vAlign w:val="center"/>
          </w:tcPr>
          <w:p w14:paraId="1BE5327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是否组织现场考察或者召开答疑会：否 </w:t>
            </w:r>
          </w:p>
          <w:p w14:paraId="4ECAFF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组织现场考察或者召开答疑会相关要求：/</w:t>
            </w:r>
          </w:p>
        </w:tc>
      </w:tr>
      <w:tr w14:paraId="7E9FF4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19" w:type="dxa"/>
            <w:tcBorders>
              <w:tl2br w:val="nil"/>
              <w:tr2bl w:val="nil"/>
            </w:tcBorders>
            <w:vAlign w:val="center"/>
          </w:tcPr>
          <w:p w14:paraId="4D25CF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5.7 </w:t>
            </w:r>
          </w:p>
        </w:tc>
        <w:tc>
          <w:tcPr>
            <w:tcW w:w="7817" w:type="dxa"/>
            <w:tcBorders>
              <w:tl2br w:val="nil"/>
              <w:tr2bl w:val="nil"/>
            </w:tcBorders>
            <w:vAlign w:val="center"/>
          </w:tcPr>
          <w:p w14:paraId="6D56D4F7">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是否需要提供样品：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是，☑</w:t>
            </w:r>
            <w:r>
              <w:rPr>
                <w:rFonts w:hint="eastAsia" w:ascii="仿宋" w:hAnsi="仿宋" w:eastAsia="仿宋" w:cs="仿宋"/>
                <w:color w:val="auto"/>
                <w:sz w:val="24"/>
                <w:highlight w:val="none"/>
              </w:rPr>
              <w:t xml:space="preserve">否 </w:t>
            </w:r>
          </w:p>
          <w:p w14:paraId="7CF3DA2F">
            <w:pPr>
              <w:spacing w:line="500" w:lineRule="exact"/>
              <w:rPr>
                <w:rFonts w:hint="eastAsia" w:ascii="仿宋" w:hAnsi="仿宋" w:eastAsia="仿宋" w:cs="仿宋"/>
                <w:sz w:val="24"/>
                <w:szCs w:val="24"/>
                <w:highlight w:val="none"/>
                <w:vertAlign w:val="baseline"/>
              </w:rPr>
            </w:pPr>
            <w:r>
              <w:rPr>
                <w:rFonts w:hint="eastAsia" w:ascii="仿宋" w:hAnsi="仿宋" w:eastAsia="仿宋" w:cs="仿宋"/>
                <w:color w:val="auto"/>
                <w:sz w:val="24"/>
                <w:highlight w:val="none"/>
              </w:rPr>
              <w:t>提供样品要求包括：</w:t>
            </w:r>
            <w:r>
              <w:rPr>
                <w:rFonts w:hint="eastAsia" w:ascii="仿宋" w:hAnsi="仿宋" w:eastAsia="仿宋" w:cs="仿宋"/>
                <w:sz w:val="24"/>
                <w:szCs w:val="24"/>
                <w:highlight w:val="none"/>
                <w:vertAlign w:val="baseline"/>
              </w:rPr>
              <w:t xml:space="preserve"> </w:t>
            </w:r>
          </w:p>
          <w:p w14:paraId="5D12CB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提供样品要求包括：（样品的制作标准和要求、接收及退还，样品检测报告，检测机构、检测内容等内容）</w:t>
            </w:r>
          </w:p>
        </w:tc>
      </w:tr>
      <w:tr w14:paraId="27D8BD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19" w:type="dxa"/>
            <w:tcBorders>
              <w:tl2br w:val="nil"/>
              <w:tr2bl w:val="nil"/>
            </w:tcBorders>
            <w:vAlign w:val="center"/>
          </w:tcPr>
          <w:p w14:paraId="229E81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7.1 </w:t>
            </w:r>
          </w:p>
        </w:tc>
        <w:tc>
          <w:tcPr>
            <w:tcW w:w="7817" w:type="dxa"/>
            <w:tcBorders>
              <w:tl2br w:val="nil"/>
              <w:tr2bl w:val="nil"/>
            </w:tcBorders>
            <w:vAlign w:val="center"/>
          </w:tcPr>
          <w:p w14:paraId="793DF66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4"/>
                <w:highlight w:val="none"/>
                <w:vertAlign w:val="baseline"/>
                <w:lang w:val="en-US" w:eastAsia="zh-CN"/>
              </w:rPr>
              <w:t>本项目不适用。</w:t>
            </w:r>
          </w:p>
          <w:p w14:paraId="28401B0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r>
              <w:rPr>
                <w:rFonts w:hint="eastAsia" w:ascii="仿宋" w:hAnsi="仿宋" w:eastAsia="仿宋" w:cs="仿宋"/>
                <w:sz w:val="24"/>
                <w:szCs w:val="24"/>
                <w:highlight w:val="none"/>
              </w:rPr>
              <w:t>如</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对</w:t>
            </w:r>
            <w:r>
              <w:rPr>
                <w:rFonts w:hint="eastAsia" w:ascii="仿宋" w:hAnsi="仿宋" w:eastAsia="仿宋" w:cs="仿宋"/>
                <w:b/>
                <w:bCs/>
                <w:sz w:val="24"/>
                <w:szCs w:val="24"/>
                <w:highlight w:val="none"/>
              </w:rPr>
              <w:t>多</w:t>
            </w:r>
            <w:r>
              <w:rPr>
                <w:rFonts w:hint="eastAsia" w:ascii="仿宋" w:hAnsi="仿宋" w:eastAsia="仿宋" w:cs="仿宋"/>
                <w:sz w:val="24"/>
                <w:szCs w:val="24"/>
                <w:highlight w:val="none"/>
              </w:rPr>
              <w:t>个包进行投标，可以中标</w:t>
            </w:r>
            <w:r>
              <w:rPr>
                <w:rFonts w:hint="eastAsia" w:ascii="仿宋" w:hAnsi="仿宋" w:eastAsia="仿宋" w:cs="仿宋"/>
                <w:b/>
                <w:bCs/>
                <w:sz w:val="24"/>
                <w:szCs w:val="24"/>
                <w:highlight w:val="none"/>
                <w:u w:val="single"/>
              </w:rPr>
              <w:t>多</w:t>
            </w:r>
            <w:r>
              <w:rPr>
                <w:rFonts w:hint="eastAsia" w:ascii="仿宋" w:hAnsi="仿宋" w:eastAsia="仿宋" w:cs="仿宋"/>
                <w:sz w:val="24"/>
                <w:szCs w:val="24"/>
                <w:highlight w:val="none"/>
              </w:rPr>
              <w:t>包</w:t>
            </w:r>
          </w:p>
          <w:p w14:paraId="16765D21">
            <w:pPr>
              <w:spacing w:line="500" w:lineRule="exact"/>
              <w:rPr>
                <w:rFonts w:hint="eastAsia" w:ascii="仿宋" w:hAnsi="仿宋" w:eastAsia="仿宋" w:cs="仿宋"/>
                <w:sz w:val="24"/>
                <w:szCs w:val="24"/>
                <w:highlight w:val="none"/>
                <w:vertAlign w:val="baseli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4"/>
                <w:highlight w:val="none"/>
                <w:vertAlign w:val="baseline"/>
                <w:lang w:val="en-US" w:eastAsia="zh-CN"/>
              </w:rPr>
              <w:t>供应商</w:t>
            </w:r>
            <w:r>
              <w:rPr>
                <w:rFonts w:hint="eastAsia" w:ascii="仿宋" w:hAnsi="仿宋" w:eastAsia="仿宋" w:cs="仿宋"/>
                <w:color w:val="auto"/>
                <w:sz w:val="24"/>
                <w:szCs w:val="24"/>
                <w:highlight w:val="none"/>
                <w:vertAlign w:val="baseline"/>
              </w:rPr>
              <w:t>可以对以上本项目第1-</w:t>
            </w:r>
            <w:r>
              <w:rPr>
                <w:rFonts w:hint="eastAsia" w:ascii="仿宋" w:hAnsi="仿宋" w:eastAsia="仿宋" w:cs="仿宋"/>
                <w:color w:val="auto"/>
                <w:sz w:val="24"/>
                <w:szCs w:val="24"/>
                <w:highlight w:val="none"/>
                <w:vertAlign w:val="baseline"/>
                <w:lang w:val="en-US" w:eastAsia="zh-CN"/>
              </w:rPr>
              <w:t>8</w:t>
            </w:r>
            <w:r>
              <w:rPr>
                <w:rFonts w:hint="eastAsia" w:ascii="仿宋" w:hAnsi="仿宋" w:eastAsia="仿宋" w:cs="仿宋"/>
                <w:color w:val="auto"/>
                <w:sz w:val="24"/>
                <w:szCs w:val="24"/>
                <w:highlight w:val="none"/>
                <w:vertAlign w:val="baseline"/>
              </w:rPr>
              <w:t>包同时进行投标，但第1、2</w:t>
            </w:r>
            <w:r>
              <w:rPr>
                <w:rFonts w:hint="eastAsia" w:ascii="仿宋" w:hAnsi="仿宋" w:eastAsia="仿宋" w:cs="仿宋"/>
                <w:color w:val="auto"/>
                <w:sz w:val="24"/>
                <w:szCs w:val="24"/>
                <w:highlight w:val="none"/>
                <w:vertAlign w:val="baseline"/>
                <w:lang w:val="en-US" w:eastAsia="zh-CN"/>
              </w:rPr>
              <w:t>、3、4、5、6、7、8</w:t>
            </w:r>
            <w:r>
              <w:rPr>
                <w:rFonts w:hint="eastAsia" w:ascii="仿宋" w:hAnsi="仿宋" w:eastAsia="仿宋" w:cs="仿宋"/>
                <w:color w:val="auto"/>
                <w:sz w:val="24"/>
                <w:szCs w:val="24"/>
                <w:highlight w:val="none"/>
                <w:vertAlign w:val="baseline"/>
              </w:rPr>
              <w:t>包中一家</w:t>
            </w:r>
            <w:r>
              <w:rPr>
                <w:rFonts w:hint="eastAsia" w:ascii="仿宋" w:hAnsi="仿宋" w:eastAsia="仿宋" w:cs="仿宋"/>
                <w:color w:val="auto"/>
                <w:sz w:val="24"/>
                <w:szCs w:val="24"/>
                <w:highlight w:val="none"/>
                <w:vertAlign w:val="baseline"/>
                <w:lang w:val="en-US" w:eastAsia="zh-CN"/>
              </w:rPr>
              <w:t>供应商</w:t>
            </w:r>
            <w:r>
              <w:rPr>
                <w:rFonts w:hint="eastAsia" w:ascii="仿宋" w:hAnsi="仿宋" w:eastAsia="仿宋" w:cs="仿宋"/>
                <w:color w:val="auto"/>
                <w:sz w:val="24"/>
                <w:szCs w:val="24"/>
                <w:highlight w:val="none"/>
                <w:vertAlign w:val="baseline"/>
              </w:rPr>
              <w:t>最多只能中1个包；评审按上述包号先后顺序进行，当一家</w:t>
            </w:r>
            <w:r>
              <w:rPr>
                <w:rFonts w:hint="eastAsia" w:ascii="仿宋" w:hAnsi="仿宋" w:eastAsia="仿宋" w:cs="仿宋"/>
                <w:color w:val="auto"/>
                <w:sz w:val="24"/>
                <w:szCs w:val="24"/>
                <w:highlight w:val="none"/>
                <w:vertAlign w:val="baseline"/>
                <w:lang w:val="en-US" w:eastAsia="zh-CN"/>
              </w:rPr>
              <w:t>供应商</w:t>
            </w:r>
            <w:r>
              <w:rPr>
                <w:rFonts w:hint="eastAsia" w:ascii="仿宋" w:hAnsi="仿宋" w:eastAsia="仿宋" w:cs="仿宋"/>
                <w:color w:val="auto"/>
                <w:sz w:val="24"/>
                <w:szCs w:val="24"/>
                <w:highlight w:val="none"/>
                <w:vertAlign w:val="baseline"/>
              </w:rPr>
              <w:t>已被推荐为前</w:t>
            </w:r>
            <w:r>
              <w:rPr>
                <w:rFonts w:hint="eastAsia" w:ascii="仿宋" w:hAnsi="仿宋" w:eastAsia="仿宋" w:cs="仿宋"/>
                <w:color w:val="auto"/>
                <w:sz w:val="24"/>
                <w:szCs w:val="24"/>
                <w:highlight w:val="none"/>
                <w:vertAlign w:val="baseline"/>
                <w:lang w:val="en-US" w:eastAsia="zh-CN"/>
              </w:rPr>
              <w:t>任意</w:t>
            </w:r>
            <w:r>
              <w:rPr>
                <w:rFonts w:hint="eastAsia" w:ascii="仿宋" w:hAnsi="仿宋" w:eastAsia="仿宋" w:cs="仿宋"/>
                <w:color w:val="auto"/>
                <w:sz w:val="24"/>
                <w:szCs w:val="24"/>
                <w:highlight w:val="none"/>
                <w:vertAlign w:val="baseline"/>
              </w:rPr>
              <w:t>一包的排名第一的中标候选人后，该</w:t>
            </w:r>
            <w:r>
              <w:rPr>
                <w:rFonts w:hint="eastAsia" w:ascii="仿宋" w:hAnsi="仿宋" w:eastAsia="仿宋" w:cs="仿宋"/>
                <w:color w:val="auto"/>
                <w:sz w:val="24"/>
                <w:szCs w:val="24"/>
                <w:highlight w:val="none"/>
                <w:vertAlign w:val="baseline"/>
                <w:lang w:val="en-US" w:eastAsia="zh-CN"/>
              </w:rPr>
              <w:t>供应商</w:t>
            </w:r>
            <w:r>
              <w:rPr>
                <w:rFonts w:hint="eastAsia" w:ascii="仿宋" w:hAnsi="仿宋" w:eastAsia="仿宋" w:cs="仿宋"/>
                <w:color w:val="auto"/>
                <w:sz w:val="24"/>
                <w:szCs w:val="24"/>
                <w:highlight w:val="none"/>
                <w:vertAlign w:val="baseline"/>
              </w:rPr>
              <w:t>将不再被推荐为后</w:t>
            </w:r>
            <w:r>
              <w:rPr>
                <w:rFonts w:hint="eastAsia" w:ascii="仿宋" w:hAnsi="仿宋" w:eastAsia="仿宋" w:cs="仿宋"/>
                <w:color w:val="auto"/>
                <w:sz w:val="24"/>
                <w:szCs w:val="24"/>
                <w:highlight w:val="none"/>
                <w:vertAlign w:val="baseline"/>
                <w:lang w:val="en-US" w:eastAsia="zh-CN"/>
              </w:rPr>
              <w:t>任意</w:t>
            </w:r>
            <w:r>
              <w:rPr>
                <w:rFonts w:hint="eastAsia" w:ascii="仿宋" w:hAnsi="仿宋" w:eastAsia="仿宋" w:cs="仿宋"/>
                <w:color w:val="auto"/>
                <w:sz w:val="24"/>
                <w:szCs w:val="24"/>
                <w:highlight w:val="none"/>
                <w:vertAlign w:val="baseline"/>
              </w:rPr>
              <w:t>一包的中标人。但可以参加其余包的评审，以此类推。</w:t>
            </w:r>
            <w:r>
              <w:rPr>
                <w:rFonts w:hint="eastAsia" w:ascii="仿宋" w:hAnsi="仿宋" w:eastAsia="仿宋" w:cs="仿宋"/>
                <w:sz w:val="24"/>
                <w:szCs w:val="24"/>
                <w:highlight w:val="none"/>
                <w:vertAlign w:val="baseline"/>
                <w:lang w:val="en-US" w:eastAsia="zh-CN"/>
              </w:rPr>
              <w:t>若出现无法避免同一供供应商时中2个及以上包的情况，则允许1个供应商可以中多个标项，且第一中标候选人为中标人。</w:t>
            </w:r>
          </w:p>
        </w:tc>
      </w:tr>
      <w:tr w14:paraId="092A93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219" w:type="dxa"/>
            <w:tcBorders>
              <w:tl2br w:val="nil"/>
              <w:tr2bl w:val="nil"/>
            </w:tcBorders>
            <w:vAlign w:val="center"/>
          </w:tcPr>
          <w:p w14:paraId="05FABD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c>
          <w:tcPr>
            <w:tcW w:w="7817" w:type="dxa"/>
            <w:tcBorders>
              <w:tl2br w:val="nil"/>
              <w:tr2bl w:val="nil"/>
            </w:tcBorders>
            <w:vAlign w:val="center"/>
          </w:tcPr>
          <w:p w14:paraId="4E090D3F">
            <w:pPr>
              <w:spacing w:line="500" w:lineRule="exac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highlight w:val="none"/>
              </w:rPr>
              <w:t>保证金形式：支票、汇票、本票、网上银行支付或者金融机构、担保机构出具的保函等政府采购法律法规中要求的非现金形式</w:t>
            </w:r>
          </w:p>
          <w:p w14:paraId="68527C1F">
            <w:pPr>
              <w:spacing w:line="5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保证金数额：</w:t>
            </w:r>
            <w:r>
              <w:rPr>
                <w:rFonts w:hint="eastAsia" w:ascii="仿宋" w:hAnsi="仿宋" w:eastAsia="仿宋" w:cs="仿宋"/>
                <w:color w:val="auto"/>
                <w:sz w:val="24"/>
                <w:highlight w:val="none"/>
                <w:lang w:val="en-US" w:eastAsia="zh-CN"/>
              </w:rPr>
              <w:t>标项1：1500元</w:t>
            </w:r>
          </w:p>
          <w:p w14:paraId="615614E3">
            <w:pPr>
              <w:keepNext w:val="0"/>
              <w:keepLines w:val="0"/>
              <w:widowControl/>
              <w:suppressLineNumbers w:val="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vertAlign w:val="baseline"/>
                <w:lang w:val="en-US" w:eastAsia="zh-CN"/>
              </w:rPr>
              <w:t>一、</w:t>
            </w:r>
            <w:r>
              <w:rPr>
                <w:rFonts w:hint="eastAsia" w:ascii="仿宋" w:hAnsi="仿宋" w:eastAsia="仿宋" w:cs="仿宋"/>
                <w:b/>
                <w:bCs/>
                <w:color w:val="auto"/>
                <w:kern w:val="0"/>
                <w:sz w:val="24"/>
                <w:szCs w:val="24"/>
                <w:highlight w:val="none"/>
                <w:lang w:val="en-US" w:eastAsia="zh-CN" w:bidi="ar"/>
              </w:rPr>
              <w:t>采用网上银行方式</w:t>
            </w:r>
          </w:p>
          <w:p w14:paraId="2487C566">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1、采购代理机构账号信息如下：</w:t>
            </w:r>
          </w:p>
          <w:p w14:paraId="64A5BEA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（提示：此账号为保证金账号，保证金不要转到23.1条规定</w:t>
            </w:r>
            <w:r>
              <w:rPr>
                <w:rFonts w:hint="eastAsia" w:ascii="仿宋" w:hAnsi="仿宋" w:eastAsia="仿宋" w:cs="仿宋"/>
                <w:b/>
                <w:bCs/>
                <w:color w:val="auto"/>
                <w:sz w:val="36"/>
                <w:szCs w:val="36"/>
                <w:highlight w:val="none"/>
                <w:lang w:val="en-US" w:eastAsia="zh-CN"/>
              </w:rPr>
              <w:t>服务费缴纳账号</w:t>
            </w:r>
            <w:r>
              <w:rPr>
                <w:rFonts w:hint="eastAsia" w:ascii="仿宋" w:hAnsi="仿宋" w:eastAsia="仿宋" w:cs="仿宋"/>
                <w:b/>
                <w:bCs/>
                <w:color w:val="auto"/>
                <w:sz w:val="36"/>
                <w:szCs w:val="36"/>
                <w:highlight w:val="none"/>
                <w:vertAlign w:val="baseline"/>
                <w:lang w:val="en-US" w:eastAsia="zh-CN"/>
              </w:rPr>
              <w:t>）</w:t>
            </w:r>
          </w:p>
          <w:p w14:paraId="7739191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保证金收款人：新疆世纪星工程咨询有限公司</w:t>
            </w:r>
          </w:p>
          <w:p w14:paraId="4530036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保证金收款账号：512090100100073085</w:t>
            </w:r>
          </w:p>
          <w:p w14:paraId="1377A9A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保证收款银行及行号: 兴业银行乌鲁木齐分行营业部309881002010</w:t>
            </w:r>
          </w:p>
          <w:p w14:paraId="3580F5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2、</w:t>
            </w:r>
            <w:r>
              <w:rPr>
                <w:rFonts w:hint="eastAsia" w:ascii="仿宋" w:hAnsi="仿宋" w:eastAsia="仿宋" w:cs="仿宋"/>
                <w:color w:val="auto"/>
                <w:sz w:val="24"/>
                <w:szCs w:val="24"/>
                <w:highlight w:val="none"/>
                <w:vertAlign w:val="baseline"/>
              </w:rPr>
              <w:t>以电汇或银行转账形式缴纳保证金的</w:t>
            </w:r>
            <w:r>
              <w:rPr>
                <w:rFonts w:hint="eastAsia" w:ascii="仿宋" w:hAnsi="仿宋" w:eastAsia="仿宋" w:cs="仿宋"/>
                <w:color w:val="auto"/>
                <w:sz w:val="24"/>
                <w:szCs w:val="24"/>
                <w:highlight w:val="none"/>
                <w:vertAlign w:val="baseline"/>
                <w:lang w:eastAsia="zh-CN"/>
              </w:rPr>
              <w:t>供应商</w:t>
            </w:r>
            <w:r>
              <w:rPr>
                <w:rFonts w:hint="eastAsia" w:ascii="仿宋" w:hAnsi="仿宋" w:eastAsia="仿宋" w:cs="仿宋"/>
                <w:color w:val="auto"/>
                <w:sz w:val="24"/>
                <w:szCs w:val="24"/>
                <w:highlight w:val="none"/>
                <w:vertAlign w:val="baseline"/>
              </w:rPr>
              <w:t>注意事项：</w:t>
            </w:r>
          </w:p>
          <w:p w14:paraId="7366DCE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lang w:val="en-US" w:eastAsia="zh-CN"/>
              </w:rPr>
              <w:t>1</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rPr>
              <w:t>在汇款附言（或银行摘要）中，标明项目编号、</w:t>
            </w:r>
            <w:r>
              <w:rPr>
                <w:rFonts w:hint="eastAsia" w:ascii="仿宋" w:hAnsi="仿宋" w:eastAsia="仿宋" w:cs="仿宋"/>
                <w:color w:val="auto"/>
                <w:sz w:val="24"/>
                <w:szCs w:val="24"/>
                <w:highlight w:val="none"/>
                <w:vertAlign w:val="baseline"/>
                <w:lang w:val="en-US" w:eastAsia="zh-CN"/>
              </w:rPr>
              <w:t>包号</w:t>
            </w:r>
            <w:r>
              <w:rPr>
                <w:rFonts w:hint="eastAsia" w:ascii="仿宋" w:hAnsi="仿宋" w:eastAsia="仿宋" w:cs="仿宋"/>
                <w:color w:val="auto"/>
                <w:sz w:val="24"/>
                <w:szCs w:val="24"/>
                <w:highlight w:val="none"/>
                <w:vertAlign w:val="baseline"/>
              </w:rPr>
              <w:t>（如分包）。每个项目须按照分包分别提交</w:t>
            </w:r>
            <w:r>
              <w:rPr>
                <w:rFonts w:hint="eastAsia" w:ascii="仿宋" w:hAnsi="仿宋" w:eastAsia="仿宋" w:cs="仿宋"/>
                <w:color w:val="auto"/>
                <w:sz w:val="24"/>
                <w:szCs w:val="24"/>
                <w:highlight w:val="none"/>
                <w:vertAlign w:val="baseline"/>
                <w:lang w:eastAsia="zh-CN"/>
              </w:rPr>
              <w:t>磋商保证金</w:t>
            </w:r>
            <w:r>
              <w:rPr>
                <w:rFonts w:hint="eastAsia" w:ascii="仿宋" w:hAnsi="仿宋" w:eastAsia="仿宋" w:cs="仿宋"/>
                <w:color w:val="auto"/>
                <w:sz w:val="24"/>
                <w:szCs w:val="24"/>
                <w:highlight w:val="none"/>
                <w:vertAlign w:val="baseline"/>
              </w:rPr>
              <w:t>。</w:t>
            </w:r>
          </w:p>
          <w:p w14:paraId="1F06EAFA">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(2)磋商保证金必须以网银、电汇、银行柜台公对公等转账的形式由供应商的企业基本账户汇出(个体工商户除外) ，并开具银行汇款凭证。 </w:t>
            </w:r>
          </w:p>
          <w:p w14:paraId="6A68663D">
            <w:pPr>
              <w:keepNext w:val="0"/>
              <w:keepLines w:val="0"/>
              <w:widowControl/>
              <w:numPr>
                <w:ilvl w:val="0"/>
                <w:numId w:val="0"/>
              </w:numPr>
              <w:suppressLineNumbers w:val="0"/>
              <w:jc w:val="left"/>
              <w:rPr>
                <w:rFonts w:hint="eastAsia" w:ascii="仿宋" w:hAnsi="仿宋" w:eastAsia="仿宋" w:cs="仿宋"/>
                <w:color w:val="auto"/>
                <w:sz w:val="24"/>
                <w:szCs w:val="24"/>
                <w:highlight w:val="none"/>
                <w:vertAlign w:val="baseline"/>
              </w:rPr>
            </w:pPr>
            <w:r>
              <w:rPr>
                <w:rFonts w:hint="eastAsia" w:ascii="仿宋" w:hAnsi="仿宋" w:eastAsia="仿宋" w:cs="仿宋"/>
                <w:b/>
                <w:bCs/>
                <w:color w:val="auto"/>
                <w:kern w:val="2"/>
                <w:sz w:val="24"/>
                <w:szCs w:val="24"/>
                <w:highlight w:val="none"/>
                <w:vertAlign w:val="baseline"/>
                <w:lang w:val="en-US" w:eastAsia="zh-CN" w:bidi="ar-SA"/>
              </w:rPr>
              <w:t>二、</w:t>
            </w:r>
            <w:r>
              <w:rPr>
                <w:rFonts w:hint="eastAsia" w:ascii="仿宋" w:hAnsi="仿宋" w:eastAsia="仿宋" w:cs="仿宋"/>
                <w:b/>
                <w:bCs/>
                <w:color w:val="auto"/>
                <w:sz w:val="24"/>
                <w:szCs w:val="24"/>
                <w:highlight w:val="none"/>
                <w:vertAlign w:val="baseline"/>
              </w:rPr>
              <w:t>投标保函提交方式</w:t>
            </w:r>
            <w:r>
              <w:rPr>
                <w:rFonts w:hint="eastAsia" w:ascii="仿宋" w:hAnsi="仿宋" w:eastAsia="仿宋" w:cs="仿宋"/>
                <w:color w:val="auto"/>
                <w:sz w:val="24"/>
                <w:szCs w:val="24"/>
                <w:highlight w:val="none"/>
                <w:vertAlign w:val="baseline"/>
              </w:rPr>
              <w:t>：</w:t>
            </w:r>
          </w:p>
          <w:p w14:paraId="04088F46">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1、以金融机构、担保机构出具的纸质保函形式提交磋商保证金的（除政采云平台金融服务中心办理的电子保函外），应在投标截止时间前将原件提交至采购代理机构，未提交原件的将按无效投标（响应）处理。 </w:t>
            </w:r>
          </w:p>
          <w:p w14:paraId="212920EE">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2、如 供 应 商 通 过 " 政 采 云 平 台 金 融 服 务 中 心"(https://jinrong.zcygov.cn/)，申请办理投标电子保函，开标时采购人或代理机构通过政采云平台保函系统进行查询，保函信息以查询结果为准，未查询到的电子保函评审时将按无效投标（响应）处理。 </w:t>
            </w:r>
          </w:p>
          <w:p w14:paraId="5F6C515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三、说明</w:t>
            </w:r>
          </w:p>
          <w:p w14:paraId="09AE6DC2">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1、磋商保证金到账（保函提交）截止时间同投标截止时间。 </w:t>
            </w:r>
          </w:p>
          <w:p w14:paraId="245548C5">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2、以支票、汇票、本票、网上银行支付等形式提交磋商保证金的，应在投标截止时间前到账；</w:t>
            </w:r>
          </w:p>
          <w:p w14:paraId="752C94A1">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 xml:space="preserve">3、由于到账时间晚于投标截止时间的，或者票据错误、印鉴不清等原因导致不能到账的，其投标无效。 </w:t>
            </w:r>
          </w:p>
          <w:p w14:paraId="639B1CB4">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4、磋商保证金（投标电子保函）有效期与投标有效期一致。</w:t>
            </w:r>
          </w:p>
          <w:p w14:paraId="1FC9F9B6">
            <w:pPr>
              <w:pStyle w:val="29"/>
              <w:keepNext w:val="0"/>
              <w:keepLines w:val="0"/>
              <w:pageBreakBefore w:val="0"/>
              <w:widowControl w:val="0"/>
              <w:kinsoku/>
              <w:wordWrap/>
              <w:overflowPunct/>
              <w:topLinePunct w:val="0"/>
              <w:autoSpaceDE/>
              <w:autoSpaceDN/>
              <w:bidi w:val="0"/>
              <w:adjustRightInd/>
              <w:snapToGrid/>
              <w:spacing w:after="0" w:line="500" w:lineRule="exact"/>
              <w:ind w:left="0" w:leftChars="0" w:firstLine="482" w:firstLineChars="200"/>
              <w:textAlignment w:val="auto"/>
              <w:rPr>
                <w:rFonts w:hint="eastAsia" w:ascii="仿宋" w:hAnsi="仿宋" w:eastAsia="仿宋" w:cs="仿宋"/>
                <w:highlight w:val="none"/>
                <w:lang w:val="en-US" w:eastAsia="zh-CN"/>
              </w:rPr>
            </w:pPr>
            <w:r>
              <w:rPr>
                <w:rFonts w:hint="eastAsia" w:ascii="仿宋" w:hAnsi="仿宋" w:eastAsia="仿宋" w:cs="仿宋"/>
                <w:b/>
                <w:bCs/>
                <w:color w:val="auto"/>
                <w:sz w:val="24"/>
                <w:szCs w:val="24"/>
                <w:highlight w:val="none"/>
                <w:lang w:val="en-US" w:eastAsia="zh-CN"/>
              </w:rPr>
              <w:t>5、若本项目是废标项目重新组织招标，参加上次投标的供应商再次参与投标需重新缴纳磋商保证金，否则按无效响应处理，上次投标的磋商保证金在废标后原路退回。</w:t>
            </w:r>
          </w:p>
        </w:tc>
      </w:tr>
      <w:tr w14:paraId="3EDCBF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19" w:type="dxa"/>
            <w:tcBorders>
              <w:tl2br w:val="nil"/>
              <w:tr2bl w:val="nil"/>
            </w:tcBorders>
            <w:vAlign w:val="center"/>
          </w:tcPr>
          <w:p w14:paraId="582748E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11.1</w:t>
            </w:r>
          </w:p>
        </w:tc>
        <w:tc>
          <w:tcPr>
            <w:tcW w:w="7817" w:type="dxa"/>
            <w:tcBorders>
              <w:tl2br w:val="nil"/>
              <w:tr2bl w:val="nil"/>
            </w:tcBorders>
            <w:vAlign w:val="center"/>
          </w:tcPr>
          <w:p w14:paraId="0E6B80A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vertAlign w:val="baseline"/>
              </w:rPr>
            </w:pPr>
            <w:r>
              <w:rPr>
                <w:rFonts w:hint="eastAsia" w:ascii="仿宋" w:hAnsi="仿宋" w:eastAsia="仿宋" w:cs="仿宋"/>
                <w:b w:val="0"/>
                <w:bCs w:val="0"/>
                <w:sz w:val="24"/>
                <w:szCs w:val="24"/>
                <w:highlight w:val="none"/>
                <w:vertAlign w:val="baseline"/>
                <w:lang w:val="en-US" w:eastAsia="zh-CN"/>
              </w:rPr>
              <w:t>响应文件</w:t>
            </w:r>
            <w:r>
              <w:rPr>
                <w:rFonts w:hint="eastAsia" w:ascii="仿宋" w:hAnsi="仿宋" w:eastAsia="仿宋" w:cs="仿宋"/>
                <w:b w:val="0"/>
                <w:bCs w:val="0"/>
                <w:sz w:val="24"/>
                <w:szCs w:val="24"/>
                <w:highlight w:val="none"/>
                <w:vertAlign w:val="baseline"/>
              </w:rPr>
              <w:t>有效期：90 日历日</w:t>
            </w:r>
          </w:p>
        </w:tc>
      </w:tr>
      <w:tr w14:paraId="182F8F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19" w:type="dxa"/>
            <w:tcBorders>
              <w:tl2br w:val="nil"/>
              <w:tr2bl w:val="nil"/>
            </w:tcBorders>
            <w:vAlign w:val="center"/>
          </w:tcPr>
          <w:p w14:paraId="154D82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13.1</w:t>
            </w:r>
          </w:p>
        </w:tc>
        <w:tc>
          <w:tcPr>
            <w:tcW w:w="7817" w:type="dxa"/>
            <w:tcBorders>
              <w:tl2br w:val="nil"/>
              <w:tr2bl w:val="nil"/>
            </w:tcBorders>
            <w:vAlign w:val="center"/>
          </w:tcPr>
          <w:p w14:paraId="2135BD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响应截止时间：</w:t>
            </w:r>
            <w:r>
              <w:rPr>
                <w:rFonts w:hint="eastAsia" w:ascii="仿宋" w:hAnsi="仿宋" w:eastAsia="仿宋" w:cs="仿宋"/>
                <w:sz w:val="24"/>
                <w:szCs w:val="24"/>
                <w:highlight w:val="none"/>
                <w:lang w:eastAsia="zh-CN"/>
              </w:rPr>
              <w:t>2025年07月25日17:00（北京时间）</w:t>
            </w:r>
          </w:p>
        </w:tc>
      </w:tr>
      <w:tr w14:paraId="3C3022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19" w:type="dxa"/>
            <w:tcBorders>
              <w:tl2br w:val="nil"/>
              <w:tr2bl w:val="nil"/>
            </w:tcBorders>
            <w:vAlign w:val="center"/>
          </w:tcPr>
          <w:p w14:paraId="6B09E1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14.1</w:t>
            </w:r>
          </w:p>
        </w:tc>
        <w:tc>
          <w:tcPr>
            <w:tcW w:w="7817" w:type="dxa"/>
            <w:tcBorders>
              <w:tl2br w:val="nil"/>
              <w:tr2bl w:val="nil"/>
            </w:tcBorders>
            <w:vAlign w:val="center"/>
          </w:tcPr>
          <w:p w14:paraId="3C33A1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开标时间：同响应截止时间 </w:t>
            </w:r>
          </w:p>
          <w:p w14:paraId="38DD4D1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开标地点：政采云平台（https://www.zcygov.cn/）不见面开标系统</w:t>
            </w:r>
          </w:p>
        </w:tc>
      </w:tr>
      <w:tr w14:paraId="241EB5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2" w:hRule="atLeast"/>
        </w:trPr>
        <w:tc>
          <w:tcPr>
            <w:tcW w:w="1219" w:type="dxa"/>
            <w:tcBorders>
              <w:tl2br w:val="nil"/>
              <w:tr2bl w:val="nil"/>
            </w:tcBorders>
            <w:vAlign w:val="center"/>
          </w:tcPr>
          <w:p w14:paraId="51BF8AE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18.1</w:t>
            </w:r>
          </w:p>
        </w:tc>
        <w:tc>
          <w:tcPr>
            <w:tcW w:w="7817" w:type="dxa"/>
            <w:tcBorders>
              <w:tl2br w:val="nil"/>
              <w:tr2bl w:val="nil"/>
            </w:tcBorders>
            <w:vAlign w:val="center"/>
          </w:tcPr>
          <w:p w14:paraId="76E683E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采购人是否委托磋商小组直接确定中标人：否 </w:t>
            </w:r>
          </w:p>
        </w:tc>
      </w:tr>
      <w:tr w14:paraId="1DFC8E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2" w:hRule="atLeast"/>
        </w:trPr>
        <w:tc>
          <w:tcPr>
            <w:tcW w:w="1219" w:type="dxa"/>
            <w:tcBorders>
              <w:tl2br w:val="nil"/>
              <w:tr2bl w:val="nil"/>
            </w:tcBorders>
            <w:shd w:val="clear" w:color="auto" w:fill="auto"/>
            <w:vAlign w:val="center"/>
          </w:tcPr>
          <w:p w14:paraId="44311D38">
            <w:pPr>
              <w:spacing w:line="5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21.4</w:t>
            </w:r>
          </w:p>
        </w:tc>
        <w:tc>
          <w:tcPr>
            <w:tcW w:w="7817" w:type="dxa"/>
            <w:tcBorders>
              <w:tl2br w:val="nil"/>
              <w:tr2bl w:val="nil"/>
            </w:tcBorders>
            <w:shd w:val="clear" w:color="auto" w:fill="auto"/>
            <w:vAlign w:val="center"/>
          </w:tcPr>
          <w:p w14:paraId="6B8D0C40">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本项目是否允许分包： </w:t>
            </w:r>
          </w:p>
          <w:p w14:paraId="430E5111">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☑不允许 </w:t>
            </w:r>
          </w:p>
          <w:p w14:paraId="1032D4F9">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□允许，具体要求： </w:t>
            </w:r>
          </w:p>
          <w:p w14:paraId="5E721BF4">
            <w:pPr>
              <w:spacing w:line="5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（1）可以分包履行的具体内容：</w:t>
            </w:r>
            <w:r>
              <w:rPr>
                <w:rFonts w:hint="eastAsia" w:ascii="仿宋" w:hAnsi="仿宋" w:eastAsia="仿宋" w:cs="仿宋"/>
                <w:color w:val="auto"/>
                <w:sz w:val="24"/>
                <w:highlight w:val="none"/>
                <w:u w:val="single"/>
                <w:lang w:val="en-US" w:eastAsia="zh-CN"/>
              </w:rPr>
              <w:t xml:space="preserve">        </w:t>
            </w:r>
          </w:p>
          <w:p w14:paraId="54B296C3">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（2）允许分包的金额或者比例：</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p>
          <w:p w14:paraId="4F3D0AED">
            <w:pPr>
              <w:spacing w:line="5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（3）其他要求：</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p>
        </w:tc>
      </w:tr>
      <w:tr w14:paraId="4FA8BF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19" w:type="dxa"/>
            <w:tcBorders>
              <w:tl2br w:val="nil"/>
              <w:tr2bl w:val="nil"/>
            </w:tcBorders>
            <w:vAlign w:val="center"/>
          </w:tcPr>
          <w:p w14:paraId="54EE0C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22.1</w:t>
            </w:r>
          </w:p>
        </w:tc>
        <w:tc>
          <w:tcPr>
            <w:tcW w:w="7817" w:type="dxa"/>
            <w:tcBorders>
              <w:tl2br w:val="nil"/>
              <w:tr2bl w:val="nil"/>
            </w:tcBorders>
            <w:vAlign w:val="center"/>
          </w:tcPr>
          <w:p w14:paraId="2C1E003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提交履约保证金的时间：/</w:t>
            </w:r>
          </w:p>
          <w:p w14:paraId="50F9FD1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履约保证金金额：/</w:t>
            </w:r>
          </w:p>
          <w:p w14:paraId="6326CD3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履约保证金形式：/</w:t>
            </w:r>
          </w:p>
        </w:tc>
      </w:tr>
      <w:tr w14:paraId="14B6B3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74" w:hRule="atLeast"/>
        </w:trPr>
        <w:tc>
          <w:tcPr>
            <w:tcW w:w="1219" w:type="dxa"/>
            <w:tcBorders>
              <w:tl2br w:val="nil"/>
              <w:tr2bl w:val="nil"/>
            </w:tcBorders>
            <w:vAlign w:val="center"/>
          </w:tcPr>
          <w:p w14:paraId="564F02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23.1</w:t>
            </w:r>
          </w:p>
        </w:tc>
        <w:tc>
          <w:tcPr>
            <w:tcW w:w="7817" w:type="dxa"/>
            <w:tcBorders>
              <w:tl2br w:val="nil"/>
              <w:tr2bl w:val="nil"/>
            </w:tcBorders>
            <w:vAlign w:val="center"/>
          </w:tcPr>
          <w:p w14:paraId="66C34BAE">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1、是否由中标人缴纳招标代理费：是 </w:t>
            </w:r>
          </w:p>
          <w:p w14:paraId="68220D32">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招标代理费：☑ 参照原国家计委计价格【2002】1980 号文的计算方法收取。  </w:t>
            </w:r>
          </w:p>
          <w:p w14:paraId="20409F02">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none"/>
                <w:lang w:val="en-US" w:eastAsia="zh-CN"/>
              </w:rPr>
              <w:t xml:space="preserve">□ 本项目招标代理费   元  </w:t>
            </w:r>
          </w:p>
          <w:p w14:paraId="3C78B3F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highlight w:val="none"/>
                <w:lang w:val="en-US" w:eastAsia="zh-CN"/>
              </w:rPr>
              <w:t xml:space="preserve">支付形式：支票、电汇等形式 </w:t>
            </w:r>
          </w:p>
          <w:p w14:paraId="6EFF917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3、支付时间：领取中标通知书的同时</w:t>
            </w:r>
          </w:p>
          <w:p w14:paraId="16722E77">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36"/>
                <w:szCs w:val="36"/>
                <w:highlight w:val="none"/>
                <w:lang w:val="en-US" w:eastAsia="zh-CN"/>
              </w:rPr>
              <w:t>4、服务费缴纳账号（提示：保证金账号详见第10条）：</w:t>
            </w:r>
            <w:r>
              <w:rPr>
                <w:rFonts w:hint="eastAsia" w:ascii="仿宋" w:hAnsi="仿宋" w:eastAsia="仿宋" w:cs="仿宋"/>
                <w:sz w:val="24"/>
                <w:szCs w:val="24"/>
                <w:highlight w:val="none"/>
                <w:lang w:val="en-US" w:eastAsia="zh-CN"/>
              </w:rPr>
              <w:t xml:space="preserve"> </w:t>
            </w:r>
          </w:p>
          <w:p w14:paraId="5D9F4E0C">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收款单位全称：新疆世纪星工程咨询有限公司</w:t>
            </w:r>
          </w:p>
          <w:p w14:paraId="5055A1C7">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银行账号：651651056018800020157</w:t>
            </w:r>
          </w:p>
          <w:p w14:paraId="66472148">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开户行： 交通银行股份有限公司乌鲁木齐卫星路支行</w:t>
            </w:r>
          </w:p>
          <w:p w14:paraId="1C8AF8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sz w:val="24"/>
                <w:szCs w:val="24"/>
                <w:highlight w:val="none"/>
                <w:lang w:val="en-US" w:eastAsia="zh-CN"/>
              </w:rPr>
              <w:t>银行行号： 301881000569</w:t>
            </w:r>
          </w:p>
        </w:tc>
      </w:tr>
      <w:tr w14:paraId="6B3D1B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9" w:hRule="atLeast"/>
        </w:trPr>
        <w:tc>
          <w:tcPr>
            <w:tcW w:w="1219" w:type="dxa"/>
            <w:tcBorders>
              <w:tl2br w:val="nil"/>
              <w:tr2bl w:val="nil"/>
            </w:tcBorders>
            <w:shd w:val="clear" w:color="auto" w:fill="auto"/>
            <w:vAlign w:val="center"/>
          </w:tcPr>
          <w:p w14:paraId="6ECDEA75">
            <w:pPr>
              <w:spacing w:line="5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24</w:t>
            </w:r>
          </w:p>
        </w:tc>
        <w:tc>
          <w:tcPr>
            <w:tcW w:w="7817" w:type="dxa"/>
            <w:tcBorders>
              <w:tl2br w:val="nil"/>
              <w:tr2bl w:val="nil"/>
            </w:tcBorders>
            <w:shd w:val="clear" w:color="auto" w:fill="auto"/>
            <w:vAlign w:val="center"/>
          </w:tcPr>
          <w:p w14:paraId="7184D6BE">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接收询问和质疑的联系方式： </w:t>
            </w:r>
          </w:p>
          <w:p w14:paraId="5FCA5420">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1、询问 </w:t>
            </w:r>
          </w:p>
          <w:p w14:paraId="26CFC982">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联系部门、联系电话、通讯地址：见第一章《招标公告》中的采购代理机构信息和项目联系方式。 </w:t>
            </w:r>
          </w:p>
          <w:p w14:paraId="33BD9343">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2、质疑 </w:t>
            </w:r>
          </w:p>
          <w:p w14:paraId="68563200">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联系部门：新疆世纪星工程咨询有限公司招标部 </w:t>
            </w:r>
          </w:p>
          <w:p w14:paraId="2AE6E700">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联系人、联系电话：</w:t>
            </w:r>
            <w:r>
              <w:rPr>
                <w:rFonts w:hint="eastAsia" w:ascii="仿宋" w:hAnsi="仿宋" w:eastAsia="仿宋" w:cs="仿宋"/>
                <w:b w:val="0"/>
                <w:bCs w:val="0"/>
                <w:color w:val="auto"/>
                <w:kern w:val="0"/>
                <w:sz w:val="24"/>
                <w:szCs w:val="24"/>
                <w:highlight w:val="none"/>
                <w:u w:val="none"/>
                <w:vertAlign w:val="baseline"/>
                <w:lang w:val="en-US" w:eastAsia="zh-CN" w:bidi="ar"/>
              </w:rPr>
              <w:t>李航、訾王贝、范燕娥、杜萍</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val="0"/>
                <w:color w:val="auto"/>
                <w:kern w:val="0"/>
                <w:sz w:val="24"/>
                <w:szCs w:val="24"/>
                <w:highlight w:val="none"/>
                <w:u w:val="none"/>
                <w:vertAlign w:val="baseline"/>
                <w:lang w:val="en-US" w:eastAsia="zh-CN" w:bidi="ar"/>
              </w:rPr>
              <w:t>13999295080</w:t>
            </w:r>
          </w:p>
          <w:p w14:paraId="52FD04E0">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通讯地址：乌鲁木齐经济技术开发区二期黄山街一品九点阳光德港大厦B座20楼 </w:t>
            </w:r>
          </w:p>
          <w:p w14:paraId="081645C7">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其他要求：质疑书、授权委托书及报名成功截图 PDF 扫描件发送至代理机构邮箱，以上资料原件邮寄或送至代理机构</w:t>
            </w:r>
          </w:p>
        </w:tc>
      </w:tr>
      <w:tr w14:paraId="0643BF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9036" w:type="dxa"/>
            <w:gridSpan w:val="2"/>
            <w:tcBorders>
              <w:top w:val="single" w:color="auto" w:sz="4" w:space="0"/>
              <w:bottom w:val="single" w:color="auto" w:sz="4" w:space="0"/>
              <w:tl2br w:val="nil"/>
              <w:tr2bl w:val="nil"/>
            </w:tcBorders>
            <w:vAlign w:val="center"/>
          </w:tcPr>
          <w:p w14:paraId="50F89B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适用于本供应商须知的额外增加的变动：</w:t>
            </w:r>
          </w:p>
        </w:tc>
      </w:tr>
      <w:tr w14:paraId="797136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219" w:type="dxa"/>
            <w:tcBorders>
              <w:top w:val="single" w:color="auto" w:sz="4" w:space="0"/>
              <w:bottom w:val="single" w:color="auto" w:sz="4" w:space="0"/>
              <w:tl2br w:val="nil"/>
              <w:tr2bl w:val="nil"/>
            </w:tcBorders>
            <w:vAlign w:val="center"/>
          </w:tcPr>
          <w:p w14:paraId="40CB1CD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7817" w:type="dxa"/>
            <w:tcBorders>
              <w:top w:val="single" w:color="auto" w:sz="4" w:space="0"/>
              <w:bottom w:val="single" w:color="auto" w:sz="4" w:space="0"/>
              <w:tl2br w:val="nil"/>
              <w:tr2bl w:val="nil"/>
            </w:tcBorders>
            <w:vAlign w:val="center"/>
          </w:tcPr>
          <w:p w14:paraId="480A100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核心产品：/</w:t>
            </w:r>
          </w:p>
        </w:tc>
      </w:tr>
      <w:tr w14:paraId="038487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219" w:type="dxa"/>
            <w:tcBorders>
              <w:top w:val="single" w:color="auto" w:sz="4" w:space="0"/>
              <w:bottom w:val="single" w:color="auto" w:sz="4" w:space="0"/>
              <w:tl2br w:val="nil"/>
              <w:tr2bl w:val="nil"/>
            </w:tcBorders>
            <w:vAlign w:val="center"/>
          </w:tcPr>
          <w:p w14:paraId="3E546DA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7817" w:type="dxa"/>
            <w:tcBorders>
              <w:top w:val="single" w:color="auto" w:sz="4" w:space="0"/>
              <w:bottom w:val="single" w:color="auto" w:sz="4" w:space="0"/>
              <w:tl2br w:val="nil"/>
              <w:tr2bl w:val="nil"/>
            </w:tcBorders>
            <w:vAlign w:val="center"/>
          </w:tcPr>
          <w:p w14:paraId="32052E7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评标方法：综合评分法</w:t>
            </w:r>
          </w:p>
        </w:tc>
      </w:tr>
      <w:tr w14:paraId="1BABD0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219" w:type="dxa"/>
            <w:tcBorders>
              <w:top w:val="single" w:color="auto" w:sz="4" w:space="0"/>
              <w:bottom w:val="single" w:color="auto" w:sz="4" w:space="0"/>
              <w:tl2br w:val="nil"/>
              <w:tr2bl w:val="nil"/>
            </w:tcBorders>
            <w:vAlign w:val="center"/>
          </w:tcPr>
          <w:p w14:paraId="3648C2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7817" w:type="dxa"/>
            <w:tcBorders>
              <w:top w:val="single" w:color="auto" w:sz="4" w:space="0"/>
              <w:tl2br w:val="nil"/>
              <w:tr2bl w:val="nil"/>
            </w:tcBorders>
            <w:vAlign w:val="center"/>
          </w:tcPr>
          <w:p w14:paraId="352587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项目属性：服务</w:t>
            </w:r>
          </w:p>
        </w:tc>
      </w:tr>
      <w:tr w14:paraId="620CDA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33" w:hRule="atLeast"/>
        </w:trPr>
        <w:tc>
          <w:tcPr>
            <w:tcW w:w="9036" w:type="dxa"/>
            <w:gridSpan w:val="2"/>
            <w:tcBorders>
              <w:tl2br w:val="nil"/>
              <w:tr2bl w:val="nil"/>
            </w:tcBorders>
            <w:vAlign w:val="center"/>
          </w:tcPr>
          <w:p w14:paraId="47D3C844">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适用于本</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须知的额外增加的变动：</w:t>
            </w:r>
          </w:p>
          <w:p w14:paraId="1781E550">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1、关于本项目所有公告、公示在新疆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兵团</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政府采购网发布。</w:t>
            </w:r>
          </w:p>
          <w:p w14:paraId="27D05044">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2、请投标单位随时关注本项目的澄清、答疑、变更事项。</w:t>
            </w:r>
          </w:p>
          <w:p w14:paraId="38876141">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3、本项目实行电子招投标，</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须登录政采云平台申请获取招标文件，并通过政采云电子投标客户端制作响应文件，同时自行承担与投标有关的一切费用。</w:t>
            </w:r>
          </w:p>
          <w:p w14:paraId="56C8BA1E">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应在开标前确保成为新疆维吾尔自治区政府采购网正式注册入库</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，并完成CA数字证书申领。因未注册入库、未办理CA数字证书等原因造成无法投标或投标失败等后果由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自行承担。</w:t>
            </w:r>
          </w:p>
          <w:p w14:paraId="42A25D7F">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5、有意向参与新疆区域电子开评标的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，可访问新疆数字证书认证中心官方网站（https://www.xjca.com.cn/）或下载“新疆政务通”APP自行进行申领。如需咨询，请联系新疆CA服务热线0991-2819290。</w:t>
            </w:r>
          </w:p>
          <w:p w14:paraId="5B6872EF">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19369682">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7、本项目采用不见面开标，</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须在投标截止时间前通过CA在政采云平台上传加密的电子响应文件。备注：</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”版面获取操作指南，同时对自助查询无法解决的问题可通过钉钉群及政采云在线客服获取服务支持。</w:t>
            </w:r>
          </w:p>
          <w:p w14:paraId="0F7F2E1C">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在开标前须提前配置好电脑浏览器（建议使用360浏览器或谷歌浏览器），开标时请使用制作加密电子响应文件的CA锁进行解密及报价确认。</w:t>
            </w:r>
          </w:p>
          <w:p w14:paraId="4D719657">
            <w:pPr>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本项目投标文件解密时间定为30分钟，如</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因自身原因导致在规定的时间无法正常解密，视为开标后撤销其投标文件，投标保证金招标人有权不予退还。</w:t>
            </w:r>
          </w:p>
          <w:p w14:paraId="22C8A458">
            <w:pPr>
              <w:numPr>
                <w:ilvl w:val="0"/>
                <w:numId w:val="4"/>
              </w:numPr>
              <w:spacing w:line="500" w:lineRule="exac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政采云投标客户端中上传电子投标文件为三部分，分别为资格文件、报价文件、商务技术文件。供应商除分别按要求分别上传文件外，建议商务技术文件部分上传整本投标文件（包含资格部分、报价部分、商务技术部分）。</w:t>
            </w:r>
          </w:p>
          <w:p w14:paraId="662372E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color w:val="auto"/>
                <w:kern w:val="2"/>
                <w:sz w:val="24"/>
                <w:szCs w:val="24"/>
                <w:highlight w:val="none"/>
                <w:lang w:val="en-US" w:eastAsia="zh-CN" w:bidi="ar-SA"/>
              </w:rPr>
              <w:t>10、财库〔2014〕68号文规定的企业即为监狱企业</w:t>
            </w:r>
          </w:p>
        </w:tc>
      </w:tr>
    </w:tbl>
    <w:p w14:paraId="16F81452">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说明：1、本项目中的“标项”与“包”的概念一致，标项一（或 1）对应为第一包， </w:t>
      </w:r>
    </w:p>
    <w:p w14:paraId="3DA6DA8F">
      <w:pPr>
        <w:keepNext w:val="0"/>
        <w:keepLines w:val="0"/>
        <w:widowControl/>
        <w:suppressLineNumbers w:val="0"/>
        <w:jc w:val="left"/>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 xml:space="preserve">标项 2（或 2）对应为第二包，以此类推。 </w:t>
      </w:r>
      <w:r>
        <w:rPr>
          <w:rFonts w:hint="eastAsia" w:ascii="仿宋" w:hAnsi="仿宋" w:eastAsia="仿宋" w:cs="仿宋"/>
          <w:sz w:val="24"/>
          <w:szCs w:val="24"/>
          <w:highlight w:val="none"/>
          <w:lang w:val="en-US" w:eastAsia="zh-CN"/>
        </w:rPr>
        <w:br w:type="page"/>
      </w:r>
    </w:p>
    <w:p w14:paraId="2066630F">
      <w:pPr>
        <w:pStyle w:val="2"/>
        <w:numPr>
          <w:ilvl w:val="0"/>
          <w:numId w:val="5"/>
        </w:numPr>
        <w:bidi w:val="0"/>
        <w:jc w:val="center"/>
        <w:rPr>
          <w:rFonts w:hint="eastAsia" w:ascii="仿宋" w:hAnsi="仿宋" w:eastAsia="仿宋" w:cs="仿宋"/>
          <w:sz w:val="32"/>
          <w:szCs w:val="32"/>
          <w:highlight w:val="none"/>
          <w:lang w:val="en-US" w:eastAsia="zh-CN"/>
        </w:rPr>
      </w:pPr>
      <w:bookmarkStart w:id="18" w:name="_Toc24726"/>
      <w:r>
        <w:rPr>
          <w:rFonts w:hint="eastAsia" w:ascii="仿宋" w:hAnsi="仿宋" w:eastAsia="仿宋" w:cs="仿宋"/>
          <w:sz w:val="32"/>
          <w:szCs w:val="32"/>
          <w:highlight w:val="none"/>
          <w:lang w:val="en-US" w:eastAsia="zh-CN"/>
        </w:rPr>
        <w:t>供应商须知</w:t>
      </w:r>
      <w:bookmarkEnd w:id="18"/>
    </w:p>
    <w:p w14:paraId="4FC3A66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32"/>
          <w:highlight w:val="none"/>
          <w:lang w:val="en-US" w:eastAsia="zh-CN"/>
        </w:rPr>
      </w:pPr>
    </w:p>
    <w:p w14:paraId="104E1773">
      <w:pPr>
        <w:keepNext w:val="0"/>
        <w:keepLines w:val="0"/>
        <w:pageBreakBefore w:val="0"/>
        <w:widowControl w:val="0"/>
        <w:numPr>
          <w:ilvl w:val="0"/>
          <w:numId w:val="6"/>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sz w:val="24"/>
          <w:szCs w:val="24"/>
          <w:highlight w:val="none"/>
        </w:rPr>
      </w:pPr>
      <w:bookmarkStart w:id="19" w:name="_Toc21962"/>
      <w:bookmarkStart w:id="20" w:name="_Toc25002"/>
      <w:r>
        <w:rPr>
          <w:rFonts w:hint="eastAsia" w:ascii="仿宋" w:hAnsi="仿宋" w:eastAsia="仿宋" w:cs="仿宋"/>
          <w:b/>
          <w:bCs/>
          <w:sz w:val="24"/>
          <w:szCs w:val="24"/>
          <w:highlight w:val="none"/>
        </w:rPr>
        <w:t>说 明</w:t>
      </w:r>
      <w:bookmarkEnd w:id="19"/>
      <w:bookmarkEnd w:id="20"/>
    </w:p>
    <w:p w14:paraId="5AF090CF">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采购人、采购代理机构及供应商</w:t>
      </w:r>
    </w:p>
    <w:p w14:paraId="451973DD">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采购人：是指依法进行政府采购的国家机构、事业单位、团体组织。</w:t>
      </w:r>
    </w:p>
    <w:p w14:paraId="65CF549E">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采购代理机构：本次招标的采购代理机构为新疆世纪星工程咨询有限公司。</w:t>
      </w:r>
    </w:p>
    <w:p w14:paraId="70DA0062">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供应商：是指向采购人提供货物、工程或者服务的法人、其他组织或者自然人。</w:t>
      </w:r>
    </w:p>
    <w:p w14:paraId="131722C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供应商须满足以下条件：</w:t>
      </w:r>
    </w:p>
    <w:p w14:paraId="69DC0639">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具备《中华人民共和国政府采购法》第二十二条关于供应商条件的规定，遵守国家、本项目采购人本级和上级财政部门政府采购的有关规定。</w:t>
      </w:r>
    </w:p>
    <w:p w14:paraId="7533B47C">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以采购文件规定的方式获得了本项目的采购文件。</w:t>
      </w:r>
    </w:p>
    <w:p w14:paraId="5A445468">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符合</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中规定的其他资格要求。</w:t>
      </w:r>
    </w:p>
    <w:p w14:paraId="390CFB88">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符合</w:t>
      </w:r>
      <w:r>
        <w:rPr>
          <w:rFonts w:hint="eastAsia" w:ascii="仿宋" w:hAnsi="仿宋" w:eastAsia="仿宋" w:cs="仿宋"/>
          <w:b w:val="0"/>
          <w:bCs w:val="0"/>
          <w:sz w:val="24"/>
          <w:szCs w:val="24"/>
          <w:highlight w:val="none"/>
          <w:u w:val="single"/>
          <w:lang w:val="en-US" w:eastAsia="zh-CN"/>
        </w:rPr>
        <w:t>竞争性磋商公告</w:t>
      </w:r>
      <w:r>
        <w:rPr>
          <w:rFonts w:hint="eastAsia" w:ascii="仿宋" w:hAnsi="仿宋" w:eastAsia="仿宋" w:cs="仿宋"/>
          <w:b w:val="0"/>
          <w:bCs w:val="0"/>
          <w:sz w:val="24"/>
          <w:szCs w:val="24"/>
          <w:highlight w:val="none"/>
          <w:u w:val="none"/>
          <w:lang w:val="en-US" w:eastAsia="zh-CN"/>
        </w:rPr>
        <w:t>规定的本项目特定资格要求。</w:t>
      </w:r>
    </w:p>
    <w:p w14:paraId="4B8D9C8A">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如经财政主管部门批准可以采购进口产品，将在供应商须知前附表中写明。但供应商应保证所投产品可履行合法报通关手续进入中国关境内。若</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中未写明允许采购进口产品，如供应商所投产品为进口产品，其响应文件将作为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 xml:space="preserve">被拒绝。 </w:t>
      </w:r>
    </w:p>
    <w:p w14:paraId="31A1E4DC">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中小企业、监狱企业及残疾人福利性单位。</w:t>
      </w:r>
    </w:p>
    <w:p w14:paraId="33C64008">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采购标的对应的中小企业划分标准所属行业见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w:t>
      </w:r>
    </w:p>
    <w:p w14:paraId="55251FEE">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若</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中写明专门面向中小企业采购的，如供应商所提供的货物为非中小企业制造或提供的服务、工程为非中小企业承接，其响应文件将被认定为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。承接企业如为监狱企业或残疾人福利性单位的，视同为小型、微型企业。本项目是否面向中小企业采购预留份额、措施及比例见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，未达到上述比例的响应文件将被认定为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。承接企业如为监狱企业或残疾人福利性单位的，视同为小型、微型企业。</w:t>
      </w:r>
    </w:p>
    <w:p w14:paraId="502A9C07">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0246AF40">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供应商提供的货物、工程或者服务符合下列情形的，享受中小企业扶持政策：</w:t>
      </w:r>
    </w:p>
    <w:p w14:paraId="24C4FE8A">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在货物采购项目中，货物由中小企业制造，即货物由中小企业生产且使用该中小企业商号或者注册商标；</w:t>
      </w:r>
    </w:p>
    <w:p w14:paraId="2EC2AEBD">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在工程采购项目中，工程由中小企业承建，即工程施工单位为中小企业；</w:t>
      </w:r>
    </w:p>
    <w:p w14:paraId="19AA515B">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在服务采购项目中，服务由中小企业承接，即提供服务的人员为中小企业依照《中华人民共和国劳动合同法》订立劳动合同的从业人员。 </w:t>
      </w:r>
    </w:p>
    <w:p w14:paraId="7B67AE46">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在货物采购项目中，供应商提供的货物既有中小企业制造货物，也有大型企业制造货物的，不享受中小企业扶持政策。 </w:t>
      </w:r>
    </w:p>
    <w:p w14:paraId="6DF7FF2C">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以联合体形式参加政府采购活动，联合体各方均为中小企业的，联合体视同中小企业。其中，联合体各方均为小微企业的，联合体视同小微企业。</w:t>
      </w:r>
    </w:p>
    <w:p w14:paraId="55EC92A6">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7E31F73E">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享受政府采购支持政策的残疾人福利性单位根据《关于促进残疾人就业政府采购政策的通知》（财库〔2017〕141号）应当同时满足以下条件： </w:t>
      </w:r>
    </w:p>
    <w:p w14:paraId="563AF9BA">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安置的残疾人占本单位在职职工人数的比例不低于25%（含25%），并且安置的残疾人人数不少于10人（含10人）； </w:t>
      </w:r>
    </w:p>
    <w:p w14:paraId="6ACD8FFA">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依法与安置的每位残疾人签订了一年以上（含一年）的劳动合同或服务协议；</w:t>
      </w:r>
    </w:p>
    <w:p w14:paraId="50351351">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为安置的每位残疾人按月足额缴纳了基本养老保险、基本医疗保险、失业保险、工伤保险和生育保险等社会保险费；</w:t>
      </w:r>
    </w:p>
    <w:p w14:paraId="704BE8BE">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通过银行等金融机构向安置的每位残疾人，按月支付了不低于单位所在区县适用的经省级人民政府批准的月最低工资标准的工资；</w:t>
      </w:r>
    </w:p>
    <w:p w14:paraId="226B9D76">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提供本单位制造的货物、承担的工程或者服务，或者提供其他残疾人福利性单位制造的货物（不包括使用非残疾人福利性单位注册商标的货物）。</w:t>
      </w:r>
    </w:p>
    <w:p w14:paraId="7115C77A">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620FAA">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享受中小企业扶持政策获得政府采购合同的，小微企业不得将合同分包给大中型企业，中型企业不得将合同分包给大型企业。</w:t>
      </w:r>
    </w:p>
    <w:p w14:paraId="41F2C05A">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政府采购节能产品、环境标志产品</w:t>
      </w:r>
    </w:p>
    <w:p w14:paraId="570B5EBD">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F0E543D">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3338A4C0">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如本项目采购产品属于实施政府强制采购品目清单范围的节能产品，则供应商所报产品必须获得国家确定的认证机构出具的、处于有效期之内的节能产品认证证书，否则为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w:t>
      </w:r>
    </w:p>
    <w:p w14:paraId="73EC2E5C">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非政府强制采购的节能产品或环境标志产品，依据品目清单和认证证书实施政府优先采购。优先采购的具体规定见第六章《评标程序、评标方法和评标标准》（如涉及）。</w:t>
      </w:r>
    </w:p>
    <w:p w14:paraId="50E909BD">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支持乡村产业振兴管理</w:t>
      </w:r>
    </w:p>
    <w:p w14:paraId="73F5C858">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4CBAAFED">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正版软件</w:t>
      </w:r>
    </w:p>
    <w:p w14:paraId="014CDE27">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BD2254C">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3805B1F7">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信息安全产品</w:t>
      </w:r>
    </w:p>
    <w:p w14:paraId="682B087B">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所投产品属于《关于调整信息安全产品强制性认证实施要求的公告》（2009 年第 33 号）范围的，采购经国家认证的信息安全产品，否则为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。关于信息安全相关规定依据《关于信息安全产品实施政府采购的通知》（财库〔2010〕48 号）。</w:t>
      </w:r>
    </w:p>
    <w:p w14:paraId="09E4905D">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中允许联合体投标，对联合体规定如下：</w:t>
      </w:r>
    </w:p>
    <w:p w14:paraId="45B7607E">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两个以上供应商可以组成一个联合体，以一个供应商的身份参加采购活动。</w:t>
      </w:r>
    </w:p>
    <w:p w14:paraId="3F3EAE6C">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联合体各方均应符合《中华人民共和国政府采购法》第二十二条规定的条件，遵守国家、本项目采购人本级和上级财政部门政府采购的有关规定。</w:t>
      </w:r>
    </w:p>
    <w:p w14:paraId="51795D89">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采购人根据采购项目对供应商的特殊要求，联合体中至少应当有一方符合相关规定。</w:t>
      </w:r>
    </w:p>
    <w:p w14:paraId="5723DED1">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联合体各方应签订联合体协议，明确约定联合体各方承担的工作和相应的责任，并将联合体连同响应文件一并提交采购人或采购代理机构。</w:t>
      </w:r>
    </w:p>
    <w:p w14:paraId="14DB8D3E">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大中型企业、自然人、法人或者其他组织与小型、微型企业组成联合体共同参加采购活动，共同联合体协议中应写明小型、微型企业的协议合同金额占到联合体协议报价总金额的比例。联合体各方均为中小企业的，联合体视同中小企业。其中，联合体各方均为小微企业的，联合体视同小微企业。</w:t>
      </w:r>
    </w:p>
    <w:p w14:paraId="01807A13">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联合体中有同类资质的供应商按照联合体分工承担相同工作的，按照资质等级较低的供应商确定资质等级。</w:t>
      </w:r>
    </w:p>
    <w:p w14:paraId="39C28305">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对联合体投标的其他资格要求见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w:t>
      </w:r>
    </w:p>
    <w:p w14:paraId="7F0DC8C9">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单位负责人为同一人或者存在直接控股、管理关系的不同供应商，其响应文件将被认定为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 xml:space="preserve">。 </w:t>
      </w:r>
    </w:p>
    <w:p w14:paraId="0566DE51">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为本项目提供整体设计、规范编制或者项目管理、监理、检测等服务的供应商，其响应文件将被认定为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w:t>
      </w:r>
    </w:p>
    <w:p w14:paraId="0FFF577D">
      <w:pPr>
        <w:keepNext w:val="0"/>
        <w:keepLines w:val="0"/>
        <w:pageBreakBefore w:val="0"/>
        <w:widowControl w:val="0"/>
        <w:numPr>
          <w:ilvl w:val="0"/>
          <w:numId w:val="11"/>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资金来源 </w:t>
      </w:r>
    </w:p>
    <w:p w14:paraId="4BE3A515">
      <w:pPr>
        <w:keepNext w:val="0"/>
        <w:keepLines w:val="0"/>
        <w:pageBreakBefore w:val="0"/>
        <w:widowControl w:val="0"/>
        <w:numPr>
          <w:ilvl w:val="1"/>
          <w:numId w:val="11"/>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本项目的采购人已获得足以支付本次采购活动后所签订的合同项下的资金（包括财政性资金和本项目采购中无法与财政性资金分割的非财政性资金）。 </w:t>
      </w:r>
    </w:p>
    <w:p w14:paraId="146879B9">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项目预算金额和最高限价见</w:t>
      </w:r>
      <w:r>
        <w:rPr>
          <w:rFonts w:hint="eastAsia" w:ascii="仿宋" w:hAnsi="仿宋" w:eastAsia="仿宋" w:cs="仿宋"/>
          <w:sz w:val="24"/>
          <w:szCs w:val="24"/>
          <w:highlight w:val="none"/>
          <w:u w:val="single"/>
          <w:lang w:val="en-US" w:eastAsia="zh-CN"/>
        </w:rPr>
        <w:t>供应商须知前附表</w:t>
      </w:r>
      <w:r>
        <w:rPr>
          <w:rFonts w:hint="eastAsia" w:ascii="仿宋" w:hAnsi="仿宋" w:eastAsia="仿宋" w:cs="仿宋"/>
          <w:sz w:val="24"/>
          <w:szCs w:val="24"/>
          <w:highlight w:val="none"/>
          <w:lang w:val="en-US" w:eastAsia="zh-CN"/>
        </w:rPr>
        <w:t>。</w:t>
      </w:r>
    </w:p>
    <w:p w14:paraId="30D92BDA">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供应商报价超过采购文件规定的预算金额或者最高限价的，其响应文件将被认定为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sz w:val="24"/>
          <w:szCs w:val="24"/>
          <w:highlight w:val="none"/>
          <w:lang w:val="en-US" w:eastAsia="zh-CN"/>
        </w:rPr>
        <w:t>。</w:t>
      </w:r>
    </w:p>
    <w:p w14:paraId="0A7A7333">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费用</w:t>
      </w:r>
    </w:p>
    <w:p w14:paraId="18BD6038">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供应商应自行承担所有与准备和参加采购活动有关的费用，无论结果如何，采购人或采购代理机构在任何情况下均无承担这些费用的义务和责任。</w:t>
      </w:r>
    </w:p>
    <w:p w14:paraId="1065D648">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适用法律</w:t>
      </w:r>
    </w:p>
    <w:p w14:paraId="1A402B51">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采购人、采购代理机构、供应商、评审专家的相关行为均受《中华人民共和国政府采购法》、《中华人民共和国政府采购法实施条例》、《政府采购竞争性磋商采购方式管理暂行办法》（财库〔2014〕214号）及本项目本级和上级财政部门政府采购有关规定的约束，其权利受到上述法律法规的保护。</w:t>
      </w:r>
    </w:p>
    <w:p w14:paraId="57DFBC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sz w:val="24"/>
          <w:szCs w:val="24"/>
          <w:highlight w:val="none"/>
          <w:lang w:val="en-US" w:eastAsia="zh-CN"/>
        </w:rPr>
      </w:pPr>
    </w:p>
    <w:p w14:paraId="0CE2D975">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21" w:name="_Toc5010"/>
      <w:bookmarkStart w:id="22" w:name="_Toc15383"/>
      <w:r>
        <w:rPr>
          <w:rFonts w:hint="eastAsia" w:ascii="仿宋" w:hAnsi="仿宋" w:eastAsia="仿宋" w:cs="仿宋"/>
          <w:b/>
          <w:bCs/>
          <w:sz w:val="24"/>
          <w:szCs w:val="24"/>
          <w:highlight w:val="none"/>
          <w:lang w:val="en-US" w:eastAsia="zh-CN"/>
        </w:rPr>
        <w:t>采购文件</w:t>
      </w:r>
      <w:bookmarkEnd w:id="21"/>
      <w:bookmarkEnd w:id="22"/>
    </w:p>
    <w:p w14:paraId="370B0670">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采购文件构成</w:t>
      </w:r>
    </w:p>
    <w:p w14:paraId="5654055E">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采购文件包括以下部分：</w:t>
      </w:r>
    </w:p>
    <w:p w14:paraId="6641836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第一章 竞争性磋商公告 </w:t>
      </w:r>
    </w:p>
    <w:p w14:paraId="6A7C1E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第二章 供应商须知前附表 </w:t>
      </w:r>
    </w:p>
    <w:p w14:paraId="1CB7F92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第三章 供应商须知</w:t>
      </w:r>
    </w:p>
    <w:p w14:paraId="7F2DD88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第四章 政府采购合同 </w:t>
      </w:r>
    </w:p>
    <w:p w14:paraId="5817D32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第五章 采购需求 </w:t>
      </w:r>
    </w:p>
    <w:p w14:paraId="526349A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第六章 评标程序、评标方法和评标标准</w:t>
      </w:r>
    </w:p>
    <w:p w14:paraId="1F99742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第七章 响应文件格式   </w:t>
      </w:r>
    </w:p>
    <w:p w14:paraId="58228BCE">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供应商应认真阅读采购文件的全部内容。供应商应按照采购文件要求提交响应文件并保证所提供的全部资料的真实性，并对采购文件做出实质性响应，否则其响应文件将被认定为</w:t>
      </w:r>
      <w:r>
        <w:rPr>
          <w:rFonts w:hint="eastAsia" w:ascii="仿宋" w:hAnsi="仿宋" w:eastAsia="仿宋" w:cs="仿宋"/>
          <w:b/>
          <w:bCs/>
          <w:sz w:val="24"/>
          <w:szCs w:val="24"/>
          <w:highlight w:val="none"/>
          <w:lang w:val="en-US" w:eastAsia="zh-CN"/>
        </w:rPr>
        <w:t>响应无效。</w:t>
      </w:r>
    </w:p>
    <w:p w14:paraId="2CDBB7DB">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采购文件中有不一致的，有澄清的部分以最终的澄清更正内容为准；未澄清的，以供应商须知前附表为准；供应商须知前附表不涉及的内容，以编排在后的最后描述为准。</w:t>
      </w:r>
    </w:p>
    <w:p w14:paraId="3D9DD4D6">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现场考察或者答疑会及相关事项见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w:t>
      </w:r>
    </w:p>
    <w:p w14:paraId="2CEAF805">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采购人在踏勘现场中介绍的资料和数据等，只是为了使供应商能够利用采购人现有的资料。采购人对供应商由此而作出的推论、解释和结论概不负责。</w:t>
      </w:r>
    </w:p>
    <w:p w14:paraId="7D551225">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供应商自行承担踏勘现场发生的责任、风险和自身费用。</w:t>
      </w:r>
    </w:p>
    <w:p w14:paraId="1B88436E">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原则上采购人、采购代理机构不要求供应商提供样品。除仅凭书面方式不能准确描述采购需求，或者需要对样品进行主观判断以确认是否满足采购需求等特殊情况除外。如需提供样品，对样品相关要求见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，对样品的评审方法及评审标准见采购文件第六章《评标程序、评标方法和评标标准》。</w:t>
      </w:r>
    </w:p>
    <w:p w14:paraId="1114760C">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采购文件规定供应商提交样品的，样品属于响应文件的组成部分。样品的生产、运输、安装、保全等一切费用由供应商自理。</w:t>
      </w:r>
    </w:p>
    <w:p w14:paraId="4B14D7C2">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39C64014">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对采购文件的澄清或修改</w:t>
      </w:r>
    </w:p>
    <w:p w14:paraId="57860173">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对已发出的采购文件进行必要澄清或者修改的，将在原公告发布媒体（网站）上发布更正公告（通知），因供应商未及时登陆媒体（网站）查看导致通知未及时收到通知的，采购人或采购代理机构不承担责任。</w:t>
      </w:r>
    </w:p>
    <w:p w14:paraId="6B922006">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更正公告及其所发布的内容或信息（包括但不限于：采购文件的澄清或修改、现场考察或答疑会的有关事宜等）作为采购文件的组成部分，对供应商具有约束力。一经在指定媒体上发布后，更正公告将作为通知所有采购文件收受人的书面形式。</w:t>
      </w:r>
    </w:p>
    <w:p w14:paraId="190CB9A0">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澄清或者修改的内容为采购文件的组成部分，并对所有获取采购文件的供应商具有约束力。澄清或者修改的内容可能影响采购文件编制的，将在投标截止时间至少 5 日前发布；不足 5 日的，将顺延提交响应文件的截止时间和开标时间。</w:t>
      </w:r>
    </w:p>
    <w:p w14:paraId="4F011B18">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为了保证对采购文件的澄清和修改满足法律的时限要求，任何要求对采购文件进行澄清的供应商，均应在投标截止期 5 日前，以书面形式将澄清要求通知采购人或采购代理机构。</w:t>
      </w:r>
    </w:p>
    <w:p w14:paraId="6EC85BE5">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如更正公告有重新发布电子采购文件的，供应商应登录电子招投标平台下载最新发布的电子采购文件制作响应文件。</w:t>
      </w:r>
    </w:p>
    <w:p w14:paraId="78B1FB0B">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供应商在规定的时间内未对采购文件提出疑问、质疑或要求澄清的，将视其为无异议。对采购文件中描述有歧义或前后不一致的地方，磋商小组有权进行评判，但对同一条款的评判应适用于每个供应商。</w:t>
      </w:r>
    </w:p>
    <w:p w14:paraId="1C77194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109A0B27">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23" w:name="_Toc3267"/>
      <w:bookmarkStart w:id="24" w:name="_Toc29248"/>
      <w:r>
        <w:rPr>
          <w:rFonts w:hint="eastAsia" w:ascii="仿宋" w:hAnsi="仿宋" w:eastAsia="仿宋" w:cs="仿宋"/>
          <w:b/>
          <w:bCs/>
          <w:sz w:val="24"/>
          <w:szCs w:val="24"/>
          <w:highlight w:val="none"/>
          <w:lang w:val="en-US" w:eastAsia="zh-CN"/>
        </w:rPr>
        <w:t>响应文件的编制</w:t>
      </w:r>
      <w:bookmarkEnd w:id="23"/>
      <w:bookmarkEnd w:id="24"/>
    </w:p>
    <w:p w14:paraId="6A6F1DEC">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响应范围、响应文件中计量单位的使用及磋商语言</w:t>
      </w:r>
    </w:p>
    <w:p w14:paraId="16E55040">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供应商可对采购文件中一个或几个分包进行响应，除非在</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 xml:space="preserve">中另有规定。 </w:t>
      </w:r>
    </w:p>
    <w:p w14:paraId="0651C059">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供应商应当对所投采购包对应第五章《采购需求》所列的全部内容进行响应，如仅响应采购包中的部分内容，其该包响应文件将被认定为</w:t>
      </w:r>
      <w:r>
        <w:rPr>
          <w:rFonts w:hint="eastAsia" w:ascii="仿宋" w:hAnsi="仿宋" w:eastAsia="仿宋" w:cs="仿宋"/>
          <w:b/>
          <w:bCs/>
          <w:sz w:val="24"/>
          <w:szCs w:val="24"/>
          <w:highlight w:val="none"/>
          <w:lang w:val="en-US" w:eastAsia="zh-CN"/>
        </w:rPr>
        <w:t>响应无效</w:t>
      </w:r>
      <w:r>
        <w:rPr>
          <w:rFonts w:hint="eastAsia" w:ascii="仿宋" w:hAnsi="仿宋" w:eastAsia="仿宋" w:cs="仿宋"/>
          <w:b w:val="0"/>
          <w:bCs w:val="0"/>
          <w:sz w:val="24"/>
          <w:szCs w:val="24"/>
          <w:highlight w:val="none"/>
          <w:lang w:val="en-US" w:eastAsia="zh-CN"/>
        </w:rPr>
        <w:t>。</w:t>
      </w:r>
    </w:p>
    <w:p w14:paraId="42213C3A">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无论采购文件中是否要求，供应商所投货物或服务或工程均应符合国家强制性标准。</w:t>
      </w:r>
    </w:p>
    <w:p w14:paraId="7A8561EB">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除采购文件有特殊要求外，本项目磋商所使用的计量单位，应采用中华人民共和国法定计量单位。</w:t>
      </w:r>
    </w:p>
    <w:p w14:paraId="320D9DA4">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F15927B">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响应文件构成</w:t>
      </w:r>
    </w:p>
    <w:p w14:paraId="2B6726E4">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供应商应当按照采购文件的要求编制响应文件。响应文件应由资格证明文件、报价文件、商务技术文件三部分构成。响应文件的部分格式要求，见第七章《响应文件格式》。</w:t>
      </w:r>
    </w:p>
    <w:p w14:paraId="72127067">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第五章《采购需求》及第六章《评标程序、评标方法和评标标准》中涉及的证明文件。</w:t>
      </w:r>
    </w:p>
    <w:p w14:paraId="3DF44E68">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照第五章《采购需求》，说明所提供货物或服务或工程已对第五章《采购需求》做出了响应，或申明与第五章《采购需求》的偏差和例外。如第五章《采购需求》中要求提供证明文件的，供应商应当按具体要求提供证明文件。</w:t>
      </w:r>
    </w:p>
    <w:p w14:paraId="0C515136">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供应商认为应附的其他材料。</w:t>
      </w:r>
    </w:p>
    <w:p w14:paraId="70851598">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上述文件应按照采购文件的规定签署和盖公章或经公章授权的其他单位章（以下统称公章）。采用公章授权方式的，应当在响应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采购文件要求在响应文件指定位置进行签名（含电子签名）和盖章（含电子印章），对允许采用手写签名的文件，应在纸质文件手写签名后，提供文件的彩色扫描电子文档进行后续操作。</w:t>
      </w:r>
    </w:p>
    <w:p w14:paraId="7DD5B2DC">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响应报价</w:t>
      </w:r>
    </w:p>
    <w:p w14:paraId="6AC85747">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所有响应均以人民币报价。</w:t>
      </w:r>
    </w:p>
    <w:p w14:paraId="0254FE3C">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的报价应当包括满足本次采购文件全部采购需求所应提供的全部内容。供应商的响应报价应遵守《中华人民共和国价格法》。同时，根据《中华人民共和国政府采购法》及相关配套法律、法规的规定，为保证公平竞争，如供应商有赠与行为的，将导致其</w:t>
      </w:r>
      <w:r>
        <w:rPr>
          <w:rFonts w:hint="eastAsia" w:ascii="仿宋" w:hAnsi="仿宋" w:eastAsia="仿宋" w:cs="仿宋"/>
          <w:b/>
          <w:bCs/>
          <w:sz w:val="24"/>
          <w:szCs w:val="24"/>
          <w:highlight w:val="none"/>
          <w:lang w:val="en-US" w:eastAsia="zh-CN"/>
        </w:rPr>
        <w:t>响应文件被拒绝</w:t>
      </w:r>
      <w:r>
        <w:rPr>
          <w:rFonts w:hint="eastAsia" w:ascii="仿宋" w:hAnsi="仿宋" w:eastAsia="仿宋" w:cs="仿宋"/>
          <w:b w:val="0"/>
          <w:bCs w:val="0"/>
          <w:sz w:val="24"/>
          <w:szCs w:val="24"/>
          <w:highlight w:val="none"/>
          <w:lang w:val="en-US" w:eastAsia="zh-CN"/>
        </w:rPr>
        <w:t>。</w:t>
      </w:r>
    </w:p>
    <w:p w14:paraId="176516F7">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供应商所报的各分项响应单价在合同履行过程中是固定不变的，不得以任何理由予以变更。任何包含价格调整要求的响应，将被认定为其</w:t>
      </w:r>
      <w:r>
        <w:rPr>
          <w:rFonts w:hint="eastAsia" w:ascii="仿宋" w:hAnsi="仿宋" w:eastAsia="仿宋" w:cs="仿宋"/>
          <w:b/>
          <w:bCs/>
          <w:sz w:val="24"/>
          <w:szCs w:val="24"/>
          <w:highlight w:val="none"/>
          <w:lang w:val="en-US" w:eastAsia="zh-CN"/>
        </w:rPr>
        <w:t>响应文件无效</w:t>
      </w:r>
      <w:r>
        <w:rPr>
          <w:rFonts w:hint="eastAsia" w:ascii="仿宋" w:hAnsi="仿宋" w:eastAsia="仿宋" w:cs="仿宋"/>
          <w:b w:val="0"/>
          <w:bCs w:val="0"/>
          <w:sz w:val="24"/>
          <w:szCs w:val="24"/>
          <w:highlight w:val="none"/>
          <w:lang w:val="en-US" w:eastAsia="zh-CN"/>
        </w:rPr>
        <w:t>。</w:t>
      </w:r>
    </w:p>
    <w:p w14:paraId="24EADD9C">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按照““第五章采购需求”的需求内容、责任范围以及第四章政府采购合同”进行报价。并按“报价一览表”和“分项报价表”规定的格式报出总价和分项价格。响应总价中不得包含采购文件要求以外的内容，否则，在评审时不予核减。</w:t>
      </w:r>
    </w:p>
    <w:p w14:paraId="1C11C4CE">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磋商保证金</w:t>
      </w:r>
    </w:p>
    <w:p w14:paraId="4DFA8624">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供应商应按</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中规定的金额及要求交纳保证金，并作为其响应文件的一部分。</w:t>
      </w:r>
    </w:p>
    <w:p w14:paraId="3A18B6B6">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交纳保证金的形式除</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中另有约定外，可采用的形式：政府采购法律法规接受的支票、汇票、本票、网上银行支付或者金融机构、担保机构出具的保函等非现金形式。</w:t>
      </w:r>
    </w:p>
    <w:p w14:paraId="5482A20A">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保证金到账（保函提交）截止时间同响应截止时间。以支票、汇票、本票、网上银行支付等形式提交保证金的，应在响应截止时间前到账。由于到账时间晚于响应截止时间的，或者票据错误、印鉴不清等原因导致不能到账的，其</w:t>
      </w:r>
      <w:r>
        <w:rPr>
          <w:rFonts w:hint="eastAsia" w:ascii="仿宋" w:hAnsi="仿宋" w:eastAsia="仿宋" w:cs="仿宋"/>
          <w:b/>
          <w:bCs/>
          <w:i w:val="0"/>
          <w:iCs w:val="0"/>
          <w:sz w:val="24"/>
          <w:szCs w:val="24"/>
          <w:highlight w:val="none"/>
          <w:lang w:val="en-US" w:eastAsia="zh-CN"/>
        </w:rPr>
        <w:t>响应文件无效</w:t>
      </w:r>
      <w:r>
        <w:rPr>
          <w:rFonts w:hint="eastAsia" w:ascii="仿宋" w:hAnsi="仿宋" w:eastAsia="仿宋" w:cs="仿宋"/>
          <w:b w:val="0"/>
          <w:bCs w:val="0"/>
          <w:sz w:val="24"/>
          <w:szCs w:val="24"/>
          <w:highlight w:val="none"/>
          <w:lang w:val="en-US" w:eastAsia="zh-CN"/>
        </w:rPr>
        <w:t>。</w:t>
      </w:r>
    </w:p>
    <w:p w14:paraId="2D950AF1">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如采用金融机构、专业担保机构开具的投标担保函、投标保证保险函等形式提交磋商保证金的，投标担保函或投标保证保险函须开具给采购人（保险受益人须为采购人），否则其</w:t>
      </w:r>
      <w:r>
        <w:rPr>
          <w:rFonts w:hint="eastAsia" w:ascii="仿宋" w:hAnsi="仿宋" w:eastAsia="仿宋" w:cs="仿宋"/>
          <w:b/>
          <w:bCs/>
          <w:sz w:val="24"/>
          <w:szCs w:val="24"/>
          <w:highlight w:val="none"/>
          <w:lang w:val="en-US" w:eastAsia="zh-CN"/>
        </w:rPr>
        <w:t>响应文件无效</w:t>
      </w:r>
      <w:r>
        <w:rPr>
          <w:rFonts w:hint="eastAsia" w:ascii="仿宋" w:hAnsi="仿宋" w:eastAsia="仿宋" w:cs="仿宋"/>
          <w:b w:val="0"/>
          <w:bCs w:val="0"/>
          <w:sz w:val="24"/>
          <w:szCs w:val="24"/>
          <w:highlight w:val="none"/>
          <w:lang w:val="en-US" w:eastAsia="zh-CN"/>
        </w:rPr>
        <w:t>。电子保函与纸质保函具有同样效力。</w:t>
      </w:r>
    </w:p>
    <w:p w14:paraId="67A1204A">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保证金（保函）有效期同响应文件有效期。</w:t>
      </w:r>
    </w:p>
    <w:p w14:paraId="009F2516">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联合体磋商的，可以由联合体中的一方或者共同提交保证金，以一方名义提交磋商保证金（保函）的，对联合体各方均具有约束力。</w:t>
      </w:r>
    </w:p>
    <w:p w14:paraId="57BEF6F4">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采购代理机构将及时退还供应商的磋商保证金，采用银行保函、担保机构担保函等形式递交的磋商保证金，经供应商同意后采购人、采购代理机构可以不再退还，但因供应商自身原因导致无法及时退还的除外。</w:t>
      </w:r>
    </w:p>
    <w:p w14:paraId="1976D56C">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供应商在响应截止时间前撤回已提交的响应文件的，自收到供应商书面撤回通知之日起 5 个工作日内退还已收取的磋商保证金。 </w:t>
      </w:r>
    </w:p>
    <w:p w14:paraId="340A1BDE">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成交人的磋商保证金，自采购合同签订之日起 5 个工作日内退还中标人。 </w:t>
      </w:r>
    </w:p>
    <w:p w14:paraId="388D7D92">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未成交人的磋商保证金，自成交通知书发出之日起 5 个工作日内退还未成交人。</w:t>
      </w:r>
    </w:p>
    <w:p w14:paraId="61CF8713">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终止采购活动的项目已经收取磋商保证金的，自终止采购活动后 5 个工作日内退还已收取的磋商保证金。</w:t>
      </w:r>
    </w:p>
    <w:p w14:paraId="61C943E5">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有下列情形之一的，采购人或采购代理机构可以不予退还磋商保证金：</w:t>
      </w:r>
    </w:p>
    <w:p w14:paraId="2BCBDD9C">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在响应文件有效期内，供应商撤回响应文件的； </w:t>
      </w:r>
    </w:p>
    <w:p w14:paraId="36363164">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成交人不按本采购文件的规定与采购人签订合同的； </w:t>
      </w:r>
    </w:p>
    <w:p w14:paraId="2C5B37B4">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成交人不按本采购文件的规定提交履约保证金的； </w:t>
      </w:r>
    </w:p>
    <w:p w14:paraId="5A0A9660">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成交人不按本采购文件的规定缴纳招标代理服务费的； </w:t>
      </w:r>
    </w:p>
    <w:p w14:paraId="0DD9BBAE">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存在的串通投标情形的； </w:t>
      </w:r>
    </w:p>
    <w:p w14:paraId="01D85BA1">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存在向采购人、代理机构或评标专家行贿事实的； </w:t>
      </w:r>
    </w:p>
    <w:p w14:paraId="6F6BCB98">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法律、法规规定的其它情况。</w:t>
      </w:r>
    </w:p>
    <w:p w14:paraId="07659CAE">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响应文件有效期</w:t>
      </w:r>
    </w:p>
    <w:p w14:paraId="2702B2E5">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响应文件应在</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中规定的响应文件有效期内保持有效，响应文件有效期少于采购文件规定期限的，其</w:t>
      </w:r>
      <w:r>
        <w:rPr>
          <w:rFonts w:hint="eastAsia" w:ascii="仿宋" w:hAnsi="仿宋" w:eastAsia="仿宋" w:cs="仿宋"/>
          <w:b/>
          <w:bCs/>
          <w:sz w:val="24"/>
          <w:szCs w:val="24"/>
          <w:highlight w:val="none"/>
          <w:lang w:val="en-US" w:eastAsia="zh-CN"/>
        </w:rPr>
        <w:t>响应文件无效</w:t>
      </w:r>
      <w:r>
        <w:rPr>
          <w:rFonts w:hint="eastAsia" w:ascii="仿宋" w:hAnsi="仿宋" w:eastAsia="仿宋" w:cs="仿宋"/>
          <w:b w:val="0"/>
          <w:bCs w:val="0"/>
          <w:sz w:val="24"/>
          <w:szCs w:val="24"/>
          <w:highlight w:val="none"/>
          <w:lang w:val="en-US" w:eastAsia="zh-CN"/>
        </w:rPr>
        <w:t>。</w:t>
      </w:r>
    </w:p>
    <w:p w14:paraId="4C3DE506">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可根据实际情况，在原响应文件有效期截止之前，要求供应商延长响应文件有效期。接受该要求的供应商将不会被要求和允许修正其响应文件，且本须知中有关磋商保证金的要求须在延长的有效期内继续有效。供应商也可以拒绝延长响应文件有效期的要求，退还其磋商保证金。上述要求和答复都应以书面形式提交。</w:t>
      </w:r>
    </w:p>
    <w:p w14:paraId="4F79C66F">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响应文件的制作</w:t>
      </w:r>
    </w:p>
    <w:p w14:paraId="24A251C7">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响应文件中，所有内容均以电子文件编制，如因不按电子招投标平台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14:paraId="7EFC2DDA">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供应商应使用电子招投标平台提供的投标客户端编制、标记、加密响应文件，成功加密后将生成指定格式的电子响应文件和电子备用响应文件</w:t>
      </w:r>
    </w:p>
    <w:p w14:paraId="0ACE75F6">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如有对多个采购包响应的，要对每个采购包独立制作电子响应文件。</w:t>
      </w:r>
    </w:p>
    <w:p w14:paraId="496C01DA">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供应商须对采购文件的对应要求给予唯一的实质性响应，否则将视为不响应。</w:t>
      </w:r>
    </w:p>
    <w:p w14:paraId="54216224">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按采购文件的规定及附件要求的内容和格式完整地填写和提供资料。供应商必须对响应文件所提供的全部资料的真实性承担法律责任，并无条件接受采购人和政府采购监督管理部门对其中任何资料进行核实（核对原件）的要求。</w:t>
      </w:r>
    </w:p>
    <w:p w14:paraId="03241390">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25" w:name="_Toc17753"/>
      <w:bookmarkStart w:id="26" w:name="_Toc20502"/>
      <w:r>
        <w:rPr>
          <w:rFonts w:hint="eastAsia" w:ascii="仿宋" w:hAnsi="仿宋" w:eastAsia="仿宋" w:cs="仿宋"/>
          <w:b/>
          <w:bCs/>
          <w:sz w:val="24"/>
          <w:szCs w:val="24"/>
          <w:highlight w:val="none"/>
          <w:lang w:val="en-US" w:eastAsia="zh-CN"/>
        </w:rPr>
        <w:t>响应文件的提交</w:t>
      </w:r>
      <w:bookmarkEnd w:id="25"/>
      <w:bookmarkEnd w:id="26"/>
    </w:p>
    <w:p w14:paraId="1EDE4112">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响应文件的提交</w:t>
      </w:r>
    </w:p>
    <w:p w14:paraId="6B01BE13">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供应商应在</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规定的截止时间前，将响应文件递交到采购文件中规定的电子招投标平台。时间以电子招投标平台系统服务器从中国科学院国家授时中心取得的北京时间为准，响应截止时间结束后，系统将不允许供应商上传响应文件，已上传响应文件但未完成传输的文件系统将拒绝接收。</w:t>
      </w:r>
    </w:p>
    <w:p w14:paraId="19DBEC8A">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代理机构对因不可抗力事件造成的响应文件的损坏、丢失的，不承担责任。</w:t>
      </w:r>
    </w:p>
    <w:p w14:paraId="16B0B48E">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出现下述情形之一，属于未成功提交响应文件，按</w:t>
      </w:r>
      <w:r>
        <w:rPr>
          <w:rFonts w:hint="eastAsia" w:ascii="仿宋" w:hAnsi="仿宋" w:eastAsia="仿宋" w:cs="仿宋"/>
          <w:b/>
          <w:bCs/>
          <w:sz w:val="24"/>
          <w:szCs w:val="24"/>
          <w:highlight w:val="none"/>
          <w:lang w:val="en-US" w:eastAsia="zh-CN"/>
        </w:rPr>
        <w:t>响应无效</w:t>
      </w:r>
      <w:r>
        <w:rPr>
          <w:rFonts w:hint="eastAsia" w:ascii="仿宋" w:hAnsi="仿宋" w:eastAsia="仿宋" w:cs="仿宋"/>
          <w:b w:val="0"/>
          <w:bCs w:val="0"/>
          <w:sz w:val="24"/>
          <w:szCs w:val="24"/>
          <w:highlight w:val="none"/>
          <w:lang w:val="en-US" w:eastAsia="zh-CN"/>
        </w:rPr>
        <w:t>处理：</w:t>
      </w:r>
    </w:p>
    <w:p w14:paraId="329E7461">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至提交响应文件截止时，响应文件未完整上传的。 </w:t>
      </w:r>
    </w:p>
    <w:p w14:paraId="31A05F38">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响应文件未按响应格式中注明需签字盖章的要求进行签名（含电子签名）和加盖电子印章，或签名（含电子签名）或电子印章不完整的。</w:t>
      </w:r>
    </w:p>
    <w:p w14:paraId="4E8C1C74">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响应文件损坏或格式不正确的。</w:t>
      </w:r>
    </w:p>
    <w:p w14:paraId="229C6227">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响应文件的修改、撤回与撤销</w:t>
      </w:r>
    </w:p>
    <w:p w14:paraId="01598C22">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在提交响应文件截止时间前，供应商可以修改或撤回未解密的电子响应文件，并于提交响应文件截止时间前将修改后重新生成的电子响应文件上传至系统，到达响应文件提交截止时间后，将不允许修改或撤回。</w:t>
      </w:r>
    </w:p>
    <w:p w14:paraId="278446A8">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在提交响应文件截止时间后，供应商不得补充、修改和更换响应文件。</w:t>
      </w:r>
    </w:p>
    <w:p w14:paraId="6C2F54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325C2D37">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27" w:name="_Toc9867"/>
      <w:bookmarkStart w:id="28" w:name="_Toc6419"/>
      <w:r>
        <w:rPr>
          <w:rFonts w:hint="eastAsia" w:ascii="仿宋" w:hAnsi="仿宋" w:eastAsia="仿宋" w:cs="仿宋"/>
          <w:b/>
          <w:bCs/>
          <w:sz w:val="24"/>
          <w:szCs w:val="24"/>
          <w:highlight w:val="none"/>
          <w:lang w:val="en-US" w:eastAsia="zh-CN"/>
        </w:rPr>
        <w:t>开标及评标</w:t>
      </w:r>
      <w:bookmarkEnd w:id="27"/>
      <w:bookmarkEnd w:id="28"/>
    </w:p>
    <w:p w14:paraId="4A2A7254">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开标</w:t>
      </w:r>
    </w:p>
    <w:p w14:paraId="6F1568FF">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采购人和采购代理机构将按</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中规定的开标时间和地点组织公开开标并邀请所有供应商代表参加。开标为远程电子开标。</w:t>
      </w:r>
    </w:p>
    <w:p w14:paraId="73A711E3">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采用远程电子开标的：</w:t>
      </w:r>
    </w:p>
    <w:p w14:paraId="73CD1BDC">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供应商的法定代表人或其授权代表应当按照本采购文件载明的时间和模式等要求参加开标。在</w:t>
      </w:r>
      <w:r>
        <w:rPr>
          <w:rFonts w:hint="eastAsia" w:ascii="仿宋" w:hAnsi="仿宋" w:eastAsia="仿宋" w:cs="仿宋"/>
          <w:b/>
          <w:bCs/>
          <w:sz w:val="24"/>
          <w:szCs w:val="24"/>
          <w:highlight w:val="none"/>
          <w:lang w:val="en-US" w:eastAsia="zh-CN"/>
        </w:rPr>
        <w:t>响应截止时间前30分钟</w:t>
      </w:r>
      <w:r>
        <w:rPr>
          <w:rFonts w:hint="eastAsia" w:ascii="仿宋" w:hAnsi="仿宋" w:eastAsia="仿宋" w:cs="仿宋"/>
          <w:b w:val="0"/>
          <w:bCs w:val="0"/>
          <w:sz w:val="24"/>
          <w:szCs w:val="24"/>
          <w:highlight w:val="none"/>
          <w:lang w:val="en-US" w:eastAsia="zh-CN"/>
        </w:rPr>
        <w:t>，应当登录开标大厅进行签到，并且填写授权代表的姓名与手机号码。若因签到时填写的授权代表信息有误而导致的不良后果，由供应商自行承担。</w:t>
      </w:r>
    </w:p>
    <w:p w14:paraId="1AE32A3D">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w:t>
      </w:r>
      <w:r>
        <w:rPr>
          <w:rFonts w:hint="eastAsia" w:ascii="仿宋" w:hAnsi="仿宋" w:eastAsia="仿宋" w:cs="仿宋"/>
          <w:b/>
          <w:bCs/>
          <w:sz w:val="24"/>
          <w:szCs w:val="24"/>
          <w:highlight w:val="none"/>
          <w:lang w:val="en-US" w:eastAsia="zh-CN"/>
        </w:rPr>
        <w:t>响应无效</w:t>
      </w:r>
      <w:r>
        <w:rPr>
          <w:rFonts w:hint="eastAsia" w:ascii="仿宋" w:hAnsi="仿宋" w:eastAsia="仿宋" w:cs="仿宋"/>
          <w:b w:val="0"/>
          <w:bCs w:val="0"/>
          <w:sz w:val="24"/>
          <w:szCs w:val="24"/>
          <w:highlight w:val="none"/>
          <w:lang w:val="en-US" w:eastAsia="zh-CN"/>
        </w:rPr>
        <w:t>处理。（采用远程电子开标的，各供应商在参加开标以前须自行对使用电脑的网络环境、驱动安装、客户端安装以及数字证书的有效性等进行检测，确保可以正常使用）。</w:t>
      </w:r>
    </w:p>
    <w:p w14:paraId="4ED33174">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在电子开标过程中出现因系统原因无法正常解密的，代理机构可根据实际情况开启上传备用电子响应文件通道。系统将对上传的备用电子响应文件的合法性进行验证，若发现提交的备用电子响应文件与加密的电子响应文件版本不一致（即两份文件不是编制响应文件同时生成的），系统将拒绝接收，视为</w:t>
      </w:r>
      <w:r>
        <w:rPr>
          <w:rFonts w:hint="eastAsia" w:ascii="仿宋" w:hAnsi="仿宋" w:eastAsia="仿宋" w:cs="仿宋"/>
          <w:b/>
          <w:bCs/>
          <w:sz w:val="24"/>
          <w:szCs w:val="24"/>
          <w:highlight w:val="none"/>
          <w:lang w:val="en-US" w:eastAsia="zh-CN"/>
        </w:rPr>
        <w:t>响应无效</w:t>
      </w:r>
      <w:r>
        <w:rPr>
          <w:rFonts w:hint="eastAsia" w:ascii="仿宋" w:hAnsi="仿宋" w:eastAsia="仿宋" w:cs="仿宋"/>
          <w:b w:val="0"/>
          <w:bCs w:val="0"/>
          <w:sz w:val="24"/>
          <w:szCs w:val="24"/>
          <w:highlight w:val="none"/>
          <w:lang w:val="en-US" w:eastAsia="zh-CN"/>
        </w:rPr>
        <w:t>。如供应商无法在代理规定的时间内完成备用电子响应文件的上传，响应文件将被拒绝，作</w:t>
      </w:r>
      <w:r>
        <w:rPr>
          <w:rFonts w:hint="eastAsia" w:ascii="仿宋" w:hAnsi="仿宋" w:eastAsia="仿宋" w:cs="仿宋"/>
          <w:b/>
          <w:bCs/>
          <w:sz w:val="24"/>
          <w:szCs w:val="24"/>
          <w:highlight w:val="none"/>
          <w:lang w:val="en-US" w:eastAsia="zh-CN"/>
        </w:rPr>
        <w:t>响应无效</w:t>
      </w:r>
      <w:r>
        <w:rPr>
          <w:rFonts w:hint="eastAsia" w:ascii="仿宋" w:hAnsi="仿宋" w:eastAsia="仿宋" w:cs="仿宋"/>
          <w:b w:val="0"/>
          <w:bCs w:val="0"/>
          <w:sz w:val="24"/>
          <w:szCs w:val="24"/>
          <w:highlight w:val="none"/>
          <w:lang w:val="en-US" w:eastAsia="zh-CN"/>
        </w:rPr>
        <w:t>处理。</w:t>
      </w:r>
    </w:p>
    <w:p w14:paraId="38CD92F5">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供应商代表对开标过程和开标记录有疑义，以及认为采购人、采购代理机构相关工作人员有需要回避的情形的，应当场提出询问或者回避申请。供应商未参加开标的，视同认可开标结果。</w:t>
      </w:r>
    </w:p>
    <w:p w14:paraId="049F2FCB">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响应截止时间后，供应商不足3家的，不得开标。同时，本次采购活动结束。</w:t>
      </w:r>
    </w:p>
    <w:p w14:paraId="75201001">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开标时出现下列情况的，视为</w:t>
      </w:r>
      <w:r>
        <w:rPr>
          <w:rFonts w:hint="eastAsia" w:ascii="仿宋" w:hAnsi="仿宋" w:eastAsia="仿宋" w:cs="仿宋"/>
          <w:b/>
          <w:bCs/>
          <w:sz w:val="24"/>
          <w:szCs w:val="24"/>
          <w:highlight w:val="none"/>
          <w:lang w:val="en-US" w:eastAsia="zh-CN"/>
        </w:rPr>
        <w:t>响应无效</w:t>
      </w:r>
      <w:r>
        <w:rPr>
          <w:rFonts w:hint="eastAsia" w:ascii="仿宋" w:hAnsi="仿宋" w:eastAsia="仿宋" w:cs="仿宋"/>
          <w:b w:val="0"/>
          <w:bCs w:val="0"/>
          <w:sz w:val="24"/>
          <w:szCs w:val="24"/>
          <w:highlight w:val="none"/>
          <w:lang w:val="en-US" w:eastAsia="zh-CN"/>
        </w:rPr>
        <w:t>处理：</w:t>
      </w:r>
    </w:p>
    <w:p w14:paraId="2C4A8060">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因供应商自身原因，未在规定时间内完成电子响应文件解密的；</w:t>
      </w:r>
    </w:p>
    <w:p w14:paraId="774F829C">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如需使用备用电子响应文件解密时，在规定的解密时间内无法提供备用电子响应文件或提供的备用电子响应文件与加密的电子响应文件版本不一致（即两份文件不是投标客户端编制同时生成的）。 </w:t>
      </w:r>
    </w:p>
    <w:p w14:paraId="4BA07C33">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采购人或采购代理机构将对开标过程进行记录，由参加开标的各供应商代表和相关工作人员签字确认。</w:t>
      </w:r>
    </w:p>
    <w:p w14:paraId="32ECB7E5">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资格审查</w:t>
      </w:r>
    </w:p>
    <w:p w14:paraId="7D5420E3">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磋商小组依据法律法规和采购文件中规定的内容，对供应商及其投标货物或服务的资格进行审查，未通过资格审查的供应商不进入评标；资格证明文件不按电子招投标平台要求编制导致系统无法检索、读取相关信息时，将被认定为未通过资格审查；通过资格审查的供应商少于三家的（除法律法规规定外），不进行评标。 </w:t>
      </w:r>
    </w:p>
    <w:p w14:paraId="5B346E04">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资格审查要求详见第六章《评标程序、评标方法和评标标准》。</w:t>
      </w:r>
    </w:p>
    <w:p w14:paraId="402A8C5D">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将按第六章《评标程序、评标方法和评标标准》中规定的时间查询供应商的信用记录。采购人或采购代理机构将查询网页打印、签字并存档备查。供应商不良信用记录以采购人或采购代理机构查询结果为准。在本采购文件规定的查询时间之外，网站信息发生的任何变更均不作为资格审查依据。</w:t>
      </w:r>
    </w:p>
    <w:p w14:paraId="7F765FE3">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磋商小组</w:t>
      </w:r>
    </w:p>
    <w:p w14:paraId="7F30434B">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磋商小组根据政府采购有关规定和本次采购项目的特点进行组建，并负责具体评标事务，独立履行职责。 </w:t>
      </w:r>
    </w:p>
    <w:p w14:paraId="35E0E982">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44655A4F">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评标程序、评标方法和评标标准</w:t>
      </w:r>
    </w:p>
    <w:p w14:paraId="5C861F8E">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详见第六章《评标程序、评标方法和评标标准》</w:t>
      </w:r>
    </w:p>
    <w:p w14:paraId="643E66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1FE4E3AE">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29" w:name="_Toc16524"/>
      <w:bookmarkStart w:id="30" w:name="_Toc10119"/>
      <w:r>
        <w:rPr>
          <w:rFonts w:hint="eastAsia" w:ascii="仿宋" w:hAnsi="仿宋" w:eastAsia="仿宋" w:cs="仿宋"/>
          <w:b/>
          <w:bCs/>
          <w:sz w:val="24"/>
          <w:szCs w:val="24"/>
          <w:highlight w:val="none"/>
          <w:lang w:val="en-US" w:eastAsia="zh-CN"/>
        </w:rPr>
        <w:t>确定成交</w:t>
      </w:r>
      <w:bookmarkEnd w:id="29"/>
      <w:bookmarkEnd w:id="30"/>
    </w:p>
    <w:p w14:paraId="713ECE51">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确定成交人</w:t>
      </w:r>
    </w:p>
    <w:p w14:paraId="00DA6BDD">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采购人将在评标报告确定的成交候选人名单中按综合得分排名顺序确定成交人。采购人是否委托磋商小组直接确定成交人见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w:t>
      </w:r>
    </w:p>
    <w:p w14:paraId="46A7DDF7">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成交公告与成交通知书</w:t>
      </w:r>
    </w:p>
    <w:p w14:paraId="300EC48C">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采购人或采购代理机构自中标人确定之日起 2 个工作日内，在磋商公告发布媒体发布成交结果，同时向成交人发出成交通知书，成交公告期限为 1 个工作日。</w:t>
      </w:r>
    </w:p>
    <w:p w14:paraId="66DFD23F">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成交通知书对采购人和成交供应商均具有法律效力。成交通知书发出后，成交供应商放弃成交项目的，应当依法承担法律责任。</w:t>
      </w:r>
    </w:p>
    <w:p w14:paraId="78E58E4F">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废标</w:t>
      </w:r>
    </w:p>
    <w:p w14:paraId="32D3D1DF">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在采购活动中，出现下列情形之一的，应予废标：</w:t>
      </w:r>
    </w:p>
    <w:p w14:paraId="326444E3">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14:paraId="1292E2C3">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出现影响采购公正的违法、违规行为的；</w:t>
      </w:r>
    </w:p>
    <w:p w14:paraId="6A1F5A18">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供应商的报价均超过了采购预算，采购人不能支付的；</w:t>
      </w:r>
    </w:p>
    <w:p w14:paraId="29DAE71F">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因重大变故，采购任务取消的。</w:t>
      </w:r>
    </w:p>
    <w:p w14:paraId="4A35305B">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废标后，采购人将废标理由通知所有供应商。</w:t>
      </w:r>
    </w:p>
    <w:p w14:paraId="231D30E5">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签订合同</w:t>
      </w:r>
    </w:p>
    <w:p w14:paraId="7BAF0316">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成交人、采购人应当自成交通知书发出之日起 30 日内，按照采购文件和成交人响应文件的规定签订书面合同。所签订的合同不得对采购文件确定的事项和成交人响应文件作实质性修改。 </w:t>
      </w:r>
    </w:p>
    <w:p w14:paraId="312F7405">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成交人拒绝与采购人签订合同的，采购人可以按照评标报告推荐的成交候选人名单排序，确定下一候选人为成交人，也可以重新开展政府采购活动。</w:t>
      </w:r>
    </w:p>
    <w:p w14:paraId="6EAC19FA">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联合体成交的，联合体各方应当共同与采购人签订合同，就成交项目向采购人承担连带责任。 </w:t>
      </w:r>
    </w:p>
    <w:p w14:paraId="7A2AE963">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政府采购合同不能转包。如采购人允许采用分包方式履行合同的，成交人可以依法在成交后将成交项目的非主体、非关键性工作采取分包方式履行合同。</w:t>
      </w:r>
    </w:p>
    <w:p w14:paraId="17F7838B">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履约保证金</w:t>
      </w:r>
    </w:p>
    <w:p w14:paraId="24864608">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成交人应按照</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规定的金额、形式和时间向采购人缴纳履约保证金。</w:t>
      </w:r>
    </w:p>
    <w:p w14:paraId="7B7D22BA">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经采购人同意，成交人也可以自愿采用其他履约保证金的提供方式。</w:t>
      </w:r>
    </w:p>
    <w:p w14:paraId="5628C91E">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如果成交人没有按照上述条款规定缴纳履约保证金，将视为放弃成交资格，成交人的磋商保证金将被没收。在此情况下，采购人可确定下一候选人为成交人，也可以重新开展政府采购活动。</w:t>
      </w:r>
    </w:p>
    <w:p w14:paraId="68FA7A39">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代理服务费</w:t>
      </w:r>
    </w:p>
    <w:p w14:paraId="7A426DA7">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收费对象、收费标准及缴纳时间见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。由成交人支付的，成交人须一次性向采购代理机构缴纳代理费，响应报价应包含代理费用。</w:t>
      </w:r>
    </w:p>
    <w:p w14:paraId="2F41C69A">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询问与质疑</w:t>
      </w:r>
    </w:p>
    <w:p w14:paraId="35D76FB2">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询问</w:t>
      </w:r>
    </w:p>
    <w:p w14:paraId="3945BC22">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对政府采购活动事项（采购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中“采购人、采购代理机构的名称、地址和联系方式”。</w:t>
      </w:r>
    </w:p>
    <w:p w14:paraId="7761C7E3">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质疑</w:t>
      </w:r>
    </w:p>
    <w:p w14:paraId="10691866">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供应商认为采购文件、采购过程、成交结果使自己的权益受到损害的，可以在知道或者应知其权益受到损害之日起 7 个工作日内，由供应商派授权代表以书面形式向采购人、采购代理机构提出质疑。采购人、采购代理机构在收到质疑函后 7 个工作日内作出答复。 </w:t>
      </w:r>
    </w:p>
    <w:p w14:paraId="46BF905D">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供应商应知其权益受到损害之日是指：</w:t>
      </w:r>
    </w:p>
    <w:p w14:paraId="382C860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（1）对采购文件提出质疑的，为获取采购文件之日或者采购文件获取期限届满之日；</w:t>
      </w:r>
    </w:p>
    <w:p w14:paraId="5819DBA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（2）对采购过程提出质疑的，为各采购程序环节结束之日；</w:t>
      </w:r>
    </w:p>
    <w:p w14:paraId="4D72468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（3）对成交结果提出质疑的，为成交结果公告期限届满之日。</w:t>
      </w:r>
    </w:p>
    <w:p w14:paraId="1C4B9B7C">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2B370480">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质疑函须使用财政部制定的范本文件。</w:t>
      </w:r>
    </w:p>
    <w:p w14:paraId="1254E6EF">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供应商为自然人的，应当由本人签字；供应商为法人或者其他组织的，应当由法定代表人、主要负责人，或者其授权代表签字或者盖章，并加盖公章。</w:t>
      </w:r>
    </w:p>
    <w:p w14:paraId="3A9E4EC7">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0350683F">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其他</w:t>
      </w:r>
    </w:p>
    <w:p w14:paraId="408EF05F">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次采购活动中除采购文件规定外还需执行《中华人民共和国政府采购法》、《中华人民共和国政府采购法实施条例》、《政府采购竞争性磋商采购方式管理暂行办法》（财库〔2014〕214号）及本项目本级和上级财政部门政府采购有关规定。</w:t>
      </w:r>
    </w:p>
    <w:p w14:paraId="17CFDC03">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02D6EF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适用于本供应商须知的额外增加的变动详见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w:t>
      </w:r>
    </w:p>
    <w:p w14:paraId="7B4AD132">
      <w:pP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p>
    <w:p w14:paraId="6D35CC43">
      <w:pPr>
        <w:pStyle w:val="2"/>
        <w:numPr>
          <w:ilvl w:val="0"/>
          <w:numId w:val="5"/>
        </w:numPr>
        <w:bidi w:val="0"/>
        <w:jc w:val="center"/>
        <w:rPr>
          <w:rFonts w:hint="eastAsia" w:ascii="仿宋" w:hAnsi="仿宋" w:eastAsia="仿宋" w:cs="仿宋"/>
          <w:sz w:val="32"/>
          <w:szCs w:val="32"/>
          <w:highlight w:val="none"/>
          <w:lang w:val="en-US" w:eastAsia="zh-CN"/>
        </w:rPr>
      </w:pPr>
      <w:bookmarkStart w:id="31" w:name="_Toc24152"/>
      <w:r>
        <w:rPr>
          <w:rFonts w:hint="eastAsia" w:ascii="仿宋" w:hAnsi="仿宋" w:eastAsia="仿宋" w:cs="仿宋"/>
          <w:sz w:val="32"/>
          <w:szCs w:val="32"/>
          <w:highlight w:val="none"/>
          <w:lang w:val="en-US" w:eastAsia="zh-CN"/>
        </w:rPr>
        <w:t>政府采购合同</w:t>
      </w:r>
      <w:bookmarkEnd w:id="31"/>
    </w:p>
    <w:p w14:paraId="7450621B">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0"/>
          <w:szCs w:val="20"/>
          <w:highlight w:val="none"/>
          <w:lang w:val="en-US" w:eastAsia="zh-CN" w:bidi="ar"/>
        </w:rPr>
        <w:t>（本合同仅供参考，具体以实际签订的合同为准）</w:t>
      </w:r>
    </w:p>
    <w:p w14:paraId="085D2A9D">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03357BEB">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238F4E86">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7E313004">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2D295077">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180EF43F">
      <w:pPr>
        <w:pStyle w:val="18"/>
        <w:spacing w:line="560" w:lineRule="exact"/>
        <w:rPr>
          <w:rFonts w:hint="eastAsia" w:ascii="仿宋" w:hAnsi="仿宋" w:eastAsia="仿宋" w:cs="仿宋"/>
          <w:b/>
          <w:color w:val="auto"/>
          <w:sz w:val="30"/>
          <w:szCs w:val="30"/>
          <w:highlight w:val="none"/>
        </w:rPr>
      </w:pPr>
      <w:r>
        <w:rPr>
          <w:rFonts w:hint="eastAsia" w:ascii="仿宋" w:hAnsi="仿宋" w:eastAsia="仿宋" w:cs="仿宋"/>
          <w:color w:val="auto"/>
          <w:sz w:val="60"/>
          <w:szCs w:val="60"/>
          <w:highlight w:val="none"/>
        </w:rPr>
        <w:t xml:space="preserve"> </w:t>
      </w:r>
    </w:p>
    <w:p w14:paraId="3ADA1912">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br w:type="page"/>
      </w:r>
    </w:p>
    <w:p w14:paraId="58F8ABE9">
      <w:pPr>
        <w:rPr>
          <w:rFonts w:hint="eastAsia" w:ascii="仿宋" w:hAnsi="仿宋" w:eastAsia="仿宋" w:cs="仿宋"/>
          <w:b/>
          <w:color w:val="000000"/>
          <w:sz w:val="52"/>
          <w:szCs w:val="52"/>
        </w:rPr>
      </w:pPr>
      <w:r>
        <w:rPr>
          <w:rFonts w:hint="eastAsia" w:ascii="仿宋" w:hAnsi="仿宋" w:eastAsia="仿宋" w:cs="仿宋"/>
          <w:bCs/>
          <w:color w:val="000000"/>
          <w:sz w:val="30"/>
          <w:szCs w:val="30"/>
        </w:rPr>
        <w:t>F—2015—0212</w:t>
      </w:r>
    </w:p>
    <w:p w14:paraId="31E78A40">
      <w:pPr>
        <w:rPr>
          <w:rFonts w:hint="eastAsia" w:ascii="仿宋" w:hAnsi="仿宋" w:eastAsia="仿宋" w:cs="仿宋"/>
          <w:lang w:eastAsia="zh-CN"/>
        </w:rPr>
      </w:pPr>
    </w:p>
    <w:p w14:paraId="7D661F03">
      <w:pPr>
        <w:rPr>
          <w:rFonts w:hint="eastAsia" w:ascii="仿宋" w:hAnsi="仿宋" w:eastAsia="仿宋" w:cs="仿宋"/>
          <w:lang w:eastAsia="zh-CN"/>
        </w:rPr>
      </w:pPr>
    </w:p>
    <w:p w14:paraId="5949B772">
      <w:pPr>
        <w:rPr>
          <w:rFonts w:hint="eastAsia" w:ascii="仿宋" w:hAnsi="仿宋" w:eastAsia="仿宋" w:cs="仿宋"/>
          <w:lang w:eastAsia="zh-CN"/>
        </w:rPr>
      </w:pPr>
    </w:p>
    <w:p w14:paraId="458344E5">
      <w:pPr>
        <w:rPr>
          <w:rFonts w:hint="eastAsia" w:ascii="仿宋" w:hAnsi="仿宋" w:eastAsia="仿宋" w:cs="仿宋"/>
          <w:lang w:eastAsia="zh-CN"/>
        </w:rPr>
      </w:pPr>
    </w:p>
    <w:p w14:paraId="342A0338">
      <w:pPr>
        <w:rPr>
          <w:rFonts w:hint="eastAsia" w:ascii="仿宋" w:hAnsi="仿宋" w:eastAsia="仿宋" w:cs="仿宋"/>
        </w:rPr>
      </w:pPr>
    </w:p>
    <w:p w14:paraId="7F5DA8B0">
      <w:pPr>
        <w:rPr>
          <w:rFonts w:hint="eastAsia" w:ascii="仿宋" w:hAnsi="仿宋" w:eastAsia="仿宋" w:cs="仿宋"/>
        </w:rPr>
      </w:pPr>
    </w:p>
    <w:p w14:paraId="4288141F">
      <w:pPr>
        <w:rPr>
          <w:rFonts w:hint="eastAsia" w:ascii="仿宋" w:hAnsi="仿宋" w:eastAsia="仿宋" w:cs="仿宋"/>
        </w:rPr>
      </w:pPr>
    </w:p>
    <w:p w14:paraId="2E65E82A">
      <w:pPr>
        <w:rPr>
          <w:rFonts w:hint="eastAsia" w:ascii="仿宋" w:hAnsi="仿宋" w:eastAsia="仿宋" w:cs="仿宋"/>
        </w:rPr>
      </w:pPr>
    </w:p>
    <w:p w14:paraId="4F11857C">
      <w:pPr>
        <w:spacing w:line="360" w:lineRule="auto"/>
        <w:jc w:val="center"/>
        <w:rPr>
          <w:rFonts w:hint="eastAsia" w:ascii="仿宋" w:hAnsi="仿宋" w:eastAsia="仿宋" w:cs="仿宋"/>
          <w:b/>
          <w:sz w:val="72"/>
          <w:szCs w:val="72"/>
          <w:lang w:eastAsia="zh-CN"/>
        </w:rPr>
      </w:pPr>
      <w:r>
        <w:rPr>
          <w:rFonts w:hint="eastAsia" w:ascii="仿宋" w:hAnsi="仿宋" w:eastAsia="仿宋" w:cs="仿宋"/>
          <w:b/>
          <w:sz w:val="72"/>
          <w:szCs w:val="72"/>
        </w:rPr>
        <w:t>建设工程造价咨询合同</w:t>
      </w:r>
    </w:p>
    <w:p w14:paraId="35FEAE02">
      <w:pPr>
        <w:spacing w:line="360" w:lineRule="auto"/>
        <w:jc w:val="center"/>
        <w:rPr>
          <w:rFonts w:hint="eastAsia" w:ascii="仿宋" w:hAnsi="仿宋" w:eastAsia="仿宋" w:cs="仿宋"/>
          <w:b/>
          <w:sz w:val="72"/>
          <w:szCs w:val="72"/>
          <w:lang w:eastAsia="zh-CN"/>
        </w:rPr>
      </w:pPr>
    </w:p>
    <w:p w14:paraId="709B34D5">
      <w:pPr>
        <w:rPr>
          <w:rFonts w:hint="eastAsia" w:ascii="仿宋" w:hAnsi="仿宋" w:eastAsia="仿宋" w:cs="仿宋"/>
        </w:rPr>
      </w:pPr>
    </w:p>
    <w:p w14:paraId="05566051">
      <w:pPr>
        <w:pStyle w:val="50"/>
        <w:jc w:val="center"/>
        <w:rPr>
          <w:rFonts w:hint="eastAsia" w:ascii="仿宋" w:hAnsi="仿宋" w:eastAsia="仿宋" w:cs="仿宋"/>
          <w:color w:val="auto"/>
        </w:rPr>
      </w:pPr>
    </w:p>
    <w:p w14:paraId="62C25016">
      <w:pPr>
        <w:pStyle w:val="50"/>
        <w:jc w:val="center"/>
        <w:rPr>
          <w:rFonts w:hint="eastAsia" w:ascii="仿宋" w:hAnsi="仿宋" w:eastAsia="仿宋" w:cs="仿宋"/>
          <w:color w:val="auto"/>
        </w:rPr>
      </w:pPr>
    </w:p>
    <w:p w14:paraId="09ADBD74">
      <w:pPr>
        <w:pStyle w:val="50"/>
        <w:jc w:val="center"/>
        <w:rPr>
          <w:rFonts w:hint="eastAsia" w:ascii="仿宋" w:hAnsi="仿宋" w:eastAsia="仿宋" w:cs="仿宋"/>
          <w:color w:val="auto"/>
        </w:rPr>
      </w:pPr>
    </w:p>
    <w:p w14:paraId="22CBD920">
      <w:pPr>
        <w:pStyle w:val="50"/>
        <w:jc w:val="center"/>
        <w:rPr>
          <w:rFonts w:hint="eastAsia" w:ascii="仿宋" w:hAnsi="仿宋" w:eastAsia="仿宋" w:cs="仿宋"/>
          <w:color w:val="auto"/>
        </w:rPr>
      </w:pPr>
    </w:p>
    <w:p w14:paraId="56C1C887">
      <w:pPr>
        <w:pStyle w:val="50"/>
        <w:jc w:val="center"/>
        <w:rPr>
          <w:rFonts w:hint="eastAsia" w:ascii="仿宋" w:hAnsi="仿宋" w:eastAsia="仿宋" w:cs="仿宋"/>
          <w:color w:val="auto"/>
        </w:rPr>
      </w:pPr>
    </w:p>
    <w:p w14:paraId="3E1BA4F5">
      <w:pPr>
        <w:pStyle w:val="50"/>
        <w:jc w:val="center"/>
        <w:rPr>
          <w:rFonts w:hint="eastAsia" w:ascii="仿宋" w:hAnsi="仿宋" w:eastAsia="仿宋" w:cs="仿宋"/>
          <w:color w:val="auto"/>
        </w:rPr>
      </w:pPr>
    </w:p>
    <w:p w14:paraId="0CAD49EF">
      <w:pPr>
        <w:pStyle w:val="50"/>
        <w:jc w:val="center"/>
        <w:rPr>
          <w:rFonts w:hint="eastAsia" w:ascii="仿宋" w:hAnsi="仿宋" w:eastAsia="仿宋" w:cs="仿宋"/>
          <w:color w:val="auto"/>
        </w:rPr>
      </w:pPr>
    </w:p>
    <w:p w14:paraId="2A996B0B">
      <w:pPr>
        <w:pStyle w:val="50"/>
        <w:jc w:val="center"/>
        <w:rPr>
          <w:rFonts w:hint="eastAsia" w:ascii="仿宋" w:hAnsi="仿宋" w:eastAsia="仿宋" w:cs="仿宋"/>
          <w:color w:val="auto"/>
        </w:rPr>
      </w:pPr>
    </w:p>
    <w:p w14:paraId="2B4EE351">
      <w:pPr>
        <w:pStyle w:val="50"/>
        <w:jc w:val="center"/>
        <w:rPr>
          <w:rFonts w:hint="eastAsia" w:ascii="仿宋" w:hAnsi="仿宋" w:eastAsia="仿宋" w:cs="仿宋"/>
          <w:color w:val="auto"/>
        </w:rPr>
      </w:pPr>
    </w:p>
    <w:p w14:paraId="1470F3FA">
      <w:pPr>
        <w:pStyle w:val="50"/>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65408" behindDoc="0" locked="0" layoutInCell="1" allowOverlap="1">
                <wp:simplePos x="0" y="0"/>
                <wp:positionH relativeFrom="column">
                  <wp:posOffset>3761105</wp:posOffset>
                </wp:positionH>
                <wp:positionV relativeFrom="paragraph">
                  <wp:posOffset>267970</wp:posOffset>
                </wp:positionV>
                <wp:extent cx="2239010" cy="487680"/>
                <wp:effectExtent l="5080" t="4445" r="22860" b="22225"/>
                <wp:wrapNone/>
                <wp:docPr id="1" name="文本框 1"/>
                <wp:cNvGraphicFramePr/>
                <a:graphic xmlns:a="http://schemas.openxmlformats.org/drawingml/2006/main">
                  <a:graphicData uri="http://schemas.microsoft.com/office/word/2010/wordprocessingShape">
                    <wps:wsp>
                      <wps:cNvSpPr txBox="1"/>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14:paraId="7314B376">
                            <w:pPr>
                              <w:rPr>
                                <w:b/>
                                <w:sz w:val="32"/>
                                <w:szCs w:val="32"/>
                              </w:rPr>
                            </w:pPr>
                            <w:r>
                              <w:rPr>
                                <w:rFonts w:hint="eastAsia"/>
                                <w:b/>
                                <w:sz w:val="32"/>
                                <w:szCs w:val="32"/>
                              </w:rPr>
                              <w:t>制定</w:t>
                            </w:r>
                          </w:p>
                        </w:txbxContent>
                      </wps:txbx>
                      <wps:bodyPr upright="1">
                        <a:spAutoFit/>
                      </wps:bodyPr>
                    </wps:wsp>
                  </a:graphicData>
                </a:graphic>
              </wp:anchor>
            </w:drawing>
          </mc:Choice>
          <mc:Fallback>
            <w:pict>
              <v:shape id="_x0000_s1026" o:spid="_x0000_s1026" o:spt="202" type="#_x0000_t202" style="position:absolute;left:0pt;margin-left:296.15pt;margin-top:21.1pt;height:38.4pt;width:176.3pt;z-index:251665408;mso-width-relative:page;mso-height-relative:page;" fillcolor="#FFFFFF" filled="t" stroked="t" coordsize="21600,21600" o:gfxdata="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BYcPrYAAAACgEAAA8AAAAAAAAAAQAg&#10;AAAAIgAAAGRycy9kb3ducmV2LnhtbFBLAQIUABQAAAAIAIdO4kDXqevvDgIAAE0EAAAOAAAAAAAA&#10;AAEAIAAAACcBAABkcnMvZTJvRG9jLnhtbFBLBQYAAAAABgAGAFkBAACnBQAAAAA=&#10;">
                <v:fill on="t" focussize="0,0"/>
                <v:stroke weight="0pt" color="#FFFFFF" joinstyle="miter"/>
                <v:imagedata o:title=""/>
                <o:lock v:ext="edit" aspectratio="f"/>
                <v:textbox style="mso-fit-shape-to-text:t;">
                  <w:txbxContent>
                    <w:p w14:paraId="7314B376">
                      <w:pPr>
                        <w:rPr>
                          <w:b/>
                          <w:sz w:val="32"/>
                          <w:szCs w:val="32"/>
                        </w:rPr>
                      </w:pPr>
                      <w:r>
                        <w:rPr>
                          <w:rFonts w:hint="eastAsia"/>
                          <w:b/>
                          <w:sz w:val="32"/>
                          <w:szCs w:val="32"/>
                        </w:rPr>
                        <w:t>制定</w:t>
                      </w:r>
                    </w:p>
                  </w:txbxContent>
                </v:textbox>
              </v:shape>
            </w:pict>
          </mc:Fallback>
        </mc:AlternateConten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rPr>
        <w:t>住 房 和 城 乡 建 设 部</w:t>
      </w:r>
    </w:p>
    <w:p w14:paraId="1F3529B1">
      <w:pPr>
        <w:pStyle w:val="50"/>
        <w:ind w:firstLine="2409" w:firstLineChars="750"/>
        <w:jc w:val="both"/>
        <w:rPr>
          <w:rFonts w:hint="eastAsia" w:ascii="仿宋" w:hAnsi="仿宋" w:eastAsia="仿宋" w:cs="仿宋"/>
          <w:color w:val="auto"/>
          <w:sz w:val="32"/>
          <w:szCs w:val="32"/>
        </w:rPr>
      </w:pPr>
      <w:r>
        <w:rPr>
          <w:rFonts w:hint="eastAsia" w:ascii="仿宋" w:hAnsi="仿宋" w:eastAsia="仿宋" w:cs="仿宋"/>
          <w:color w:val="auto"/>
          <w:sz w:val="32"/>
          <w:szCs w:val="32"/>
        </w:rPr>
        <w:t>国家工商行政管理总局</w:t>
      </w:r>
    </w:p>
    <w:p w14:paraId="66B11D9A">
      <w:pPr>
        <w:rPr>
          <w:rFonts w:hint="eastAsia" w:ascii="仿宋" w:hAnsi="仿宋" w:eastAsia="仿宋" w:cs="仿宋"/>
          <w:sz w:val="28"/>
          <w:szCs w:val="28"/>
          <w:lang w:val="zh-CN"/>
        </w:rPr>
      </w:pPr>
      <w:r>
        <w:rPr>
          <w:rFonts w:hint="eastAsia" w:ascii="仿宋" w:hAnsi="仿宋" w:eastAsia="仿宋" w:cs="仿宋"/>
          <w:sz w:val="28"/>
          <w:szCs w:val="28"/>
          <w:lang w:val="zh-CN"/>
        </w:rPr>
        <w:br w:type="page"/>
      </w:r>
    </w:p>
    <w:p w14:paraId="71A65FB1">
      <w:pPr>
        <w:pStyle w:val="51"/>
        <w:spacing w:before="0" w:after="0" w:line="500" w:lineRule="exact"/>
        <w:jc w:val="center"/>
        <w:rPr>
          <w:rFonts w:hint="eastAsia" w:ascii="仿宋" w:hAnsi="仿宋" w:eastAsia="仿宋" w:cs="仿宋"/>
          <w:sz w:val="28"/>
          <w:szCs w:val="28"/>
          <w:lang w:val="zh-CN"/>
        </w:rPr>
      </w:pPr>
      <w:r>
        <w:rPr>
          <w:rFonts w:hint="eastAsia" w:ascii="仿宋" w:hAnsi="仿宋" w:eastAsia="仿宋" w:cs="仿宋"/>
          <w:sz w:val="28"/>
          <w:szCs w:val="28"/>
          <w:lang w:val="zh-CN"/>
        </w:rPr>
        <w:t>说  明</w:t>
      </w:r>
    </w:p>
    <w:p w14:paraId="44193496">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为了指导建设工程造价咨询合同当事人的签约行为，维护合同当事人的合法权益，依据《中华人民共和国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中华人民共和国建筑法》、《中华人民共和国招标投标法》以及相关法律法规，住房和城乡建设部、国家工商行政管理总局对《建设工程造价咨询合同（示范文本）》（GF-2002-0212）进行了修订，制定了《建设工程造价咨询合同（示范文本）》（GF-2015- 0212 ）（以下简称《示范文本》）。为了便于合同当事人使用《示范文本》，现就有关问题说明如下：</w:t>
      </w:r>
    </w:p>
    <w:p w14:paraId="69F58F7F">
      <w:pPr>
        <w:spacing w:line="5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一、《示范文本》的组成</w:t>
      </w:r>
    </w:p>
    <w:p w14:paraId="2A916638">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《示范文本》由协议书、通用条件和专用条件三部分组成。</w:t>
      </w:r>
    </w:p>
    <w:p w14:paraId="7CE49AFC">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（一）协议书</w:t>
      </w:r>
    </w:p>
    <w:p w14:paraId="3B426B10">
      <w:pPr>
        <w:spacing w:line="500" w:lineRule="exact"/>
        <w:ind w:left="168" w:leftChars="70" w:firstLine="360" w:firstLineChars="150"/>
        <w:rPr>
          <w:rFonts w:hint="eastAsia" w:ascii="仿宋" w:hAnsi="仿宋" w:eastAsia="仿宋" w:cs="仿宋"/>
          <w:sz w:val="24"/>
          <w:szCs w:val="24"/>
        </w:rPr>
      </w:pPr>
      <w:r>
        <w:rPr>
          <w:rFonts w:hint="eastAsia" w:ascii="仿宋" w:hAnsi="仿宋" w:eastAsia="仿宋" w:cs="仿宋"/>
          <w:sz w:val="24"/>
          <w:szCs w:val="24"/>
        </w:rPr>
        <w:t>《示范文本》协议书集中约定了合同当事人基本的合同权利义务。</w:t>
      </w:r>
    </w:p>
    <w:p w14:paraId="7EEB89ED">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（二）通用条件</w:t>
      </w:r>
    </w:p>
    <w:p w14:paraId="599236B7">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通用条件是合同当事人根据《中华人民共和国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》、《中华人民共和国建筑法》等法律法规的规定，就工程造价咨询的实施及相关事项，对合同当事人的权利义务作出的原则性约定。</w:t>
      </w:r>
    </w:p>
    <w:p w14:paraId="2F1A3C2D">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通用条件既考虑了现行法律法规对工程发承包计价的有关要求，也考虑了工程造价咨询管理的特殊需要。</w:t>
      </w:r>
    </w:p>
    <w:p w14:paraId="7B7EB501">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（三）专用条件</w:t>
      </w:r>
    </w:p>
    <w:p w14:paraId="0072D475">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14:paraId="78F4A32A">
      <w:pPr>
        <w:spacing w:line="500" w:lineRule="exact"/>
        <w:ind w:right="29" w:rightChars="12" w:firstLine="480" w:firstLineChars="200"/>
        <w:rPr>
          <w:rFonts w:hint="eastAsia" w:ascii="仿宋" w:hAnsi="仿宋" w:eastAsia="仿宋" w:cs="仿宋"/>
          <w:sz w:val="24"/>
          <w:szCs w:val="24"/>
        </w:rPr>
      </w:pPr>
      <w:r>
        <w:rPr>
          <w:rFonts w:hint="eastAsia" w:ascii="仿宋" w:hAnsi="仿宋" w:eastAsia="仿宋" w:cs="仿宋"/>
          <w:sz w:val="24"/>
          <w:szCs w:val="24"/>
        </w:rPr>
        <w:t>1.专用条件的编号应与相应的通用条件的编号一致；</w:t>
      </w:r>
    </w:p>
    <w:p w14:paraId="2FACD148">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2.合同当事人可以通过对专用条件的修改，满足具体工程的特殊要求，避免直接修改通用条件；</w:t>
      </w:r>
    </w:p>
    <w:p w14:paraId="502EFD11">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3.在专用条件中有横道线的地方，合同当事人可针对相应的通用条件进行细化、完善、补充、修改或另行约定；如无细化、完善、补充、修改或另行约定，则填写“无”或划“/”。</w:t>
      </w:r>
    </w:p>
    <w:p w14:paraId="3AD3B525">
      <w:pPr>
        <w:spacing w:line="500" w:lineRule="exact"/>
        <w:ind w:firstLine="480" w:firstLineChars="200"/>
        <w:rPr>
          <w:rFonts w:hint="eastAsia" w:ascii="仿宋" w:hAnsi="仿宋" w:eastAsia="仿宋" w:cs="仿宋"/>
          <w:b/>
          <w:sz w:val="24"/>
          <w:szCs w:val="24"/>
        </w:rPr>
      </w:pPr>
      <w:r>
        <w:rPr>
          <w:rFonts w:hint="eastAsia" w:ascii="仿宋" w:hAnsi="仿宋" w:eastAsia="仿宋" w:cs="仿宋"/>
          <w:bCs/>
          <w:sz w:val="24"/>
          <w:szCs w:val="24"/>
        </w:rPr>
        <w:t>二、《示范文本》的性质和适用范围</w:t>
      </w:r>
    </w:p>
    <w:p w14:paraId="06ED8820">
      <w:pPr>
        <w:spacing w:line="500" w:lineRule="exact"/>
        <w:ind w:firstLine="480" w:firstLineChars="200"/>
        <w:rPr>
          <w:rFonts w:hint="eastAsia" w:ascii="仿宋" w:hAnsi="仿宋" w:eastAsia="仿宋" w:cs="仿宋"/>
          <w:sz w:val="24"/>
          <w:szCs w:val="24"/>
        </w:rPr>
        <w:sectPr>
          <w:footerReference r:id="rId12" w:type="first"/>
          <w:headerReference r:id="rId10" w:type="default"/>
          <w:footerReference r:id="rId11" w:type="default"/>
          <w:pgSz w:w="11906" w:h="16838"/>
          <w:pgMar w:top="1418" w:right="1555" w:bottom="1418" w:left="1531" w:header="851" w:footer="992" w:gutter="0"/>
          <w:pgNumType w:fmt="decimal" w:start="5"/>
          <w:cols w:space="720" w:num="1"/>
          <w:titlePg/>
          <w:docGrid w:type="lines" w:linePitch="312" w:charSpace="0"/>
        </w:sectPr>
      </w:pPr>
      <w:r>
        <w:rPr>
          <w:rFonts w:hint="eastAsia" w:ascii="仿宋" w:hAnsi="仿宋" w:eastAsia="仿宋" w:cs="仿宋"/>
          <w:sz w:val="24"/>
          <w:szCs w:val="24"/>
        </w:rPr>
        <w:t>《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14:paraId="5A74BA2D">
      <w:pPr>
        <w:pStyle w:val="51"/>
        <w:tabs>
          <w:tab w:val="left" w:pos="3360"/>
          <w:tab w:val="center" w:pos="4153"/>
        </w:tabs>
        <w:jc w:val="left"/>
        <w:rPr>
          <w:rFonts w:hint="eastAsia" w:ascii="仿宋" w:hAnsi="仿宋" w:eastAsia="仿宋" w:cs="仿宋"/>
        </w:rPr>
      </w:pP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目  录</w:t>
      </w:r>
    </w:p>
    <w:p w14:paraId="07119379">
      <w:pPr>
        <w:pStyle w:val="24"/>
        <w:tabs>
          <w:tab w:val="right" w:leader="dot" w:pos="8296"/>
        </w:tabs>
        <w:spacing w:line="420" w:lineRule="exact"/>
        <w:rPr>
          <w:rFonts w:hint="eastAsia" w:ascii="仿宋" w:hAnsi="仿宋" w:eastAsia="仿宋" w:cs="仿宋"/>
          <w:kern w:val="2"/>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"_Toc422322470"</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第一部分　协议书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_Toc422322470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1ED9896">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"_Toc422322471"</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一、工程概况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_Toc422322471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EA78685">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"_Toc422322472"</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二、服务范围及工作内容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_Toc422322472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8D5F6EB">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"_Toc422322473"</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三、服务期限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_Toc422322473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F02B08C">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"_Toc422322474"</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四、质量标准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_Toc422322474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BD02093">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"_Toc422322475"</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五、酬金或计取方式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_Toc422322475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4F083A9">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"_Toc422322476"</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六、合同文件的构成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_Toc422322476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C1F6E0D">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"_Toc422322477"</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七、词语定义</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_Toc422322477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CAA34DA">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"_Toc422322478"</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八、合同订立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_Toc422322478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0300046">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"_Toc422322479"</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九、合同生效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_Toc422322479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44E773C">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"_Toc422322480"</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十、合同份数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_Toc422322480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BD4E096">
      <w:pPr>
        <w:pStyle w:val="24"/>
        <w:tabs>
          <w:tab w:val="right" w:leader="dot" w:pos="8296"/>
        </w:tabs>
        <w:spacing w:line="420" w:lineRule="exact"/>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"_Toc422322481"</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第二部分　通用条件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_Toc422322481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B0B0D3D">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"_Toc422322482"</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1.词语定义、语言、解释顺序与适用法律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_Toc422322482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3405B7D">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"_Toc422322483"</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1.1词语定义</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_Toc422322483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97B8584">
      <w:pPr>
        <w:pStyle w:val="26"/>
        <w:tabs>
          <w:tab w:val="right" w:leader="dot" w:pos="8296"/>
        </w:tabs>
        <w:spacing w:line="420" w:lineRule="exact"/>
        <w:ind w:leftChars="175" w:firstLine="120" w:firstLineChars="5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"_Toc422322484"</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1.2语言</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_Toc422322484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A5F0C1E">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"_Toc422322485"</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1.3合同文件的优先顺序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_Toc422322485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56C479E">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"_Toc422322486"</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1.4适用法律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_Toc422322486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BBC020D">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"_Toc422322487"</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2.委托人的义务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_Toc422322487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0C4777E">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"_Toc422322488"</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2.1提供资料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_Toc422322488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D0998C4">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"_Toc422322489"</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2.2提供工作条件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_Toc422322489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0F2D413">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"_Toc422322490"</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2.3合理工作时限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_Toc422322490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A9BEA90">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"_Toc422322491"</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2.4委托人代表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_Toc422322491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550CEDD">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"_Toc422322492"</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2.5答复</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_Toc422322492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08B1429">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"_Toc422322493"</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2.6支付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_Toc422322493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6B2E537">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"_Toc422322494"</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3.咨询人的义务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_Toc422322494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6F94083">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"_Toc422322495"</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3.1项目咨询团队及人员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_Toc422322495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F06C94D">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"_Toc422322496"</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3.2咨询人的工作要求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_Toc422322496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5B34B37">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"_Toc422322497"</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3.3咨询人的工作依据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_Toc422322497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C722433">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"_Toc422322498"</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3.4使用委托人房屋及设备的返还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_Toc422322498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566C6DA">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"_Toc422322499"</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4.违约责任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_Toc422322499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27B6F87">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"_Toc422322500"</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4.1委托人的违约责任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_Toc422322500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1C39B9F">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"_Toc422322501"</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4.2咨询人的违约责任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_Toc422322501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E71B274">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"_Toc422322502"</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5.支付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_Toc422322502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C6A325B">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"_Toc422322503"</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5.1支付货币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_Toc422322503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91B029D">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"_Toc422322504"</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5.2支付申请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_Toc422322504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1E6ED48">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"_Toc422322505"</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5.3支付酬金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_Toc422322505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3EF8D4F">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"_Toc422322506"</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5.4有异议部分的支付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_Toc422322506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5E2D363">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"_Toc422322507"</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6.合同变更、解除与终止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_Toc422322507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F054E27">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"_Toc422322508"</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6.1合同变更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_Toc422322508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B9E2FA3">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"_Toc422322509"</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6.2合同解除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_Toc422322509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BFC8AA2">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"_Toc422322510"</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6.3合同终止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_Toc422322510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7E1CAC9">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"_Toc422322511"</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7.争议解决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_Toc422322511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C3984C1">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"_Toc422322512"</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mallCaps/>
          <w:sz w:val="24"/>
          <w:szCs w:val="24"/>
        </w:rPr>
        <w:t>7.1协商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_Toc422322512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9BF264B">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"_Toc422322513"</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mallCaps/>
          <w:sz w:val="24"/>
          <w:szCs w:val="24"/>
        </w:rPr>
        <w:t>7.2调解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_Toc422322513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98020A0">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"_Toc422322514"</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mallCaps/>
          <w:sz w:val="24"/>
          <w:szCs w:val="24"/>
        </w:rPr>
        <w:t>7.3仲裁或诉讼</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_Toc422322514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CA0E9D8">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"_Toc422322515"</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8.其他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_Toc422322515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8B1B583">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"_Toc422322516"</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mallCaps/>
          <w:sz w:val="24"/>
          <w:szCs w:val="24"/>
        </w:rPr>
        <w:t>8.1</w:t>
      </w:r>
      <w:r>
        <w:rPr>
          <w:rStyle w:val="35"/>
          <w:rFonts w:hint="eastAsia" w:ascii="仿宋" w:hAnsi="仿宋" w:eastAsia="仿宋" w:cs="仿宋"/>
          <w:sz w:val="24"/>
          <w:szCs w:val="24"/>
        </w:rPr>
        <w:t>考察及相关费用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_Toc422322516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1AE8EF4">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"_Toc422322517"</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8.2奖励</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_Toc422322517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1053071">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"_Toc422322518"</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8.3保密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_Toc422322518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64471EA">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"_Toc422322519"</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8.4联络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_Toc422322519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C425502">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"_Toc422322520"</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8.5知识产权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_Toc422322520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F929277">
      <w:pPr>
        <w:pStyle w:val="24"/>
        <w:tabs>
          <w:tab w:val="right" w:leader="dot" w:pos="8296"/>
        </w:tabs>
        <w:spacing w:line="420" w:lineRule="exact"/>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"_Toc422322521"</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第三部分　专用条件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_Toc422322521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A788293">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"_Toc422322522"</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1.词语定义、语言、解释顺序与适用法律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_Toc422322522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31E7DA9">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"_Toc422322524"</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1.2语言</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_Toc422322524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1B17EBE">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"_Toc422322525"</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1.3合同文件的优先顺序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_Toc422322525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F6EDE2C">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"_Toc422322526"</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1.4适用法律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_Toc422322526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D5C48A2">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"_Toc422322527"</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2.委托人的义务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_Toc422322527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48C3CBE">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"_Toc422322528"</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2.1提供资料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_Toc422322528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D7B587E">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"_Toc422322529"</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2.2提供工作条件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_Toc422322529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E17DDAA">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"_Toc422322530"</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2.4委托人代表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_Toc422322530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BA7D999">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"_Toc422322531"</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2.5答复</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_Toc422322531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92F78E3">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"_Toc422322532"</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3.咨询人的义务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_Toc422322532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C4097DC">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"_Toc422322533"</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3.1项目咨询团队及人员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_Toc422322533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8C3824C">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"_Toc422322534"</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3.2咨询人的工作要求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_Toc422322534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E0C3528">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"_Toc422322535"</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3.3咨询人的工作依据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_Toc422322535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437E80B">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"_Toc422322536"</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3.4使用委托人房屋及设备的返还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_Toc422322536 \h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F1550E6">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"_Toc422322537"</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4.违约责任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_Toc422322537 \h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EF0FA8B">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"_Toc422322539"</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4.2咨询人的违约责任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_Toc422322539 \h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D01CA57">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"_Toc422322540"</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5.支付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_Toc422322540 \h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0F424C3">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"_Toc422322541"</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5.1支付货币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_Toc422322541 \h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3139847">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"_Toc422322542"</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5.2支付申请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_Toc422322542 \h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78FB362">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"_Toc422322543"</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5.3支付酬金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_Toc422322543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A45CCCF">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"_Toc422322544"</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6.合同变更、解除与终止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_Toc422322544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6A17552">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"_Toc422322545"</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6.1合同变更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_Toc422322545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51D0D91">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"_Toc422322546"</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6.2合同解除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_Toc422322546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AB69CE0">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"_Toc422322547"</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7.争议解决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_Toc422322547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A185CCF">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"_Toc422322548"</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7.2调解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_Toc422322548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202BDC2">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"_Toc422322549"</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7.3仲裁或诉讼</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_Toc422322549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89ED7A9">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"_Toc422322550"</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8.其他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_Toc422322550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B84378F">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"_Toc422322551"</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8.1考察及相关费用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_Toc422322551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09F2A21">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"_Toc422322552"</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8.2奖励</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_Toc422322552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99503C8">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"_Toc422322553"</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8.3保密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_Toc422322553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20857C0">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"_Toc422322554"</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8.4联络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_Toc422322554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B3916B9">
      <w:pPr>
        <w:pStyle w:val="26"/>
        <w:tabs>
          <w:tab w:val="right" w:leader="dot" w:pos="8296"/>
        </w:tabs>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"_Toc422322555"</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8.5知识产权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_Toc422322555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6EFA389">
      <w:pPr>
        <w:pStyle w:val="24"/>
        <w:tabs>
          <w:tab w:val="right" w:leader="dot" w:pos="8296"/>
        </w:tabs>
        <w:spacing w:line="42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"_Toc422322556"</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9.补充条款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_Toc422322556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A668CEA">
      <w:pPr>
        <w:pStyle w:val="24"/>
        <w:tabs>
          <w:tab w:val="right" w:leader="dot" w:pos="8296"/>
        </w:tabs>
        <w:spacing w:line="420" w:lineRule="exact"/>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"_Toc422322557"</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附录A 服务范围及工作内容、酬金一览表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_Toc422322557 \h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F0C37E9">
      <w:pPr>
        <w:pStyle w:val="24"/>
        <w:tabs>
          <w:tab w:val="right" w:leader="dot" w:pos="8296"/>
        </w:tabs>
        <w:spacing w:line="420" w:lineRule="exact"/>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"_Toc422322558"</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附录B 咨询人提交成果文件一览表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_Toc422322558 \h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528D2D7">
      <w:pPr>
        <w:pStyle w:val="24"/>
        <w:tabs>
          <w:tab w:val="right" w:leader="dot" w:pos="8296"/>
        </w:tabs>
        <w:spacing w:line="420" w:lineRule="exact"/>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"_Toc422322559"</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附录C 委托人提供资料一览表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_Toc422322559 \h </w:instrText>
      </w:r>
      <w:r>
        <w:rPr>
          <w:rFonts w:hint="eastAsia" w:ascii="仿宋" w:hAnsi="仿宋" w:eastAsia="仿宋" w:cs="仿宋"/>
          <w:sz w:val="24"/>
          <w:szCs w:val="24"/>
        </w:rPr>
        <w:fldChar w:fldCharType="separate"/>
      </w:r>
      <w:r>
        <w:rPr>
          <w:rFonts w:hint="eastAsia" w:ascii="仿宋" w:hAnsi="仿宋" w:eastAsia="仿宋" w:cs="仿宋"/>
          <w:sz w:val="24"/>
          <w:szCs w:val="24"/>
        </w:rPr>
        <w:t>58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570A9E8">
      <w:pPr>
        <w:pStyle w:val="24"/>
        <w:tabs>
          <w:tab w:val="right" w:leader="dot" w:pos="8296"/>
        </w:tabs>
        <w:spacing w:line="420" w:lineRule="exact"/>
        <w:rPr>
          <w:rFonts w:hint="eastAsia" w:ascii="仿宋" w:hAnsi="仿宋" w:eastAsia="仿宋" w:cs="仿宋"/>
          <w:kern w:val="2"/>
          <w:sz w:val="24"/>
          <w:szCs w:val="24"/>
        </w:rPr>
      </w:pPr>
      <w:r>
        <w:rPr>
          <w:rFonts w:hint="eastAsia" w:ascii="仿宋" w:hAnsi="仿宋" w:eastAsia="仿宋" w:cs="仿宋"/>
          <w:sz w:val="24"/>
          <w:szCs w:val="24"/>
        </w:rPr>
        <w:fldChar w:fldCharType="begin"/>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instrText xml:space="preserve">HYPERLINK \l "_Toc422322560"</w:instrText>
      </w:r>
      <w:r>
        <w:rPr>
          <w:rStyle w:val="35"/>
          <w:rFonts w:hint="eastAsia" w:ascii="仿宋" w:hAnsi="仿宋" w:eastAsia="仿宋" w:cs="仿宋"/>
          <w:sz w:val="24"/>
          <w:szCs w:val="24"/>
        </w:rPr>
        <w:instrText xml:space="preserve"> </w:instrText>
      </w:r>
      <w:r>
        <w:rPr>
          <w:rFonts w:hint="eastAsia" w:ascii="仿宋" w:hAnsi="仿宋" w:eastAsia="仿宋" w:cs="仿宋"/>
          <w:sz w:val="24"/>
          <w:szCs w:val="24"/>
        </w:rPr>
        <w:fldChar w:fldCharType="separate"/>
      </w:r>
      <w:r>
        <w:rPr>
          <w:rStyle w:val="35"/>
          <w:rFonts w:hint="eastAsia" w:ascii="仿宋" w:hAnsi="仿宋" w:eastAsia="仿宋" w:cs="仿宋"/>
          <w:sz w:val="24"/>
          <w:szCs w:val="24"/>
        </w:rPr>
        <w:t>附录D 委托人提供房屋及设备一览表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_Toc422322560 \h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005013A">
      <w:pPr>
        <w:spacing w:line="420" w:lineRule="exact"/>
        <w:rPr>
          <w:rFonts w:hint="eastAsia" w:ascii="仿宋" w:hAnsi="仿宋" w:eastAsia="仿宋" w:cs="仿宋"/>
          <w:sz w:val="28"/>
          <w:szCs w:val="28"/>
        </w:rPr>
      </w:pPr>
      <w:r>
        <w:rPr>
          <w:rFonts w:hint="eastAsia" w:ascii="仿宋" w:hAnsi="仿宋" w:eastAsia="仿宋" w:cs="仿宋"/>
          <w:sz w:val="24"/>
          <w:szCs w:val="24"/>
        </w:rPr>
        <w:fldChar w:fldCharType="end"/>
      </w:r>
    </w:p>
    <w:p w14:paraId="3AF38A37">
      <w:pPr>
        <w:spacing w:line="420" w:lineRule="exact"/>
        <w:rPr>
          <w:rFonts w:hint="eastAsia" w:ascii="仿宋" w:hAnsi="仿宋" w:eastAsia="仿宋" w:cs="仿宋"/>
          <w:sz w:val="28"/>
          <w:szCs w:val="28"/>
        </w:rPr>
      </w:pPr>
    </w:p>
    <w:p w14:paraId="508A3BFF">
      <w:pPr>
        <w:spacing w:line="420" w:lineRule="exact"/>
        <w:rPr>
          <w:rFonts w:hint="eastAsia" w:ascii="仿宋" w:hAnsi="仿宋" w:eastAsia="仿宋" w:cs="仿宋"/>
          <w:sz w:val="28"/>
          <w:szCs w:val="28"/>
        </w:rPr>
      </w:pPr>
    </w:p>
    <w:p w14:paraId="27F22E6B">
      <w:pPr>
        <w:rPr>
          <w:rFonts w:hint="eastAsia" w:ascii="仿宋" w:hAnsi="仿宋" w:eastAsia="仿宋" w:cs="仿宋"/>
        </w:rPr>
        <w:sectPr>
          <w:footerReference r:id="rId13" w:type="default"/>
          <w:pgSz w:w="11906" w:h="16838"/>
          <w:pgMar w:top="1440" w:right="1800" w:bottom="1440" w:left="1800" w:header="851" w:footer="992" w:gutter="0"/>
          <w:pgNumType w:fmt="decimal"/>
          <w:cols w:space="720" w:num="1"/>
          <w:docGrid w:linePitch="312" w:charSpace="0"/>
        </w:sectPr>
      </w:pPr>
    </w:p>
    <w:p w14:paraId="74C5F16D">
      <w:pPr>
        <w:rPr>
          <w:rFonts w:hint="eastAsia" w:ascii="仿宋" w:hAnsi="仿宋" w:eastAsia="仿宋" w:cs="仿宋"/>
        </w:rPr>
      </w:pPr>
    </w:p>
    <w:p w14:paraId="7D1F86F2">
      <w:pPr>
        <w:pStyle w:val="3"/>
        <w:pageBreakBefore w:val="0"/>
        <w:widowControl w:val="0"/>
        <w:kinsoku/>
        <w:wordWrap/>
        <w:overflowPunct/>
        <w:topLinePunct w:val="0"/>
        <w:autoSpaceDE/>
        <w:autoSpaceDN/>
        <w:bidi w:val="0"/>
        <w:adjustRightInd/>
        <w:snapToGrid/>
        <w:spacing w:before="120" w:after="120" w:line="360" w:lineRule="auto"/>
        <w:jc w:val="center"/>
        <w:textAlignment w:val="auto"/>
        <w:rPr>
          <w:rFonts w:hint="eastAsia" w:ascii="仿宋" w:hAnsi="仿宋" w:eastAsia="仿宋" w:cs="仿宋"/>
          <w:sz w:val="30"/>
          <w:szCs w:val="30"/>
        </w:rPr>
      </w:pPr>
      <w:bookmarkStart w:id="32" w:name="_Toc419045055"/>
      <w:bookmarkStart w:id="33" w:name="_Toc13751"/>
      <w:bookmarkStart w:id="34" w:name="_Toc422322470"/>
      <w:r>
        <w:rPr>
          <w:rFonts w:hint="eastAsia" w:ascii="仿宋" w:hAnsi="仿宋" w:eastAsia="仿宋" w:cs="仿宋"/>
          <w:sz w:val="30"/>
          <w:szCs w:val="30"/>
        </w:rPr>
        <w:t>第一部分　协议书</w:t>
      </w:r>
      <w:bookmarkEnd w:id="32"/>
      <w:bookmarkEnd w:id="33"/>
      <w:bookmarkEnd w:id="34"/>
    </w:p>
    <w:p w14:paraId="01ACB2A2">
      <w:pPr>
        <w:pStyle w:val="52"/>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u w:val="single"/>
          <w:lang w:val="en-US" w:eastAsia="zh-CN"/>
        </w:rPr>
      </w:pPr>
      <w:bookmarkStart w:id="35" w:name="7"/>
      <w:r>
        <w:rPr>
          <w:rFonts w:hint="eastAsia" w:ascii="仿宋" w:hAnsi="仿宋" w:eastAsia="仿宋" w:cs="仿宋"/>
          <w:sz w:val="24"/>
          <w:szCs w:val="24"/>
        </w:rPr>
        <w:t>委托人（</w:t>
      </w:r>
      <w:r>
        <w:rPr>
          <w:rFonts w:hint="eastAsia" w:ascii="仿宋" w:hAnsi="仿宋" w:eastAsia="仿宋" w:cs="仿宋"/>
          <w:sz w:val="24"/>
          <w:szCs w:val="24"/>
          <w:lang w:val="en-US" w:eastAsia="zh-CN"/>
        </w:rPr>
        <w:t>甲方</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14:paraId="2A7443CE">
      <w:pPr>
        <w:pStyle w:val="52"/>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rPr>
        <w:t>咨询人（</w:t>
      </w:r>
      <w:r>
        <w:rPr>
          <w:rFonts w:hint="eastAsia" w:ascii="仿宋" w:hAnsi="仿宋" w:eastAsia="仿宋" w:cs="仿宋"/>
          <w:sz w:val="24"/>
          <w:szCs w:val="24"/>
          <w:lang w:val="en-US" w:eastAsia="zh-CN"/>
        </w:rPr>
        <w:t>乙方</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14:paraId="444B4AA3">
      <w:pPr>
        <w:pStyle w:val="52"/>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"javascript:SLC(21651,0)" </w:instrText>
      </w:r>
      <w:r>
        <w:rPr>
          <w:rFonts w:hint="eastAsia" w:ascii="仿宋" w:hAnsi="仿宋" w:eastAsia="仿宋" w:cs="仿宋"/>
          <w:sz w:val="24"/>
          <w:szCs w:val="24"/>
        </w:rPr>
        <w:fldChar w:fldCharType="separate"/>
      </w:r>
      <w:r>
        <w:rPr>
          <w:rStyle w:val="53"/>
          <w:rFonts w:hint="eastAsia" w:ascii="仿宋" w:hAnsi="仿宋" w:eastAsia="仿宋" w:cs="仿宋"/>
          <w:color w:val="auto"/>
          <w:sz w:val="24"/>
          <w:szCs w:val="24"/>
        </w:rPr>
        <w:t>中华人民共和国</w:t>
      </w:r>
      <w:r>
        <w:rPr>
          <w:rFonts w:hint="eastAsia" w:ascii="仿宋" w:hAnsi="仿宋" w:eastAsia="仿宋" w:cs="仿宋"/>
          <w:sz w:val="24"/>
          <w:szCs w:val="24"/>
          <w:lang w:val="en-US" w:eastAsia="zh-CN"/>
        </w:rPr>
        <w:t>民</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法典</w:t>
      </w:r>
      <w:r>
        <w:rPr>
          <w:rFonts w:hint="eastAsia" w:ascii="仿宋" w:hAnsi="仿宋" w:eastAsia="仿宋" w:cs="仿宋"/>
          <w:sz w:val="24"/>
          <w:szCs w:val="24"/>
        </w:rPr>
        <w:t>》及其他有关法律、法规，遵循平等、自愿、公平和诚实信用的原则，双方就下述建设工程委托造价咨询与其他服务事项协商一致，订立本合同。</w:t>
      </w:r>
    </w:p>
    <w:p w14:paraId="2E4127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2" w:firstLineChars="200"/>
        <w:textAlignment w:val="auto"/>
        <w:rPr>
          <w:rStyle w:val="54"/>
          <w:rFonts w:hint="eastAsia" w:ascii="仿宋" w:hAnsi="仿宋" w:eastAsia="仿宋" w:cs="仿宋"/>
          <w:color w:val="auto"/>
          <w:sz w:val="24"/>
          <w:szCs w:val="24"/>
          <w:lang w:eastAsia="zh-CN"/>
        </w:rPr>
      </w:pPr>
      <w:bookmarkStart w:id="36" w:name="_Toc422322471"/>
      <w:bookmarkStart w:id="37" w:name="_Toc196"/>
      <w:bookmarkStart w:id="38" w:name="_Toc419045056"/>
      <w:r>
        <w:rPr>
          <w:rStyle w:val="54"/>
          <w:rFonts w:hint="eastAsia" w:ascii="仿宋" w:hAnsi="仿宋" w:eastAsia="仿宋" w:cs="仿宋"/>
          <w:color w:val="auto"/>
          <w:sz w:val="24"/>
          <w:szCs w:val="24"/>
          <w:lang w:eastAsia="zh-CN"/>
        </w:rPr>
        <w:t>一、</w:t>
      </w:r>
      <w:r>
        <w:rPr>
          <w:rStyle w:val="54"/>
          <w:rFonts w:hint="eastAsia" w:ascii="仿宋" w:hAnsi="仿宋" w:eastAsia="仿宋" w:cs="仿宋"/>
          <w:color w:val="auto"/>
          <w:sz w:val="24"/>
          <w:szCs w:val="24"/>
        </w:rPr>
        <w:t>工程概况</w:t>
      </w:r>
      <w:bookmarkEnd w:id="36"/>
    </w:p>
    <w:bookmarkEnd w:id="37"/>
    <w:p w14:paraId="756E65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FF0000"/>
          <w:sz w:val="24"/>
          <w:szCs w:val="24"/>
          <w:highlight w:val="yellow"/>
          <w:u w:val="single"/>
        </w:rPr>
      </w:pPr>
      <w:r>
        <w:rPr>
          <w:rFonts w:hint="eastAsia" w:ascii="仿宋" w:hAnsi="仿宋" w:eastAsia="仿宋" w:cs="仿宋"/>
          <w:sz w:val="24"/>
          <w:szCs w:val="24"/>
        </w:rPr>
        <w:t xml:space="preserve">     1.工程名称：</w:t>
      </w:r>
      <w:r>
        <w:rPr>
          <w:rFonts w:hint="eastAsia" w:ascii="仿宋" w:hAnsi="仿宋" w:eastAsia="仿宋" w:cs="仿宋"/>
          <w:sz w:val="24"/>
          <w:szCs w:val="24"/>
          <w:u w:val="single"/>
          <w:lang w:val="en-US" w:eastAsia="zh-CN"/>
        </w:rPr>
        <w:t xml:space="preserve">               </w:t>
      </w:r>
    </w:p>
    <w:p w14:paraId="51252592">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olor w:val="auto"/>
          <w:sz w:val="24"/>
          <w:szCs w:val="24"/>
        </w:rPr>
      </w:pPr>
      <w:r>
        <w:rPr>
          <w:rFonts w:hint="eastAsia" w:ascii="仿宋" w:hAnsi="仿宋" w:eastAsia="仿宋" w:cs="仿宋"/>
          <w:color w:val="FF0000"/>
          <w:sz w:val="24"/>
          <w:szCs w:val="24"/>
        </w:rPr>
        <w:t xml:space="preserve">    </w:t>
      </w:r>
      <w:r>
        <w:rPr>
          <w:rFonts w:hint="eastAsia" w:ascii="仿宋" w:hAnsi="仿宋" w:eastAsia="仿宋" w:cs="仿宋"/>
          <w:color w:val="auto"/>
          <w:sz w:val="24"/>
          <w:szCs w:val="24"/>
        </w:rPr>
        <w:t xml:space="preserve"> 2.工程地点：</w:t>
      </w:r>
      <w:bookmarkEnd w:id="38"/>
      <w:r>
        <w:rPr>
          <w:rFonts w:hint="eastAsia" w:ascii="仿宋" w:hAnsi="仿宋" w:eastAsia="仿宋" w:cs="仿宋"/>
          <w:color w:val="auto"/>
          <w:sz w:val="24"/>
          <w:szCs w:val="24"/>
          <w:u w:val="single"/>
        </w:rPr>
        <w:t xml:space="preserve">乌鲁木齐市天山区  </w:t>
      </w:r>
      <w:r>
        <w:rPr>
          <w:rFonts w:hint="eastAsia" w:ascii="仿宋" w:hAnsi="仿宋" w:eastAsia="仿宋" w:cs="仿宋"/>
          <w:color w:val="auto"/>
          <w:sz w:val="24"/>
          <w:szCs w:val="24"/>
        </w:rPr>
        <w:t xml:space="preserve">。 </w:t>
      </w:r>
    </w:p>
    <w:p w14:paraId="11BFC9A2">
      <w:pPr>
        <w:pStyle w:val="52"/>
        <w:keepNext w:val="0"/>
        <w:keepLines w:val="0"/>
        <w:pageBreakBefore w:val="0"/>
        <w:widowControl w:val="0"/>
        <w:kinsoku/>
        <w:wordWrap/>
        <w:overflowPunct/>
        <w:topLinePunct w:val="0"/>
        <w:autoSpaceDE/>
        <w:autoSpaceDN/>
        <w:bidi w:val="0"/>
        <w:adjustRightInd/>
        <w:snapToGrid/>
        <w:spacing w:line="360" w:lineRule="auto"/>
        <w:ind w:left="0" w:firstLine="600" w:firstLineChars="25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rPr>
        <w:t>3.工程规模：</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所涉及的施工项目</w:t>
      </w:r>
      <w:r>
        <w:rPr>
          <w:rFonts w:hint="eastAsia" w:ascii="仿宋" w:hAnsi="仿宋" w:eastAsia="仿宋" w:cs="仿宋"/>
          <w:color w:val="auto"/>
          <w:sz w:val="24"/>
          <w:szCs w:val="24"/>
          <w:u w:val="none"/>
          <w:lang w:val="en-US" w:eastAsia="zh-CN"/>
        </w:rPr>
        <w:t>未完成二审工作的进行二审及整体项目决算审计</w:t>
      </w:r>
      <w:r>
        <w:rPr>
          <w:rFonts w:hint="eastAsia" w:ascii="仿宋" w:hAnsi="仿宋" w:eastAsia="仿宋" w:cs="仿宋"/>
          <w:sz w:val="24"/>
          <w:szCs w:val="24"/>
          <w:highlight w:val="none"/>
          <w:u w:val="none"/>
          <w:lang w:val="en-US" w:eastAsia="zh-CN"/>
        </w:rPr>
        <w:t>并出具报告</w:t>
      </w:r>
      <w:r>
        <w:rPr>
          <w:rFonts w:hint="eastAsia" w:ascii="仿宋" w:hAnsi="仿宋" w:eastAsia="仿宋" w:cs="仿宋"/>
          <w:color w:val="auto"/>
          <w:sz w:val="24"/>
          <w:szCs w:val="24"/>
          <w:highlight w:val="none"/>
          <w:u w:val="none"/>
        </w:rPr>
        <w:t>。</w:t>
      </w:r>
    </w:p>
    <w:p w14:paraId="2D7BB6C8">
      <w:pPr>
        <w:pStyle w:val="52"/>
        <w:keepNext w:val="0"/>
        <w:keepLines w:val="0"/>
        <w:pageBreakBefore w:val="0"/>
        <w:widowControl w:val="0"/>
        <w:kinsoku/>
        <w:wordWrap/>
        <w:overflowPunct/>
        <w:topLinePunct w:val="0"/>
        <w:autoSpaceDE/>
        <w:autoSpaceDN/>
        <w:bidi w:val="0"/>
        <w:adjustRightInd/>
        <w:snapToGrid/>
        <w:spacing w:line="360" w:lineRule="auto"/>
        <w:ind w:left="0" w:firstLine="600" w:firstLineChars="25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4.投资金额：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5463DAC">
      <w:pPr>
        <w:pStyle w:val="52"/>
        <w:keepNext w:val="0"/>
        <w:keepLines w:val="0"/>
        <w:pageBreakBefore w:val="0"/>
        <w:widowControl w:val="0"/>
        <w:kinsoku/>
        <w:wordWrap/>
        <w:overflowPunct/>
        <w:topLinePunct w:val="0"/>
        <w:autoSpaceDE/>
        <w:autoSpaceDN/>
        <w:bidi w:val="0"/>
        <w:adjustRightInd/>
        <w:snapToGrid/>
        <w:spacing w:line="360" w:lineRule="auto"/>
        <w:ind w:left="0" w:firstLine="600" w:firstLineChars="25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5.资金来源：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087C716">
      <w:pPr>
        <w:pStyle w:val="52"/>
        <w:keepNext w:val="0"/>
        <w:keepLines w:val="0"/>
        <w:pageBreakBefore w:val="0"/>
        <w:widowControl w:val="0"/>
        <w:kinsoku/>
        <w:wordWrap/>
        <w:overflowPunct/>
        <w:topLinePunct w:val="0"/>
        <w:autoSpaceDE/>
        <w:autoSpaceDN/>
        <w:bidi w:val="0"/>
        <w:adjustRightInd/>
        <w:snapToGrid/>
        <w:spacing w:line="360" w:lineRule="auto"/>
        <w:ind w:left="0" w:firstLine="600" w:firstLineChars="25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6.建设工期或周期：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按项目工期确定，</w:t>
      </w:r>
      <w:r>
        <w:rPr>
          <w:rFonts w:hint="eastAsia" w:ascii="仿宋" w:hAnsi="仿宋" w:eastAsia="仿宋" w:cs="仿宋"/>
          <w:color w:val="auto"/>
          <w:sz w:val="24"/>
          <w:szCs w:val="24"/>
          <w:u w:val="single"/>
          <w:lang w:val="en-US" w:eastAsia="zh-CN"/>
        </w:rPr>
        <w:t xml:space="preserve">以实际为准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AB5EBEB">
      <w:pPr>
        <w:pStyle w:val="52"/>
        <w:keepNext w:val="0"/>
        <w:keepLines w:val="0"/>
        <w:pageBreakBefore w:val="0"/>
        <w:widowControl w:val="0"/>
        <w:kinsoku/>
        <w:wordWrap/>
        <w:overflowPunct/>
        <w:topLinePunct w:val="0"/>
        <w:autoSpaceDE/>
        <w:autoSpaceDN/>
        <w:bidi w:val="0"/>
        <w:adjustRightInd/>
        <w:snapToGrid/>
        <w:spacing w:line="360" w:lineRule="auto"/>
        <w:ind w:left="0" w:firstLine="600" w:firstLine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7.其他：</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w:t>
      </w:r>
      <w:bookmarkEnd w:id="35"/>
    </w:p>
    <w:p w14:paraId="56C517E8">
      <w:pPr>
        <w:pStyle w:val="28"/>
        <w:keepNext w:val="0"/>
        <w:keepLines w:val="0"/>
        <w:pageBreakBefore w:val="0"/>
        <w:widowControl w:val="0"/>
        <w:kinsoku/>
        <w:wordWrap/>
        <w:overflowPunct/>
        <w:topLinePunct w:val="0"/>
        <w:autoSpaceDE/>
        <w:autoSpaceDN/>
        <w:bidi w:val="0"/>
        <w:adjustRightInd/>
        <w:snapToGrid/>
        <w:spacing w:before="0" w:after="0" w:line="360" w:lineRule="auto"/>
        <w:ind w:left="0" w:firstLine="482" w:firstLineChars="200"/>
        <w:jc w:val="left"/>
        <w:textAlignment w:val="auto"/>
        <w:outlineLvl w:val="9"/>
        <w:rPr>
          <w:rFonts w:hint="eastAsia" w:ascii="仿宋" w:hAnsi="仿宋" w:eastAsia="仿宋" w:cs="仿宋"/>
          <w:color w:val="auto"/>
          <w:sz w:val="24"/>
          <w:szCs w:val="24"/>
        </w:rPr>
      </w:pPr>
      <w:bookmarkStart w:id="39" w:name="_Toc422322472"/>
      <w:bookmarkStart w:id="40" w:name="_Toc419045059"/>
      <w:r>
        <w:rPr>
          <w:rFonts w:hint="eastAsia" w:ascii="仿宋" w:hAnsi="仿宋" w:eastAsia="仿宋" w:cs="仿宋"/>
          <w:color w:val="auto"/>
          <w:sz w:val="24"/>
          <w:szCs w:val="24"/>
        </w:rPr>
        <w:t>二、服务范围及工作内容</w:t>
      </w:r>
      <w:bookmarkEnd w:id="39"/>
      <w:bookmarkEnd w:id="40"/>
    </w:p>
    <w:p w14:paraId="57C65657">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 xml:space="preserve">    双方约定的服务范围及工作内容：</w:t>
      </w:r>
      <w:r>
        <w:rPr>
          <w:rFonts w:hint="eastAsia" w:ascii="仿宋" w:hAnsi="仿宋" w:eastAsia="仿宋" w:cs="仿宋"/>
          <w:color w:val="auto"/>
          <w:sz w:val="24"/>
          <w:szCs w:val="24"/>
          <w:u w:val="single"/>
          <w:lang w:val="en-US" w:eastAsia="zh-CN"/>
        </w:rPr>
        <w:t>项目中未完成二审工作的进行二审及整体项目决算审计</w:t>
      </w:r>
    </w:p>
    <w:p w14:paraId="4442FE0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服务范围及工作内容详见附录A。</w:t>
      </w:r>
      <w:bookmarkStart w:id="41" w:name="_Toc419045060"/>
      <w:bookmarkStart w:id="42" w:name="9"/>
    </w:p>
    <w:p w14:paraId="537BCCC7">
      <w:pPr>
        <w:pStyle w:val="28"/>
        <w:keepNext w:val="0"/>
        <w:keepLines w:val="0"/>
        <w:pageBreakBefore w:val="0"/>
        <w:widowControl w:val="0"/>
        <w:kinsoku/>
        <w:wordWrap/>
        <w:overflowPunct/>
        <w:topLinePunct w:val="0"/>
        <w:autoSpaceDE/>
        <w:autoSpaceDN/>
        <w:bidi w:val="0"/>
        <w:adjustRightInd/>
        <w:snapToGrid/>
        <w:spacing w:before="0" w:after="0" w:line="360" w:lineRule="auto"/>
        <w:ind w:left="0" w:firstLine="482" w:firstLineChars="200"/>
        <w:jc w:val="left"/>
        <w:textAlignment w:val="auto"/>
        <w:outlineLvl w:val="9"/>
        <w:rPr>
          <w:rFonts w:hint="eastAsia" w:ascii="仿宋" w:hAnsi="仿宋" w:eastAsia="仿宋" w:cs="仿宋"/>
          <w:sz w:val="24"/>
          <w:szCs w:val="24"/>
        </w:rPr>
      </w:pPr>
      <w:bookmarkStart w:id="43" w:name="_Toc422322473"/>
      <w:r>
        <w:rPr>
          <w:rFonts w:hint="eastAsia" w:ascii="仿宋" w:hAnsi="仿宋" w:eastAsia="仿宋" w:cs="仿宋"/>
          <w:sz w:val="24"/>
          <w:szCs w:val="24"/>
        </w:rPr>
        <w:t>三、服务期限</w:t>
      </w:r>
      <w:bookmarkEnd w:id="41"/>
      <w:bookmarkEnd w:id="43"/>
    </w:p>
    <w:p w14:paraId="17A248BC">
      <w:pPr>
        <w:pStyle w:val="52"/>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FF0000"/>
          <w:sz w:val="24"/>
          <w:szCs w:val="24"/>
        </w:rPr>
      </w:pPr>
      <w:r>
        <w:rPr>
          <w:rFonts w:hint="eastAsia" w:ascii="仿宋" w:hAnsi="仿宋" w:eastAsia="仿宋" w:cs="仿宋"/>
          <w:color w:val="auto"/>
          <w:sz w:val="24"/>
          <w:szCs w:val="24"/>
        </w:rPr>
        <w:t>本合同约定的建设工程造价咨询服务</w:t>
      </w:r>
      <w:r>
        <w:rPr>
          <w:rFonts w:hint="eastAsia" w:ascii="仿宋" w:hAnsi="仿宋" w:eastAsia="仿宋" w:cs="仿宋"/>
          <w:color w:val="auto"/>
          <w:sz w:val="24"/>
          <w:szCs w:val="24"/>
          <w:lang w:eastAsia="zh-CN"/>
        </w:rPr>
        <w:t>自合同签订之日</w:t>
      </w:r>
      <w:r>
        <w:rPr>
          <w:rFonts w:hint="eastAsia" w:ascii="仿宋" w:hAnsi="仿宋" w:eastAsia="仿宋" w:cs="仿宋"/>
          <w:color w:val="auto"/>
          <w:sz w:val="24"/>
          <w:szCs w:val="24"/>
        </w:rPr>
        <w:t>开始实施，至</w:t>
      </w:r>
      <w:r>
        <w:rPr>
          <w:rFonts w:hint="eastAsia" w:ascii="仿宋" w:hAnsi="仿宋" w:eastAsia="仿宋" w:cs="仿宋"/>
          <w:color w:val="auto"/>
          <w:sz w:val="24"/>
          <w:szCs w:val="24"/>
          <w:u w:val="single"/>
        </w:rPr>
        <w:t>出具工程竣工财务决算报告日终结。</w:t>
      </w:r>
      <w:r>
        <w:rPr>
          <w:rFonts w:hint="eastAsia" w:ascii="仿宋" w:hAnsi="仿宋" w:eastAsia="仿宋" w:cs="仿宋"/>
          <w:color w:val="auto"/>
          <w:sz w:val="24"/>
          <w:szCs w:val="24"/>
        </w:rPr>
        <w:t>。</w:t>
      </w:r>
      <w:bookmarkEnd w:id="42"/>
    </w:p>
    <w:p w14:paraId="15FF99B4">
      <w:pPr>
        <w:pStyle w:val="28"/>
        <w:keepNext w:val="0"/>
        <w:keepLines w:val="0"/>
        <w:pageBreakBefore w:val="0"/>
        <w:widowControl w:val="0"/>
        <w:kinsoku/>
        <w:wordWrap/>
        <w:overflowPunct/>
        <w:topLinePunct w:val="0"/>
        <w:autoSpaceDE/>
        <w:autoSpaceDN/>
        <w:bidi w:val="0"/>
        <w:adjustRightInd/>
        <w:snapToGrid/>
        <w:spacing w:before="0" w:after="0" w:line="360" w:lineRule="auto"/>
        <w:ind w:left="0" w:firstLine="482" w:firstLineChars="200"/>
        <w:jc w:val="left"/>
        <w:textAlignment w:val="auto"/>
        <w:outlineLvl w:val="9"/>
        <w:rPr>
          <w:rFonts w:hint="eastAsia" w:ascii="仿宋" w:hAnsi="仿宋" w:eastAsia="仿宋" w:cs="仿宋"/>
          <w:sz w:val="24"/>
          <w:szCs w:val="24"/>
        </w:rPr>
      </w:pPr>
      <w:bookmarkStart w:id="44" w:name="_Toc419045061"/>
      <w:bookmarkStart w:id="45" w:name="_Toc422322474"/>
      <w:r>
        <w:rPr>
          <w:rFonts w:hint="eastAsia" w:ascii="仿宋" w:hAnsi="仿宋" w:eastAsia="仿宋" w:cs="仿宋"/>
          <w:sz w:val="24"/>
          <w:szCs w:val="24"/>
        </w:rPr>
        <w:t>四、质量标准</w:t>
      </w:r>
      <w:bookmarkEnd w:id="44"/>
      <w:bookmarkEnd w:id="45"/>
    </w:p>
    <w:p w14:paraId="277DD2F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工程造价咨询成果文件应符合：</w:t>
      </w:r>
    </w:p>
    <w:p w14:paraId="7D160D1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u w:val="single"/>
        </w:rPr>
        <w:t>《乌鲁木齐市建设工程造价咨询成果文件质量管理办法》国家、自治区现行有关法律法规、相关规定、技术标准  。</w:t>
      </w:r>
    </w:p>
    <w:p w14:paraId="7F6E5A1B">
      <w:pPr>
        <w:pStyle w:val="28"/>
        <w:keepNext w:val="0"/>
        <w:keepLines w:val="0"/>
        <w:pageBreakBefore w:val="0"/>
        <w:widowControl w:val="0"/>
        <w:kinsoku/>
        <w:wordWrap/>
        <w:overflowPunct/>
        <w:topLinePunct w:val="0"/>
        <w:autoSpaceDE/>
        <w:autoSpaceDN/>
        <w:bidi w:val="0"/>
        <w:adjustRightInd/>
        <w:snapToGrid/>
        <w:spacing w:before="0" w:after="0" w:line="360" w:lineRule="auto"/>
        <w:ind w:left="0" w:firstLine="482" w:firstLineChars="200"/>
        <w:jc w:val="left"/>
        <w:textAlignment w:val="auto"/>
        <w:outlineLvl w:val="9"/>
        <w:rPr>
          <w:rFonts w:hint="eastAsia" w:ascii="仿宋" w:hAnsi="仿宋" w:eastAsia="仿宋" w:cs="仿宋"/>
          <w:sz w:val="24"/>
          <w:szCs w:val="24"/>
        </w:rPr>
      </w:pPr>
      <w:bookmarkStart w:id="46" w:name="_Toc422322475"/>
      <w:bookmarkStart w:id="47" w:name="_Toc419045062"/>
      <w:bookmarkStart w:id="48" w:name="12"/>
      <w:r>
        <w:rPr>
          <w:rFonts w:hint="eastAsia" w:ascii="仿宋" w:hAnsi="仿宋" w:eastAsia="仿宋" w:cs="仿宋"/>
          <w:sz w:val="24"/>
          <w:szCs w:val="24"/>
        </w:rPr>
        <w:t>五、酬金或计取方式</w:t>
      </w:r>
      <w:bookmarkEnd w:id="46"/>
      <w:bookmarkEnd w:id="47"/>
    </w:p>
    <w:p w14:paraId="35E2CE0C">
      <w:pPr>
        <w:spacing w:line="5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sz w:val="24"/>
          <w:szCs w:val="24"/>
        </w:rPr>
        <w:t xml:space="preserve">   1.</w:t>
      </w:r>
      <w:r>
        <w:rPr>
          <w:rFonts w:hint="eastAsia" w:ascii="仿宋" w:hAnsi="仿宋" w:eastAsia="仿宋" w:cs="仿宋"/>
          <w:color w:val="auto"/>
          <w:sz w:val="24"/>
          <w:szCs w:val="24"/>
          <w:highlight w:val="none"/>
          <w:u w:val="single"/>
        </w:rPr>
        <w:t>暂定</w:t>
      </w:r>
      <w:r>
        <w:rPr>
          <w:rFonts w:hint="eastAsia" w:ascii="仿宋" w:hAnsi="仿宋" w:eastAsia="仿宋" w:cs="仿宋"/>
          <w:color w:val="auto"/>
          <w:sz w:val="24"/>
          <w:szCs w:val="24"/>
          <w:highlight w:val="none"/>
        </w:rPr>
        <w:t>酬金：</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（大写</w:t>
      </w:r>
      <w:r>
        <w:rPr>
          <w:rFonts w:hint="eastAsia" w:ascii="仿宋" w:hAnsi="仿宋" w:eastAsia="仿宋" w:cs="仿宋"/>
          <w:sz w:val="24"/>
          <w:szCs w:val="24"/>
          <w:highlight w:val="none"/>
          <w:u w:val="single"/>
          <w:lang w:val="en-US" w:eastAsia="zh-CN"/>
        </w:rPr>
        <w:t>人民币：</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 xml:space="preserve">）。 </w:t>
      </w:r>
    </w:p>
    <w:p w14:paraId="2AE5F363">
      <w:pPr>
        <w:ind w:left="1960" w:hanging="1680" w:hangingChars="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2.计取方式：</w:t>
      </w:r>
    </w:p>
    <w:p w14:paraId="77AA4AC8">
      <w:pPr>
        <w:keepNext w:val="0"/>
        <w:keepLines w:val="0"/>
        <w:pageBreakBefore w:val="0"/>
        <w:widowControl w:val="0"/>
        <w:kinsoku/>
        <w:wordWrap/>
        <w:overflowPunct/>
        <w:topLinePunct w:val="0"/>
        <w:autoSpaceDE/>
        <w:autoSpaceDN/>
        <w:bidi w:val="0"/>
        <w:adjustRightInd/>
        <w:snapToGrid/>
        <w:spacing w:line="360" w:lineRule="auto"/>
        <w:ind w:left="1680" w:leftChars="200" w:hanging="1200" w:hanging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以上费用计取比率按中价协[2013]35号文件取费执行</w:t>
      </w:r>
    </w:p>
    <w:p w14:paraId="582ADCC5">
      <w:pPr>
        <w:pStyle w:val="52"/>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Style w:val="54"/>
          <w:rFonts w:hint="eastAsia" w:ascii="仿宋" w:hAnsi="仿宋" w:eastAsia="仿宋" w:cs="仿宋"/>
          <w:sz w:val="24"/>
          <w:szCs w:val="24"/>
          <w:lang w:eastAsia="zh-CN"/>
        </w:rPr>
      </w:pPr>
      <w:bookmarkStart w:id="49" w:name="_Toc419045058"/>
      <w:bookmarkStart w:id="50" w:name="_Toc422322476"/>
      <w:bookmarkStart w:id="51" w:name="_Toc16849"/>
      <w:r>
        <w:rPr>
          <w:rStyle w:val="54"/>
          <w:rFonts w:hint="eastAsia" w:ascii="仿宋" w:hAnsi="仿宋" w:eastAsia="仿宋" w:cs="仿宋"/>
          <w:sz w:val="24"/>
          <w:szCs w:val="24"/>
        </w:rPr>
        <w:t>六、合同文件的构成</w:t>
      </w:r>
      <w:bookmarkEnd w:id="49"/>
      <w:bookmarkEnd w:id="50"/>
    </w:p>
    <w:bookmarkEnd w:id="51"/>
    <w:p w14:paraId="322A59BF">
      <w:pPr>
        <w:pStyle w:val="52"/>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本协议书与下列文件一起构成合同文件:</w:t>
      </w:r>
    </w:p>
    <w:p w14:paraId="058D0E54">
      <w:pPr>
        <w:pStyle w:val="52"/>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1.中标通知书或委托书（如果有）；</w:t>
      </w:r>
    </w:p>
    <w:p w14:paraId="6DAE5FCE">
      <w:pPr>
        <w:pStyle w:val="52"/>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2.投标函及投标函附录或造价咨询服务建议书（如果有）；</w:t>
      </w:r>
    </w:p>
    <w:p w14:paraId="679AF3C9">
      <w:pPr>
        <w:pStyle w:val="52"/>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3.专用条件及附录；</w:t>
      </w:r>
    </w:p>
    <w:p w14:paraId="75474DC9">
      <w:pPr>
        <w:pStyle w:val="52"/>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4.通用条件；</w:t>
      </w:r>
    </w:p>
    <w:p w14:paraId="5B264385">
      <w:pPr>
        <w:pStyle w:val="52"/>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5.其他合同文件。</w:t>
      </w:r>
    </w:p>
    <w:p w14:paraId="2DE423E6">
      <w:pPr>
        <w:pStyle w:val="52"/>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w:t>
      </w:r>
    </w:p>
    <w:p w14:paraId="774BC209">
      <w:pPr>
        <w:pStyle w:val="52"/>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mallCaps/>
          <w:sz w:val="24"/>
          <w:szCs w:val="24"/>
        </w:rPr>
      </w:pPr>
      <w:r>
        <w:rPr>
          <w:rFonts w:hint="eastAsia" w:ascii="仿宋" w:hAnsi="仿宋" w:eastAsia="仿宋" w:cs="仿宋"/>
          <w:sz w:val="24"/>
          <w:szCs w:val="24"/>
        </w:rPr>
        <w:t>在合同订立及履行过程中形成的与合同有关的文件（包括补充协议）均构成合同文件的组成部分。</w:t>
      </w:r>
    </w:p>
    <w:p w14:paraId="70D1DA11">
      <w:pPr>
        <w:pStyle w:val="28"/>
        <w:keepNext w:val="0"/>
        <w:keepLines w:val="0"/>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outlineLvl w:val="9"/>
        <w:rPr>
          <w:rStyle w:val="54"/>
          <w:rFonts w:hint="eastAsia" w:ascii="仿宋" w:hAnsi="仿宋" w:eastAsia="仿宋" w:cs="仿宋"/>
          <w:b w:val="0"/>
          <w:bCs/>
          <w:sz w:val="24"/>
          <w:szCs w:val="24"/>
        </w:rPr>
      </w:pPr>
      <w:bookmarkStart w:id="52" w:name="_Toc419045057"/>
      <w:bookmarkStart w:id="53" w:name="_Toc422322477"/>
      <w:bookmarkStart w:id="54" w:name="_Toc5888"/>
      <w:r>
        <w:rPr>
          <w:rStyle w:val="54"/>
          <w:rFonts w:hint="eastAsia" w:ascii="仿宋" w:hAnsi="仿宋" w:eastAsia="仿宋" w:cs="仿宋"/>
          <w:b w:val="0"/>
          <w:bCs/>
          <w:sz w:val="24"/>
          <w:szCs w:val="24"/>
        </w:rPr>
        <w:t>七、</w:t>
      </w:r>
      <w:bookmarkStart w:id="55" w:name="8"/>
      <w:r>
        <w:rPr>
          <w:rStyle w:val="54"/>
          <w:rFonts w:hint="eastAsia" w:ascii="仿宋" w:hAnsi="仿宋" w:eastAsia="仿宋" w:cs="仿宋"/>
          <w:b w:val="0"/>
          <w:bCs/>
          <w:sz w:val="24"/>
          <w:szCs w:val="24"/>
        </w:rPr>
        <w:t>词语</w:t>
      </w:r>
      <w:bookmarkEnd w:id="52"/>
      <w:r>
        <w:rPr>
          <w:rStyle w:val="54"/>
          <w:rFonts w:hint="eastAsia" w:ascii="仿宋" w:hAnsi="仿宋" w:eastAsia="仿宋" w:cs="仿宋"/>
          <w:b w:val="0"/>
          <w:bCs/>
          <w:sz w:val="24"/>
          <w:szCs w:val="24"/>
        </w:rPr>
        <w:t>定义</w:t>
      </w:r>
      <w:bookmarkEnd w:id="53"/>
    </w:p>
    <w:bookmarkEnd w:id="54"/>
    <w:p w14:paraId="2C451FF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协议书中相关词语的含义与通用条件中的定义与解释相同。</w:t>
      </w:r>
      <w:bookmarkEnd w:id="55"/>
    </w:p>
    <w:p w14:paraId="0E7D14F1">
      <w:pPr>
        <w:pStyle w:val="28"/>
        <w:keepNext w:val="0"/>
        <w:keepLines w:val="0"/>
        <w:pageBreakBefore w:val="0"/>
        <w:widowControl w:val="0"/>
        <w:kinsoku/>
        <w:wordWrap/>
        <w:overflowPunct/>
        <w:topLinePunct w:val="0"/>
        <w:autoSpaceDE/>
        <w:autoSpaceDN/>
        <w:bidi w:val="0"/>
        <w:adjustRightInd/>
        <w:snapToGrid/>
        <w:spacing w:before="0" w:after="0" w:line="360" w:lineRule="auto"/>
        <w:ind w:left="0" w:firstLine="482" w:firstLineChars="200"/>
        <w:jc w:val="left"/>
        <w:textAlignment w:val="auto"/>
        <w:outlineLvl w:val="9"/>
        <w:rPr>
          <w:rFonts w:hint="eastAsia" w:ascii="仿宋" w:hAnsi="仿宋" w:eastAsia="仿宋" w:cs="仿宋"/>
          <w:color w:val="auto"/>
          <w:sz w:val="24"/>
          <w:szCs w:val="24"/>
        </w:rPr>
      </w:pPr>
      <w:bookmarkStart w:id="56" w:name="_Toc419045063"/>
      <w:bookmarkStart w:id="57" w:name="_Toc422322478"/>
      <w:r>
        <w:rPr>
          <w:rFonts w:hint="eastAsia" w:ascii="仿宋" w:hAnsi="仿宋" w:eastAsia="仿宋" w:cs="仿宋"/>
          <w:sz w:val="24"/>
          <w:szCs w:val="24"/>
        </w:rPr>
        <w:t>八、合同订立</w:t>
      </w:r>
      <w:bookmarkEnd w:id="56"/>
      <w:bookmarkEnd w:id="57"/>
    </w:p>
    <w:p w14:paraId="717A211E">
      <w:pPr>
        <w:pStyle w:val="5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1.订立时间：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ins w:id="0" w:author="Administrator" w:date="2019-06-11T10:18:00Z">
        <w:r>
          <w:rPr>
            <w:rFonts w:hint="eastAsia" w:ascii="仿宋" w:hAnsi="仿宋" w:eastAsia="仿宋" w:cs="仿宋"/>
            <w:color w:val="auto"/>
            <w:sz w:val="24"/>
            <w:szCs w:val="24"/>
            <w:u w:val="single"/>
            <w:lang w:val="en-US" w:eastAsia="zh-CN"/>
          </w:rPr>
          <w:t xml:space="preserve"> </w:t>
        </w:r>
      </w:ins>
      <w:r>
        <w:rPr>
          <w:rFonts w:hint="eastAsia" w:ascii="仿宋" w:hAnsi="仿宋" w:eastAsia="仿宋" w:cs="仿宋"/>
          <w:color w:val="auto"/>
          <w:sz w:val="24"/>
          <w:szCs w:val="24"/>
        </w:rPr>
        <w:t>日。</w:t>
      </w:r>
    </w:p>
    <w:p w14:paraId="51EAC65A">
      <w:pPr>
        <w:pStyle w:val="5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rPr>
        <w:t>2.订立地点：</w:t>
      </w:r>
      <w:r>
        <w:rPr>
          <w:rFonts w:hint="eastAsia" w:ascii="仿宋" w:hAnsi="仿宋" w:eastAsia="仿宋" w:cs="仿宋"/>
          <w:sz w:val="24"/>
          <w:szCs w:val="24"/>
          <w:highlight w:val="none"/>
          <w:u w:val="single"/>
        </w:rPr>
        <w:t>乌鲁木齐市</w:t>
      </w:r>
      <w:r>
        <w:rPr>
          <w:rFonts w:hint="eastAsia" w:ascii="仿宋" w:hAnsi="仿宋" w:eastAsia="仿宋" w:cs="仿宋"/>
          <w:sz w:val="24"/>
          <w:szCs w:val="24"/>
          <w:highlight w:val="none"/>
          <w:u w:val="single"/>
          <w:lang w:val="en-US" w:eastAsia="zh-CN"/>
        </w:rPr>
        <w:t>天山区</w:t>
      </w:r>
      <w:r>
        <w:rPr>
          <w:rFonts w:hint="eastAsia" w:ascii="仿宋" w:hAnsi="仿宋" w:eastAsia="仿宋" w:cs="仿宋"/>
          <w:sz w:val="24"/>
          <w:szCs w:val="24"/>
          <w:highlight w:val="none"/>
          <w:u w:val="single"/>
        </w:rPr>
        <w:t xml:space="preserve"> 。</w:t>
      </w:r>
    </w:p>
    <w:p w14:paraId="6A6EE874">
      <w:pPr>
        <w:pStyle w:val="28"/>
        <w:keepNext w:val="0"/>
        <w:keepLines w:val="0"/>
        <w:pageBreakBefore w:val="0"/>
        <w:widowControl w:val="0"/>
        <w:kinsoku/>
        <w:wordWrap/>
        <w:overflowPunct/>
        <w:topLinePunct w:val="0"/>
        <w:autoSpaceDE/>
        <w:autoSpaceDN/>
        <w:bidi w:val="0"/>
        <w:adjustRightInd/>
        <w:snapToGrid/>
        <w:spacing w:before="0" w:after="0" w:line="360" w:lineRule="auto"/>
        <w:ind w:left="0" w:firstLine="482" w:firstLineChars="200"/>
        <w:jc w:val="left"/>
        <w:textAlignment w:val="auto"/>
        <w:outlineLvl w:val="9"/>
        <w:rPr>
          <w:rFonts w:hint="eastAsia" w:ascii="仿宋" w:hAnsi="仿宋" w:eastAsia="仿宋" w:cs="仿宋"/>
          <w:sz w:val="24"/>
          <w:szCs w:val="24"/>
        </w:rPr>
      </w:pPr>
      <w:bookmarkStart w:id="58" w:name="_Toc422322479"/>
      <w:bookmarkStart w:id="59" w:name="_Toc419045064"/>
      <w:r>
        <w:rPr>
          <w:rFonts w:hint="eastAsia" w:ascii="仿宋" w:hAnsi="仿宋" w:eastAsia="仿宋" w:cs="仿宋"/>
          <w:sz w:val="24"/>
          <w:szCs w:val="24"/>
        </w:rPr>
        <w:t>九、合同生效</w:t>
      </w:r>
      <w:bookmarkEnd w:id="58"/>
      <w:bookmarkEnd w:id="59"/>
    </w:p>
    <w:p w14:paraId="725A0FDB">
      <w:pPr>
        <w:pStyle w:val="5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本合同自</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合同签字盖章之日</w:t>
      </w:r>
      <w:r>
        <w:rPr>
          <w:rFonts w:hint="eastAsia" w:ascii="仿宋" w:hAnsi="仿宋" w:eastAsia="仿宋" w:cs="仿宋"/>
          <w:sz w:val="24"/>
          <w:szCs w:val="24"/>
          <w:u w:val="single"/>
        </w:rPr>
        <w:t xml:space="preserve">  </w:t>
      </w:r>
      <w:r>
        <w:rPr>
          <w:rFonts w:hint="eastAsia" w:ascii="仿宋" w:hAnsi="仿宋" w:eastAsia="仿宋" w:cs="仿宋"/>
          <w:sz w:val="24"/>
          <w:szCs w:val="24"/>
        </w:rPr>
        <w:t>起生效。</w:t>
      </w:r>
    </w:p>
    <w:p w14:paraId="2A130389">
      <w:pPr>
        <w:pStyle w:val="28"/>
        <w:keepNext w:val="0"/>
        <w:keepLines w:val="0"/>
        <w:pageBreakBefore w:val="0"/>
        <w:widowControl w:val="0"/>
        <w:kinsoku/>
        <w:wordWrap/>
        <w:overflowPunct/>
        <w:topLinePunct w:val="0"/>
        <w:autoSpaceDE/>
        <w:autoSpaceDN/>
        <w:bidi w:val="0"/>
        <w:adjustRightInd/>
        <w:snapToGrid/>
        <w:spacing w:before="0" w:after="0" w:line="360" w:lineRule="auto"/>
        <w:ind w:left="0" w:firstLine="482" w:firstLineChars="200"/>
        <w:jc w:val="left"/>
        <w:textAlignment w:val="auto"/>
        <w:outlineLvl w:val="9"/>
        <w:rPr>
          <w:rFonts w:hint="eastAsia" w:ascii="仿宋" w:hAnsi="仿宋" w:eastAsia="仿宋" w:cs="仿宋"/>
          <w:sz w:val="24"/>
          <w:szCs w:val="24"/>
        </w:rPr>
      </w:pPr>
      <w:bookmarkStart w:id="60" w:name="_Toc419045065"/>
      <w:bookmarkStart w:id="61" w:name="_Toc422322480"/>
      <w:r>
        <w:rPr>
          <w:rFonts w:hint="eastAsia" w:ascii="仿宋" w:hAnsi="仿宋" w:eastAsia="仿宋" w:cs="仿宋"/>
          <w:sz w:val="24"/>
          <w:szCs w:val="24"/>
        </w:rPr>
        <w:t>十、合同份数</w:t>
      </w:r>
      <w:bookmarkEnd w:id="60"/>
      <w:bookmarkEnd w:id="61"/>
    </w:p>
    <w:p w14:paraId="2C99E937">
      <w:pPr>
        <w:pStyle w:val="5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rPr>
        <w:t>捌</w:t>
      </w:r>
      <w:r>
        <w:rPr>
          <w:rFonts w:hint="eastAsia" w:ascii="仿宋" w:hAnsi="仿宋" w:eastAsia="仿宋" w:cs="仿宋"/>
          <w:sz w:val="24"/>
          <w:szCs w:val="24"/>
        </w:rPr>
        <w:t>份，具有同等法律效力， 委托人</w:t>
      </w:r>
      <w:r>
        <w:rPr>
          <w:rFonts w:hint="eastAsia" w:ascii="仿宋" w:hAnsi="仿宋" w:eastAsia="仿宋" w:cs="仿宋"/>
          <w:sz w:val="24"/>
          <w:szCs w:val="24"/>
          <w:u w:val="single"/>
        </w:rPr>
        <w:t>四</w:t>
      </w:r>
      <w:r>
        <w:rPr>
          <w:rFonts w:hint="eastAsia" w:ascii="仿宋" w:hAnsi="仿宋" w:eastAsia="仿宋" w:cs="仿宋"/>
          <w:sz w:val="24"/>
          <w:szCs w:val="24"/>
        </w:rPr>
        <w:t>份，咨询人</w:t>
      </w:r>
      <w:r>
        <w:rPr>
          <w:rFonts w:hint="eastAsia" w:ascii="仿宋" w:hAnsi="仿宋" w:eastAsia="仿宋" w:cs="仿宋"/>
          <w:sz w:val="24"/>
          <w:szCs w:val="24"/>
          <w:u w:val="single"/>
        </w:rPr>
        <w:t>四</w:t>
      </w:r>
      <w:r>
        <w:rPr>
          <w:rFonts w:hint="eastAsia" w:ascii="仿宋" w:hAnsi="仿宋" w:eastAsia="仿宋" w:cs="仿宋"/>
          <w:sz w:val="24"/>
          <w:szCs w:val="24"/>
        </w:rPr>
        <w:t>份。</w:t>
      </w:r>
    </w:p>
    <w:p w14:paraId="2A62B320">
      <w:pPr>
        <w:pStyle w:val="5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rPr>
      </w:pPr>
    </w:p>
    <w:p w14:paraId="1BDA53BF">
      <w:pPr>
        <w:pStyle w:val="5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rPr>
      </w:pPr>
    </w:p>
    <w:p w14:paraId="066E5F86">
      <w:pPr>
        <w:pStyle w:val="5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rPr>
      </w:pPr>
    </w:p>
    <w:p w14:paraId="0E35A105">
      <w:pPr>
        <w:pStyle w:val="5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rPr>
        <w:t>（以下无正文，为协议签署页）</w:t>
      </w:r>
    </w:p>
    <w:p w14:paraId="72AE92D4">
      <w:pPr>
        <w:pStyle w:val="5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rPr>
      </w:pPr>
    </w:p>
    <w:bookmarkEnd w:id="48"/>
    <w:p w14:paraId="54B14AAF">
      <w:pPr>
        <w:pStyle w:val="52"/>
        <w:keepNext w:val="0"/>
        <w:keepLines w:val="0"/>
        <w:pageBreakBefore w:val="0"/>
        <w:widowControl w:val="0"/>
        <w:kinsoku/>
        <w:wordWrap/>
        <w:overflowPunct/>
        <w:topLinePunct w:val="0"/>
        <w:autoSpaceDE/>
        <w:autoSpaceDN/>
        <w:bidi w:val="0"/>
        <w:adjustRightInd/>
        <w:snapToGrid/>
        <w:spacing w:line="360" w:lineRule="auto"/>
        <w:ind w:left="0" w:hanging="2160" w:hangingChars="900"/>
        <w:jc w:val="left"/>
        <w:textAlignment w:val="auto"/>
        <w:rPr>
          <w:rFonts w:hint="eastAsia" w:ascii="仿宋" w:hAnsi="仿宋" w:eastAsia="仿宋" w:cs="仿宋"/>
          <w:color w:val="auto"/>
          <w:sz w:val="24"/>
          <w:szCs w:val="24"/>
          <w:highlight w:val="none"/>
          <w:lang w:val="en-US" w:eastAsia="zh-CN"/>
        </w:rPr>
      </w:pPr>
      <w:bookmarkStart w:id="62" w:name="_Toc422322481"/>
      <w:bookmarkStart w:id="63" w:name="_Toc419045066"/>
      <w:r>
        <w:rPr>
          <w:rFonts w:hint="eastAsia" w:ascii="仿宋" w:hAnsi="仿宋" w:eastAsia="仿宋" w:cs="仿宋"/>
          <w:sz w:val="24"/>
          <w:szCs w:val="24"/>
        </w:rPr>
        <w:t xml:space="preserve">委 托 人：乌鲁木齐市天山区建设局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咨</w:t>
      </w:r>
      <w:r>
        <w:rPr>
          <w:rFonts w:hint="eastAsia" w:ascii="仿宋" w:hAnsi="仿宋" w:eastAsia="仿宋" w:cs="仿宋"/>
          <w:color w:val="auto"/>
          <w:sz w:val="24"/>
          <w:szCs w:val="24"/>
          <w:highlight w:val="none"/>
        </w:rPr>
        <w:t xml:space="preserve"> 询 人：</w:t>
      </w:r>
    </w:p>
    <w:p w14:paraId="59F9C187">
      <w:pPr>
        <w:pStyle w:val="52"/>
        <w:keepNext w:val="0"/>
        <w:keepLines w:val="0"/>
        <w:pageBreakBefore w:val="0"/>
        <w:widowControl w:val="0"/>
        <w:kinsoku/>
        <w:wordWrap/>
        <w:overflowPunct/>
        <w:topLinePunct w:val="0"/>
        <w:autoSpaceDE/>
        <w:autoSpaceDN/>
        <w:bidi w:val="0"/>
        <w:adjustRightInd/>
        <w:snapToGrid/>
        <w:spacing w:line="360" w:lineRule="auto"/>
        <w:ind w:left="0" w:hanging="2160" w:hangingChars="9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法定代表人或其授权的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法定代表人或其授权的代理人：</w:t>
      </w:r>
    </w:p>
    <w:p w14:paraId="0BFF04DD">
      <w:pPr>
        <w:pStyle w:val="52"/>
        <w:keepNext w:val="0"/>
        <w:keepLines w:val="0"/>
        <w:pageBreakBefore w:val="0"/>
        <w:widowControl w:val="0"/>
        <w:kinsoku/>
        <w:wordWrap/>
        <w:overflowPunct/>
        <w:topLinePunct w:val="0"/>
        <w:autoSpaceDE/>
        <w:autoSpaceDN/>
        <w:bidi w:val="0"/>
        <w:adjustRightInd/>
        <w:snapToGrid/>
        <w:spacing w:line="360" w:lineRule="auto"/>
        <w:ind w:left="0" w:hanging="2160" w:hangingChars="900"/>
        <w:jc w:val="left"/>
        <w:textAlignment w:val="auto"/>
        <w:rPr>
          <w:rFonts w:hint="eastAsia" w:ascii="仿宋" w:hAnsi="仿宋" w:eastAsia="仿宋" w:cs="仿宋"/>
          <w:sz w:val="24"/>
          <w:szCs w:val="24"/>
          <w:highlight w:val="yellow"/>
        </w:rPr>
      </w:pPr>
      <w:r>
        <w:rPr>
          <w:rFonts w:hint="eastAsia" w:ascii="仿宋" w:hAnsi="仿宋" w:eastAsia="仿宋" w:cs="仿宋"/>
          <w:sz w:val="24"/>
          <w:szCs w:val="24"/>
          <w:highlight w:val="none"/>
        </w:rPr>
        <w:t xml:space="preserve">代理人：______（签字）               _________（签字）        </w:t>
      </w:r>
    </w:p>
    <w:p w14:paraId="6A689C10">
      <w:pPr>
        <w:pStyle w:val="5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组织机构代码：</w:t>
      </w:r>
      <w:r>
        <w:rPr>
          <w:rFonts w:hint="eastAsia" w:ascii="仿宋" w:hAnsi="仿宋" w:eastAsia="仿宋" w:cs="仿宋"/>
          <w:sz w:val="24"/>
          <w:szCs w:val="24"/>
          <w:highlight w:val="none"/>
          <w:lang w:val="en-US" w:eastAsia="zh-CN"/>
        </w:rPr>
        <w:t>1165010274523774X6</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组织机构代码：</w:t>
      </w:r>
      <w:r>
        <w:rPr>
          <w:rFonts w:hint="eastAsia" w:ascii="仿宋" w:hAnsi="仿宋" w:eastAsia="仿宋" w:cs="仿宋"/>
          <w:sz w:val="24"/>
          <w:szCs w:val="24"/>
          <w:highlight w:val="none"/>
          <w:lang w:val="en-US" w:eastAsia="zh-CN"/>
        </w:rPr>
        <w:t xml:space="preserve"> </w:t>
      </w:r>
    </w:p>
    <w:p w14:paraId="38F3E548">
      <w:pPr>
        <w:pStyle w:val="5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rPr>
        <w:t xml:space="preserve">住    所： </w:t>
      </w:r>
      <w:r>
        <w:rPr>
          <w:rFonts w:hint="eastAsia" w:ascii="仿宋" w:hAnsi="仿宋" w:eastAsia="仿宋" w:cs="仿宋"/>
          <w:sz w:val="24"/>
          <w:szCs w:val="24"/>
          <w:highlight w:val="none"/>
          <w:lang w:eastAsia="zh-CN"/>
        </w:rPr>
        <w:t>乌鲁木齐市东环路</w:t>
      </w:r>
      <w:r>
        <w:rPr>
          <w:rFonts w:hint="eastAsia" w:ascii="仿宋" w:hAnsi="仿宋" w:eastAsia="仿宋" w:cs="仿宋"/>
          <w:sz w:val="24"/>
          <w:szCs w:val="24"/>
          <w:highlight w:val="none"/>
          <w:lang w:val="en-US" w:eastAsia="zh-CN"/>
        </w:rPr>
        <w:t>186号</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住    所：</w:t>
      </w:r>
    </w:p>
    <w:p w14:paraId="635EE436">
      <w:pPr>
        <w:pStyle w:val="5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账    号：</w:t>
      </w:r>
      <w:r>
        <w:rPr>
          <w:rFonts w:hint="eastAsia" w:ascii="仿宋" w:hAnsi="仿宋" w:eastAsia="仿宋" w:cs="仿宋"/>
          <w:sz w:val="24"/>
          <w:szCs w:val="24"/>
          <w:highlight w:val="none"/>
          <w:lang w:val="en-US" w:eastAsia="zh-CN"/>
        </w:rPr>
        <w:t>0000020000110042841796</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账    号：</w:t>
      </w:r>
    </w:p>
    <w:p w14:paraId="58B28F17">
      <w:pPr>
        <w:pStyle w:val="52"/>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lang w:eastAsia="zh-CN"/>
        </w:rPr>
        <w:t>乌鲁木齐银行天山区支行</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lang w:val="en-US" w:eastAsia="zh-CN"/>
        </w:rPr>
        <w:t xml:space="preserve">                </w:t>
      </w:r>
    </w:p>
    <w:p w14:paraId="0943A6EF">
      <w:pPr>
        <w:pStyle w:val="52"/>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r>
        <w:rPr>
          <w:rFonts w:hint="eastAsia" w:ascii="仿宋" w:hAnsi="仿宋" w:eastAsia="仿宋" w:cs="仿宋"/>
          <w:sz w:val="24"/>
          <w:szCs w:val="24"/>
          <w:highlight w:val="none"/>
          <w:lang w:val="en-US" w:eastAsia="zh-CN"/>
        </w:rPr>
        <w:t>830000</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邮政编码：</w:t>
      </w:r>
    </w:p>
    <w:p w14:paraId="09200377">
      <w:pPr>
        <w:pStyle w:val="52"/>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val="en-US" w:eastAsia="zh-CN"/>
        </w:rPr>
        <w:t>0991-2660171</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电    话：</w:t>
      </w:r>
    </w:p>
    <w:p w14:paraId="011794CA">
      <w:pPr>
        <w:pStyle w:val="52"/>
        <w:spacing w:line="500" w:lineRule="exact"/>
        <w:jc w:val="left"/>
        <w:rPr>
          <w:rFonts w:hint="eastAsia" w:ascii="仿宋" w:hAnsi="仿宋" w:eastAsia="仿宋" w:cs="仿宋"/>
          <w:sz w:val="30"/>
          <w:szCs w:val="30"/>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p>
    <w:p w14:paraId="0B316883">
      <w:pPr>
        <w:rPr>
          <w:rFonts w:hint="eastAsia" w:ascii="仿宋" w:hAnsi="仿宋" w:eastAsia="仿宋" w:cs="仿宋"/>
          <w:sz w:val="30"/>
          <w:szCs w:val="30"/>
        </w:rPr>
      </w:pPr>
    </w:p>
    <w:p w14:paraId="40FDAA11">
      <w:pPr>
        <w:pStyle w:val="3"/>
        <w:numPr>
          <w:ilvl w:val="0"/>
          <w:numId w:val="12"/>
        </w:numPr>
        <w:spacing w:after="120" w:line="500" w:lineRule="exact"/>
        <w:ind w:firstLine="2108" w:firstLineChars="700"/>
        <w:jc w:val="both"/>
        <w:rPr>
          <w:rFonts w:hint="eastAsia" w:ascii="仿宋" w:hAnsi="仿宋" w:eastAsia="仿宋" w:cs="仿宋"/>
          <w:sz w:val="30"/>
          <w:szCs w:val="30"/>
        </w:rPr>
      </w:pPr>
      <w:r>
        <w:rPr>
          <w:rFonts w:hint="eastAsia" w:ascii="仿宋" w:hAnsi="仿宋" w:eastAsia="仿宋" w:cs="仿宋"/>
          <w:sz w:val="30"/>
          <w:szCs w:val="30"/>
        </w:rPr>
        <w:br w:type="page"/>
      </w:r>
      <w:bookmarkStart w:id="64" w:name="_Toc4509"/>
      <w:r>
        <w:rPr>
          <w:rFonts w:hint="eastAsia" w:ascii="仿宋" w:hAnsi="仿宋" w:eastAsia="仿宋" w:cs="仿宋"/>
          <w:sz w:val="30"/>
          <w:szCs w:val="30"/>
        </w:rPr>
        <w:t>通用条件</w:t>
      </w:r>
      <w:bookmarkEnd w:id="62"/>
      <w:bookmarkEnd w:id="63"/>
      <w:bookmarkEnd w:id="64"/>
    </w:p>
    <w:p w14:paraId="60F51098">
      <w:pPr>
        <w:numPr>
          <w:ilvl w:val="0"/>
          <w:numId w:val="0"/>
        </w:numPr>
        <w:rPr>
          <w:rFonts w:hint="eastAsia" w:ascii="仿宋" w:hAnsi="仿宋" w:eastAsia="仿宋" w:cs="仿宋"/>
        </w:rPr>
      </w:pPr>
    </w:p>
    <w:p w14:paraId="50F74A9F">
      <w:pPr>
        <w:pStyle w:val="28"/>
        <w:keepNext w:val="0"/>
        <w:keepLines w:val="0"/>
        <w:pageBreakBefore w:val="0"/>
        <w:widowControl w:val="0"/>
        <w:kinsoku/>
        <w:wordWrap/>
        <w:overflowPunct/>
        <w:topLinePunct w:val="0"/>
        <w:bidi w:val="0"/>
        <w:snapToGrid/>
        <w:spacing w:before="0" w:after="0" w:line="360" w:lineRule="auto"/>
        <w:jc w:val="left"/>
        <w:textAlignment w:val="auto"/>
        <w:outlineLvl w:val="9"/>
        <w:rPr>
          <w:rFonts w:hint="eastAsia" w:ascii="仿宋" w:hAnsi="仿宋" w:eastAsia="仿宋" w:cs="仿宋"/>
          <w:sz w:val="24"/>
          <w:szCs w:val="24"/>
        </w:rPr>
      </w:pPr>
      <w:bookmarkStart w:id="65" w:name="_Toc422322482"/>
      <w:bookmarkStart w:id="66" w:name="_Toc419045067"/>
      <w:r>
        <w:rPr>
          <w:rFonts w:hint="eastAsia" w:ascii="仿宋" w:hAnsi="仿宋" w:eastAsia="仿宋" w:cs="仿宋"/>
          <w:sz w:val="24"/>
          <w:szCs w:val="24"/>
        </w:rPr>
        <w:t>1.词语定义、语言、解释顺序与适用法律</w:t>
      </w:r>
      <w:bookmarkEnd w:id="65"/>
      <w:bookmarkEnd w:id="66"/>
    </w:p>
    <w:p w14:paraId="7EBE64CF">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67" w:name="_Toc419045068"/>
      <w:bookmarkStart w:id="68" w:name="_Toc422322483"/>
      <w:r>
        <w:rPr>
          <w:rFonts w:hint="eastAsia" w:ascii="仿宋" w:hAnsi="仿宋" w:eastAsia="仿宋" w:cs="仿宋"/>
          <w:b w:val="0"/>
          <w:sz w:val="24"/>
          <w:szCs w:val="24"/>
        </w:rPr>
        <w:t>1.1词语定义</w:t>
      </w:r>
      <w:bookmarkEnd w:id="67"/>
      <w:bookmarkEnd w:id="68"/>
    </w:p>
    <w:p w14:paraId="0571E52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组成本合同的全部文件中的下列名词和用语应具有本款所赋予的含义：</w:t>
      </w:r>
    </w:p>
    <w:p w14:paraId="1BC291F1">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1.1.1“工程”是指按照本合同约定实施造价咨询与其他服务的建设工程。    </w:t>
      </w:r>
    </w:p>
    <w:p w14:paraId="50642643">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1.1.2“工程造价”是指工程项目建设过程中预计或实际支出的全部费用。</w:t>
      </w:r>
    </w:p>
    <w:p w14:paraId="0557473B">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1.1.3“委托人”是指本合同中委托造价咨询与其他服务的一方，及其合法的继承人或受让人。</w:t>
      </w:r>
    </w:p>
    <w:p w14:paraId="740C852B">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1.1.4“咨询人”是指本合同中提供造价咨询与其他服务的一方</w:t>
      </w:r>
      <w:r>
        <w:rPr>
          <w:rFonts w:hint="eastAsia" w:ascii="仿宋" w:hAnsi="仿宋" w:eastAsia="仿宋" w:cs="仿宋"/>
          <w:b/>
          <w:bCs/>
          <w:sz w:val="24"/>
          <w:szCs w:val="24"/>
        </w:rPr>
        <w:t>，</w:t>
      </w:r>
      <w:r>
        <w:rPr>
          <w:rFonts w:hint="eastAsia" w:ascii="仿宋" w:hAnsi="仿宋" w:eastAsia="仿宋" w:cs="仿宋"/>
          <w:sz w:val="24"/>
          <w:szCs w:val="24"/>
        </w:rPr>
        <w:t>及其合法的继承人。</w:t>
      </w:r>
    </w:p>
    <w:p w14:paraId="6D64E147">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1.1.5“第三人”是指除委托人、咨询人以外与本咨询业务有关的当事人。</w:t>
      </w:r>
    </w:p>
    <w:p w14:paraId="65523BC6">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1.1.6“正常工作”是指本合同订立时通用条件和专用条件中约定的咨询人的工作。</w:t>
      </w:r>
    </w:p>
    <w:p w14:paraId="4A90288C">
      <w:pPr>
        <w:pStyle w:val="5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1.1.7“附加工作”是指咨询人根据合同条件完成的正常工作以外的工作。</w:t>
      </w:r>
    </w:p>
    <w:p w14:paraId="672FAF6C">
      <w:pPr>
        <w:pStyle w:val="5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1.1.8“项目咨询团队”是指咨询人指派负责履行本合同的团队，其团队成员为本合同的项目咨询人员。</w:t>
      </w:r>
    </w:p>
    <w:p w14:paraId="64FAFAD4">
      <w:pPr>
        <w:pStyle w:val="5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1.1.9“项目负责人”是指由咨询人的法定代表人书面授权，在授权范围内负责履行本合同、主持项目咨询团队工作的负责人。</w:t>
      </w:r>
    </w:p>
    <w:p w14:paraId="7EB3E3A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1.1.10“委托人代表”是指由委托人的法定代表人书面授权，在授权范围内行使委托人权利的人。</w:t>
      </w:r>
    </w:p>
    <w:p w14:paraId="05B78744">
      <w:pPr>
        <w:pStyle w:val="5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1.1.11“酬金”是指咨询人履行本合同义务，委托人按照本合同约定给付咨询人的金额。</w:t>
      </w:r>
    </w:p>
    <w:p w14:paraId="5272E30A">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1.1.12“正常工作酬金”是指在协议书中载明的，咨询人完成正常工作，委托人应给付咨询人的酬金。</w:t>
      </w:r>
    </w:p>
    <w:p w14:paraId="0E257680">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1.1.13“附加工作酬金”是指咨询人完成附加工作，委托人应给付咨询人的酬金。</w:t>
      </w:r>
    </w:p>
    <w:p w14:paraId="4DA4A7D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1.1.14 “书面形式”是指合同书、信件和数据电文（包括电报、电传、传真、电子数据交换和电子邮件）等可以有形地表现所载内容的形式。</w:t>
      </w:r>
    </w:p>
    <w:p w14:paraId="7D82AD7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1.1.15 “不可抗力”是指委托人和咨询人在订立本合同时不可预见，在合同履行过程中不可避免并不能克服的自然灾害和社会性突发事件，如地震、海啸、瘟疫、水灾、骚乱、暴动、战争等情形。</w:t>
      </w:r>
    </w:p>
    <w:p w14:paraId="49D67BEE">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69" w:name="_Toc419045069"/>
      <w:bookmarkStart w:id="70" w:name="_Toc422322484"/>
      <w:r>
        <w:rPr>
          <w:rFonts w:hint="eastAsia" w:ascii="仿宋" w:hAnsi="仿宋" w:eastAsia="仿宋" w:cs="仿宋"/>
          <w:b w:val="0"/>
          <w:sz w:val="24"/>
          <w:szCs w:val="24"/>
        </w:rPr>
        <w:t>1.2语言</w:t>
      </w:r>
      <w:bookmarkEnd w:id="69"/>
      <w:bookmarkEnd w:id="70"/>
    </w:p>
    <w:p w14:paraId="3B5601FB">
      <w:pPr>
        <w:pStyle w:val="5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本合同使用中文书写、解释和说明。如专用条件约定使用两种及以上语言文字时，应以中文为准。</w:t>
      </w:r>
    </w:p>
    <w:p w14:paraId="76039D61">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71" w:name="_Toc422322485"/>
      <w:bookmarkStart w:id="72" w:name="_Toc419045070"/>
      <w:r>
        <w:rPr>
          <w:rFonts w:hint="eastAsia" w:ascii="仿宋" w:hAnsi="仿宋" w:eastAsia="仿宋" w:cs="仿宋"/>
          <w:b w:val="0"/>
          <w:sz w:val="24"/>
          <w:szCs w:val="24"/>
        </w:rPr>
        <w:t>1.3合同文件的优先顺序</w:t>
      </w:r>
      <w:bookmarkEnd w:id="71"/>
      <w:bookmarkEnd w:id="72"/>
    </w:p>
    <w:p w14:paraId="477A265F">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组成本合同的下列文件彼此应能相互解释、互为说明。除专用条件另有约定外，本合同文件的解释顺序如下：</w:t>
      </w:r>
    </w:p>
    <w:p w14:paraId="420090DE">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1.协议书</w:t>
      </w:r>
    </w:p>
    <w:p w14:paraId="757F9C2A">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2.中标通知书或委托书（如果有）；</w:t>
      </w:r>
    </w:p>
    <w:p w14:paraId="76B22D64">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3.专用条件及附录；</w:t>
      </w:r>
    </w:p>
    <w:p w14:paraId="24A7F58D">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4.通用条件；</w:t>
      </w:r>
    </w:p>
    <w:p w14:paraId="08C3DF9E">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5.投标函及投标函附录或造价咨询服务建议书（如果有）；</w:t>
      </w:r>
    </w:p>
    <w:p w14:paraId="34D95468">
      <w:pPr>
        <w:keepNext w:val="0"/>
        <w:keepLines w:val="0"/>
        <w:pageBreakBefore w:val="0"/>
        <w:widowControl w:val="0"/>
        <w:kinsoku/>
        <w:wordWrap/>
        <w:overflowPunct/>
        <w:topLinePunct w:val="0"/>
        <w:bidi w:val="0"/>
        <w:snapToGrid/>
        <w:spacing w:line="360" w:lineRule="auto"/>
        <w:ind w:firstLine="468"/>
        <w:textAlignment w:val="auto"/>
        <w:rPr>
          <w:rFonts w:hint="eastAsia" w:ascii="仿宋" w:hAnsi="仿宋" w:eastAsia="仿宋" w:cs="仿宋"/>
          <w:bCs/>
          <w:sz w:val="24"/>
          <w:szCs w:val="24"/>
        </w:rPr>
      </w:pPr>
      <w:r>
        <w:rPr>
          <w:rFonts w:hint="eastAsia" w:ascii="仿宋" w:hAnsi="仿宋" w:eastAsia="仿宋" w:cs="仿宋"/>
          <w:bCs/>
          <w:sz w:val="24"/>
          <w:szCs w:val="24"/>
        </w:rPr>
        <w:t>6.其他合同文件。</w:t>
      </w:r>
    </w:p>
    <w:p w14:paraId="2BD1B472">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上述各项合同文件包括合同当事人就该项合同文件所作出的补充和修改，属于同一类内容的文件，应以最新签署的为准。</w:t>
      </w:r>
    </w:p>
    <w:p w14:paraId="1BF42DAF">
      <w:pPr>
        <w:keepNext w:val="0"/>
        <w:keepLines w:val="0"/>
        <w:pageBreakBefore w:val="0"/>
        <w:widowControl w:val="0"/>
        <w:kinsoku/>
        <w:wordWrap/>
        <w:overflowPunct/>
        <w:topLinePunct w:val="0"/>
        <w:bidi w:val="0"/>
        <w:snapToGrid/>
        <w:spacing w:line="360" w:lineRule="auto"/>
        <w:ind w:firstLine="468"/>
        <w:textAlignment w:val="auto"/>
        <w:rPr>
          <w:rFonts w:hint="eastAsia" w:ascii="仿宋" w:hAnsi="仿宋" w:eastAsia="仿宋" w:cs="仿宋"/>
          <w:bCs/>
          <w:sz w:val="24"/>
          <w:szCs w:val="24"/>
        </w:rPr>
      </w:pPr>
      <w:r>
        <w:rPr>
          <w:rFonts w:hint="eastAsia" w:ascii="仿宋" w:hAnsi="仿宋" w:eastAsia="仿宋" w:cs="仿宋"/>
          <w:bCs/>
          <w:sz w:val="24"/>
          <w:szCs w:val="24"/>
        </w:rPr>
        <w:t>在合同订立及履行过程中形成的与合同有关的文件均构成合同文件的组成部分。</w:t>
      </w:r>
    </w:p>
    <w:p w14:paraId="00CEDCA6">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73" w:name="_Toc422322486"/>
      <w:bookmarkStart w:id="74" w:name="_Toc419045071"/>
      <w:r>
        <w:rPr>
          <w:rFonts w:hint="eastAsia" w:ascii="仿宋" w:hAnsi="仿宋" w:eastAsia="仿宋" w:cs="仿宋"/>
          <w:b w:val="0"/>
          <w:sz w:val="24"/>
          <w:szCs w:val="24"/>
        </w:rPr>
        <w:t>1.4适用法律</w:t>
      </w:r>
      <w:bookmarkEnd w:id="73"/>
      <w:bookmarkEnd w:id="74"/>
    </w:p>
    <w:p w14:paraId="2B3C9ED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本合同适用中华人民共和国法律、行政法规、部门规章以及工程所在地的地方性法规、自治条例、单行条例和地方政府规章等。</w:t>
      </w:r>
    </w:p>
    <w:p w14:paraId="287FDB20">
      <w:pPr>
        <w:keepNext w:val="0"/>
        <w:keepLines w:val="0"/>
        <w:pageBreakBefore w:val="0"/>
        <w:widowControl w:val="0"/>
        <w:kinsoku/>
        <w:wordWrap/>
        <w:overflowPunct/>
        <w:topLinePunct w:val="0"/>
        <w:bidi w:val="0"/>
        <w:snapToGrid/>
        <w:spacing w:line="360" w:lineRule="auto"/>
        <w:ind w:firstLine="480" w:firstLineChars="200"/>
        <w:textAlignment w:val="auto"/>
        <w:rPr>
          <w:rStyle w:val="54"/>
          <w:rFonts w:hint="eastAsia" w:ascii="仿宋" w:hAnsi="仿宋" w:eastAsia="仿宋" w:cs="仿宋"/>
          <w:sz w:val="24"/>
          <w:szCs w:val="24"/>
        </w:rPr>
      </w:pPr>
      <w:r>
        <w:rPr>
          <w:rFonts w:hint="eastAsia" w:ascii="仿宋" w:hAnsi="仿宋" w:eastAsia="仿宋" w:cs="仿宋"/>
          <w:sz w:val="24"/>
          <w:szCs w:val="24"/>
        </w:rPr>
        <w:t>合同当事人可以在专用条件中约定本合同适用的其他规范、规程、定额、技术标准等规范性文件。</w:t>
      </w:r>
    </w:p>
    <w:p w14:paraId="22F5015A">
      <w:pPr>
        <w:pStyle w:val="28"/>
        <w:keepNext w:val="0"/>
        <w:keepLines w:val="0"/>
        <w:pageBreakBefore w:val="0"/>
        <w:widowControl w:val="0"/>
        <w:kinsoku/>
        <w:wordWrap/>
        <w:overflowPunct/>
        <w:topLinePunct w:val="0"/>
        <w:bidi w:val="0"/>
        <w:snapToGrid/>
        <w:spacing w:before="0" w:after="0" w:line="360" w:lineRule="auto"/>
        <w:ind w:firstLine="482" w:firstLineChars="200"/>
        <w:jc w:val="left"/>
        <w:textAlignment w:val="auto"/>
        <w:outlineLvl w:val="9"/>
        <w:rPr>
          <w:rFonts w:hint="eastAsia" w:ascii="仿宋" w:hAnsi="仿宋" w:eastAsia="仿宋" w:cs="仿宋"/>
          <w:sz w:val="24"/>
          <w:szCs w:val="24"/>
        </w:rPr>
      </w:pPr>
      <w:bookmarkStart w:id="75" w:name="_Toc422322487"/>
      <w:r>
        <w:rPr>
          <w:rFonts w:hint="eastAsia" w:ascii="仿宋" w:hAnsi="仿宋" w:eastAsia="仿宋" w:cs="仿宋"/>
          <w:sz w:val="24"/>
          <w:szCs w:val="24"/>
        </w:rPr>
        <w:t>2.委托人的义务</w:t>
      </w:r>
      <w:bookmarkEnd w:id="75"/>
    </w:p>
    <w:p w14:paraId="27CB4788">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76" w:name="_Toc422322488"/>
      <w:bookmarkStart w:id="77" w:name="_Toc419045072"/>
      <w:r>
        <w:rPr>
          <w:rFonts w:hint="eastAsia" w:ascii="仿宋" w:hAnsi="仿宋" w:eastAsia="仿宋" w:cs="仿宋"/>
          <w:b w:val="0"/>
          <w:sz w:val="24"/>
          <w:szCs w:val="24"/>
        </w:rPr>
        <w:t>2.1提供资料</w:t>
      </w:r>
      <w:bookmarkEnd w:id="76"/>
      <w:bookmarkEnd w:id="77"/>
    </w:p>
    <w:p w14:paraId="77B4FAA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26B759D2">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78" w:name="_Toc419045073"/>
      <w:bookmarkStart w:id="79" w:name="_Toc422322489"/>
      <w:r>
        <w:rPr>
          <w:rFonts w:hint="eastAsia" w:ascii="仿宋" w:hAnsi="仿宋" w:eastAsia="仿宋" w:cs="仿宋"/>
          <w:b w:val="0"/>
          <w:sz w:val="24"/>
          <w:szCs w:val="24"/>
        </w:rPr>
        <w:t>2.2提供工作条件</w:t>
      </w:r>
      <w:bookmarkEnd w:id="78"/>
      <w:bookmarkEnd w:id="79"/>
    </w:p>
    <w:p w14:paraId="41697C4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委托人应为咨询人完成造价咨询提供必要的条件。</w:t>
      </w:r>
    </w:p>
    <w:p w14:paraId="04B728B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2.2.1委托人需要咨询人派驻项目现场咨询人员的，除专用条件另有约定外，项目咨询人员有权无偿使用附录D中由委托人提供的房屋及设备。</w:t>
      </w:r>
    </w:p>
    <w:p w14:paraId="3A91970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2.2.2委托人应负责与本工程造价咨询业务有关的所有外部关系的协调，为咨询人履行本合同提供必要的外部条件。</w:t>
      </w:r>
    </w:p>
    <w:p w14:paraId="35DAD768">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80" w:name="_Toc422322490"/>
      <w:bookmarkStart w:id="81" w:name="_Toc419045074"/>
      <w:r>
        <w:rPr>
          <w:rFonts w:hint="eastAsia" w:ascii="仿宋" w:hAnsi="仿宋" w:eastAsia="仿宋" w:cs="仿宋"/>
          <w:b w:val="0"/>
          <w:sz w:val="24"/>
          <w:szCs w:val="24"/>
        </w:rPr>
        <w:t>2.3合理工作时限</w:t>
      </w:r>
      <w:bookmarkEnd w:id="80"/>
      <w:bookmarkEnd w:id="81"/>
    </w:p>
    <w:p w14:paraId="115DAA7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委托人应当为咨询人完成其咨询工作，设定合理的工作时限。</w:t>
      </w:r>
    </w:p>
    <w:p w14:paraId="6B60CF48">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82" w:name="_Toc419045075"/>
      <w:bookmarkStart w:id="83" w:name="_Toc422322491"/>
      <w:r>
        <w:rPr>
          <w:rFonts w:hint="eastAsia" w:ascii="仿宋" w:hAnsi="仿宋" w:eastAsia="仿宋" w:cs="仿宋"/>
          <w:b w:val="0"/>
          <w:sz w:val="24"/>
          <w:szCs w:val="24"/>
        </w:rPr>
        <w:t>2.4委托人代表</w:t>
      </w:r>
      <w:bookmarkEnd w:id="82"/>
      <w:bookmarkEnd w:id="83"/>
    </w:p>
    <w:p w14:paraId="4330A2C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委托人应授权一名代表负责本合同的履行。委托人应在双方签订本合同7日内，将委托人代表的姓名和权限范围书面告知咨询人。委托人更换委托人代表时，应提前7日书面通知咨询人。</w:t>
      </w:r>
    </w:p>
    <w:p w14:paraId="02CAD06E">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84" w:name="_Toc419045076"/>
      <w:bookmarkStart w:id="85" w:name="_Toc422322492"/>
      <w:r>
        <w:rPr>
          <w:rFonts w:hint="eastAsia" w:ascii="仿宋" w:hAnsi="仿宋" w:eastAsia="仿宋" w:cs="仿宋"/>
          <w:b w:val="0"/>
          <w:sz w:val="24"/>
          <w:szCs w:val="24"/>
        </w:rPr>
        <w:t>2.5答复</w:t>
      </w:r>
      <w:bookmarkEnd w:id="84"/>
      <w:bookmarkEnd w:id="85"/>
    </w:p>
    <w:p w14:paraId="1DA2266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委托人应当在专用条件约定的时间内就咨询人以书面形式提交并要求做出答复的事宜给予书面答复。逾期未答复的，由此造成的工作延误和损失由委托人承担。</w:t>
      </w:r>
    </w:p>
    <w:p w14:paraId="5FD9C4D3">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86" w:name="_Toc422322493"/>
      <w:bookmarkStart w:id="87" w:name="_Toc419045077"/>
      <w:r>
        <w:rPr>
          <w:rFonts w:hint="eastAsia" w:ascii="仿宋" w:hAnsi="仿宋" w:eastAsia="仿宋" w:cs="仿宋"/>
          <w:b w:val="0"/>
          <w:sz w:val="24"/>
          <w:szCs w:val="24"/>
        </w:rPr>
        <w:t>2.6支付</w:t>
      </w:r>
      <w:bookmarkEnd w:id="86"/>
      <w:bookmarkEnd w:id="87"/>
    </w:p>
    <w:p w14:paraId="075C366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委托人应当按照合同的约定，向咨询人支付酬金。</w:t>
      </w:r>
    </w:p>
    <w:p w14:paraId="5C9F3993">
      <w:pPr>
        <w:pStyle w:val="28"/>
        <w:keepNext w:val="0"/>
        <w:keepLines w:val="0"/>
        <w:pageBreakBefore w:val="0"/>
        <w:widowControl w:val="0"/>
        <w:kinsoku/>
        <w:wordWrap/>
        <w:overflowPunct/>
        <w:topLinePunct w:val="0"/>
        <w:bidi w:val="0"/>
        <w:snapToGrid/>
        <w:spacing w:before="0" w:after="0" w:line="360" w:lineRule="auto"/>
        <w:ind w:firstLine="482" w:firstLineChars="200"/>
        <w:jc w:val="left"/>
        <w:textAlignment w:val="auto"/>
        <w:outlineLvl w:val="9"/>
        <w:rPr>
          <w:rFonts w:hint="eastAsia" w:ascii="仿宋" w:hAnsi="仿宋" w:eastAsia="仿宋" w:cs="仿宋"/>
          <w:sz w:val="24"/>
          <w:szCs w:val="24"/>
        </w:rPr>
      </w:pPr>
      <w:bookmarkStart w:id="88" w:name="_Toc422322494"/>
      <w:bookmarkStart w:id="89" w:name="_Toc419045078"/>
      <w:r>
        <w:rPr>
          <w:rFonts w:hint="eastAsia" w:ascii="仿宋" w:hAnsi="仿宋" w:eastAsia="仿宋" w:cs="仿宋"/>
          <w:sz w:val="24"/>
          <w:szCs w:val="24"/>
        </w:rPr>
        <w:t>3.咨询人的义务</w:t>
      </w:r>
      <w:bookmarkEnd w:id="88"/>
      <w:bookmarkEnd w:id="89"/>
    </w:p>
    <w:p w14:paraId="2B683914">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90" w:name="_Toc422322495"/>
      <w:bookmarkStart w:id="91" w:name="_Toc419045080"/>
      <w:bookmarkStart w:id="92" w:name="16"/>
      <w:r>
        <w:rPr>
          <w:rFonts w:hint="eastAsia" w:ascii="仿宋" w:hAnsi="仿宋" w:eastAsia="仿宋" w:cs="仿宋"/>
          <w:b w:val="0"/>
          <w:sz w:val="24"/>
          <w:szCs w:val="24"/>
        </w:rPr>
        <w:t>3.1 项目咨询团队及人员</w:t>
      </w:r>
      <w:bookmarkEnd w:id="90"/>
      <w:bookmarkEnd w:id="91"/>
    </w:p>
    <w:p w14:paraId="41D959FD">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3.1.1项目咨询团队的主要人员应具有专用条件约定的资格条件，团队人员的数量应符合专用条件的约定。</w:t>
      </w:r>
    </w:p>
    <w:p w14:paraId="0AD6DED0">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3.1.2项目负责人</w:t>
      </w:r>
    </w:p>
    <w:p w14:paraId="1CF98E99">
      <w:pPr>
        <w:pStyle w:val="5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咨询人应以书面形式授权一名项目负责人负责履行本合同、主持项目咨询团队工作。采用招标程序签署本合同的，项目负责人应当与投标文件载明的一致。</w:t>
      </w:r>
    </w:p>
    <w:p w14:paraId="3B165AF1">
      <w:pPr>
        <w:pStyle w:val="5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3.1.3在本合同履行过程中，咨询人员应保持相对稳定，以保证咨询工作正常进行。</w:t>
      </w:r>
    </w:p>
    <w:p w14:paraId="0BF4425C">
      <w:pPr>
        <w:pStyle w:val="5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39ED2D68">
      <w:pPr>
        <w:pStyle w:val="5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3.1.4咨询人员有下列情形之一，委托人要求咨询人更换的，咨询人应当更换：</w:t>
      </w:r>
    </w:p>
    <w:p w14:paraId="1A5E7B86">
      <w:pPr>
        <w:pStyle w:val="52"/>
        <w:keepNext w:val="0"/>
        <w:keepLines w:val="0"/>
        <w:pageBreakBefore w:val="0"/>
        <w:widowControl w:val="0"/>
        <w:kinsoku/>
        <w:wordWrap/>
        <w:overflowPunct/>
        <w:topLinePunct w:val="0"/>
        <w:bidi w:val="0"/>
        <w:snapToGrid/>
        <w:spacing w:line="360" w:lineRule="auto"/>
        <w:ind w:firstLine="336"/>
        <w:jc w:val="left"/>
        <w:textAlignment w:val="auto"/>
        <w:rPr>
          <w:rFonts w:hint="eastAsia" w:ascii="仿宋" w:hAnsi="仿宋" w:eastAsia="仿宋" w:cs="仿宋"/>
          <w:sz w:val="24"/>
          <w:szCs w:val="24"/>
        </w:rPr>
      </w:pPr>
      <w:r>
        <w:rPr>
          <w:rFonts w:hint="eastAsia" w:ascii="仿宋" w:hAnsi="仿宋" w:eastAsia="仿宋" w:cs="仿宋"/>
          <w:sz w:val="24"/>
          <w:szCs w:val="24"/>
        </w:rPr>
        <w:t>（1）存在严重过失行为的；</w:t>
      </w:r>
    </w:p>
    <w:p w14:paraId="2D3568AD">
      <w:pPr>
        <w:pStyle w:val="52"/>
        <w:keepNext w:val="0"/>
        <w:keepLines w:val="0"/>
        <w:pageBreakBefore w:val="0"/>
        <w:widowControl w:val="0"/>
        <w:kinsoku/>
        <w:wordWrap/>
        <w:overflowPunct/>
        <w:topLinePunct w:val="0"/>
        <w:bidi w:val="0"/>
        <w:snapToGrid/>
        <w:spacing w:line="360" w:lineRule="auto"/>
        <w:ind w:firstLine="336"/>
        <w:jc w:val="left"/>
        <w:textAlignment w:val="auto"/>
        <w:rPr>
          <w:rFonts w:hint="eastAsia" w:ascii="仿宋" w:hAnsi="仿宋" w:eastAsia="仿宋" w:cs="仿宋"/>
          <w:sz w:val="24"/>
          <w:szCs w:val="24"/>
        </w:rPr>
      </w:pPr>
      <w:r>
        <w:rPr>
          <w:rFonts w:hint="eastAsia" w:ascii="仿宋" w:hAnsi="仿宋" w:eastAsia="仿宋" w:cs="仿宋"/>
          <w:sz w:val="24"/>
          <w:szCs w:val="24"/>
        </w:rPr>
        <w:t>（2）存在违法行为不能履行职责的；</w:t>
      </w:r>
    </w:p>
    <w:p w14:paraId="3AC6181E">
      <w:pPr>
        <w:pStyle w:val="52"/>
        <w:keepNext w:val="0"/>
        <w:keepLines w:val="0"/>
        <w:pageBreakBefore w:val="0"/>
        <w:widowControl w:val="0"/>
        <w:kinsoku/>
        <w:wordWrap/>
        <w:overflowPunct/>
        <w:topLinePunct w:val="0"/>
        <w:bidi w:val="0"/>
        <w:snapToGrid/>
        <w:spacing w:line="360" w:lineRule="auto"/>
        <w:ind w:firstLine="336"/>
        <w:jc w:val="left"/>
        <w:textAlignment w:val="auto"/>
        <w:rPr>
          <w:rFonts w:hint="eastAsia" w:ascii="仿宋" w:hAnsi="仿宋" w:eastAsia="仿宋" w:cs="仿宋"/>
          <w:sz w:val="24"/>
          <w:szCs w:val="24"/>
        </w:rPr>
      </w:pPr>
      <w:r>
        <w:rPr>
          <w:rFonts w:hint="eastAsia" w:ascii="仿宋" w:hAnsi="仿宋" w:eastAsia="仿宋" w:cs="仿宋"/>
          <w:sz w:val="24"/>
          <w:szCs w:val="24"/>
        </w:rPr>
        <w:t>（3）涉嫌犯罪的；</w:t>
      </w:r>
    </w:p>
    <w:p w14:paraId="0B6DAA37">
      <w:pPr>
        <w:pStyle w:val="52"/>
        <w:keepNext w:val="0"/>
        <w:keepLines w:val="0"/>
        <w:pageBreakBefore w:val="0"/>
        <w:widowControl w:val="0"/>
        <w:kinsoku/>
        <w:wordWrap/>
        <w:overflowPunct/>
        <w:topLinePunct w:val="0"/>
        <w:bidi w:val="0"/>
        <w:snapToGrid/>
        <w:spacing w:line="360" w:lineRule="auto"/>
        <w:ind w:firstLine="336"/>
        <w:jc w:val="left"/>
        <w:textAlignment w:val="auto"/>
        <w:rPr>
          <w:rFonts w:hint="eastAsia" w:ascii="仿宋" w:hAnsi="仿宋" w:eastAsia="仿宋" w:cs="仿宋"/>
          <w:sz w:val="24"/>
          <w:szCs w:val="24"/>
        </w:rPr>
      </w:pPr>
      <w:r>
        <w:rPr>
          <w:rFonts w:hint="eastAsia" w:ascii="仿宋" w:hAnsi="仿宋" w:eastAsia="仿宋" w:cs="仿宋"/>
          <w:sz w:val="24"/>
          <w:szCs w:val="24"/>
        </w:rPr>
        <w:t>（4）不能胜任岗位职责的；</w:t>
      </w:r>
    </w:p>
    <w:p w14:paraId="3E7F76D3">
      <w:pPr>
        <w:pStyle w:val="52"/>
        <w:keepNext w:val="0"/>
        <w:keepLines w:val="0"/>
        <w:pageBreakBefore w:val="0"/>
        <w:widowControl w:val="0"/>
        <w:kinsoku/>
        <w:wordWrap/>
        <w:overflowPunct/>
        <w:topLinePunct w:val="0"/>
        <w:bidi w:val="0"/>
        <w:snapToGrid/>
        <w:spacing w:line="360" w:lineRule="auto"/>
        <w:ind w:firstLine="336"/>
        <w:jc w:val="left"/>
        <w:textAlignment w:val="auto"/>
        <w:rPr>
          <w:rFonts w:hint="eastAsia" w:ascii="仿宋" w:hAnsi="仿宋" w:eastAsia="仿宋" w:cs="仿宋"/>
          <w:sz w:val="24"/>
          <w:szCs w:val="24"/>
        </w:rPr>
      </w:pPr>
      <w:r>
        <w:rPr>
          <w:rFonts w:hint="eastAsia" w:ascii="仿宋" w:hAnsi="仿宋" w:eastAsia="仿宋" w:cs="仿宋"/>
          <w:sz w:val="24"/>
          <w:szCs w:val="24"/>
        </w:rPr>
        <w:t>（5）严重违反职业道德的；</w:t>
      </w:r>
    </w:p>
    <w:p w14:paraId="3D731178">
      <w:pPr>
        <w:pStyle w:val="52"/>
        <w:keepNext w:val="0"/>
        <w:keepLines w:val="0"/>
        <w:pageBreakBefore w:val="0"/>
        <w:widowControl w:val="0"/>
        <w:kinsoku/>
        <w:wordWrap/>
        <w:overflowPunct/>
        <w:topLinePunct w:val="0"/>
        <w:bidi w:val="0"/>
        <w:snapToGrid/>
        <w:spacing w:line="360" w:lineRule="auto"/>
        <w:ind w:firstLine="336"/>
        <w:jc w:val="left"/>
        <w:textAlignment w:val="auto"/>
        <w:rPr>
          <w:rStyle w:val="55"/>
          <w:rFonts w:hint="eastAsia" w:ascii="仿宋" w:hAnsi="仿宋" w:eastAsia="仿宋" w:cs="仿宋"/>
          <w:b w:val="0"/>
          <w:sz w:val="24"/>
          <w:szCs w:val="24"/>
        </w:rPr>
      </w:pPr>
      <w:r>
        <w:rPr>
          <w:rFonts w:hint="eastAsia" w:ascii="仿宋" w:hAnsi="仿宋" w:eastAsia="仿宋" w:cs="仿宋"/>
          <w:sz w:val="24"/>
          <w:szCs w:val="24"/>
        </w:rPr>
        <w:t>（6）专用条件约定的其他情形。</w:t>
      </w:r>
    </w:p>
    <w:p w14:paraId="3256DCE2">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93" w:name="_Toc422322496"/>
      <w:r>
        <w:rPr>
          <w:rFonts w:hint="eastAsia" w:ascii="仿宋" w:hAnsi="仿宋" w:eastAsia="仿宋" w:cs="仿宋"/>
          <w:b w:val="0"/>
          <w:sz w:val="24"/>
          <w:szCs w:val="24"/>
        </w:rPr>
        <w:t>3.2 咨询人的工作要求</w:t>
      </w:r>
      <w:bookmarkEnd w:id="93"/>
    </w:p>
    <w:p w14:paraId="2EC5489E">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5D694139">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3.2.2咨询人应当在专用条件约定的时间内，按照专用条件约定的份数、组成向委托人提交咨询成果文件。</w:t>
      </w:r>
    </w:p>
    <w:p w14:paraId="7BAB5BA5">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0042530C">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3.2.3咨询人提交的工程造价咨询成果文件，除加盖咨询人单位公章、工程造价咨询企业执业印章外，还必须按要求加盖参加咨询工作人员的执业（从业）资格印章。</w:t>
      </w:r>
    </w:p>
    <w:p w14:paraId="7A6D2699">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3.2.4咨询人应在专用条件约定的时间内，对委托人以书面形式提出的建议或者异议给予书面答复。</w:t>
      </w:r>
    </w:p>
    <w:p w14:paraId="7D19E955">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3.2.5咨询人从事工程造价咨询活动，应当遵循独立、客观、公正、诚实信用的原则，不得损害社会公共利益和他人的合法权益。</w:t>
      </w:r>
    </w:p>
    <w:p w14:paraId="31267ADD">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3.2.6咨询人承诺按照法律规定及合同约定，完成合同范围内的建设工程造价咨询服务，不转包承接的造价咨询服务业务。</w:t>
      </w:r>
    </w:p>
    <w:p w14:paraId="0F812DC3">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94" w:name="_Toc422322497"/>
      <w:bookmarkStart w:id="95" w:name="_Toc419045081"/>
      <w:r>
        <w:rPr>
          <w:rFonts w:hint="eastAsia" w:ascii="仿宋" w:hAnsi="仿宋" w:eastAsia="仿宋" w:cs="仿宋"/>
          <w:b w:val="0"/>
          <w:sz w:val="24"/>
          <w:szCs w:val="24"/>
        </w:rPr>
        <w:t>3.3咨询人的工作依据</w:t>
      </w:r>
      <w:bookmarkEnd w:id="94"/>
      <w:bookmarkEnd w:id="95"/>
    </w:p>
    <w:p w14:paraId="5BA0B0A6">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咨询人应在专用条件内与委托人协商明确履行本合同约定的咨询服务需要适用的技术标准、规范、定额等工作依据，但不得违反国家及工程所在地的强制性标准、规范。</w:t>
      </w:r>
    </w:p>
    <w:p w14:paraId="21A11F86">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咨询人应自行配备本条所述的技术标准、规范、定额等相关资料。必须由委托人提供的资料，应在附录C中载明。需要委托人协助才能获得的资料，委托人应予以协助。</w:t>
      </w:r>
    </w:p>
    <w:p w14:paraId="6161C832">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96" w:name="_Toc422322498"/>
      <w:bookmarkStart w:id="97" w:name="_Toc419045082"/>
      <w:r>
        <w:rPr>
          <w:rFonts w:hint="eastAsia" w:ascii="仿宋" w:hAnsi="仿宋" w:eastAsia="仿宋" w:cs="仿宋"/>
          <w:b w:val="0"/>
          <w:sz w:val="24"/>
          <w:szCs w:val="24"/>
        </w:rPr>
        <w:t>3.4使用委托人房屋及设备的返还</w:t>
      </w:r>
      <w:bookmarkEnd w:id="96"/>
      <w:bookmarkEnd w:id="97"/>
    </w:p>
    <w:p w14:paraId="0F08C460">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项目咨询人员使用委托人提供的房屋及设备的，咨询人应妥善使用和保管，在本合同终止时将上述房屋及设备按专用条件约定的时间和方式返还委托人。</w:t>
      </w:r>
    </w:p>
    <w:bookmarkEnd w:id="92"/>
    <w:p w14:paraId="133D39A2">
      <w:pPr>
        <w:keepNext w:val="0"/>
        <w:keepLines w:val="0"/>
        <w:pageBreakBefore w:val="0"/>
        <w:widowControl w:val="0"/>
        <w:kinsoku/>
        <w:wordWrap/>
        <w:overflowPunct/>
        <w:topLinePunct w:val="0"/>
        <w:bidi w:val="0"/>
        <w:snapToGrid/>
        <w:spacing w:line="360" w:lineRule="auto"/>
        <w:ind w:firstLine="482" w:firstLineChars="200"/>
        <w:textAlignment w:val="auto"/>
        <w:rPr>
          <w:rStyle w:val="54"/>
          <w:rFonts w:hint="eastAsia" w:ascii="仿宋" w:hAnsi="仿宋" w:eastAsia="仿宋" w:cs="仿宋"/>
          <w:sz w:val="24"/>
          <w:szCs w:val="24"/>
        </w:rPr>
      </w:pPr>
      <w:bookmarkStart w:id="98" w:name="_Toc422322499"/>
      <w:bookmarkStart w:id="99" w:name="_Toc419045083"/>
      <w:bookmarkStart w:id="100" w:name="_Toc10679"/>
      <w:bookmarkStart w:id="101" w:name="19"/>
      <w:r>
        <w:rPr>
          <w:rStyle w:val="54"/>
          <w:rFonts w:hint="eastAsia" w:ascii="仿宋" w:hAnsi="仿宋" w:eastAsia="仿宋" w:cs="仿宋"/>
          <w:sz w:val="24"/>
          <w:szCs w:val="24"/>
        </w:rPr>
        <w:t>4.违约责任</w:t>
      </w:r>
      <w:bookmarkEnd w:id="98"/>
      <w:bookmarkEnd w:id="99"/>
    </w:p>
    <w:bookmarkEnd w:id="100"/>
    <w:p w14:paraId="6A509523">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102" w:name="_Toc422322500"/>
      <w:r>
        <w:rPr>
          <w:rFonts w:hint="eastAsia" w:ascii="仿宋" w:hAnsi="仿宋" w:eastAsia="仿宋" w:cs="仿宋"/>
          <w:b w:val="0"/>
          <w:sz w:val="24"/>
          <w:szCs w:val="24"/>
        </w:rPr>
        <w:t>4.1委托人的违约责任</w:t>
      </w:r>
      <w:bookmarkEnd w:id="102"/>
    </w:p>
    <w:p w14:paraId="0E9F1E9B">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4.1.1委托人不履行本合同义务或者履行义务不符合本合同约定的，应承担违约责任。双方可在专用条件中约定违约金的计算及支付方法。</w:t>
      </w:r>
    </w:p>
    <w:p w14:paraId="4CA3F624">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4.1.2委托人违反本合同约定造成咨询人损失的，委托人应予以赔偿。双方可在专用条件中约定赔偿金额的确定及支付方法。</w:t>
      </w:r>
    </w:p>
    <w:p w14:paraId="32CB7CB3">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Style w:val="54"/>
          <w:rFonts w:hint="eastAsia" w:ascii="仿宋" w:hAnsi="仿宋" w:eastAsia="仿宋" w:cs="仿宋"/>
          <w:b w:val="0"/>
          <w:bCs w:val="0"/>
          <w:sz w:val="24"/>
          <w:szCs w:val="24"/>
        </w:rPr>
      </w:pPr>
      <w:r>
        <w:rPr>
          <w:rFonts w:hint="eastAsia" w:ascii="仿宋" w:hAnsi="仿宋" w:eastAsia="仿宋" w:cs="仿宋"/>
          <w:sz w:val="24"/>
          <w:szCs w:val="24"/>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14:paraId="70A7992F">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103" w:name="_Toc422322501"/>
      <w:bookmarkStart w:id="104" w:name="_Toc419045084"/>
      <w:r>
        <w:rPr>
          <w:rFonts w:hint="eastAsia" w:ascii="仿宋" w:hAnsi="仿宋" w:eastAsia="仿宋" w:cs="仿宋"/>
          <w:b w:val="0"/>
          <w:sz w:val="24"/>
          <w:szCs w:val="24"/>
        </w:rPr>
        <w:t>4.2咨询人的违约责任</w:t>
      </w:r>
      <w:bookmarkEnd w:id="103"/>
      <w:bookmarkEnd w:id="104"/>
    </w:p>
    <w:p w14:paraId="3D0023ED">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4.2.1咨询人不履行本合同义务或者履行义务不符合本合同约定的，应承担违约责任。双方可在专用条件中约定违约金的计算及支付方法。</w:t>
      </w:r>
    </w:p>
    <w:p w14:paraId="2C67CF43">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4.2.2因咨询人违反本合同约定给委托人造成损失的，咨询人应当赔偿委托人损失。双方可在专用条件中约定赔偿金额的确定及支付方法。</w:t>
      </w:r>
    </w:p>
    <w:p w14:paraId="65879661">
      <w:pPr>
        <w:keepNext w:val="0"/>
        <w:keepLines w:val="0"/>
        <w:pageBreakBefore w:val="0"/>
        <w:widowControl w:val="0"/>
        <w:kinsoku/>
        <w:wordWrap/>
        <w:overflowPunct/>
        <w:topLinePunct w:val="0"/>
        <w:bidi w:val="0"/>
        <w:snapToGrid/>
        <w:spacing w:line="360" w:lineRule="auto"/>
        <w:ind w:firstLine="482" w:firstLineChars="200"/>
        <w:textAlignment w:val="auto"/>
        <w:rPr>
          <w:rStyle w:val="54"/>
          <w:rFonts w:hint="eastAsia" w:ascii="仿宋" w:hAnsi="仿宋" w:eastAsia="仿宋" w:cs="仿宋"/>
          <w:bCs w:val="0"/>
          <w:sz w:val="24"/>
          <w:szCs w:val="24"/>
        </w:rPr>
      </w:pPr>
      <w:bookmarkStart w:id="105" w:name="_Toc422322502"/>
      <w:bookmarkStart w:id="106" w:name="_Toc419045086"/>
      <w:bookmarkStart w:id="107" w:name="_Toc9803"/>
      <w:r>
        <w:rPr>
          <w:rStyle w:val="54"/>
          <w:rFonts w:hint="eastAsia" w:ascii="仿宋" w:hAnsi="仿宋" w:eastAsia="仿宋" w:cs="仿宋"/>
          <w:bCs w:val="0"/>
          <w:sz w:val="24"/>
          <w:szCs w:val="24"/>
        </w:rPr>
        <w:t>5.支付</w:t>
      </w:r>
      <w:bookmarkEnd w:id="105"/>
      <w:bookmarkEnd w:id="106"/>
    </w:p>
    <w:bookmarkEnd w:id="107"/>
    <w:p w14:paraId="7B5F1E38">
      <w:pPr>
        <w:pStyle w:val="25"/>
        <w:keepNext w:val="0"/>
        <w:keepLines w:val="0"/>
        <w:pageBreakBefore w:val="0"/>
        <w:widowControl w:val="0"/>
        <w:kinsoku/>
        <w:wordWrap/>
        <w:overflowPunct/>
        <w:topLinePunct w:val="0"/>
        <w:bidi w:val="0"/>
        <w:snapToGrid/>
        <w:spacing w:before="0" w:line="360" w:lineRule="auto"/>
        <w:ind w:firstLine="482" w:firstLineChars="200"/>
        <w:jc w:val="left"/>
        <w:textAlignment w:val="auto"/>
        <w:outlineLvl w:val="9"/>
        <w:rPr>
          <w:rFonts w:hint="eastAsia" w:ascii="仿宋" w:hAnsi="仿宋" w:eastAsia="仿宋" w:cs="仿宋"/>
          <w:sz w:val="24"/>
          <w:szCs w:val="24"/>
        </w:rPr>
      </w:pPr>
      <w:bookmarkStart w:id="108" w:name="_Toc419045087"/>
      <w:bookmarkStart w:id="109" w:name="_Toc3034"/>
      <w:bookmarkStart w:id="110" w:name="_Toc422322503"/>
      <w:r>
        <w:rPr>
          <w:rStyle w:val="55"/>
          <w:rFonts w:hint="eastAsia" w:ascii="仿宋" w:hAnsi="仿宋" w:eastAsia="仿宋" w:cs="仿宋"/>
          <w:b/>
          <w:bCs/>
          <w:sz w:val="24"/>
          <w:szCs w:val="24"/>
        </w:rPr>
        <w:t>5.1支付货币</w:t>
      </w:r>
      <w:bookmarkEnd w:id="108"/>
      <w:bookmarkEnd w:id="109"/>
      <w:bookmarkEnd w:id="110"/>
    </w:p>
    <w:p w14:paraId="7361C566">
      <w:pPr>
        <w:keepNext w:val="0"/>
        <w:keepLines w:val="0"/>
        <w:pageBreakBefore w:val="0"/>
        <w:widowControl w:val="0"/>
        <w:kinsoku/>
        <w:wordWrap/>
        <w:overflowPunct/>
        <w:topLinePunct w:val="0"/>
        <w:bidi w:val="0"/>
        <w:snapToGrid/>
        <w:spacing w:line="360" w:lineRule="auto"/>
        <w:textAlignment w:val="auto"/>
        <w:rPr>
          <w:rStyle w:val="55"/>
          <w:rFonts w:hint="eastAsia" w:ascii="仿宋" w:hAnsi="仿宋" w:eastAsia="仿宋" w:cs="仿宋"/>
          <w:b w:val="0"/>
          <w:sz w:val="24"/>
          <w:szCs w:val="24"/>
        </w:rPr>
      </w:pPr>
      <w:r>
        <w:rPr>
          <w:rFonts w:hint="eastAsia" w:ascii="仿宋" w:hAnsi="仿宋" w:eastAsia="仿宋" w:cs="仿宋"/>
          <w:sz w:val="24"/>
          <w:szCs w:val="24"/>
        </w:rPr>
        <w:t>　　除专用条件另有约定外，酬金均以人民币支付。涉及外币支付的，所采用的货币种类和汇率等在专用条件中约定。</w:t>
      </w:r>
    </w:p>
    <w:p w14:paraId="219327B5">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111" w:name="_Toc422322504"/>
      <w:r>
        <w:rPr>
          <w:rFonts w:hint="eastAsia" w:ascii="仿宋" w:hAnsi="仿宋" w:eastAsia="仿宋" w:cs="仿宋"/>
          <w:b w:val="0"/>
          <w:sz w:val="24"/>
          <w:szCs w:val="24"/>
        </w:rPr>
        <w:t>5.2支付申请</w:t>
      </w:r>
      <w:bookmarkEnd w:id="111"/>
    </w:p>
    <w:p w14:paraId="5A3AA401">
      <w:pPr>
        <w:keepNext w:val="0"/>
        <w:keepLines w:val="0"/>
        <w:pageBreakBefore w:val="0"/>
        <w:widowControl w:val="0"/>
        <w:kinsoku/>
        <w:wordWrap/>
        <w:overflowPunct/>
        <w:topLinePunct w:val="0"/>
        <w:bidi w:val="0"/>
        <w:snapToGrid/>
        <w:spacing w:line="360" w:lineRule="auto"/>
        <w:textAlignment w:val="auto"/>
        <w:rPr>
          <w:rStyle w:val="55"/>
          <w:rFonts w:hint="eastAsia" w:ascii="仿宋" w:hAnsi="仿宋" w:eastAsia="仿宋" w:cs="仿宋"/>
          <w:b w:val="0"/>
          <w:sz w:val="24"/>
          <w:szCs w:val="24"/>
        </w:rPr>
      </w:pPr>
      <w:r>
        <w:rPr>
          <w:rFonts w:hint="eastAsia" w:ascii="仿宋" w:hAnsi="仿宋" w:eastAsia="仿宋" w:cs="仿宋"/>
          <w:sz w:val="24"/>
          <w:szCs w:val="24"/>
        </w:rPr>
        <w:t>　　咨询人应在本合同约定的每次应付款日期前，向委托人提交支付申请书，支付申请书的提交日期由双方在专用条件中约定。支付申请书应当说明当期应付款总额，并列出当期应支付的款项及其金额。</w:t>
      </w:r>
    </w:p>
    <w:p w14:paraId="39857013">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112" w:name="_Toc422322505"/>
      <w:r>
        <w:rPr>
          <w:rFonts w:hint="eastAsia" w:ascii="仿宋" w:hAnsi="仿宋" w:eastAsia="仿宋" w:cs="仿宋"/>
          <w:b w:val="0"/>
          <w:sz w:val="24"/>
          <w:szCs w:val="24"/>
        </w:rPr>
        <w:t>5.3 支付酬金</w:t>
      </w:r>
      <w:bookmarkEnd w:id="112"/>
    </w:p>
    <w:p w14:paraId="344BAF48">
      <w:pPr>
        <w:keepNext w:val="0"/>
        <w:keepLines w:val="0"/>
        <w:pageBreakBefore w:val="0"/>
        <w:widowControl w:val="0"/>
        <w:kinsoku/>
        <w:wordWrap/>
        <w:overflowPunct/>
        <w:topLinePunct w:val="0"/>
        <w:bidi w:val="0"/>
        <w:snapToGrid/>
        <w:spacing w:line="360" w:lineRule="auto"/>
        <w:textAlignment w:val="auto"/>
        <w:rPr>
          <w:rStyle w:val="55"/>
          <w:rFonts w:hint="eastAsia" w:ascii="仿宋" w:hAnsi="仿宋" w:eastAsia="仿宋" w:cs="仿宋"/>
          <w:b w:val="0"/>
          <w:sz w:val="24"/>
          <w:szCs w:val="24"/>
        </w:rPr>
      </w:pPr>
      <w:r>
        <w:rPr>
          <w:rFonts w:hint="eastAsia" w:ascii="仿宋" w:hAnsi="仿宋" w:eastAsia="仿宋" w:cs="仿宋"/>
          <w:sz w:val="24"/>
          <w:szCs w:val="24"/>
        </w:rPr>
        <w:t>　　支付酬金包括正常工作酬金、附加工作酬金、合理化建议奖励金额及费用。</w:t>
      </w:r>
    </w:p>
    <w:p w14:paraId="240B1B46">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113" w:name="_Toc422322506"/>
      <w:r>
        <w:rPr>
          <w:rFonts w:hint="eastAsia" w:ascii="仿宋" w:hAnsi="仿宋" w:eastAsia="仿宋" w:cs="仿宋"/>
          <w:b w:val="0"/>
          <w:sz w:val="24"/>
          <w:szCs w:val="24"/>
        </w:rPr>
        <w:t>5.4有异议部分的支付</w:t>
      </w:r>
      <w:bookmarkEnd w:id="113"/>
    </w:p>
    <w:p w14:paraId="78AE8363">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委托人对咨询人提交的支付申请书有异议时，应当在收到咨询人提交的支付申请书后7日内，以书面形式向咨询人发出异议通知。无异议部分的款项应按期支付，有异议部分的款项按第7条约定办理。</w:t>
      </w:r>
    </w:p>
    <w:p w14:paraId="7F1827F7">
      <w:pPr>
        <w:keepNext w:val="0"/>
        <w:keepLines w:val="0"/>
        <w:pageBreakBefore w:val="0"/>
        <w:widowControl w:val="0"/>
        <w:kinsoku/>
        <w:wordWrap/>
        <w:overflowPunct/>
        <w:topLinePunct w:val="0"/>
        <w:bidi w:val="0"/>
        <w:snapToGrid/>
        <w:spacing w:line="360" w:lineRule="auto"/>
        <w:ind w:firstLine="482" w:firstLineChars="200"/>
        <w:textAlignment w:val="auto"/>
        <w:rPr>
          <w:rStyle w:val="54"/>
          <w:rFonts w:hint="eastAsia" w:ascii="仿宋" w:hAnsi="仿宋" w:eastAsia="仿宋" w:cs="仿宋"/>
          <w:sz w:val="24"/>
          <w:szCs w:val="24"/>
        </w:rPr>
      </w:pPr>
      <w:bookmarkStart w:id="114" w:name="_Toc419045088"/>
      <w:bookmarkStart w:id="115" w:name="_Toc422322507"/>
      <w:bookmarkStart w:id="116" w:name="_Toc2940"/>
      <w:r>
        <w:rPr>
          <w:rStyle w:val="54"/>
          <w:rFonts w:hint="eastAsia" w:ascii="仿宋" w:hAnsi="仿宋" w:eastAsia="仿宋" w:cs="仿宋"/>
          <w:sz w:val="24"/>
          <w:szCs w:val="24"/>
        </w:rPr>
        <w:t>6.合同变更、解除与终止</w:t>
      </w:r>
      <w:bookmarkEnd w:id="114"/>
      <w:bookmarkEnd w:id="115"/>
    </w:p>
    <w:bookmarkEnd w:id="116"/>
    <w:p w14:paraId="6107592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lang w:eastAsia="zh-CN"/>
        </w:rPr>
      </w:pPr>
      <w:bookmarkStart w:id="117" w:name="_Toc419045089"/>
      <w:bookmarkStart w:id="118" w:name="_Toc422322508"/>
      <w:bookmarkStart w:id="119" w:name="_Toc29975"/>
      <w:r>
        <w:rPr>
          <w:rStyle w:val="55"/>
          <w:rFonts w:hint="eastAsia" w:ascii="仿宋" w:hAnsi="仿宋" w:eastAsia="仿宋" w:cs="仿宋"/>
          <w:b w:val="0"/>
          <w:sz w:val="24"/>
          <w:szCs w:val="24"/>
        </w:rPr>
        <w:t>6.1合同变更</w:t>
      </w:r>
      <w:bookmarkEnd w:id="117"/>
      <w:bookmarkEnd w:id="118"/>
      <w:bookmarkEnd w:id="119"/>
      <w:r>
        <w:rPr>
          <w:rFonts w:hint="eastAsia" w:ascii="仿宋" w:hAnsi="仿宋" w:eastAsia="仿宋" w:cs="仿宋"/>
          <w:sz w:val="24"/>
          <w:szCs w:val="24"/>
        </w:rPr>
        <w:t xml:space="preserve"> </w:t>
      </w:r>
    </w:p>
    <w:p w14:paraId="7CFB44D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6.1.1 任何一方以书面形式提出变更请求时，双方经协商一致后可进行变更。</w:t>
      </w:r>
    </w:p>
    <w:p w14:paraId="3AF875E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7BAEE2F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3622E62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6.1.4 因工程规模、服务范围及工作内容的变化等导致咨询人的工作量增减时，服务酬金应作相应调整，调整方法由双方在专用条件中约定。</w:t>
      </w:r>
    </w:p>
    <w:p w14:paraId="6BB03BB4">
      <w:pPr>
        <w:keepNext w:val="0"/>
        <w:keepLines w:val="0"/>
        <w:pageBreakBefore w:val="0"/>
        <w:widowControl w:val="0"/>
        <w:kinsoku/>
        <w:wordWrap/>
        <w:overflowPunct/>
        <w:topLinePunct w:val="0"/>
        <w:bidi w:val="0"/>
        <w:snapToGrid/>
        <w:spacing w:line="360" w:lineRule="auto"/>
        <w:ind w:firstLine="480" w:firstLineChars="200"/>
        <w:textAlignment w:val="auto"/>
        <w:rPr>
          <w:rStyle w:val="55"/>
          <w:rFonts w:hint="eastAsia" w:ascii="仿宋" w:hAnsi="仿宋" w:eastAsia="仿宋" w:cs="仿宋"/>
          <w:b w:val="0"/>
          <w:sz w:val="24"/>
          <w:szCs w:val="24"/>
        </w:rPr>
      </w:pPr>
      <w:bookmarkStart w:id="120" w:name="_Toc422322509"/>
      <w:bookmarkStart w:id="121" w:name="_Toc419045090"/>
      <w:bookmarkStart w:id="122" w:name="_Toc21106"/>
      <w:r>
        <w:rPr>
          <w:rStyle w:val="55"/>
          <w:rFonts w:hint="eastAsia" w:ascii="仿宋" w:hAnsi="仿宋" w:eastAsia="仿宋" w:cs="仿宋"/>
          <w:b w:val="0"/>
          <w:bCs w:val="0"/>
          <w:sz w:val="24"/>
          <w:szCs w:val="24"/>
        </w:rPr>
        <w:t>6.2合同</w:t>
      </w:r>
      <w:r>
        <w:rPr>
          <w:rStyle w:val="55"/>
          <w:rFonts w:hint="eastAsia" w:ascii="仿宋" w:hAnsi="仿宋" w:eastAsia="仿宋" w:cs="仿宋"/>
          <w:b w:val="0"/>
          <w:sz w:val="24"/>
          <w:szCs w:val="24"/>
        </w:rPr>
        <w:t>解除</w:t>
      </w:r>
      <w:bookmarkEnd w:id="120"/>
      <w:bookmarkEnd w:id="121"/>
    </w:p>
    <w:bookmarkEnd w:id="122"/>
    <w:p w14:paraId="3FEED38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6.2.1 委托人与咨询人协商一致，可以解除合同。</w:t>
      </w:r>
    </w:p>
    <w:p w14:paraId="028C2A3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6.2.2 有下列情形之一的，合同当事人一方或双方可以解除合同：</w:t>
      </w:r>
    </w:p>
    <w:p w14:paraId="1AFB681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（1）咨询人将本合同约定的工程造价咨询服务工作全部或部分转包给他人，委托人可以解除合同；</w:t>
      </w:r>
    </w:p>
    <w:p w14:paraId="0E2F193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（2）咨询人提供的造价咨询服务不符合合同约定的要求，经委托人催告仍不能达到合同约定要求的，委托人可以解除合同；</w:t>
      </w:r>
    </w:p>
    <w:p w14:paraId="2D13389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（3）委托人未按合同约定支付服务酬金，经咨询人催告后，在28天内仍未支付的，咨询人可以解除合同；</w:t>
      </w:r>
    </w:p>
    <w:p w14:paraId="3C2EFBD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（4）因不可抗力致使合同无法履行；</w:t>
      </w:r>
    </w:p>
    <w:p w14:paraId="4867CC0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（5）因一方违约致使合同无法实际履行或实际履行已无必要。</w:t>
      </w:r>
    </w:p>
    <w:p w14:paraId="32CD035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除上述情形外，双方可以根据委托的服务范围及工作内容，在专用条件中约定解除合同的其他条件。</w:t>
      </w:r>
    </w:p>
    <w:p w14:paraId="4EA1701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6.2.3 任何一方提出解除合同的，应提前30天书面通知对方。</w:t>
      </w:r>
    </w:p>
    <w:p w14:paraId="74939EB7">
      <w:pPr>
        <w:keepNext w:val="0"/>
        <w:keepLines w:val="0"/>
        <w:pageBreakBefore w:val="0"/>
        <w:widowControl w:val="0"/>
        <w:kinsoku/>
        <w:wordWrap/>
        <w:overflowPunct/>
        <w:topLinePunct w:val="0"/>
        <w:bidi w:val="0"/>
        <w:snapToGrid/>
        <w:spacing w:line="360" w:lineRule="auto"/>
        <w:ind w:firstLine="465"/>
        <w:textAlignment w:val="auto"/>
        <w:rPr>
          <w:rFonts w:hint="eastAsia" w:ascii="仿宋" w:hAnsi="仿宋" w:eastAsia="仿宋" w:cs="仿宋"/>
          <w:sz w:val="24"/>
          <w:szCs w:val="24"/>
        </w:rPr>
      </w:pPr>
      <w:r>
        <w:rPr>
          <w:rFonts w:hint="eastAsia" w:ascii="仿宋" w:hAnsi="仿宋" w:eastAsia="仿宋" w:cs="仿宋"/>
          <w:sz w:val="24"/>
          <w:szCs w:val="24"/>
        </w:rPr>
        <w:t>6.2.4合同解除后，委托人应按照合同约定向咨询人支付已完成部分的咨询服务酬金。</w:t>
      </w:r>
    </w:p>
    <w:p w14:paraId="0E9C7D6C">
      <w:pPr>
        <w:keepNext w:val="0"/>
        <w:keepLines w:val="0"/>
        <w:pageBreakBefore w:val="0"/>
        <w:widowControl w:val="0"/>
        <w:kinsoku/>
        <w:wordWrap/>
        <w:overflowPunct/>
        <w:topLinePunct w:val="0"/>
        <w:bidi w:val="0"/>
        <w:snapToGrid/>
        <w:spacing w:line="360" w:lineRule="auto"/>
        <w:ind w:firstLine="465"/>
        <w:textAlignment w:val="auto"/>
        <w:rPr>
          <w:rFonts w:hint="eastAsia" w:ascii="仿宋" w:hAnsi="仿宋" w:eastAsia="仿宋" w:cs="仿宋"/>
          <w:sz w:val="24"/>
          <w:szCs w:val="24"/>
        </w:rPr>
      </w:pPr>
      <w:r>
        <w:rPr>
          <w:rFonts w:hint="eastAsia" w:ascii="仿宋" w:hAnsi="仿宋" w:eastAsia="仿宋" w:cs="仿宋"/>
          <w:sz w:val="24"/>
          <w:szCs w:val="24"/>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02AD5AA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mallCaps/>
          <w:sz w:val="24"/>
          <w:szCs w:val="24"/>
        </w:rPr>
      </w:pPr>
      <w:r>
        <w:rPr>
          <w:rFonts w:hint="eastAsia" w:ascii="仿宋" w:hAnsi="仿宋" w:eastAsia="仿宋" w:cs="仿宋"/>
          <w:sz w:val="24"/>
          <w:szCs w:val="24"/>
        </w:rPr>
        <w:t>6.2.5本合同解除后，本合同约定的有关结算、争议解决方式的条款仍然有效。</w:t>
      </w:r>
    </w:p>
    <w:p w14:paraId="1DC1197E">
      <w:pPr>
        <w:keepNext w:val="0"/>
        <w:keepLines w:val="0"/>
        <w:pageBreakBefore w:val="0"/>
        <w:widowControl w:val="0"/>
        <w:kinsoku/>
        <w:wordWrap/>
        <w:overflowPunct/>
        <w:topLinePunct w:val="0"/>
        <w:bidi w:val="0"/>
        <w:snapToGrid/>
        <w:spacing w:line="360" w:lineRule="auto"/>
        <w:ind w:firstLine="480" w:firstLineChars="200"/>
        <w:textAlignment w:val="auto"/>
        <w:rPr>
          <w:rStyle w:val="55"/>
          <w:rFonts w:hint="eastAsia" w:ascii="仿宋" w:hAnsi="仿宋" w:eastAsia="仿宋" w:cs="仿宋"/>
          <w:b w:val="0"/>
          <w:sz w:val="24"/>
          <w:szCs w:val="24"/>
          <w:lang w:eastAsia="zh-CN"/>
        </w:rPr>
      </w:pPr>
      <w:bookmarkStart w:id="123" w:name="_Toc422322510"/>
      <w:bookmarkStart w:id="124" w:name="_Toc12492"/>
      <w:r>
        <w:rPr>
          <w:rStyle w:val="55"/>
          <w:rFonts w:hint="eastAsia" w:ascii="仿宋" w:hAnsi="仿宋" w:eastAsia="仿宋" w:cs="仿宋"/>
          <w:b w:val="0"/>
          <w:sz w:val="24"/>
          <w:szCs w:val="24"/>
        </w:rPr>
        <w:t>6.3 合同终止</w:t>
      </w:r>
      <w:bookmarkEnd w:id="123"/>
    </w:p>
    <w:bookmarkEnd w:id="124"/>
    <w:p w14:paraId="111D3C2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bCs/>
          <w:smallCaps/>
          <w:sz w:val="24"/>
          <w:szCs w:val="24"/>
        </w:rPr>
        <w:t>除合同解除外，以下条</w:t>
      </w:r>
      <w:r>
        <w:rPr>
          <w:rFonts w:hint="eastAsia" w:ascii="仿宋" w:hAnsi="仿宋" w:eastAsia="仿宋" w:cs="仿宋"/>
          <w:sz w:val="24"/>
          <w:szCs w:val="24"/>
        </w:rPr>
        <w:t>件全部满足时，本合同终止：</w:t>
      </w:r>
    </w:p>
    <w:p w14:paraId="16695BE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（1）咨询人完成本合同约定的全部工作；</w:t>
      </w:r>
    </w:p>
    <w:p w14:paraId="3A6104A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（2）委托人与咨询人结清并支付酬金；</w:t>
      </w:r>
    </w:p>
    <w:p w14:paraId="088838B1">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（3）咨询人将委托人提供的资料交还。</w:t>
      </w:r>
    </w:p>
    <w:p w14:paraId="718EA1ED">
      <w:pPr>
        <w:keepNext w:val="0"/>
        <w:keepLines w:val="0"/>
        <w:pageBreakBefore w:val="0"/>
        <w:widowControl w:val="0"/>
        <w:kinsoku/>
        <w:wordWrap/>
        <w:overflowPunct/>
        <w:topLinePunct w:val="0"/>
        <w:bidi w:val="0"/>
        <w:snapToGrid/>
        <w:spacing w:line="360" w:lineRule="auto"/>
        <w:ind w:firstLine="482" w:firstLineChars="200"/>
        <w:textAlignment w:val="auto"/>
        <w:rPr>
          <w:rStyle w:val="54"/>
          <w:rFonts w:hint="eastAsia" w:ascii="仿宋" w:hAnsi="仿宋" w:eastAsia="仿宋" w:cs="仿宋"/>
          <w:bCs w:val="0"/>
          <w:sz w:val="24"/>
          <w:szCs w:val="24"/>
        </w:rPr>
      </w:pPr>
      <w:bookmarkStart w:id="125" w:name="_Toc422322511"/>
      <w:bookmarkStart w:id="126" w:name="_Toc419045091"/>
      <w:bookmarkStart w:id="127" w:name="_Toc9133"/>
      <w:r>
        <w:rPr>
          <w:rStyle w:val="54"/>
          <w:rFonts w:hint="eastAsia" w:ascii="仿宋" w:hAnsi="仿宋" w:eastAsia="仿宋" w:cs="仿宋"/>
          <w:bCs w:val="0"/>
          <w:sz w:val="24"/>
          <w:szCs w:val="24"/>
        </w:rPr>
        <w:t>7.争议解决</w:t>
      </w:r>
      <w:bookmarkEnd w:id="101"/>
      <w:bookmarkEnd w:id="125"/>
      <w:bookmarkEnd w:id="126"/>
    </w:p>
    <w:bookmarkEnd w:id="127"/>
    <w:p w14:paraId="019EB163">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Style w:val="55"/>
          <w:rFonts w:hint="eastAsia" w:ascii="仿宋" w:hAnsi="仿宋" w:eastAsia="仿宋" w:cs="仿宋"/>
          <w:b w:val="0"/>
          <w:smallCaps/>
          <w:sz w:val="24"/>
          <w:szCs w:val="24"/>
          <w:lang w:eastAsia="zh-CN"/>
        </w:rPr>
      </w:pPr>
      <w:bookmarkStart w:id="128" w:name="_Toc422322512"/>
      <w:bookmarkStart w:id="129" w:name="_Toc419045092"/>
      <w:bookmarkStart w:id="130" w:name="_Toc3499"/>
      <w:r>
        <w:rPr>
          <w:rStyle w:val="55"/>
          <w:rFonts w:hint="eastAsia" w:ascii="仿宋" w:hAnsi="仿宋" w:eastAsia="仿宋" w:cs="仿宋"/>
          <w:b w:val="0"/>
          <w:smallCaps/>
          <w:sz w:val="24"/>
          <w:szCs w:val="24"/>
        </w:rPr>
        <w:t>7.1协商</w:t>
      </w:r>
      <w:bookmarkEnd w:id="128"/>
      <w:bookmarkEnd w:id="129"/>
    </w:p>
    <w:bookmarkEnd w:id="130"/>
    <w:p w14:paraId="2B50888B">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双方应本着诚实信用的原则协商解决本合同履行过程中发生的争议。</w:t>
      </w:r>
      <w:bookmarkStart w:id="131" w:name="37"/>
    </w:p>
    <w:p w14:paraId="5ADF56E4">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Style w:val="55"/>
          <w:rFonts w:hint="eastAsia" w:ascii="仿宋" w:hAnsi="仿宋" w:eastAsia="仿宋" w:cs="仿宋"/>
          <w:b w:val="0"/>
          <w:smallCaps/>
          <w:sz w:val="24"/>
          <w:szCs w:val="24"/>
          <w:lang w:eastAsia="zh-CN"/>
        </w:rPr>
      </w:pPr>
      <w:bookmarkStart w:id="132" w:name="_Toc422322513"/>
      <w:bookmarkStart w:id="133" w:name="_Toc419045093"/>
      <w:bookmarkStart w:id="134" w:name="_Toc645"/>
      <w:r>
        <w:rPr>
          <w:rStyle w:val="55"/>
          <w:rFonts w:hint="eastAsia" w:ascii="仿宋" w:hAnsi="仿宋" w:eastAsia="仿宋" w:cs="仿宋"/>
          <w:b w:val="0"/>
          <w:smallCaps/>
          <w:sz w:val="24"/>
          <w:szCs w:val="24"/>
        </w:rPr>
        <w:t>7.2</w:t>
      </w:r>
      <w:bookmarkEnd w:id="131"/>
      <w:r>
        <w:rPr>
          <w:rStyle w:val="55"/>
          <w:rFonts w:hint="eastAsia" w:ascii="仿宋" w:hAnsi="仿宋" w:eastAsia="仿宋" w:cs="仿宋"/>
          <w:b w:val="0"/>
          <w:smallCaps/>
          <w:sz w:val="24"/>
          <w:szCs w:val="24"/>
        </w:rPr>
        <w:t>调解</w:t>
      </w:r>
      <w:bookmarkEnd w:id="132"/>
      <w:bookmarkEnd w:id="133"/>
    </w:p>
    <w:bookmarkEnd w:id="134"/>
    <w:p w14:paraId="086491F9">
      <w:pPr>
        <w:pStyle w:val="52"/>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b/>
          <w:bCs/>
          <w:sz w:val="24"/>
          <w:szCs w:val="24"/>
        </w:rPr>
      </w:pPr>
      <w:r>
        <w:rPr>
          <w:rFonts w:hint="eastAsia" w:ascii="仿宋" w:hAnsi="仿宋" w:eastAsia="仿宋" w:cs="仿宋"/>
          <w:sz w:val="24"/>
          <w:szCs w:val="24"/>
        </w:rPr>
        <w:t>如果双方不能在14日内或双方商定的其他时间内解决本合同争议，可以将其提交给专用条件约定的或事后达成协议的调解人进行调解。</w:t>
      </w:r>
    </w:p>
    <w:p w14:paraId="61C66E96">
      <w:pPr>
        <w:keepNext w:val="0"/>
        <w:keepLines w:val="0"/>
        <w:pageBreakBefore w:val="0"/>
        <w:widowControl w:val="0"/>
        <w:kinsoku/>
        <w:wordWrap/>
        <w:overflowPunct/>
        <w:topLinePunct w:val="0"/>
        <w:bidi w:val="0"/>
        <w:snapToGrid/>
        <w:spacing w:line="360" w:lineRule="auto"/>
        <w:ind w:firstLine="480" w:firstLineChars="200"/>
        <w:textAlignment w:val="auto"/>
        <w:rPr>
          <w:rStyle w:val="55"/>
          <w:rFonts w:hint="eastAsia" w:ascii="仿宋" w:hAnsi="仿宋" w:eastAsia="仿宋" w:cs="仿宋"/>
          <w:b w:val="0"/>
          <w:smallCaps/>
          <w:sz w:val="24"/>
          <w:szCs w:val="24"/>
          <w:lang w:eastAsia="zh-CN"/>
        </w:rPr>
      </w:pPr>
      <w:bookmarkStart w:id="135" w:name="38"/>
      <w:bookmarkStart w:id="136" w:name="_Toc422322514"/>
      <w:bookmarkStart w:id="137" w:name="_Toc419045094"/>
      <w:bookmarkStart w:id="138" w:name="_Toc23405"/>
      <w:r>
        <w:rPr>
          <w:rStyle w:val="55"/>
          <w:rFonts w:hint="eastAsia" w:ascii="仿宋" w:hAnsi="仿宋" w:eastAsia="仿宋" w:cs="仿宋"/>
          <w:b w:val="0"/>
          <w:smallCaps/>
          <w:sz w:val="24"/>
          <w:szCs w:val="24"/>
        </w:rPr>
        <w:t>7.</w:t>
      </w:r>
      <w:bookmarkEnd w:id="135"/>
      <w:r>
        <w:rPr>
          <w:rStyle w:val="55"/>
          <w:rFonts w:hint="eastAsia" w:ascii="仿宋" w:hAnsi="仿宋" w:eastAsia="仿宋" w:cs="仿宋"/>
          <w:b w:val="0"/>
          <w:smallCaps/>
          <w:sz w:val="24"/>
          <w:szCs w:val="24"/>
        </w:rPr>
        <w:t>3仲裁或诉讼</w:t>
      </w:r>
      <w:bookmarkEnd w:id="136"/>
      <w:bookmarkEnd w:id="137"/>
    </w:p>
    <w:bookmarkEnd w:id="138"/>
    <w:p w14:paraId="519E655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双方均有权不经调解直接向专用条件约定的仲裁机构申请仲裁或向有管辖权的人民法院提起诉讼。</w:t>
      </w:r>
    </w:p>
    <w:p w14:paraId="70183429">
      <w:pPr>
        <w:keepNext w:val="0"/>
        <w:keepLines w:val="0"/>
        <w:pageBreakBefore w:val="0"/>
        <w:widowControl w:val="0"/>
        <w:kinsoku/>
        <w:wordWrap/>
        <w:overflowPunct/>
        <w:topLinePunct w:val="0"/>
        <w:bidi w:val="0"/>
        <w:snapToGrid/>
        <w:spacing w:line="360" w:lineRule="auto"/>
        <w:ind w:firstLine="482" w:firstLineChars="200"/>
        <w:textAlignment w:val="auto"/>
        <w:rPr>
          <w:rStyle w:val="54"/>
          <w:rFonts w:hint="eastAsia" w:ascii="仿宋" w:hAnsi="仿宋" w:eastAsia="仿宋" w:cs="仿宋"/>
          <w:sz w:val="24"/>
          <w:szCs w:val="24"/>
        </w:rPr>
      </w:pPr>
      <w:bookmarkStart w:id="139" w:name="_Toc422322515"/>
      <w:bookmarkStart w:id="140" w:name="_Toc419045095"/>
      <w:bookmarkStart w:id="141" w:name="_Toc31361"/>
      <w:r>
        <w:rPr>
          <w:rStyle w:val="54"/>
          <w:rFonts w:hint="eastAsia" w:ascii="仿宋" w:hAnsi="仿宋" w:eastAsia="仿宋" w:cs="仿宋"/>
          <w:sz w:val="24"/>
          <w:szCs w:val="24"/>
        </w:rPr>
        <w:t>8.其他</w:t>
      </w:r>
      <w:bookmarkEnd w:id="139"/>
      <w:bookmarkEnd w:id="140"/>
    </w:p>
    <w:bookmarkEnd w:id="141"/>
    <w:p w14:paraId="7AE20D65">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142" w:name="39"/>
      <w:bookmarkStart w:id="143" w:name="_Toc419045096"/>
      <w:bookmarkStart w:id="144" w:name="_Toc422322516"/>
      <w:r>
        <w:rPr>
          <w:rFonts w:hint="eastAsia" w:ascii="仿宋" w:hAnsi="仿宋" w:eastAsia="仿宋" w:cs="仿宋"/>
          <w:b w:val="0"/>
          <w:smallCaps/>
          <w:sz w:val="24"/>
          <w:szCs w:val="24"/>
        </w:rPr>
        <w:t>8.1</w:t>
      </w:r>
      <w:bookmarkEnd w:id="142"/>
      <w:r>
        <w:rPr>
          <w:rFonts w:hint="eastAsia" w:ascii="仿宋" w:hAnsi="仿宋" w:eastAsia="仿宋" w:cs="仿宋"/>
          <w:b w:val="0"/>
          <w:sz w:val="24"/>
          <w:szCs w:val="24"/>
        </w:rPr>
        <w:t>考察及相关费用</w:t>
      </w:r>
      <w:bookmarkEnd w:id="143"/>
      <w:bookmarkEnd w:id="144"/>
    </w:p>
    <w:p w14:paraId="272077E6">
      <w:pPr>
        <w:keepNext w:val="0"/>
        <w:keepLines w:val="0"/>
        <w:pageBreakBefore w:val="0"/>
        <w:widowControl w:val="0"/>
        <w:kinsoku/>
        <w:wordWrap/>
        <w:overflowPunct/>
        <w:topLinePunct w:val="0"/>
        <w:bidi w:val="0"/>
        <w:snapToGrid/>
        <w:spacing w:line="360" w:lineRule="auto"/>
        <w:ind w:firstLine="480" w:firstLineChars="200"/>
        <w:textAlignment w:val="auto"/>
        <w:rPr>
          <w:rStyle w:val="55"/>
          <w:rFonts w:hint="eastAsia" w:ascii="仿宋" w:hAnsi="仿宋" w:eastAsia="仿宋" w:cs="仿宋"/>
          <w:b w:val="0"/>
          <w:sz w:val="24"/>
          <w:szCs w:val="24"/>
        </w:rPr>
      </w:pPr>
      <w:r>
        <w:rPr>
          <w:rFonts w:hint="eastAsia" w:ascii="仿宋" w:hAnsi="仿宋" w:eastAsia="仿宋" w:cs="仿宋"/>
          <w:sz w:val="24"/>
          <w:szCs w:val="24"/>
        </w:rPr>
        <w:t>除专用条件另有约定外，咨询人经委托人同意进行考察发生的费用由委托人审核后另行支付。差旅费及相关费用的承担由双方在专用条件中约定。</w:t>
      </w:r>
    </w:p>
    <w:p w14:paraId="72D8020C">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145" w:name="_Toc422322517"/>
      <w:r>
        <w:rPr>
          <w:rFonts w:hint="eastAsia" w:ascii="仿宋" w:hAnsi="仿宋" w:eastAsia="仿宋" w:cs="仿宋"/>
          <w:b w:val="0"/>
          <w:sz w:val="24"/>
          <w:szCs w:val="24"/>
        </w:rPr>
        <w:t>8.2奖励</w:t>
      </w:r>
      <w:bookmarkEnd w:id="145"/>
    </w:p>
    <w:p w14:paraId="080C5490">
      <w:pPr>
        <w:keepNext w:val="0"/>
        <w:keepLines w:val="0"/>
        <w:pageBreakBefore w:val="0"/>
        <w:widowControl w:val="0"/>
        <w:kinsoku/>
        <w:wordWrap/>
        <w:overflowPunct/>
        <w:topLinePunct w:val="0"/>
        <w:bidi w:val="0"/>
        <w:snapToGrid/>
        <w:spacing w:line="360" w:lineRule="auto"/>
        <w:ind w:firstLine="480" w:firstLineChars="200"/>
        <w:textAlignment w:val="auto"/>
        <w:rPr>
          <w:rStyle w:val="55"/>
          <w:rFonts w:hint="eastAsia" w:ascii="仿宋" w:hAnsi="仿宋" w:eastAsia="仿宋" w:cs="仿宋"/>
          <w:b w:val="0"/>
          <w:sz w:val="24"/>
          <w:szCs w:val="24"/>
        </w:rPr>
      </w:pPr>
      <w:r>
        <w:rPr>
          <w:rFonts w:hint="eastAsia" w:ascii="仿宋" w:hAnsi="仿宋" w:eastAsia="仿宋" w:cs="仿宋"/>
          <w:sz w:val="24"/>
          <w:szCs w:val="24"/>
        </w:rPr>
        <w:t>对于咨询人在服务过程中提出合理化建议，使委托人获得效益的，双方在专用条件中约定奖励金额的确定方法。奖励金额在合理化建议被采纳后，与最近一期的正常工作酬金同期支付。</w:t>
      </w:r>
    </w:p>
    <w:p w14:paraId="1F31AC72">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146" w:name="_Toc422322518"/>
      <w:r>
        <w:rPr>
          <w:rFonts w:hint="eastAsia" w:ascii="仿宋" w:hAnsi="仿宋" w:eastAsia="仿宋" w:cs="仿宋"/>
          <w:b w:val="0"/>
          <w:sz w:val="24"/>
          <w:szCs w:val="24"/>
        </w:rPr>
        <w:t>8.3保密</w:t>
      </w:r>
      <w:bookmarkEnd w:id="146"/>
    </w:p>
    <w:p w14:paraId="31963DA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在本合同履行期间或专用条件约定的期限内，双方不得泄露对方申明的保密资料，亦不得泄露与实施工程有关的第三人所提供的保密资料。保密事项在专用条件中约定。</w:t>
      </w:r>
    </w:p>
    <w:p w14:paraId="6BB62E88">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sz w:val="24"/>
          <w:szCs w:val="24"/>
        </w:rPr>
      </w:pPr>
      <w:r>
        <w:rPr>
          <w:rFonts w:hint="eastAsia" w:ascii="仿宋" w:hAnsi="仿宋" w:eastAsia="仿宋" w:cs="仿宋"/>
          <w:bCs/>
          <w:smallCaps/>
          <w:sz w:val="24"/>
          <w:szCs w:val="24"/>
        </w:rPr>
        <w:t xml:space="preserve">　　 </w:t>
      </w:r>
      <w:bookmarkStart w:id="147" w:name="_Toc419045097"/>
      <w:bookmarkStart w:id="148" w:name="_Toc422322519"/>
      <w:bookmarkStart w:id="149" w:name="_Toc28494"/>
      <w:r>
        <w:rPr>
          <w:rStyle w:val="55"/>
          <w:rFonts w:hint="eastAsia" w:ascii="仿宋" w:hAnsi="仿宋" w:eastAsia="仿宋" w:cs="仿宋"/>
          <w:b w:val="0"/>
          <w:sz w:val="24"/>
          <w:szCs w:val="24"/>
        </w:rPr>
        <w:t>8.4</w:t>
      </w:r>
      <w:bookmarkEnd w:id="147"/>
      <w:r>
        <w:rPr>
          <w:rStyle w:val="55"/>
          <w:rFonts w:hint="eastAsia" w:ascii="仿宋" w:hAnsi="仿宋" w:eastAsia="仿宋" w:cs="仿宋"/>
          <w:b w:val="0"/>
          <w:sz w:val="24"/>
          <w:szCs w:val="24"/>
        </w:rPr>
        <w:t>联络</w:t>
      </w:r>
      <w:bookmarkEnd w:id="148"/>
      <w:bookmarkEnd w:id="149"/>
    </w:p>
    <w:p w14:paraId="659EA95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8.4.1与合同有关的通知、指示、要求、决定等，均应采用书面形式，并应在专用条件约定的期限内送达接收人和送达地点。</w:t>
      </w:r>
    </w:p>
    <w:p w14:paraId="468CB99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8.4.2委托人和咨询人应在专用条件中约定各自的送达接收人、送达地点、电子邮箱。任何一方指定的接收人或送达地点或电子邮箱发生变动的，应提前3天以书面形式通知对方，否则视为未发生变动。</w:t>
      </w:r>
    </w:p>
    <w:p w14:paraId="378F0685">
      <w:pPr>
        <w:keepNext w:val="0"/>
        <w:keepLines w:val="0"/>
        <w:pageBreakBefore w:val="0"/>
        <w:widowControl w:val="0"/>
        <w:tabs>
          <w:tab w:val="left" w:pos="5085"/>
        </w:tabs>
        <w:kinsoku/>
        <w:wordWrap/>
        <w:overflowPunct/>
        <w:topLinePunct w:val="0"/>
        <w:bidi w:val="0"/>
        <w:snapToGrid/>
        <w:spacing w:line="360" w:lineRule="auto"/>
        <w:ind w:firstLine="480" w:firstLineChars="200"/>
        <w:textAlignment w:val="auto"/>
        <w:rPr>
          <w:rStyle w:val="55"/>
          <w:rFonts w:hint="eastAsia" w:ascii="仿宋" w:hAnsi="仿宋" w:eastAsia="仿宋" w:cs="仿宋"/>
          <w:b w:val="0"/>
          <w:bCs w:val="0"/>
          <w:kern w:val="0"/>
          <w:sz w:val="24"/>
          <w:szCs w:val="24"/>
        </w:rPr>
      </w:pPr>
      <w:r>
        <w:rPr>
          <w:rFonts w:hint="eastAsia" w:ascii="仿宋" w:hAnsi="仿宋" w:eastAsia="仿宋" w:cs="仿宋"/>
          <w:sz w:val="24"/>
          <w:szCs w:val="24"/>
        </w:rPr>
        <w:t>8.4.3委托人和咨询人应当及时签收另一方送达至送达地点和指定接收人的往来函件，如确有充分证据证明一方无正当理由拒不签收的，视为认可往来函件的内容。</w:t>
      </w:r>
    </w:p>
    <w:p w14:paraId="7DE51F93">
      <w:pPr>
        <w:pStyle w:val="25"/>
        <w:keepNext w:val="0"/>
        <w:keepLines w:val="0"/>
        <w:pageBreakBefore w:val="0"/>
        <w:widowControl w:val="0"/>
        <w:kinsoku/>
        <w:wordWrap/>
        <w:overflowPunct/>
        <w:topLinePunct w:val="0"/>
        <w:bidi w:val="0"/>
        <w:snapToGrid/>
        <w:spacing w:before="0" w:line="360" w:lineRule="auto"/>
        <w:ind w:firstLine="480" w:firstLineChars="200"/>
        <w:jc w:val="left"/>
        <w:textAlignment w:val="auto"/>
        <w:outlineLvl w:val="9"/>
        <w:rPr>
          <w:rFonts w:hint="eastAsia" w:ascii="仿宋" w:hAnsi="仿宋" w:eastAsia="仿宋" w:cs="仿宋"/>
          <w:b w:val="0"/>
          <w:sz w:val="24"/>
          <w:szCs w:val="24"/>
        </w:rPr>
      </w:pPr>
      <w:bookmarkStart w:id="150" w:name="_Toc422322520"/>
      <w:r>
        <w:rPr>
          <w:rFonts w:hint="eastAsia" w:ascii="仿宋" w:hAnsi="仿宋" w:eastAsia="仿宋" w:cs="仿宋"/>
          <w:b w:val="0"/>
          <w:sz w:val="24"/>
          <w:szCs w:val="24"/>
        </w:rPr>
        <w:t>8.5知识产权</w:t>
      </w:r>
      <w:bookmarkEnd w:id="150"/>
    </w:p>
    <w:p w14:paraId="675557B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4A737FE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5295A09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双方保证在履行本合同过程中不侵犯对方及第三方的知识产权。因咨询人侵犯他人知识产权所引起的责任，由咨询人承担；因委托人提供的基础资料导致侵权的，由委托人承担责任。</w:t>
      </w:r>
    </w:p>
    <w:p w14:paraId="7AF2ACA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除专用条件另有约定外，双方均有权在履行本合同保密义务并且不损害对方利益的情况下，将履行本合同形成的有关成果文件用于企业宣传、申报奖项以及接受上级主管部门的检查。</w:t>
      </w:r>
    </w:p>
    <w:p w14:paraId="31FE74AB">
      <w:pPr>
        <w:spacing w:line="500" w:lineRule="exact"/>
        <w:ind w:firstLine="600" w:firstLineChars="200"/>
        <w:jc w:val="center"/>
        <w:rPr>
          <w:rFonts w:hint="eastAsia" w:ascii="仿宋" w:hAnsi="仿宋" w:eastAsia="仿宋" w:cs="仿宋"/>
          <w:sz w:val="30"/>
          <w:szCs w:val="30"/>
        </w:rPr>
      </w:pPr>
      <w:bookmarkStart w:id="151" w:name="_Toc419045098"/>
      <w:bookmarkStart w:id="152" w:name="_Toc422322521"/>
    </w:p>
    <w:p w14:paraId="50D26C7B">
      <w:pPr>
        <w:rPr>
          <w:rFonts w:hint="eastAsia" w:ascii="仿宋" w:hAnsi="仿宋" w:eastAsia="仿宋" w:cs="仿宋"/>
          <w:b/>
          <w:bCs/>
          <w:sz w:val="30"/>
          <w:szCs w:val="30"/>
        </w:rPr>
      </w:pPr>
      <w:r>
        <w:rPr>
          <w:rFonts w:hint="eastAsia" w:ascii="仿宋" w:hAnsi="仿宋" w:eastAsia="仿宋" w:cs="仿宋"/>
          <w:b/>
          <w:bCs/>
          <w:sz w:val="30"/>
          <w:szCs w:val="30"/>
        </w:rPr>
        <w:br w:type="page"/>
      </w:r>
    </w:p>
    <w:p w14:paraId="6864FF53">
      <w:pPr>
        <w:keepNext w:val="0"/>
        <w:keepLines w:val="0"/>
        <w:pageBreakBefore w:val="0"/>
        <w:kinsoku/>
        <w:wordWrap/>
        <w:overflowPunct/>
        <w:topLinePunct w:val="0"/>
        <w:autoSpaceDE/>
        <w:autoSpaceDN/>
        <w:bidi w:val="0"/>
        <w:adjustRightInd/>
        <w:snapToGrid/>
        <w:spacing w:line="360" w:lineRule="auto"/>
        <w:ind w:firstLine="602" w:firstLineChars="200"/>
        <w:jc w:val="center"/>
        <w:textAlignment w:val="auto"/>
        <w:outlineLvl w:val="1"/>
        <w:rPr>
          <w:rFonts w:hint="eastAsia" w:ascii="仿宋" w:hAnsi="仿宋" w:eastAsia="仿宋" w:cs="仿宋"/>
          <w:b/>
          <w:bCs/>
          <w:sz w:val="30"/>
          <w:szCs w:val="30"/>
        </w:rPr>
      </w:pPr>
      <w:bookmarkStart w:id="153" w:name="_Toc27772"/>
      <w:r>
        <w:rPr>
          <w:rFonts w:hint="eastAsia" w:ascii="仿宋" w:hAnsi="仿宋" w:eastAsia="仿宋" w:cs="仿宋"/>
          <w:b/>
          <w:bCs/>
          <w:sz w:val="30"/>
          <w:szCs w:val="30"/>
        </w:rPr>
        <w:t>第三部分　专用条件</w:t>
      </w:r>
      <w:bookmarkEnd w:id="151"/>
      <w:bookmarkEnd w:id="152"/>
      <w:bookmarkEnd w:id="153"/>
      <w:bookmarkStart w:id="154" w:name="45"/>
    </w:p>
    <w:bookmarkEnd w:id="154"/>
    <w:p w14:paraId="71B34F0F">
      <w:pPr>
        <w:pStyle w:val="28"/>
        <w:keepNext w:val="0"/>
        <w:keepLines w:val="0"/>
        <w:pageBreakBefore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仿宋" w:hAnsi="仿宋" w:eastAsia="仿宋" w:cs="仿宋"/>
          <w:sz w:val="24"/>
          <w:szCs w:val="24"/>
        </w:rPr>
      </w:pPr>
      <w:bookmarkStart w:id="155" w:name="_Toc422322522"/>
      <w:bookmarkStart w:id="156" w:name="_Toc419045099"/>
      <w:r>
        <w:rPr>
          <w:rFonts w:hint="eastAsia" w:ascii="仿宋" w:hAnsi="仿宋" w:eastAsia="仿宋" w:cs="仿宋"/>
          <w:sz w:val="24"/>
          <w:szCs w:val="24"/>
        </w:rPr>
        <w:t>1.词语定义、语言、解释顺序与适用法律</w:t>
      </w:r>
      <w:bookmarkEnd w:id="155"/>
      <w:bookmarkEnd w:id="156"/>
    </w:p>
    <w:p w14:paraId="04FDF435">
      <w:pPr>
        <w:keepNext w:val="0"/>
        <w:keepLines w:val="0"/>
        <w:pageBreakBefore w:val="0"/>
        <w:widowControl/>
        <w:kinsoku/>
        <w:wordWrap/>
        <w:overflowPunct/>
        <w:topLinePunct w:val="0"/>
        <w:autoSpaceDE/>
        <w:autoSpaceDN/>
        <w:bidi w:val="0"/>
        <w:adjustRightInd/>
        <w:snapToGrid/>
        <w:spacing w:line="360" w:lineRule="auto"/>
        <w:ind w:left="0" w:leftChars="0" w:firstLine="471"/>
        <w:textAlignment w:val="auto"/>
        <w:outlineLvl w:val="9"/>
        <w:rPr>
          <w:rStyle w:val="55"/>
          <w:rFonts w:hint="eastAsia" w:ascii="仿宋" w:hAnsi="仿宋" w:eastAsia="仿宋" w:cs="仿宋"/>
          <w:b w:val="0"/>
          <w:sz w:val="24"/>
          <w:szCs w:val="24"/>
          <w:lang w:eastAsia="zh-CN"/>
        </w:rPr>
      </w:pPr>
      <w:bookmarkStart w:id="157" w:name="_Toc419045101"/>
      <w:bookmarkStart w:id="158" w:name="_Toc422322524"/>
      <w:bookmarkStart w:id="159" w:name="_Toc11554"/>
      <w:r>
        <w:rPr>
          <w:rStyle w:val="55"/>
          <w:rFonts w:hint="eastAsia" w:ascii="仿宋" w:hAnsi="仿宋" w:eastAsia="仿宋" w:cs="仿宋"/>
          <w:b w:val="0"/>
          <w:sz w:val="24"/>
          <w:szCs w:val="24"/>
        </w:rPr>
        <w:t>1.2 语言</w:t>
      </w:r>
      <w:bookmarkEnd w:id="157"/>
      <w:bookmarkEnd w:id="158"/>
    </w:p>
    <w:bookmarkEnd w:id="159"/>
    <w:p w14:paraId="0E546106">
      <w:pPr>
        <w:keepNext w:val="0"/>
        <w:keepLines w:val="0"/>
        <w:pageBreakBefore w:val="0"/>
        <w:widowControl/>
        <w:kinsoku/>
        <w:wordWrap/>
        <w:overflowPunct/>
        <w:topLinePunct w:val="0"/>
        <w:autoSpaceDE/>
        <w:autoSpaceDN/>
        <w:bidi w:val="0"/>
        <w:adjustRightInd/>
        <w:snapToGrid/>
        <w:spacing w:line="360" w:lineRule="auto"/>
        <w:ind w:left="0" w:leftChars="0" w:firstLine="471"/>
        <w:textAlignment w:val="auto"/>
        <w:outlineLvl w:val="9"/>
        <w:rPr>
          <w:rStyle w:val="55"/>
          <w:rFonts w:hint="eastAsia" w:ascii="仿宋" w:hAnsi="仿宋" w:eastAsia="仿宋" w:cs="仿宋"/>
          <w:b w:val="0"/>
          <w:sz w:val="24"/>
          <w:szCs w:val="24"/>
        </w:rPr>
      </w:pPr>
      <w:r>
        <w:rPr>
          <w:rFonts w:hint="eastAsia" w:ascii="仿宋" w:hAnsi="仿宋" w:eastAsia="仿宋" w:cs="仿宋"/>
          <w:sz w:val="24"/>
          <w:szCs w:val="24"/>
        </w:rPr>
        <w:t>本合同文件除使用中文外，还可用</w:t>
      </w:r>
      <w:r>
        <w:rPr>
          <w:rFonts w:hint="eastAsia" w:ascii="仿宋" w:hAnsi="仿宋" w:eastAsia="仿宋" w:cs="仿宋"/>
          <w:sz w:val="24"/>
          <w:szCs w:val="24"/>
          <w:u w:val="single"/>
        </w:rPr>
        <w:t xml:space="preserve">   执行通用条款   </w:t>
      </w:r>
      <w:r>
        <w:rPr>
          <w:rFonts w:hint="eastAsia" w:ascii="仿宋" w:hAnsi="仿宋" w:eastAsia="仿宋" w:cs="仿宋"/>
          <w:sz w:val="24"/>
          <w:szCs w:val="24"/>
        </w:rPr>
        <w:t>。</w:t>
      </w:r>
    </w:p>
    <w:p w14:paraId="540E2F49">
      <w:pPr>
        <w:pStyle w:val="25"/>
        <w:keepNext w:val="0"/>
        <w:keepLines w:val="0"/>
        <w:pageBreakBefore w:val="0"/>
        <w:kinsoku/>
        <w:wordWrap/>
        <w:overflowPunct/>
        <w:topLinePunct w:val="0"/>
        <w:autoSpaceDE/>
        <w:autoSpaceDN/>
        <w:bidi w:val="0"/>
        <w:adjustRightInd/>
        <w:snapToGrid/>
        <w:spacing w:before="0" w:line="360" w:lineRule="auto"/>
        <w:ind w:left="0" w:leftChars="0" w:firstLine="480" w:firstLineChars="200"/>
        <w:jc w:val="left"/>
        <w:textAlignment w:val="auto"/>
        <w:outlineLvl w:val="9"/>
        <w:rPr>
          <w:rFonts w:hint="eastAsia" w:ascii="仿宋" w:hAnsi="仿宋" w:eastAsia="仿宋" w:cs="仿宋"/>
          <w:b w:val="0"/>
          <w:sz w:val="24"/>
          <w:szCs w:val="24"/>
        </w:rPr>
      </w:pPr>
      <w:bookmarkStart w:id="160" w:name="_Toc422322525"/>
      <w:r>
        <w:rPr>
          <w:rFonts w:hint="eastAsia" w:ascii="仿宋" w:hAnsi="仿宋" w:eastAsia="仿宋" w:cs="仿宋"/>
          <w:b w:val="0"/>
          <w:sz w:val="24"/>
          <w:szCs w:val="24"/>
        </w:rPr>
        <w:t>1.3合同文件的优先顺序</w:t>
      </w:r>
      <w:bookmarkEnd w:id="160"/>
    </w:p>
    <w:p w14:paraId="15F9EC99">
      <w:pPr>
        <w:keepNext w:val="0"/>
        <w:keepLines w:val="0"/>
        <w:pageBreakBefore w:val="0"/>
        <w:kinsoku/>
        <w:wordWrap/>
        <w:overflowPunct/>
        <w:topLinePunct w:val="0"/>
        <w:autoSpaceDE/>
        <w:autoSpaceDN/>
        <w:bidi w:val="0"/>
        <w:adjustRightInd/>
        <w:snapToGrid/>
        <w:spacing w:line="360" w:lineRule="auto"/>
        <w:ind w:left="0" w:leftChars="0" w:firstLine="468"/>
        <w:textAlignment w:val="auto"/>
        <w:outlineLvl w:val="9"/>
        <w:rPr>
          <w:rFonts w:hint="eastAsia" w:ascii="仿宋" w:hAnsi="仿宋" w:eastAsia="仿宋" w:cs="仿宋"/>
          <w:sz w:val="24"/>
          <w:szCs w:val="24"/>
        </w:rPr>
      </w:pPr>
      <w:r>
        <w:rPr>
          <w:rFonts w:hint="eastAsia" w:ascii="仿宋" w:hAnsi="仿宋" w:eastAsia="仿宋" w:cs="仿宋"/>
          <w:sz w:val="24"/>
          <w:szCs w:val="24"/>
        </w:rPr>
        <w:t>本合同文件的解释顺序为：</w:t>
      </w:r>
      <w:r>
        <w:rPr>
          <w:rFonts w:hint="eastAsia" w:ascii="仿宋" w:hAnsi="仿宋" w:eastAsia="仿宋" w:cs="仿宋"/>
          <w:sz w:val="24"/>
          <w:szCs w:val="24"/>
          <w:u w:val="single"/>
        </w:rPr>
        <w:t>执行通用条款   。</w:t>
      </w:r>
      <w:r>
        <w:rPr>
          <w:rFonts w:hint="eastAsia" w:ascii="仿宋" w:hAnsi="仿宋" w:eastAsia="仿宋" w:cs="仿宋"/>
          <w:sz w:val="24"/>
          <w:szCs w:val="24"/>
        </w:rPr>
        <w:t xml:space="preserve"> </w:t>
      </w:r>
    </w:p>
    <w:p w14:paraId="32263D71">
      <w:pPr>
        <w:keepNext w:val="0"/>
        <w:keepLines w:val="0"/>
        <w:pageBreakBefore w:val="0"/>
        <w:kinsoku/>
        <w:wordWrap/>
        <w:overflowPunct/>
        <w:topLinePunct w:val="0"/>
        <w:autoSpaceDE/>
        <w:autoSpaceDN/>
        <w:bidi w:val="0"/>
        <w:adjustRightInd/>
        <w:snapToGrid/>
        <w:spacing w:line="360" w:lineRule="auto"/>
        <w:ind w:left="0" w:leftChars="0" w:firstLine="468"/>
        <w:textAlignment w:val="auto"/>
        <w:outlineLvl w:val="9"/>
        <w:rPr>
          <w:rStyle w:val="55"/>
          <w:rFonts w:hint="eastAsia" w:ascii="仿宋" w:hAnsi="仿宋" w:eastAsia="仿宋" w:cs="仿宋"/>
          <w:b w:val="0"/>
          <w:sz w:val="24"/>
          <w:szCs w:val="24"/>
        </w:rPr>
      </w:pPr>
      <w:bookmarkStart w:id="161" w:name="_Toc419045102"/>
      <w:bookmarkStart w:id="162" w:name="_Toc422322526"/>
      <w:bookmarkStart w:id="163" w:name="_Toc8661"/>
      <w:r>
        <w:rPr>
          <w:rStyle w:val="55"/>
          <w:rFonts w:hint="eastAsia" w:ascii="仿宋" w:hAnsi="仿宋" w:eastAsia="仿宋" w:cs="仿宋"/>
          <w:b w:val="0"/>
          <w:sz w:val="24"/>
          <w:szCs w:val="24"/>
        </w:rPr>
        <w:t>1.4适用法律</w:t>
      </w:r>
      <w:bookmarkEnd w:id="161"/>
      <w:bookmarkEnd w:id="162"/>
    </w:p>
    <w:bookmarkEnd w:id="163"/>
    <w:p w14:paraId="6E9D8CF0">
      <w:pPr>
        <w:keepNext w:val="0"/>
        <w:keepLines w:val="0"/>
        <w:pageBreakBefore w:val="0"/>
        <w:kinsoku/>
        <w:wordWrap/>
        <w:overflowPunct/>
        <w:topLinePunct w:val="0"/>
        <w:autoSpaceDE/>
        <w:autoSpaceDN/>
        <w:bidi w:val="0"/>
        <w:adjustRightInd/>
        <w:snapToGrid/>
        <w:spacing w:line="360" w:lineRule="auto"/>
        <w:ind w:left="0" w:leftChars="0" w:firstLine="120" w:firstLineChars="50"/>
        <w:textAlignment w:val="auto"/>
        <w:outlineLvl w:val="9"/>
        <w:rPr>
          <w:rFonts w:hint="eastAsia" w:ascii="仿宋" w:hAnsi="仿宋" w:eastAsia="仿宋" w:cs="仿宋"/>
          <w:sz w:val="24"/>
          <w:szCs w:val="24"/>
          <w:highlight w:val="yellow"/>
        </w:rPr>
      </w:pPr>
      <w:r>
        <w:rPr>
          <w:rFonts w:hint="eastAsia" w:ascii="仿宋" w:hAnsi="仿宋" w:eastAsia="仿宋" w:cs="仿宋"/>
          <w:sz w:val="24"/>
          <w:szCs w:val="24"/>
        </w:rPr>
        <w:t>本合同适用的其他规范性文件包括:</w:t>
      </w:r>
      <w:r>
        <w:rPr>
          <w:rFonts w:hint="eastAsia" w:ascii="仿宋" w:hAnsi="仿宋" w:eastAsia="仿宋" w:cs="仿宋"/>
          <w:sz w:val="24"/>
          <w:szCs w:val="24"/>
          <w:highlight w:val="none"/>
          <w:u w:val="single"/>
        </w:rPr>
        <w:t>《建设工程价款结算暂行办法》财建发[2004]369号</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 xml:space="preserve">《基本建设财务规则》（财政部令第81号）、基本建设项目竣工财务决算管理暂行办法》（财建〔2016〕503号）、《中央基本建设项目竣工财务决算审核批复操作规程》财办建〔2018〕2号等文件 </w:t>
      </w:r>
      <w:r>
        <w:rPr>
          <w:rFonts w:hint="eastAsia" w:ascii="仿宋" w:hAnsi="仿宋" w:eastAsia="仿宋" w:cs="仿宋"/>
          <w:sz w:val="24"/>
          <w:szCs w:val="24"/>
          <w:highlight w:val="none"/>
        </w:rPr>
        <w:t>。</w:t>
      </w:r>
    </w:p>
    <w:p w14:paraId="53A17562">
      <w:pPr>
        <w:pStyle w:val="28"/>
        <w:keepNext w:val="0"/>
        <w:keepLines w:val="0"/>
        <w:pageBreakBefore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仿宋" w:hAnsi="仿宋" w:eastAsia="仿宋" w:cs="仿宋"/>
          <w:sz w:val="24"/>
          <w:szCs w:val="24"/>
        </w:rPr>
      </w:pPr>
      <w:bookmarkStart w:id="164" w:name="_Toc422322527"/>
      <w:bookmarkStart w:id="165" w:name="_Toc419045103"/>
      <w:r>
        <w:rPr>
          <w:rFonts w:hint="eastAsia" w:ascii="仿宋" w:hAnsi="仿宋" w:eastAsia="仿宋" w:cs="仿宋"/>
          <w:sz w:val="24"/>
          <w:szCs w:val="24"/>
        </w:rPr>
        <w:t>2.委托人的义务</w:t>
      </w:r>
      <w:bookmarkEnd w:id="164"/>
      <w:bookmarkEnd w:id="165"/>
    </w:p>
    <w:p w14:paraId="4DBB1443">
      <w:pPr>
        <w:keepNext w:val="0"/>
        <w:keepLines w:val="0"/>
        <w:pageBreakBefore w:val="0"/>
        <w:kinsoku/>
        <w:wordWrap/>
        <w:overflowPunct/>
        <w:topLinePunct w:val="0"/>
        <w:autoSpaceDE/>
        <w:autoSpaceDN/>
        <w:bidi w:val="0"/>
        <w:adjustRightInd/>
        <w:snapToGrid/>
        <w:spacing w:line="360" w:lineRule="auto"/>
        <w:ind w:left="0" w:leftChars="0" w:firstLine="468"/>
        <w:textAlignment w:val="auto"/>
        <w:outlineLvl w:val="9"/>
        <w:rPr>
          <w:rStyle w:val="55"/>
          <w:rFonts w:hint="eastAsia" w:ascii="仿宋" w:hAnsi="仿宋" w:eastAsia="仿宋" w:cs="仿宋"/>
          <w:b w:val="0"/>
          <w:sz w:val="24"/>
          <w:szCs w:val="24"/>
        </w:rPr>
      </w:pPr>
      <w:bookmarkStart w:id="166" w:name="_Toc422322528"/>
      <w:bookmarkStart w:id="167" w:name="_Toc419045104"/>
      <w:bookmarkStart w:id="168" w:name="_Toc16955"/>
      <w:r>
        <w:rPr>
          <w:rStyle w:val="55"/>
          <w:rFonts w:hint="eastAsia" w:ascii="仿宋" w:hAnsi="仿宋" w:eastAsia="仿宋" w:cs="仿宋"/>
          <w:b w:val="0"/>
          <w:sz w:val="24"/>
          <w:szCs w:val="24"/>
        </w:rPr>
        <w:t>2.1提供资料</w:t>
      </w:r>
      <w:bookmarkEnd w:id="166"/>
      <w:bookmarkEnd w:id="167"/>
    </w:p>
    <w:bookmarkEnd w:id="168"/>
    <w:p w14:paraId="0B12730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委托人按照附录C约定无偿向咨询人提供与本合同咨询业务有关资料的时间为：</w:t>
      </w:r>
      <w:r>
        <w:rPr>
          <w:rFonts w:hint="eastAsia" w:ascii="仿宋" w:hAnsi="仿宋" w:eastAsia="仿宋" w:cs="仿宋"/>
          <w:sz w:val="24"/>
          <w:szCs w:val="24"/>
          <w:u w:val="single"/>
        </w:rPr>
        <w:t xml:space="preserve">签订合同七个工作日   </w:t>
      </w:r>
      <w:r>
        <w:rPr>
          <w:rFonts w:hint="eastAsia" w:ascii="仿宋" w:hAnsi="仿宋" w:eastAsia="仿宋" w:cs="仿宋"/>
          <w:sz w:val="24"/>
          <w:szCs w:val="24"/>
        </w:rPr>
        <w:t>。</w:t>
      </w:r>
    </w:p>
    <w:p w14:paraId="68446116">
      <w:pPr>
        <w:keepNext w:val="0"/>
        <w:keepLines w:val="0"/>
        <w:pageBreakBefore w:val="0"/>
        <w:kinsoku/>
        <w:wordWrap/>
        <w:overflowPunct/>
        <w:topLinePunct w:val="0"/>
        <w:autoSpaceDE/>
        <w:autoSpaceDN/>
        <w:bidi w:val="0"/>
        <w:adjustRightInd/>
        <w:snapToGrid/>
        <w:spacing w:line="360" w:lineRule="auto"/>
        <w:ind w:left="0" w:leftChars="0" w:firstLine="468"/>
        <w:textAlignment w:val="auto"/>
        <w:outlineLvl w:val="9"/>
        <w:rPr>
          <w:rStyle w:val="55"/>
          <w:rFonts w:hint="eastAsia" w:ascii="仿宋" w:hAnsi="仿宋" w:eastAsia="仿宋" w:cs="仿宋"/>
          <w:b w:val="0"/>
          <w:sz w:val="24"/>
          <w:szCs w:val="24"/>
        </w:rPr>
      </w:pPr>
      <w:bookmarkStart w:id="169" w:name="_Toc419045105"/>
      <w:bookmarkStart w:id="170" w:name="_Toc422322529"/>
      <w:bookmarkStart w:id="171" w:name="_Toc15934"/>
      <w:r>
        <w:rPr>
          <w:rStyle w:val="55"/>
          <w:rFonts w:hint="eastAsia" w:ascii="仿宋" w:hAnsi="仿宋" w:eastAsia="仿宋" w:cs="仿宋"/>
          <w:b w:val="0"/>
          <w:sz w:val="24"/>
          <w:szCs w:val="24"/>
        </w:rPr>
        <w:t>2.2提供工作条件</w:t>
      </w:r>
      <w:bookmarkEnd w:id="169"/>
      <w:bookmarkEnd w:id="170"/>
    </w:p>
    <w:bookmarkEnd w:id="171"/>
    <w:p w14:paraId="131A8A9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2.2.1项目咨询人员使用附录D中由委托人提供的房屋及设备，支付使用费的标准为：</w:t>
      </w:r>
      <w:r>
        <w:rPr>
          <w:rFonts w:hint="eastAsia" w:ascii="仿宋" w:hAnsi="仿宋" w:eastAsia="仿宋" w:cs="仿宋"/>
          <w:sz w:val="24"/>
          <w:szCs w:val="24"/>
          <w:u w:val="single"/>
        </w:rPr>
        <w:t xml:space="preserve">   执行通用条款   。 </w:t>
      </w:r>
    </w:p>
    <w:p w14:paraId="50A7313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Style w:val="55"/>
          <w:rFonts w:hint="eastAsia" w:ascii="仿宋" w:hAnsi="仿宋" w:eastAsia="仿宋" w:cs="仿宋"/>
          <w:b w:val="0"/>
          <w:sz w:val="24"/>
          <w:szCs w:val="24"/>
          <w:lang w:eastAsia="zh-CN"/>
        </w:rPr>
      </w:pPr>
      <w:bookmarkStart w:id="172" w:name="_Toc419045106"/>
      <w:bookmarkStart w:id="173" w:name="_Toc422322530"/>
      <w:bookmarkStart w:id="174" w:name="_Toc26759"/>
      <w:r>
        <w:rPr>
          <w:rStyle w:val="55"/>
          <w:rFonts w:hint="eastAsia" w:ascii="仿宋" w:hAnsi="仿宋" w:eastAsia="仿宋" w:cs="仿宋"/>
          <w:b w:val="0"/>
          <w:sz w:val="24"/>
          <w:szCs w:val="24"/>
        </w:rPr>
        <w:t>2.4委托人代表</w:t>
      </w:r>
      <w:bookmarkEnd w:id="172"/>
      <w:bookmarkEnd w:id="173"/>
    </w:p>
    <w:bookmarkEnd w:id="174"/>
    <w:p w14:paraId="7BEE8B1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Style w:val="55"/>
          <w:rFonts w:hint="eastAsia" w:ascii="仿宋" w:hAnsi="仿宋" w:eastAsia="仿宋" w:cs="仿宋"/>
          <w:b w:val="0"/>
          <w:bCs w:val="0"/>
          <w:kern w:val="0"/>
          <w:sz w:val="24"/>
          <w:szCs w:val="24"/>
          <w:u w:val="single"/>
        </w:rPr>
      </w:pPr>
      <w:r>
        <w:rPr>
          <w:rFonts w:hint="eastAsia" w:ascii="仿宋" w:hAnsi="仿宋" w:eastAsia="仿宋" w:cs="仿宋"/>
          <w:sz w:val="24"/>
          <w:szCs w:val="24"/>
        </w:rPr>
        <w:t>委托人代表为：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刘峰</w:t>
      </w:r>
      <w:r>
        <w:rPr>
          <w:rFonts w:hint="eastAsia" w:ascii="仿宋" w:hAnsi="仿宋" w:eastAsia="仿宋" w:cs="仿宋"/>
          <w:color w:val="auto"/>
          <w:sz w:val="24"/>
          <w:szCs w:val="24"/>
          <w:u w:val="single"/>
        </w:rPr>
        <w:t xml:space="preserve"> </w:t>
      </w:r>
      <w:r>
        <w:rPr>
          <w:rFonts w:hint="eastAsia" w:ascii="仿宋" w:hAnsi="仿宋" w:eastAsia="仿宋" w:cs="仿宋"/>
          <w:sz w:val="24"/>
          <w:szCs w:val="24"/>
        </w:rPr>
        <w:t>，其权限范围：</w:t>
      </w:r>
      <w:r>
        <w:rPr>
          <w:rFonts w:hint="eastAsia" w:ascii="仿宋" w:hAnsi="仿宋" w:eastAsia="仿宋" w:cs="仿宋"/>
          <w:sz w:val="24"/>
          <w:szCs w:val="24"/>
          <w:u w:val="single"/>
          <w:lang w:val="en-US" w:eastAsia="zh-CN"/>
        </w:rPr>
        <w:t>1、代表委托方对关于本项目工程造价方面与咨询方进行沟通协调工作；2、对咨询方出具的成果文件进行接收认可接收或提出异议拒绝接受。</w:t>
      </w:r>
    </w:p>
    <w:p w14:paraId="61AB7569">
      <w:pPr>
        <w:pStyle w:val="25"/>
        <w:keepNext w:val="0"/>
        <w:keepLines w:val="0"/>
        <w:pageBreakBefore w:val="0"/>
        <w:kinsoku/>
        <w:wordWrap/>
        <w:overflowPunct/>
        <w:topLinePunct w:val="0"/>
        <w:autoSpaceDE/>
        <w:autoSpaceDN/>
        <w:bidi w:val="0"/>
        <w:adjustRightInd/>
        <w:snapToGrid/>
        <w:spacing w:before="0" w:line="360" w:lineRule="auto"/>
        <w:ind w:left="0" w:leftChars="0" w:firstLine="480" w:firstLineChars="200"/>
        <w:jc w:val="left"/>
        <w:textAlignment w:val="auto"/>
        <w:outlineLvl w:val="9"/>
        <w:rPr>
          <w:rFonts w:hint="eastAsia" w:ascii="仿宋" w:hAnsi="仿宋" w:eastAsia="仿宋" w:cs="仿宋"/>
          <w:b w:val="0"/>
          <w:sz w:val="24"/>
          <w:szCs w:val="24"/>
        </w:rPr>
      </w:pPr>
      <w:bookmarkStart w:id="175" w:name="_Toc422322531"/>
      <w:r>
        <w:rPr>
          <w:rFonts w:hint="eastAsia" w:ascii="仿宋" w:hAnsi="仿宋" w:eastAsia="仿宋" w:cs="仿宋"/>
          <w:b w:val="0"/>
          <w:sz w:val="24"/>
          <w:szCs w:val="24"/>
        </w:rPr>
        <w:t>2.5答复</w:t>
      </w:r>
      <w:bookmarkEnd w:id="175"/>
    </w:p>
    <w:p w14:paraId="742F7B24">
      <w:pPr>
        <w:keepNext w:val="0"/>
        <w:keepLines w:val="0"/>
        <w:pageBreakBefore w:val="0"/>
        <w:kinsoku/>
        <w:wordWrap/>
        <w:overflowPunct/>
        <w:topLinePunct w:val="0"/>
        <w:autoSpaceDE/>
        <w:autoSpaceDN/>
        <w:bidi w:val="0"/>
        <w:adjustRightInd/>
        <w:snapToGrid/>
        <w:spacing w:line="360" w:lineRule="auto"/>
        <w:ind w:left="0" w:leftChars="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委托人同意在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5个工作</w:t>
      </w:r>
      <w:r>
        <w:rPr>
          <w:rFonts w:hint="eastAsia" w:ascii="仿宋" w:hAnsi="仿宋" w:eastAsia="仿宋" w:cs="仿宋"/>
          <w:sz w:val="24"/>
          <w:szCs w:val="24"/>
          <w:u w:val="single"/>
        </w:rPr>
        <w:t>日</w:t>
      </w:r>
      <w:r>
        <w:rPr>
          <w:rFonts w:hint="eastAsia" w:ascii="仿宋" w:hAnsi="仿宋" w:eastAsia="仿宋" w:cs="仿宋"/>
          <w:sz w:val="24"/>
          <w:szCs w:val="24"/>
        </w:rPr>
        <w:t>内，对咨询人书面提交并要求做出决定的事宜给予书面答复。</w:t>
      </w:r>
    </w:p>
    <w:p w14:paraId="719CBF02">
      <w:pPr>
        <w:pStyle w:val="28"/>
        <w:keepNext w:val="0"/>
        <w:keepLines w:val="0"/>
        <w:pageBreakBefore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仿宋" w:hAnsi="仿宋" w:eastAsia="仿宋" w:cs="仿宋"/>
          <w:sz w:val="24"/>
          <w:szCs w:val="24"/>
        </w:rPr>
      </w:pPr>
      <w:bookmarkStart w:id="176" w:name="_Toc419045107"/>
      <w:bookmarkStart w:id="177" w:name="_Toc422322532"/>
      <w:r>
        <w:rPr>
          <w:rFonts w:hint="eastAsia" w:ascii="仿宋" w:hAnsi="仿宋" w:eastAsia="仿宋" w:cs="仿宋"/>
          <w:sz w:val="24"/>
          <w:szCs w:val="24"/>
        </w:rPr>
        <w:t>3.咨询人的义务</w:t>
      </w:r>
      <w:bookmarkEnd w:id="176"/>
      <w:bookmarkEnd w:id="177"/>
    </w:p>
    <w:p w14:paraId="0F1E11C2">
      <w:pPr>
        <w:pStyle w:val="25"/>
        <w:keepNext w:val="0"/>
        <w:keepLines w:val="0"/>
        <w:pageBreakBefore w:val="0"/>
        <w:kinsoku/>
        <w:wordWrap/>
        <w:overflowPunct/>
        <w:topLinePunct w:val="0"/>
        <w:autoSpaceDE/>
        <w:autoSpaceDN/>
        <w:bidi w:val="0"/>
        <w:adjustRightInd/>
        <w:snapToGrid/>
        <w:spacing w:before="0" w:line="360" w:lineRule="auto"/>
        <w:ind w:left="0" w:leftChars="0" w:firstLine="480" w:firstLineChars="200"/>
        <w:jc w:val="left"/>
        <w:textAlignment w:val="auto"/>
        <w:outlineLvl w:val="9"/>
        <w:rPr>
          <w:rFonts w:hint="eastAsia" w:ascii="仿宋" w:hAnsi="仿宋" w:eastAsia="仿宋" w:cs="仿宋"/>
          <w:b w:val="0"/>
          <w:sz w:val="24"/>
          <w:szCs w:val="24"/>
        </w:rPr>
      </w:pPr>
      <w:bookmarkStart w:id="178" w:name="_Toc422322533"/>
      <w:bookmarkStart w:id="179" w:name="_Toc419045109"/>
      <w:r>
        <w:rPr>
          <w:rFonts w:hint="eastAsia" w:ascii="仿宋" w:hAnsi="仿宋" w:eastAsia="仿宋" w:cs="仿宋"/>
          <w:b w:val="0"/>
          <w:sz w:val="24"/>
          <w:szCs w:val="24"/>
        </w:rPr>
        <w:t>3.1项目咨询团队及人员</w:t>
      </w:r>
      <w:bookmarkEnd w:id="178"/>
      <w:bookmarkEnd w:id="179"/>
    </w:p>
    <w:p w14:paraId="2C1DE51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3.1.1项目咨询团队的主要人员应具有</w:t>
      </w:r>
      <w:r>
        <w:rPr>
          <w:rFonts w:hint="eastAsia" w:ascii="仿宋" w:hAnsi="仿宋" w:eastAsia="仿宋" w:cs="仿宋"/>
          <w:sz w:val="24"/>
          <w:szCs w:val="24"/>
          <w:u w:val="single"/>
          <w:lang w:val="en-US" w:eastAsia="zh-CN"/>
        </w:rPr>
        <w:t xml:space="preserve"> 会计执业</w:t>
      </w:r>
      <w:r>
        <w:rPr>
          <w:rFonts w:hint="eastAsia" w:ascii="仿宋" w:hAnsi="仿宋" w:eastAsia="仿宋" w:cs="仿宋"/>
          <w:sz w:val="24"/>
          <w:szCs w:val="24"/>
        </w:rPr>
        <w:t>资格条件，</w:t>
      </w:r>
      <w:r>
        <w:rPr>
          <w:rFonts w:hint="eastAsia" w:ascii="仿宋" w:hAnsi="仿宋" w:eastAsia="仿宋" w:cs="仿宋"/>
          <w:sz w:val="24"/>
          <w:szCs w:val="24"/>
          <w:lang w:eastAsia="zh-CN"/>
        </w:rPr>
        <w:t>每</w:t>
      </w:r>
      <w:r>
        <w:rPr>
          <w:rFonts w:hint="eastAsia" w:ascii="仿宋" w:hAnsi="仿宋" w:eastAsia="仿宋" w:cs="仿宋"/>
          <w:sz w:val="24"/>
          <w:szCs w:val="24"/>
          <w:lang w:val="en-US" w:eastAsia="zh-CN"/>
        </w:rPr>
        <w:t>10个小区不少于1名具有相应资质的咨询人员全过程跟踪。因人员不足导致时间延长的，咨询人应当赔偿委托人直接、间接损失，并应当承担本合同总价款10%的惩罚性赔偿金。</w:t>
      </w:r>
    </w:p>
    <w:p w14:paraId="7FC9A0D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3.1.2项目负责人为</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r>
        <w:rPr>
          <w:rFonts w:hint="eastAsia" w:ascii="仿宋" w:hAnsi="仿宋" w:eastAsia="仿宋" w:cs="仿宋"/>
          <w:sz w:val="24"/>
          <w:szCs w:val="24"/>
        </w:rPr>
        <w:t>项目负责人为履行本合同的权限为：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履行本合同，主持工作，对内部以及与承接项目各相关单位进行协调，保证按时按质出具咨询成果</w:t>
      </w:r>
      <w:r>
        <w:rPr>
          <w:rFonts w:hint="eastAsia" w:ascii="仿宋" w:hAnsi="仿宋" w:eastAsia="仿宋" w:cs="仿宋"/>
          <w:sz w:val="24"/>
          <w:szCs w:val="24"/>
        </w:rPr>
        <w:t>。</w:t>
      </w:r>
    </w:p>
    <w:p w14:paraId="5AD7C2D7">
      <w:pPr>
        <w:pStyle w:val="52"/>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cs="仿宋"/>
          <w:sz w:val="24"/>
          <w:szCs w:val="24"/>
          <w:u w:val="single"/>
          <w:lang w:val="en-US" w:eastAsia="zh-CN"/>
        </w:rPr>
      </w:pPr>
      <w:r>
        <w:rPr>
          <w:rFonts w:hint="eastAsia" w:ascii="仿宋" w:hAnsi="仿宋" w:eastAsia="仿宋" w:cs="仿宋"/>
          <w:sz w:val="24"/>
          <w:szCs w:val="24"/>
        </w:rPr>
        <w:t>3.1.3咨询人更换项目咨询团队其他咨询人员的约定：</w:t>
      </w:r>
      <w:r>
        <w:rPr>
          <w:rFonts w:hint="eastAsia" w:ascii="仿宋" w:hAnsi="仿宋" w:eastAsia="仿宋" w:cs="仿宋"/>
          <w:sz w:val="24"/>
          <w:szCs w:val="24"/>
          <w:lang w:val="en-US" w:eastAsia="zh-CN"/>
        </w:rPr>
        <w:t>经</w:t>
      </w:r>
      <w:r>
        <w:rPr>
          <w:rFonts w:hint="eastAsia" w:ascii="仿宋" w:hAnsi="仿宋" w:eastAsia="仿宋" w:cs="仿宋"/>
          <w:sz w:val="24"/>
          <w:szCs w:val="24"/>
          <w:u w:val="single"/>
          <w:lang w:eastAsia="zh-CN"/>
        </w:rPr>
        <w:t>委托人</w:t>
      </w:r>
      <w:r>
        <w:rPr>
          <w:rFonts w:hint="eastAsia" w:ascii="仿宋" w:hAnsi="仿宋" w:eastAsia="仿宋" w:cs="仿宋"/>
          <w:sz w:val="24"/>
          <w:szCs w:val="24"/>
          <w:u w:val="single"/>
          <w:lang w:val="en-US" w:eastAsia="zh-CN"/>
        </w:rPr>
        <w:t>书面同意的合理理由</w:t>
      </w:r>
      <w:r>
        <w:rPr>
          <w:rFonts w:hint="eastAsia" w:ascii="仿宋" w:hAnsi="仿宋" w:eastAsia="仿宋" w:cs="仿宋"/>
          <w:sz w:val="24"/>
          <w:szCs w:val="24"/>
          <w:u w:val="single"/>
          <w:lang w:eastAsia="zh-CN"/>
        </w:rPr>
        <w:t>必须替换咨询团队其他咨询人员，则咨询人应以资质、业绩以及信誉不低于此咨询人员的人员替换，应提前</w:t>
      </w:r>
      <w:r>
        <w:rPr>
          <w:rFonts w:hint="eastAsia" w:ascii="仿宋" w:hAnsi="仿宋" w:eastAsia="仿宋" w:cs="仿宋"/>
          <w:sz w:val="24"/>
          <w:szCs w:val="24"/>
          <w:u w:val="single"/>
          <w:lang w:val="en-US" w:eastAsia="zh-CN"/>
        </w:rPr>
        <w:t>7日向委托人书面报告，经审查通过，方可更换。</w:t>
      </w:r>
    </w:p>
    <w:p w14:paraId="14255B15">
      <w:pPr>
        <w:pStyle w:val="52"/>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3.1.4委托人要求更换咨询人员的情形还包括：</w:t>
      </w:r>
      <w:r>
        <w:rPr>
          <w:rFonts w:hint="eastAsia" w:ascii="仿宋" w:hAnsi="仿宋" w:eastAsia="仿宋" w:cs="仿宋"/>
          <w:sz w:val="24"/>
          <w:szCs w:val="24"/>
          <w:u w:val="single"/>
          <w:lang w:eastAsia="zh-CN"/>
        </w:rPr>
        <w:t>咨询人延误咨询工作、提供咨询成果不合格、未按委托人要求更换咨询人员、未经委托人许可进行分包、违反保密义务、侵犯他人知识产权等方面</w:t>
      </w:r>
      <w:r>
        <w:rPr>
          <w:rFonts w:hint="eastAsia" w:ascii="仿宋" w:hAnsi="仿宋" w:eastAsia="仿宋" w:cs="仿宋"/>
          <w:sz w:val="24"/>
          <w:szCs w:val="24"/>
          <w:u w:val="single"/>
          <w:lang w:val="en-US" w:eastAsia="zh-CN"/>
        </w:rPr>
        <w:t>任一情形</w:t>
      </w:r>
      <w:r>
        <w:rPr>
          <w:rFonts w:hint="eastAsia" w:ascii="仿宋" w:hAnsi="仿宋" w:eastAsia="仿宋" w:cs="仿宋"/>
          <w:sz w:val="24"/>
          <w:szCs w:val="24"/>
          <w:u w:val="single"/>
          <w:lang w:eastAsia="zh-CN"/>
        </w:rPr>
        <w:t>。</w:t>
      </w:r>
    </w:p>
    <w:p w14:paraId="2490FD83">
      <w:pPr>
        <w:pStyle w:val="25"/>
        <w:keepNext w:val="0"/>
        <w:keepLines w:val="0"/>
        <w:pageBreakBefore w:val="0"/>
        <w:kinsoku/>
        <w:wordWrap/>
        <w:overflowPunct/>
        <w:topLinePunct w:val="0"/>
        <w:autoSpaceDE/>
        <w:autoSpaceDN/>
        <w:bidi w:val="0"/>
        <w:adjustRightInd/>
        <w:snapToGrid/>
        <w:spacing w:before="0" w:line="360" w:lineRule="auto"/>
        <w:ind w:left="0" w:leftChars="0" w:firstLine="480" w:firstLineChars="200"/>
        <w:jc w:val="left"/>
        <w:textAlignment w:val="auto"/>
        <w:outlineLvl w:val="9"/>
        <w:rPr>
          <w:rFonts w:hint="eastAsia" w:ascii="仿宋" w:hAnsi="仿宋" w:eastAsia="仿宋" w:cs="仿宋"/>
          <w:b w:val="0"/>
          <w:sz w:val="24"/>
          <w:szCs w:val="24"/>
        </w:rPr>
      </w:pPr>
      <w:bookmarkStart w:id="180" w:name="_Toc419045110"/>
      <w:bookmarkStart w:id="181" w:name="_Toc422322534"/>
      <w:r>
        <w:rPr>
          <w:rFonts w:hint="eastAsia" w:ascii="仿宋" w:hAnsi="仿宋" w:eastAsia="仿宋" w:cs="仿宋"/>
          <w:b w:val="0"/>
          <w:sz w:val="24"/>
          <w:szCs w:val="24"/>
        </w:rPr>
        <w:t>3.2咨询人的工作要求</w:t>
      </w:r>
      <w:bookmarkEnd w:id="180"/>
      <w:bookmarkEnd w:id="181"/>
    </w:p>
    <w:p w14:paraId="5ABB516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ins w:id="1" w:author="Administrator" w:date="2019-06-13T11:09:00Z"/>
          <w:rFonts w:hint="eastAsia" w:ascii="仿宋" w:hAnsi="仿宋" w:eastAsia="仿宋" w:cs="仿宋"/>
          <w:sz w:val="24"/>
          <w:szCs w:val="24"/>
          <w:u w:val="single"/>
          <w:lang w:val="en-US"/>
        </w:rPr>
      </w:pPr>
      <w:r>
        <w:rPr>
          <w:rFonts w:hint="eastAsia" w:ascii="仿宋" w:hAnsi="仿宋" w:eastAsia="仿宋" w:cs="仿宋"/>
          <w:sz w:val="24"/>
          <w:szCs w:val="24"/>
        </w:rPr>
        <w:t>3.2.1咨询人向委托人提供有关资料的时间：</w:t>
      </w:r>
      <w:r>
        <w:rPr>
          <w:rFonts w:hint="eastAsia" w:ascii="仿宋" w:hAnsi="仿宋" w:eastAsia="仿宋" w:cs="仿宋"/>
          <w:sz w:val="24"/>
          <w:szCs w:val="24"/>
          <w:u w:val="single"/>
          <w:lang w:val="en-US" w:eastAsia="zh-CN"/>
        </w:rPr>
        <w:t>工程竣工验收之日起7日内。</w:t>
      </w:r>
      <w:r>
        <w:rPr>
          <w:rFonts w:hint="eastAsia" w:ascii="仿宋" w:hAnsi="仿宋" w:eastAsia="仿宋" w:cs="仿宋"/>
          <w:sz w:val="24"/>
          <w:szCs w:val="24"/>
          <w:u w:val="single"/>
          <w:lang w:eastAsia="zh-CN"/>
        </w:rPr>
        <w:t>未按委托人规定时间提供的，</w:t>
      </w:r>
      <w:r>
        <w:rPr>
          <w:rFonts w:hint="eastAsia" w:ascii="仿宋" w:hAnsi="仿宋" w:eastAsia="仿宋" w:cs="仿宋"/>
          <w:sz w:val="24"/>
          <w:szCs w:val="24"/>
          <w:u w:val="single"/>
          <w:lang w:val="en-US" w:eastAsia="zh-CN"/>
        </w:rPr>
        <w:t>应当承担逾期违约责任</w:t>
      </w:r>
      <w:r>
        <w:rPr>
          <w:rFonts w:hint="eastAsia" w:ascii="仿宋" w:hAnsi="仿宋" w:eastAsia="仿宋" w:cs="仿宋"/>
          <w:sz w:val="24"/>
          <w:szCs w:val="24"/>
          <w:u w:val="single"/>
          <w:lang w:eastAsia="zh-CN"/>
        </w:rPr>
        <w:t>，且超过</w:t>
      </w: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lang w:eastAsia="zh-CN"/>
        </w:rPr>
        <w:t>日委托人有权请求咨询人退还全部费用及利息。</w:t>
      </w:r>
    </w:p>
    <w:p w14:paraId="516A7F6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u w:val="single"/>
          <w:lang w:eastAsia="zh-CN"/>
        </w:rPr>
      </w:pPr>
      <w:r>
        <w:rPr>
          <w:rFonts w:hint="eastAsia" w:ascii="仿宋" w:hAnsi="仿宋" w:eastAsia="仿宋" w:cs="仿宋"/>
          <w:sz w:val="24"/>
          <w:szCs w:val="24"/>
        </w:rPr>
        <w:t>咨询人向委托人提供的资料还包括：</w:t>
      </w:r>
      <w:r>
        <w:rPr>
          <w:rFonts w:hint="eastAsia" w:ascii="仿宋" w:hAnsi="仿宋" w:eastAsia="仿宋" w:cs="仿宋"/>
          <w:sz w:val="24"/>
          <w:szCs w:val="24"/>
          <w:u w:val="single"/>
          <w:lang w:eastAsia="zh-CN"/>
        </w:rPr>
        <w:t>《工程招标控制价及工程量清单复核报告》、《工程竣工结算审核报告》、以及施工过程中的经济签证审核并盖章、暂估价定价审核联系单审核并签章，</w:t>
      </w:r>
      <w:r>
        <w:rPr>
          <w:rFonts w:hint="eastAsia" w:ascii="仿宋" w:hAnsi="仿宋" w:eastAsia="仿宋" w:cs="仿宋"/>
          <w:sz w:val="24"/>
          <w:szCs w:val="24"/>
          <w:u w:val="single"/>
          <w:lang w:val="en-US" w:eastAsia="zh-CN"/>
        </w:rPr>
        <w:t>上述文件各  份，并发送电子版文件</w:t>
      </w:r>
      <w:r>
        <w:rPr>
          <w:rFonts w:hint="eastAsia" w:ascii="仿宋" w:hAnsi="仿宋" w:eastAsia="仿宋" w:cs="仿宋"/>
          <w:sz w:val="24"/>
          <w:szCs w:val="24"/>
          <w:u w:val="single"/>
          <w:lang w:eastAsia="zh-CN"/>
        </w:rPr>
        <w:t>。少提供或拒绝提供资料的，委托人有权要求咨询人退还全部费用及利息，承担委托人直接、间接损失，并有权要求咨询人承担本合同价款30%的惩罚性违约金。</w:t>
      </w:r>
    </w:p>
    <w:p w14:paraId="272CA1E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 3.2.1施工进场开始全过程跟踪审计；委托人给施工方付款须咨询人签字盖章明确付款额度。</w:t>
      </w:r>
    </w:p>
    <w:p w14:paraId="5D6AE4D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3.2.</w:t>
      </w:r>
      <w:r>
        <w:rPr>
          <w:rFonts w:hint="eastAsia" w:ascii="仿宋" w:hAnsi="仿宋" w:eastAsia="仿宋" w:cs="仿宋"/>
          <w:sz w:val="24"/>
          <w:szCs w:val="24"/>
          <w:lang w:val="en-US" w:eastAsia="zh-CN"/>
        </w:rPr>
        <w:t>3</w:t>
      </w:r>
      <w:r>
        <w:rPr>
          <w:rFonts w:hint="eastAsia" w:ascii="仿宋" w:hAnsi="仿宋" w:eastAsia="仿宋" w:cs="仿宋"/>
          <w:sz w:val="24"/>
          <w:szCs w:val="24"/>
        </w:rPr>
        <w:t>咨询人向委托人提供咨询成果文件的名称、组成、时间、份数及质量标准：</w:t>
      </w:r>
      <w:r>
        <w:rPr>
          <w:rFonts w:hint="eastAsia" w:ascii="仿宋" w:hAnsi="仿宋" w:eastAsia="仿宋" w:cs="仿宋"/>
          <w:sz w:val="24"/>
          <w:szCs w:val="24"/>
          <w:u w:val="single"/>
        </w:rPr>
        <w:t>依据委托人所需数量提供 。</w:t>
      </w:r>
      <w:r>
        <w:rPr>
          <w:rFonts w:hint="eastAsia" w:ascii="仿宋" w:hAnsi="仿宋" w:eastAsia="仿宋" w:cs="仿宋"/>
          <w:sz w:val="24"/>
          <w:szCs w:val="24"/>
        </w:rPr>
        <w:t xml:space="preserve"> 详见附录B。</w:t>
      </w:r>
    </w:p>
    <w:p w14:paraId="376A704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3.2.4咨询人应在收到委托人以书面形式提出的建议或者异议后</w:t>
      </w:r>
      <w:r>
        <w:rPr>
          <w:rFonts w:hint="eastAsia" w:ascii="仿宋" w:hAnsi="仿宋" w:eastAsia="仿宋" w:cs="仿宋"/>
          <w:sz w:val="24"/>
          <w:szCs w:val="24"/>
          <w:u w:val="single"/>
        </w:rPr>
        <w:t xml:space="preserve">七  </w:t>
      </w:r>
      <w:r>
        <w:rPr>
          <w:rFonts w:hint="eastAsia" w:ascii="仿宋" w:hAnsi="仿宋" w:eastAsia="仿宋" w:cs="仿宋"/>
          <w:sz w:val="24"/>
          <w:szCs w:val="24"/>
        </w:rPr>
        <w:t>日内给予书面答复。</w:t>
      </w:r>
    </w:p>
    <w:p w14:paraId="4BEE23EB">
      <w:pPr>
        <w:pStyle w:val="25"/>
        <w:keepNext w:val="0"/>
        <w:keepLines w:val="0"/>
        <w:pageBreakBefore w:val="0"/>
        <w:kinsoku/>
        <w:wordWrap/>
        <w:overflowPunct/>
        <w:topLinePunct w:val="0"/>
        <w:autoSpaceDE/>
        <w:autoSpaceDN/>
        <w:bidi w:val="0"/>
        <w:adjustRightInd/>
        <w:snapToGrid/>
        <w:spacing w:before="0" w:line="360" w:lineRule="auto"/>
        <w:ind w:left="0" w:leftChars="0" w:firstLine="480" w:firstLineChars="200"/>
        <w:jc w:val="left"/>
        <w:textAlignment w:val="auto"/>
        <w:outlineLvl w:val="9"/>
        <w:rPr>
          <w:rFonts w:hint="eastAsia" w:ascii="仿宋" w:hAnsi="仿宋" w:eastAsia="仿宋" w:cs="仿宋"/>
          <w:b w:val="0"/>
          <w:sz w:val="24"/>
          <w:szCs w:val="24"/>
        </w:rPr>
      </w:pPr>
      <w:bookmarkStart w:id="182" w:name="_Toc419045111"/>
      <w:bookmarkStart w:id="183" w:name="_Toc422322535"/>
      <w:r>
        <w:rPr>
          <w:rFonts w:hint="eastAsia" w:ascii="仿宋" w:hAnsi="仿宋" w:eastAsia="仿宋" w:cs="仿宋"/>
          <w:b w:val="0"/>
          <w:sz w:val="24"/>
          <w:szCs w:val="24"/>
        </w:rPr>
        <w:t>3.3咨询人的工作依据</w:t>
      </w:r>
      <w:bookmarkEnd w:id="182"/>
      <w:bookmarkEnd w:id="183"/>
    </w:p>
    <w:p w14:paraId="12CBA9D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经双方协商，本合同约定的造价咨询服务适用的技术标准、规范、定额等工作依据为：</w:t>
      </w:r>
      <w:r>
        <w:rPr>
          <w:rFonts w:hint="eastAsia" w:ascii="仿宋" w:hAnsi="仿宋" w:eastAsia="仿宋" w:cs="仿宋"/>
          <w:sz w:val="24"/>
          <w:szCs w:val="24"/>
          <w:u w:val="single"/>
        </w:rPr>
        <w:t>《中华人民共和国建筑法》</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《中华人民共和国</w:t>
      </w:r>
      <w:r>
        <w:rPr>
          <w:rFonts w:hint="eastAsia" w:ascii="仿宋" w:hAnsi="仿宋" w:eastAsia="仿宋" w:cs="仿宋"/>
          <w:sz w:val="24"/>
          <w:szCs w:val="24"/>
          <w:u w:val="single"/>
          <w:lang w:val="en-US" w:eastAsia="zh-CN"/>
        </w:rPr>
        <w:t>民法典</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《中华人民共和国招标投标法》、《建设工程施工发包与承包计价管理办法》（建设部第16号令）、《建设工程价款结算暂行办法》财建发[2004]369号</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基本建设财务规则》（财政部令第81号）、基本建设项目竣工财务决算管理暂行办法》（财建〔2016〕503号）、《中央基本建设项目竣工财务决算审核批复操作规程》财办建〔2018〕2号、中国建设工程造价管理协会制定的相关行业标准、国务院建设行政主管部门以及自治区和有关部门发布的建设工程造价计价标准、计价方法、计价定额、计价信息、相关规定等计价依据</w:t>
      </w:r>
    </w:p>
    <w:p w14:paraId="6999BB47">
      <w:pPr>
        <w:pStyle w:val="25"/>
        <w:keepNext w:val="0"/>
        <w:keepLines w:val="0"/>
        <w:pageBreakBefore w:val="0"/>
        <w:kinsoku/>
        <w:wordWrap/>
        <w:overflowPunct/>
        <w:topLinePunct w:val="0"/>
        <w:autoSpaceDE/>
        <w:autoSpaceDN/>
        <w:bidi w:val="0"/>
        <w:adjustRightInd/>
        <w:snapToGrid/>
        <w:spacing w:before="0" w:line="360" w:lineRule="auto"/>
        <w:ind w:left="0" w:leftChars="0" w:firstLine="480" w:firstLineChars="200"/>
        <w:jc w:val="left"/>
        <w:textAlignment w:val="auto"/>
        <w:outlineLvl w:val="9"/>
        <w:rPr>
          <w:rFonts w:hint="eastAsia" w:ascii="仿宋" w:hAnsi="仿宋" w:eastAsia="仿宋" w:cs="仿宋"/>
          <w:b w:val="0"/>
          <w:sz w:val="24"/>
          <w:szCs w:val="24"/>
        </w:rPr>
      </w:pPr>
      <w:bookmarkStart w:id="184" w:name="_Toc419045112"/>
      <w:bookmarkStart w:id="185" w:name="_Toc422322536"/>
      <w:r>
        <w:rPr>
          <w:rFonts w:hint="eastAsia" w:ascii="仿宋" w:hAnsi="仿宋" w:eastAsia="仿宋" w:cs="仿宋"/>
          <w:b w:val="0"/>
          <w:sz w:val="24"/>
          <w:szCs w:val="24"/>
        </w:rPr>
        <w:t>3.4使用委托人房屋及设备的返还</w:t>
      </w:r>
      <w:bookmarkEnd w:id="184"/>
      <w:bookmarkEnd w:id="185"/>
    </w:p>
    <w:p w14:paraId="6E2902E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ins w:id="2" w:author="Administrator" w:date="2019-06-11T13:09:00Z"/>
          <w:rFonts w:hint="eastAsia" w:ascii="仿宋" w:hAnsi="仿宋" w:eastAsia="仿宋" w:cs="仿宋"/>
          <w:sz w:val="24"/>
          <w:szCs w:val="24"/>
        </w:rPr>
      </w:pPr>
      <w:r>
        <w:rPr>
          <w:rFonts w:hint="eastAsia" w:ascii="仿宋" w:hAnsi="仿宋" w:eastAsia="仿宋" w:cs="仿宋"/>
          <w:sz w:val="24"/>
          <w:szCs w:val="24"/>
        </w:rPr>
        <w:t>咨询人应在本合同终止后</w:t>
      </w:r>
      <w:r>
        <w:rPr>
          <w:rFonts w:hint="eastAsia" w:ascii="仿宋" w:hAnsi="仿宋" w:eastAsia="仿宋" w:cs="仿宋"/>
          <w:sz w:val="24"/>
          <w:szCs w:val="24"/>
          <w:u w:val="single"/>
        </w:rPr>
        <w:t xml:space="preserve">  七  </w:t>
      </w:r>
      <w:r>
        <w:rPr>
          <w:rFonts w:hint="eastAsia" w:ascii="仿宋" w:hAnsi="仿宋" w:eastAsia="仿宋" w:cs="仿宋"/>
          <w:sz w:val="24"/>
          <w:szCs w:val="24"/>
        </w:rPr>
        <w:t>日内移交委托人提供的房屋及设备，移交的方式为</w:t>
      </w:r>
      <w:r>
        <w:rPr>
          <w:rFonts w:hint="eastAsia" w:ascii="仿宋" w:hAnsi="仿宋" w:eastAsia="仿宋" w:cs="仿宋"/>
          <w:sz w:val="24"/>
          <w:szCs w:val="24"/>
          <w:u w:val="single"/>
        </w:rPr>
        <w:t xml:space="preserve">  执行通用条款    </w:t>
      </w:r>
      <w:r>
        <w:rPr>
          <w:rFonts w:hint="eastAsia" w:ascii="仿宋" w:hAnsi="仿宋" w:eastAsia="仿宋" w:cs="仿宋"/>
          <w:sz w:val="24"/>
          <w:szCs w:val="24"/>
        </w:rPr>
        <w:t>。</w:t>
      </w:r>
    </w:p>
    <w:p w14:paraId="1F0915F1">
      <w:pPr>
        <w:pStyle w:val="28"/>
        <w:keepNext w:val="0"/>
        <w:keepLines w:val="0"/>
        <w:pageBreakBefore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仿宋" w:hAnsi="仿宋" w:eastAsia="仿宋" w:cs="仿宋"/>
          <w:sz w:val="24"/>
          <w:szCs w:val="24"/>
        </w:rPr>
      </w:pPr>
      <w:bookmarkStart w:id="186" w:name="_Toc419045113"/>
      <w:bookmarkStart w:id="187" w:name="_Toc422322537"/>
      <w:r>
        <w:rPr>
          <w:rFonts w:hint="eastAsia" w:ascii="仿宋" w:hAnsi="仿宋" w:eastAsia="仿宋" w:cs="仿宋"/>
          <w:sz w:val="24"/>
          <w:szCs w:val="24"/>
        </w:rPr>
        <w:t>4. 违约责任</w:t>
      </w:r>
      <w:bookmarkEnd w:id="186"/>
      <w:bookmarkEnd w:id="187"/>
    </w:p>
    <w:p w14:paraId="5288A4A3">
      <w:pPr>
        <w:pStyle w:val="25"/>
        <w:keepNext w:val="0"/>
        <w:keepLines w:val="0"/>
        <w:pageBreakBefore w:val="0"/>
        <w:kinsoku/>
        <w:wordWrap/>
        <w:overflowPunct/>
        <w:topLinePunct w:val="0"/>
        <w:autoSpaceDE/>
        <w:autoSpaceDN/>
        <w:bidi w:val="0"/>
        <w:adjustRightInd/>
        <w:snapToGrid/>
        <w:spacing w:before="0" w:line="360" w:lineRule="auto"/>
        <w:ind w:left="0" w:leftChars="0" w:firstLine="480" w:firstLineChars="200"/>
        <w:jc w:val="left"/>
        <w:textAlignment w:val="auto"/>
        <w:outlineLvl w:val="9"/>
        <w:rPr>
          <w:rFonts w:hint="eastAsia" w:ascii="仿宋" w:hAnsi="仿宋" w:eastAsia="仿宋" w:cs="仿宋"/>
          <w:b w:val="0"/>
          <w:sz w:val="24"/>
          <w:szCs w:val="24"/>
        </w:rPr>
      </w:pPr>
      <w:bookmarkStart w:id="188" w:name="_Toc422322539"/>
      <w:bookmarkStart w:id="189" w:name="_Toc419045114"/>
      <w:r>
        <w:rPr>
          <w:rFonts w:hint="eastAsia" w:ascii="仿宋" w:hAnsi="仿宋" w:eastAsia="仿宋" w:cs="仿宋"/>
          <w:b w:val="0"/>
          <w:sz w:val="24"/>
          <w:szCs w:val="24"/>
        </w:rPr>
        <w:t>4.</w:t>
      </w:r>
      <w:r>
        <w:rPr>
          <w:rFonts w:hint="eastAsia" w:ascii="仿宋" w:hAnsi="仿宋" w:eastAsia="仿宋" w:cs="仿宋"/>
          <w:b w:val="0"/>
          <w:sz w:val="24"/>
          <w:szCs w:val="24"/>
          <w:lang w:val="en-US" w:eastAsia="zh-CN"/>
        </w:rPr>
        <w:t>1</w:t>
      </w:r>
      <w:r>
        <w:rPr>
          <w:rFonts w:hint="eastAsia" w:ascii="仿宋" w:hAnsi="仿宋" w:eastAsia="仿宋" w:cs="仿宋"/>
          <w:b w:val="0"/>
          <w:sz w:val="24"/>
          <w:szCs w:val="24"/>
        </w:rPr>
        <w:t>咨询人的违约责任</w:t>
      </w:r>
      <w:bookmarkEnd w:id="188"/>
    </w:p>
    <w:bookmarkEnd w:id="189"/>
    <w:p w14:paraId="5B339CC2">
      <w:pPr>
        <w:keepNext w:val="0"/>
        <w:keepLines w:val="0"/>
        <w:pageBreakBefore w:val="0"/>
        <w:kinsoku/>
        <w:wordWrap/>
        <w:overflowPunct/>
        <w:topLinePunct w:val="0"/>
        <w:autoSpaceDE/>
        <w:autoSpaceDN/>
        <w:bidi w:val="0"/>
        <w:adjustRightInd/>
        <w:snapToGrid/>
        <w:spacing w:line="360" w:lineRule="auto"/>
        <w:ind w:left="0" w:leftChars="0" w:firstLine="480"/>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4.</w:t>
      </w:r>
      <w:r>
        <w:rPr>
          <w:rFonts w:hint="eastAsia" w:ascii="仿宋" w:hAnsi="仿宋" w:eastAsia="仿宋" w:cs="仿宋"/>
          <w:sz w:val="24"/>
          <w:szCs w:val="24"/>
          <w:lang w:val="en-US" w:eastAsia="zh-CN"/>
        </w:rPr>
        <w:t>1</w:t>
      </w:r>
      <w:r>
        <w:rPr>
          <w:rFonts w:hint="eastAsia" w:ascii="仿宋" w:hAnsi="仿宋" w:eastAsia="仿宋" w:cs="仿宋"/>
          <w:sz w:val="24"/>
          <w:szCs w:val="24"/>
        </w:rPr>
        <w:t>.1咨询人违约金的计算及支付方法：</w:t>
      </w:r>
      <w:r>
        <w:rPr>
          <w:rFonts w:hint="eastAsia" w:ascii="仿宋" w:hAnsi="仿宋" w:eastAsia="仿宋" w:cs="仿宋"/>
          <w:sz w:val="24"/>
          <w:szCs w:val="24"/>
          <w:u w:val="single"/>
          <w:lang w:val="en-US" w:eastAsia="zh-CN"/>
        </w:rPr>
        <w:t>/</w:t>
      </w:r>
    </w:p>
    <w:p w14:paraId="296B0190">
      <w:pPr>
        <w:keepNext w:val="0"/>
        <w:keepLines w:val="0"/>
        <w:pageBreakBefore w:val="0"/>
        <w:kinsoku/>
        <w:wordWrap/>
        <w:overflowPunct/>
        <w:topLinePunct w:val="0"/>
        <w:autoSpaceDE/>
        <w:autoSpaceDN/>
        <w:bidi w:val="0"/>
        <w:adjustRightInd/>
        <w:snapToGrid/>
        <w:spacing w:line="360" w:lineRule="auto"/>
        <w:ind w:left="0" w:leftChars="0" w:firstLine="480"/>
        <w:textAlignment w:val="auto"/>
        <w:outlineLvl w:val="9"/>
        <w:rPr>
          <w:rFonts w:hint="eastAsia" w:ascii="仿宋" w:hAnsi="仿宋" w:eastAsia="仿宋" w:cs="仿宋"/>
          <w:sz w:val="24"/>
          <w:szCs w:val="24"/>
          <w:u w:val="single"/>
          <w:lang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1</w:t>
      </w:r>
      <w:r>
        <w:rPr>
          <w:rFonts w:hint="eastAsia" w:ascii="仿宋" w:hAnsi="仿宋" w:eastAsia="仿宋" w:cs="仿宋"/>
          <w:sz w:val="24"/>
          <w:szCs w:val="24"/>
        </w:rPr>
        <w:t>.2 咨询人赔偿金额按下列方法确定并支付：</w:t>
      </w:r>
      <w:r>
        <w:rPr>
          <w:rFonts w:hint="eastAsia" w:ascii="仿宋" w:hAnsi="仿宋" w:eastAsia="仿宋" w:cs="仿宋"/>
          <w:sz w:val="24"/>
          <w:szCs w:val="24"/>
          <w:u w:val="single"/>
        </w:rPr>
        <w:t>赔偿其造成的委托人的全部经济损失，包括但不限于因委托人发生的律师代理费</w:t>
      </w:r>
      <w:r>
        <w:rPr>
          <w:rFonts w:hint="eastAsia" w:ascii="仿宋" w:hAnsi="仿宋" w:eastAsia="仿宋" w:cs="仿宋"/>
          <w:sz w:val="24"/>
          <w:szCs w:val="24"/>
          <w:u w:val="single"/>
          <w:lang w:val="en-US" w:eastAsia="zh-Hans"/>
        </w:rPr>
        <w:t>诉</w:t>
      </w:r>
      <w:r>
        <w:rPr>
          <w:rFonts w:hint="eastAsia" w:ascii="仿宋" w:hAnsi="仿宋" w:eastAsia="仿宋" w:cs="仿宋"/>
          <w:sz w:val="24"/>
          <w:szCs w:val="24"/>
          <w:u w:val="single"/>
          <w:lang w:eastAsia="zh-Hans"/>
        </w:rPr>
        <w:t>讼费、诉责险费、</w:t>
      </w:r>
      <w:r>
        <w:rPr>
          <w:rFonts w:hint="eastAsia" w:ascii="仿宋" w:hAnsi="仿宋" w:eastAsia="仿宋" w:cs="仿宋"/>
          <w:sz w:val="24"/>
          <w:szCs w:val="24"/>
          <w:u w:val="single"/>
          <w:lang w:val="en-US" w:eastAsia="zh-Hans"/>
        </w:rPr>
        <w:t>交通费、差旅费</w:t>
      </w:r>
      <w:r>
        <w:rPr>
          <w:rFonts w:hint="eastAsia" w:ascii="仿宋" w:hAnsi="仿宋" w:eastAsia="仿宋" w:cs="仿宋"/>
          <w:sz w:val="24"/>
          <w:szCs w:val="24"/>
          <w:u w:val="single"/>
          <w:lang w:eastAsia="zh-Hans"/>
        </w:rPr>
        <w:t>等</w:t>
      </w:r>
      <w:r>
        <w:rPr>
          <w:rFonts w:hint="eastAsia" w:ascii="仿宋" w:hAnsi="仿宋" w:eastAsia="仿宋" w:cs="仿宋"/>
          <w:sz w:val="24"/>
          <w:szCs w:val="24"/>
          <w:u w:val="single"/>
          <w:lang w:eastAsia="zh-CN"/>
        </w:rPr>
        <w:t>。</w:t>
      </w:r>
    </w:p>
    <w:p w14:paraId="2430492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4.1.3 咨询人未按约定期限向委托人提交成果的，委托人有权责令限期提交，每逾期一日，应当向委托人支付合同总价1%的违约金，咨询人超过14日未向委托人提交成果的，委托人有权解除合同，并要求咨询人承担合同总价</w:t>
      </w: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0%的违约金。</w:t>
      </w:r>
    </w:p>
    <w:p w14:paraId="0B86DF66">
      <w:pPr>
        <w:keepNext w:val="0"/>
        <w:keepLines w:val="0"/>
        <w:pageBreakBefore w:val="0"/>
        <w:kinsoku/>
        <w:wordWrap/>
        <w:overflowPunct/>
        <w:topLinePunct w:val="0"/>
        <w:autoSpaceDE/>
        <w:autoSpaceDN/>
        <w:bidi w:val="0"/>
        <w:adjustRightInd/>
        <w:snapToGrid/>
        <w:spacing w:line="360" w:lineRule="auto"/>
        <w:ind w:left="0" w:lef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4.1.4 因咨询人违约导致委托人解除合同的，</w:t>
      </w:r>
      <w:r>
        <w:rPr>
          <w:rFonts w:hint="eastAsia" w:ascii="仿宋" w:hAnsi="仿宋" w:eastAsia="仿宋" w:cs="仿宋"/>
          <w:sz w:val="24"/>
          <w:szCs w:val="24"/>
          <w:lang w:val="en-US" w:eastAsia="zh-Hans"/>
        </w:rPr>
        <w:t>咨询人应当向委托人支付合同总价</w:t>
      </w:r>
      <w:r>
        <w:rPr>
          <w:rFonts w:hint="eastAsia" w:ascii="仿宋" w:hAnsi="仿宋" w:eastAsia="仿宋" w:cs="仿宋"/>
          <w:sz w:val="24"/>
          <w:szCs w:val="24"/>
          <w:lang w:eastAsia="zh-Hans"/>
        </w:rPr>
        <w:t>30%</w:t>
      </w:r>
      <w:r>
        <w:rPr>
          <w:rFonts w:hint="eastAsia" w:ascii="仿宋" w:hAnsi="仿宋" w:eastAsia="仿宋" w:cs="仿宋"/>
          <w:sz w:val="24"/>
          <w:szCs w:val="24"/>
          <w:lang w:val="en-US" w:eastAsia="zh-Hans"/>
        </w:rPr>
        <w:t>的违约金，</w:t>
      </w:r>
      <w:r>
        <w:rPr>
          <w:rFonts w:hint="eastAsia" w:ascii="仿宋" w:hAnsi="仿宋" w:eastAsia="仿宋" w:cs="仿宋"/>
          <w:sz w:val="24"/>
          <w:szCs w:val="24"/>
          <w:lang w:val="en-US" w:eastAsia="zh-CN"/>
        </w:rPr>
        <w:t>咨询人应当将已经收取的费用全额退还给委托人；委托人未付部分，咨询人不得要求委托人支付。</w:t>
      </w:r>
    </w:p>
    <w:p w14:paraId="413DB1BE">
      <w:pPr>
        <w:pStyle w:val="28"/>
        <w:keepNext w:val="0"/>
        <w:keepLines w:val="0"/>
        <w:pageBreakBefore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仿宋" w:hAnsi="仿宋" w:eastAsia="仿宋" w:cs="仿宋"/>
          <w:sz w:val="24"/>
          <w:szCs w:val="24"/>
        </w:rPr>
      </w:pPr>
      <w:bookmarkStart w:id="190" w:name="_Toc422322540"/>
      <w:bookmarkStart w:id="191" w:name="_Toc419045115"/>
      <w:r>
        <w:rPr>
          <w:rFonts w:hint="eastAsia" w:ascii="仿宋" w:hAnsi="仿宋" w:eastAsia="仿宋" w:cs="仿宋"/>
          <w:sz w:val="24"/>
          <w:szCs w:val="24"/>
        </w:rPr>
        <w:t>5. 支付</w:t>
      </w:r>
      <w:bookmarkEnd w:id="190"/>
      <w:bookmarkEnd w:id="191"/>
    </w:p>
    <w:p w14:paraId="1A9A19D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Style w:val="55"/>
          <w:rFonts w:hint="eastAsia" w:ascii="仿宋" w:hAnsi="仿宋" w:eastAsia="仿宋" w:cs="仿宋"/>
          <w:b w:val="0"/>
          <w:sz w:val="24"/>
          <w:szCs w:val="24"/>
        </w:rPr>
      </w:pPr>
      <w:bookmarkStart w:id="192" w:name="_Toc422322541"/>
      <w:bookmarkStart w:id="193" w:name="_Toc419045116"/>
      <w:bookmarkStart w:id="194" w:name="_Toc11494"/>
      <w:r>
        <w:rPr>
          <w:rStyle w:val="55"/>
          <w:rFonts w:hint="eastAsia" w:ascii="仿宋" w:hAnsi="仿宋" w:eastAsia="仿宋" w:cs="仿宋"/>
          <w:b w:val="0"/>
          <w:sz w:val="24"/>
          <w:szCs w:val="24"/>
        </w:rPr>
        <w:t>5.1支付货币</w:t>
      </w:r>
      <w:bookmarkEnd w:id="192"/>
      <w:bookmarkEnd w:id="193"/>
    </w:p>
    <w:bookmarkEnd w:id="194"/>
    <w:p w14:paraId="168AE70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币种为： </w:t>
      </w:r>
      <w:r>
        <w:rPr>
          <w:rFonts w:hint="eastAsia" w:ascii="仿宋" w:hAnsi="仿宋" w:eastAsia="仿宋" w:cs="仿宋"/>
          <w:sz w:val="24"/>
          <w:szCs w:val="24"/>
          <w:u w:val="single"/>
        </w:rPr>
        <w:t xml:space="preserve">人民币  </w:t>
      </w:r>
      <w:r>
        <w:rPr>
          <w:rFonts w:hint="eastAsia" w:ascii="仿宋" w:hAnsi="仿宋" w:eastAsia="仿宋" w:cs="仿宋"/>
          <w:sz w:val="24"/>
          <w:szCs w:val="24"/>
        </w:rPr>
        <w:t>。</w:t>
      </w:r>
    </w:p>
    <w:p w14:paraId="2662AFE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Style w:val="55"/>
          <w:rFonts w:hint="eastAsia" w:ascii="仿宋" w:hAnsi="仿宋" w:eastAsia="仿宋" w:cs="仿宋"/>
          <w:b w:val="0"/>
          <w:sz w:val="24"/>
          <w:szCs w:val="24"/>
        </w:rPr>
      </w:pPr>
      <w:bookmarkStart w:id="195" w:name="_Toc419045117"/>
      <w:bookmarkStart w:id="196" w:name="_Toc422322542"/>
      <w:bookmarkStart w:id="197" w:name="_Toc31623"/>
      <w:r>
        <w:rPr>
          <w:rStyle w:val="55"/>
          <w:rFonts w:hint="eastAsia" w:ascii="仿宋" w:hAnsi="仿宋" w:eastAsia="仿宋" w:cs="仿宋"/>
          <w:b w:val="0"/>
          <w:sz w:val="24"/>
          <w:szCs w:val="24"/>
        </w:rPr>
        <w:t>5.2 支付申请</w:t>
      </w:r>
      <w:bookmarkEnd w:id="195"/>
      <w:bookmarkEnd w:id="196"/>
    </w:p>
    <w:bookmarkEnd w:id="197"/>
    <w:p w14:paraId="250D738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Style w:val="55"/>
          <w:rFonts w:hint="eastAsia" w:ascii="仿宋" w:hAnsi="仿宋" w:eastAsia="仿宋" w:cs="仿宋"/>
          <w:b w:val="0"/>
          <w:sz w:val="24"/>
          <w:szCs w:val="24"/>
        </w:rPr>
      </w:pPr>
      <w:r>
        <w:rPr>
          <w:rFonts w:hint="eastAsia" w:ascii="仿宋" w:hAnsi="仿宋" w:eastAsia="仿宋" w:cs="仿宋"/>
          <w:sz w:val="24"/>
          <w:szCs w:val="24"/>
        </w:rPr>
        <w:t>咨询人应在本合同约定的每次应付款日期</w:t>
      </w:r>
      <w:r>
        <w:rPr>
          <w:rFonts w:hint="eastAsia" w:ascii="仿宋" w:hAnsi="仿宋" w:eastAsia="仿宋" w:cs="仿宋"/>
          <w:sz w:val="24"/>
          <w:szCs w:val="24"/>
          <w:u w:val="single"/>
        </w:rPr>
        <w:t xml:space="preserve">  七  </w:t>
      </w:r>
      <w:r>
        <w:rPr>
          <w:rFonts w:hint="eastAsia" w:ascii="仿宋" w:hAnsi="仿宋" w:eastAsia="仿宋" w:cs="仿宋"/>
          <w:sz w:val="24"/>
          <w:szCs w:val="24"/>
        </w:rPr>
        <w:t>日前，向委托人提交</w:t>
      </w:r>
      <w:r>
        <w:rPr>
          <w:rFonts w:hint="eastAsia" w:ascii="仿宋" w:hAnsi="仿宋" w:eastAsia="仿宋" w:cs="仿宋"/>
          <w:sz w:val="24"/>
          <w:szCs w:val="24"/>
          <w:lang w:val="en-US" w:eastAsia="zh-CN"/>
        </w:rPr>
        <w:t>书面</w:t>
      </w:r>
      <w:r>
        <w:rPr>
          <w:rFonts w:hint="eastAsia" w:ascii="仿宋" w:hAnsi="仿宋" w:eastAsia="仿宋" w:cs="仿宋"/>
          <w:sz w:val="24"/>
          <w:szCs w:val="24"/>
        </w:rPr>
        <w:t>支付申请书。</w:t>
      </w:r>
      <w:bookmarkStart w:id="198" w:name="_Toc422322543"/>
      <w:bookmarkStart w:id="199" w:name="_Toc419045118"/>
    </w:p>
    <w:p w14:paraId="1EF75FC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Style w:val="55"/>
          <w:rFonts w:hint="eastAsia" w:ascii="仿宋" w:hAnsi="仿宋" w:eastAsia="仿宋" w:cs="仿宋"/>
          <w:b w:val="0"/>
          <w:sz w:val="24"/>
          <w:szCs w:val="24"/>
        </w:rPr>
      </w:pPr>
    </w:p>
    <w:p w14:paraId="630962A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Style w:val="55"/>
          <w:rFonts w:hint="eastAsia" w:ascii="仿宋" w:hAnsi="仿宋" w:eastAsia="仿宋" w:cs="仿宋"/>
          <w:b w:val="0"/>
          <w:sz w:val="24"/>
          <w:szCs w:val="24"/>
        </w:rPr>
      </w:pPr>
      <w:bookmarkStart w:id="200" w:name="_Toc19476"/>
      <w:r>
        <w:rPr>
          <w:rStyle w:val="55"/>
          <w:rFonts w:hint="eastAsia" w:ascii="仿宋" w:hAnsi="仿宋" w:eastAsia="仿宋" w:cs="仿宋"/>
          <w:b w:val="0"/>
          <w:sz w:val="24"/>
          <w:szCs w:val="24"/>
        </w:rPr>
        <w:t>5.3支付酬金</w:t>
      </w:r>
      <w:bookmarkEnd w:id="198"/>
      <w:bookmarkEnd w:id="199"/>
    </w:p>
    <w:bookmarkEnd w:id="200"/>
    <w:p w14:paraId="11CB0CB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正常工作酬金的支付：</w:t>
      </w:r>
    </w:p>
    <w:tbl>
      <w:tblPr>
        <w:tblStyle w:val="30"/>
        <w:tblW w:w="8664" w:type="dxa"/>
        <w:jc w:val="center"/>
        <w:tblLayout w:type="fixed"/>
        <w:tblCellMar>
          <w:top w:w="0" w:type="dxa"/>
          <w:left w:w="0" w:type="dxa"/>
          <w:bottom w:w="0" w:type="dxa"/>
          <w:right w:w="0" w:type="dxa"/>
        </w:tblCellMar>
      </w:tblPr>
      <w:tblGrid>
        <w:gridCol w:w="636"/>
        <w:gridCol w:w="5205"/>
        <w:gridCol w:w="795"/>
        <w:gridCol w:w="2028"/>
      </w:tblGrid>
      <w:tr w14:paraId="3D542757">
        <w:tblPrEx>
          <w:tblCellMar>
            <w:top w:w="0" w:type="dxa"/>
            <w:left w:w="0" w:type="dxa"/>
            <w:bottom w:w="0" w:type="dxa"/>
            <w:right w:w="0" w:type="dxa"/>
          </w:tblCellMar>
        </w:tblPrEx>
        <w:trPr>
          <w:trHeight w:val="23" w:hRule="atLeast"/>
          <w:jc w:val="center"/>
        </w:trPr>
        <w:tc>
          <w:tcPr>
            <w:tcW w:w="636" w:type="dxa"/>
            <w:tcBorders>
              <w:top w:val="inset" w:color="000000" w:sz="6" w:space="0"/>
              <w:left w:val="inset" w:color="000000" w:sz="6" w:space="0"/>
              <w:bottom w:val="inset" w:color="000000" w:sz="6" w:space="0"/>
              <w:right w:val="inset" w:color="000000" w:sz="6" w:space="0"/>
            </w:tcBorders>
            <w:noWrap w:val="0"/>
            <w:vAlign w:val="center"/>
          </w:tcPr>
          <w:p w14:paraId="1D31FEBF">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支付次数</w:t>
            </w:r>
          </w:p>
        </w:tc>
        <w:tc>
          <w:tcPr>
            <w:tcW w:w="5205" w:type="dxa"/>
            <w:tcBorders>
              <w:top w:val="inset" w:color="000000" w:sz="6" w:space="0"/>
              <w:left w:val="single" w:color="auto" w:sz="0" w:space="0"/>
              <w:bottom w:val="inset" w:color="000000" w:sz="6" w:space="0"/>
              <w:right w:val="inset" w:color="000000" w:sz="6" w:space="0"/>
            </w:tcBorders>
            <w:noWrap w:val="0"/>
            <w:vAlign w:val="center"/>
          </w:tcPr>
          <w:p w14:paraId="31115FE2">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支付时间</w:t>
            </w:r>
          </w:p>
        </w:tc>
        <w:tc>
          <w:tcPr>
            <w:tcW w:w="795" w:type="dxa"/>
            <w:tcBorders>
              <w:top w:val="inset" w:color="000000" w:sz="6" w:space="0"/>
              <w:left w:val="single" w:color="auto" w:sz="0" w:space="0"/>
              <w:bottom w:val="inset" w:color="000000" w:sz="6" w:space="0"/>
              <w:right w:val="inset" w:color="000000" w:sz="6" w:space="0"/>
            </w:tcBorders>
            <w:noWrap w:val="0"/>
            <w:vAlign w:val="center"/>
          </w:tcPr>
          <w:p w14:paraId="1FA6418D">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支付比例</w:t>
            </w:r>
          </w:p>
        </w:tc>
        <w:tc>
          <w:tcPr>
            <w:tcW w:w="2028" w:type="dxa"/>
            <w:tcBorders>
              <w:top w:val="inset" w:color="000000" w:sz="6" w:space="0"/>
              <w:left w:val="single" w:color="auto" w:sz="0" w:space="0"/>
              <w:bottom w:val="inset" w:color="000000" w:sz="6" w:space="0"/>
              <w:right w:val="inset" w:color="000000" w:sz="6" w:space="0"/>
            </w:tcBorders>
            <w:noWrap w:val="0"/>
            <w:vAlign w:val="center"/>
          </w:tcPr>
          <w:p w14:paraId="6A96BE16">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支付金额（元）</w:t>
            </w:r>
          </w:p>
        </w:tc>
      </w:tr>
      <w:tr w14:paraId="0A2FC665">
        <w:tblPrEx>
          <w:tblCellMar>
            <w:top w:w="0" w:type="dxa"/>
            <w:left w:w="0" w:type="dxa"/>
            <w:bottom w:w="0" w:type="dxa"/>
            <w:right w:w="0" w:type="dxa"/>
          </w:tblCellMar>
        </w:tblPrEx>
        <w:trPr>
          <w:trHeight w:val="23" w:hRule="atLeast"/>
          <w:jc w:val="center"/>
        </w:trPr>
        <w:tc>
          <w:tcPr>
            <w:tcW w:w="636" w:type="dxa"/>
            <w:tcBorders>
              <w:top w:val="inset" w:color="000000" w:sz="6" w:space="0"/>
              <w:left w:val="inset" w:color="000000" w:sz="6" w:space="0"/>
              <w:bottom w:val="inset" w:color="000000" w:sz="6" w:space="0"/>
              <w:right w:val="inset" w:color="000000" w:sz="6" w:space="0"/>
            </w:tcBorders>
            <w:noWrap w:val="0"/>
            <w:vAlign w:val="center"/>
          </w:tcPr>
          <w:p w14:paraId="56EE75D0">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c>
          <w:tcPr>
            <w:tcW w:w="5205" w:type="dxa"/>
            <w:tcBorders>
              <w:top w:val="inset" w:color="000000" w:sz="6" w:space="0"/>
              <w:left w:val="single" w:color="auto" w:sz="0" w:space="0"/>
              <w:bottom w:val="inset" w:color="000000" w:sz="6" w:space="0"/>
              <w:right w:val="inset" w:color="000000" w:sz="6" w:space="0"/>
            </w:tcBorders>
            <w:noWrap w:val="0"/>
            <w:vAlign w:val="center"/>
          </w:tcPr>
          <w:p w14:paraId="5A757C66">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完成二审并出具成果后</w:t>
            </w:r>
          </w:p>
        </w:tc>
        <w:tc>
          <w:tcPr>
            <w:tcW w:w="795" w:type="dxa"/>
            <w:tcBorders>
              <w:top w:val="inset" w:color="000000" w:sz="6" w:space="0"/>
              <w:left w:val="single" w:color="auto" w:sz="0" w:space="0"/>
              <w:bottom w:val="inset" w:color="000000" w:sz="6" w:space="0"/>
              <w:right w:val="inset" w:color="000000" w:sz="6" w:space="0"/>
            </w:tcBorders>
            <w:noWrap w:val="0"/>
            <w:vAlign w:val="center"/>
          </w:tcPr>
          <w:p w14:paraId="5BF75B37">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2028" w:type="dxa"/>
            <w:tcBorders>
              <w:top w:val="inset" w:color="000000" w:sz="6" w:space="0"/>
              <w:left w:val="single" w:color="auto" w:sz="0" w:space="0"/>
              <w:bottom w:val="inset" w:color="000000" w:sz="6" w:space="0"/>
              <w:right w:val="inset" w:color="000000" w:sz="6" w:space="0"/>
            </w:tcBorders>
            <w:noWrap w:val="0"/>
            <w:vAlign w:val="center"/>
          </w:tcPr>
          <w:p w14:paraId="1378D1A5">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 w:hAnsi="仿宋" w:eastAsia="仿宋" w:cs="仿宋"/>
                <w:color w:val="FF0000"/>
                <w:sz w:val="24"/>
                <w:szCs w:val="24"/>
                <w:highlight w:val="yellow"/>
                <w:lang w:val="en-US" w:eastAsia="zh-CN"/>
              </w:rPr>
            </w:pPr>
          </w:p>
        </w:tc>
      </w:tr>
      <w:tr w14:paraId="62E0BFC7">
        <w:tblPrEx>
          <w:tblCellMar>
            <w:top w:w="0" w:type="dxa"/>
            <w:left w:w="0" w:type="dxa"/>
            <w:bottom w:w="0" w:type="dxa"/>
            <w:right w:w="0" w:type="dxa"/>
          </w:tblCellMar>
        </w:tblPrEx>
        <w:trPr>
          <w:trHeight w:val="23" w:hRule="atLeast"/>
          <w:jc w:val="center"/>
        </w:trPr>
        <w:tc>
          <w:tcPr>
            <w:tcW w:w="636" w:type="dxa"/>
            <w:tcBorders>
              <w:top w:val="inset" w:color="000000" w:sz="6" w:space="0"/>
              <w:left w:val="inset" w:color="000000" w:sz="6" w:space="0"/>
              <w:bottom w:val="inset" w:color="000000" w:sz="6" w:space="0"/>
              <w:right w:val="inset" w:color="000000" w:sz="6" w:space="0"/>
            </w:tcBorders>
            <w:noWrap w:val="0"/>
            <w:vAlign w:val="center"/>
          </w:tcPr>
          <w:p w14:paraId="19B457CE">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c>
          <w:tcPr>
            <w:tcW w:w="5205" w:type="dxa"/>
            <w:tcBorders>
              <w:top w:val="inset" w:color="000000" w:sz="6" w:space="0"/>
              <w:left w:val="single" w:color="auto" w:sz="0" w:space="0"/>
              <w:bottom w:val="inset" w:color="000000" w:sz="6" w:space="0"/>
              <w:right w:val="inset" w:color="000000" w:sz="6" w:space="0"/>
            </w:tcBorders>
            <w:noWrap w:val="0"/>
            <w:vAlign w:val="center"/>
          </w:tcPr>
          <w:p w14:paraId="1094C750">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提交工程竣工财务决算报告</w:t>
            </w:r>
          </w:p>
        </w:tc>
        <w:tc>
          <w:tcPr>
            <w:tcW w:w="795" w:type="dxa"/>
            <w:tcBorders>
              <w:top w:val="inset" w:color="000000" w:sz="6" w:space="0"/>
              <w:left w:val="single" w:color="auto" w:sz="0" w:space="0"/>
              <w:bottom w:val="inset" w:color="000000" w:sz="6" w:space="0"/>
              <w:right w:val="inset" w:color="000000" w:sz="6" w:space="0"/>
            </w:tcBorders>
            <w:noWrap w:val="0"/>
            <w:vAlign w:val="center"/>
          </w:tcPr>
          <w:p w14:paraId="20A7FFB7">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2028" w:type="dxa"/>
            <w:tcBorders>
              <w:top w:val="inset" w:color="000000" w:sz="6" w:space="0"/>
              <w:left w:val="single" w:color="auto" w:sz="0" w:space="0"/>
              <w:bottom w:val="inset" w:color="000000" w:sz="6" w:space="0"/>
              <w:right w:val="inset" w:color="000000" w:sz="6" w:space="0"/>
            </w:tcBorders>
            <w:noWrap w:val="0"/>
            <w:vAlign w:val="center"/>
          </w:tcPr>
          <w:p w14:paraId="2A0A116A">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hint="eastAsia" w:ascii="仿宋" w:hAnsi="仿宋" w:eastAsia="仿宋" w:cs="仿宋"/>
                <w:sz w:val="24"/>
                <w:szCs w:val="24"/>
                <w:highlight w:val="yellow"/>
                <w:lang w:val="en-US" w:eastAsia="zh-CN"/>
              </w:rPr>
            </w:pPr>
          </w:p>
        </w:tc>
      </w:tr>
    </w:tbl>
    <w:p w14:paraId="57340367">
      <w:pPr>
        <w:pStyle w:val="28"/>
        <w:keepNext w:val="0"/>
        <w:keepLines w:val="0"/>
        <w:pageBreakBefore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bookmarkStart w:id="201" w:name="_Toc422322544"/>
      <w:bookmarkStart w:id="202" w:name="_Toc419045119"/>
      <w:r>
        <w:rPr>
          <w:rFonts w:hint="eastAsia" w:ascii="仿宋" w:hAnsi="仿宋" w:eastAsia="仿宋" w:cs="仿宋"/>
          <w:b/>
          <w:bCs/>
          <w:color w:val="auto"/>
          <w:sz w:val="24"/>
          <w:szCs w:val="24"/>
          <w:lang w:val="en-US" w:eastAsia="zh-CN"/>
        </w:rPr>
        <w:t>**以上付款进度为暂定，具体以财政拨款进度为准，</w:t>
      </w:r>
      <w:r>
        <w:rPr>
          <w:rFonts w:hint="eastAsia" w:ascii="仿宋" w:hAnsi="仿宋" w:eastAsia="仿宋" w:cs="仿宋"/>
          <w:b/>
          <w:bCs/>
          <w:sz w:val="24"/>
          <w:szCs w:val="24"/>
          <w:lang w:val="en-US" w:eastAsia="zh-CN"/>
        </w:rPr>
        <w:t>委托人每期支付前咨询人应当提供真实有效的发票，咨询人提供虚假或拒绝提供、提供不真实发票的，由此产生的一切后果由咨询人承担，委托人不承担任何责任。</w:t>
      </w:r>
    </w:p>
    <w:p w14:paraId="2F1C25DD">
      <w:pPr>
        <w:pStyle w:val="28"/>
        <w:keepNext w:val="0"/>
        <w:keepLines w:val="0"/>
        <w:pageBreakBefore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6. 合同变更、解除与终止</w:t>
      </w:r>
      <w:bookmarkEnd w:id="201"/>
      <w:bookmarkEnd w:id="202"/>
    </w:p>
    <w:p w14:paraId="61D6010F">
      <w:pPr>
        <w:keepNext w:val="0"/>
        <w:keepLines w:val="0"/>
        <w:pageBreakBefore w:val="0"/>
        <w:kinsoku/>
        <w:wordWrap/>
        <w:overflowPunct/>
        <w:topLinePunct w:val="0"/>
        <w:autoSpaceDE/>
        <w:autoSpaceDN/>
        <w:bidi w:val="0"/>
        <w:adjustRightInd/>
        <w:snapToGrid/>
        <w:spacing w:line="360" w:lineRule="auto"/>
        <w:ind w:left="0" w:leftChars="0" w:firstLine="64" w:firstLineChars="27"/>
        <w:textAlignment w:val="auto"/>
        <w:outlineLvl w:val="9"/>
        <w:rPr>
          <w:rStyle w:val="55"/>
          <w:rFonts w:hint="eastAsia" w:ascii="仿宋" w:hAnsi="仿宋" w:eastAsia="仿宋" w:cs="仿宋"/>
          <w:b w:val="0"/>
          <w:sz w:val="24"/>
          <w:szCs w:val="24"/>
          <w:lang w:eastAsia="zh-CN"/>
        </w:rPr>
      </w:pPr>
      <w:bookmarkStart w:id="203" w:name="_Toc419045120"/>
      <w:bookmarkStart w:id="204" w:name="_Toc422322545"/>
      <w:bookmarkStart w:id="205" w:name="_Toc13840"/>
      <w:r>
        <w:rPr>
          <w:rStyle w:val="55"/>
          <w:rFonts w:hint="eastAsia" w:ascii="仿宋" w:hAnsi="仿宋" w:eastAsia="仿宋" w:cs="仿宋"/>
          <w:b w:val="0"/>
          <w:sz w:val="24"/>
          <w:szCs w:val="24"/>
        </w:rPr>
        <w:t>6.1合同变更</w:t>
      </w:r>
      <w:bookmarkEnd w:id="203"/>
      <w:bookmarkEnd w:id="204"/>
    </w:p>
    <w:bookmarkEnd w:id="205"/>
    <w:p w14:paraId="185ACADF">
      <w:pPr>
        <w:keepNext w:val="0"/>
        <w:keepLines w:val="0"/>
        <w:pageBreakBefore w:val="0"/>
        <w:kinsoku/>
        <w:wordWrap/>
        <w:overflowPunct/>
        <w:topLinePunct w:val="0"/>
        <w:autoSpaceDE/>
        <w:autoSpaceDN/>
        <w:bidi w:val="0"/>
        <w:adjustRightInd/>
        <w:snapToGrid/>
        <w:spacing w:line="360" w:lineRule="auto"/>
        <w:ind w:left="0" w:leftChars="0" w:firstLine="64" w:firstLineChars="27"/>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6.1.2 除不可抗力外，因非咨询人原因导致本合同履行期限延长、内容增加时，附加工作酬金按下列方法确定：</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增加的工作量视为额外服务，完成建设工程造价咨询工作的时间应当相应延长</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69621773">
      <w:pPr>
        <w:keepNext w:val="0"/>
        <w:keepLines w:val="0"/>
        <w:pageBreakBefore w:val="0"/>
        <w:kinsoku/>
        <w:wordWrap/>
        <w:overflowPunct/>
        <w:topLinePunct w:val="0"/>
        <w:autoSpaceDE/>
        <w:autoSpaceDN/>
        <w:bidi w:val="0"/>
        <w:adjustRightInd/>
        <w:snapToGrid/>
        <w:spacing w:line="360" w:lineRule="auto"/>
        <w:ind w:left="0" w:leftChars="0" w:firstLine="302" w:firstLineChars="126"/>
        <w:textAlignment w:val="auto"/>
        <w:outlineLvl w:val="9"/>
        <w:rPr>
          <w:rStyle w:val="55"/>
          <w:rFonts w:hint="eastAsia" w:ascii="仿宋" w:hAnsi="仿宋" w:eastAsia="仿宋" w:cs="仿宋"/>
          <w:b w:val="0"/>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6.1.4因工程规模、服务范围及内容的变化等导致咨询人的工作量增减时，服务酬金的调整方法：</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4796A5E9">
      <w:pPr>
        <w:pStyle w:val="25"/>
        <w:keepNext w:val="0"/>
        <w:keepLines w:val="0"/>
        <w:pageBreakBefore w:val="0"/>
        <w:kinsoku/>
        <w:wordWrap/>
        <w:overflowPunct/>
        <w:topLinePunct w:val="0"/>
        <w:autoSpaceDE/>
        <w:autoSpaceDN/>
        <w:bidi w:val="0"/>
        <w:adjustRightInd/>
        <w:snapToGrid/>
        <w:spacing w:before="0" w:line="360" w:lineRule="auto"/>
        <w:ind w:left="0" w:leftChars="0" w:firstLine="480" w:firstLineChars="200"/>
        <w:jc w:val="left"/>
        <w:textAlignment w:val="auto"/>
        <w:outlineLvl w:val="9"/>
        <w:rPr>
          <w:rFonts w:hint="eastAsia" w:ascii="仿宋" w:hAnsi="仿宋" w:eastAsia="仿宋" w:cs="仿宋"/>
          <w:b w:val="0"/>
          <w:sz w:val="24"/>
          <w:szCs w:val="24"/>
        </w:rPr>
      </w:pPr>
      <w:bookmarkStart w:id="206" w:name="_Toc422322546"/>
      <w:r>
        <w:rPr>
          <w:rFonts w:hint="eastAsia" w:ascii="仿宋" w:hAnsi="仿宋" w:eastAsia="仿宋" w:cs="仿宋"/>
          <w:b w:val="0"/>
          <w:sz w:val="24"/>
          <w:szCs w:val="24"/>
        </w:rPr>
        <w:t>6.2合同解除</w:t>
      </w:r>
      <w:bookmarkEnd w:id="206"/>
    </w:p>
    <w:p w14:paraId="595D82C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6.2.2双方约定解除合同的条件还包括：</w:t>
      </w:r>
      <w:r>
        <w:rPr>
          <w:rFonts w:hint="eastAsia" w:ascii="仿宋" w:hAnsi="仿宋" w:eastAsia="仿宋" w:cs="仿宋"/>
          <w:sz w:val="24"/>
          <w:szCs w:val="24"/>
          <w:u w:val="single"/>
        </w:rPr>
        <w:t xml:space="preserve">  执行通用条款    </w:t>
      </w:r>
      <w:r>
        <w:rPr>
          <w:rFonts w:hint="eastAsia" w:ascii="仿宋" w:hAnsi="仿宋" w:eastAsia="仿宋" w:cs="仿宋"/>
          <w:sz w:val="24"/>
          <w:szCs w:val="24"/>
        </w:rPr>
        <w:t xml:space="preserve">。 </w:t>
      </w:r>
    </w:p>
    <w:p w14:paraId="43831FF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6.2.4因不可抗力导致的合同解除，双方约定损失的分担如下：</w:t>
      </w:r>
      <w:r>
        <w:rPr>
          <w:rFonts w:hint="eastAsia" w:ascii="仿宋" w:hAnsi="仿宋" w:eastAsia="仿宋" w:cs="仿宋"/>
          <w:sz w:val="24"/>
          <w:szCs w:val="24"/>
          <w:u w:val="single"/>
        </w:rPr>
        <w:t xml:space="preserve">  执行通用条款    </w:t>
      </w:r>
      <w:r>
        <w:rPr>
          <w:rFonts w:hint="eastAsia" w:ascii="仿宋" w:hAnsi="仿宋" w:eastAsia="仿宋" w:cs="仿宋"/>
          <w:sz w:val="24"/>
          <w:szCs w:val="24"/>
        </w:rPr>
        <w:t>。</w:t>
      </w:r>
    </w:p>
    <w:p w14:paraId="7A77E10C">
      <w:pPr>
        <w:pStyle w:val="28"/>
        <w:keepNext w:val="0"/>
        <w:keepLines w:val="0"/>
        <w:pageBreakBefore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仿宋" w:hAnsi="仿宋" w:eastAsia="仿宋" w:cs="仿宋"/>
          <w:sz w:val="24"/>
          <w:szCs w:val="24"/>
        </w:rPr>
      </w:pPr>
      <w:bookmarkStart w:id="207" w:name="_Toc422322547"/>
      <w:bookmarkStart w:id="208" w:name="_Toc419045121"/>
      <w:r>
        <w:rPr>
          <w:rFonts w:hint="eastAsia" w:ascii="仿宋" w:hAnsi="仿宋" w:eastAsia="仿宋" w:cs="仿宋"/>
          <w:sz w:val="24"/>
          <w:szCs w:val="24"/>
        </w:rPr>
        <w:t>7. 争议解决</w:t>
      </w:r>
      <w:bookmarkEnd w:id="207"/>
      <w:bookmarkEnd w:id="208"/>
    </w:p>
    <w:p w14:paraId="685F367D">
      <w:pPr>
        <w:keepNext w:val="0"/>
        <w:keepLines w:val="0"/>
        <w:pageBreakBefore w:val="0"/>
        <w:kinsoku/>
        <w:wordWrap/>
        <w:overflowPunct/>
        <w:topLinePunct w:val="0"/>
        <w:autoSpaceDE/>
        <w:autoSpaceDN/>
        <w:bidi w:val="0"/>
        <w:adjustRightInd/>
        <w:snapToGrid/>
        <w:spacing w:line="360" w:lineRule="auto"/>
        <w:ind w:left="0" w:leftChars="0" w:firstLine="480"/>
        <w:textAlignment w:val="auto"/>
        <w:outlineLvl w:val="9"/>
        <w:rPr>
          <w:rStyle w:val="55"/>
          <w:rFonts w:hint="eastAsia" w:ascii="仿宋" w:hAnsi="仿宋" w:eastAsia="仿宋" w:cs="仿宋"/>
          <w:b w:val="0"/>
          <w:sz w:val="24"/>
          <w:szCs w:val="24"/>
          <w:lang w:eastAsia="zh-CN"/>
        </w:rPr>
      </w:pPr>
      <w:bookmarkStart w:id="209" w:name="_Toc422322548"/>
      <w:bookmarkStart w:id="210" w:name="_Toc419045122"/>
      <w:bookmarkStart w:id="211" w:name="_Toc29287"/>
      <w:r>
        <w:rPr>
          <w:rStyle w:val="55"/>
          <w:rFonts w:hint="eastAsia" w:ascii="仿宋" w:hAnsi="仿宋" w:eastAsia="仿宋" w:cs="仿宋"/>
          <w:b w:val="0"/>
          <w:sz w:val="24"/>
          <w:szCs w:val="24"/>
        </w:rPr>
        <w:t>7.2调解</w:t>
      </w:r>
      <w:bookmarkEnd w:id="209"/>
      <w:bookmarkEnd w:id="210"/>
    </w:p>
    <w:bookmarkEnd w:id="211"/>
    <w:p w14:paraId="7CA3BB87">
      <w:pPr>
        <w:keepNext w:val="0"/>
        <w:keepLines w:val="0"/>
        <w:pageBreakBefore w:val="0"/>
        <w:kinsoku/>
        <w:wordWrap/>
        <w:overflowPunct/>
        <w:topLinePunct w:val="0"/>
        <w:autoSpaceDE/>
        <w:autoSpaceDN/>
        <w:bidi w:val="0"/>
        <w:adjustRightInd/>
        <w:snapToGrid/>
        <w:spacing w:line="360" w:lineRule="auto"/>
        <w:ind w:left="0" w:leftChars="0" w:firstLine="480"/>
        <w:textAlignment w:val="auto"/>
        <w:outlineLvl w:val="9"/>
        <w:rPr>
          <w:rStyle w:val="55"/>
          <w:rFonts w:hint="eastAsia" w:ascii="仿宋" w:hAnsi="仿宋" w:eastAsia="仿宋" w:cs="仿宋"/>
          <w:b w:val="0"/>
          <w:bCs w:val="0"/>
          <w:kern w:val="0"/>
          <w:sz w:val="24"/>
          <w:szCs w:val="24"/>
        </w:rPr>
      </w:pPr>
      <w:r>
        <w:rPr>
          <w:rFonts w:hint="eastAsia" w:ascii="仿宋" w:hAnsi="仿宋" w:eastAsia="仿宋" w:cs="仿宋"/>
          <w:sz w:val="24"/>
          <w:szCs w:val="24"/>
        </w:rPr>
        <w:t>如果双方不能在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日内解决本合同争议，可以将其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进行调解。</w:t>
      </w:r>
    </w:p>
    <w:p w14:paraId="6F396A79">
      <w:pPr>
        <w:pStyle w:val="25"/>
        <w:keepNext w:val="0"/>
        <w:keepLines w:val="0"/>
        <w:pageBreakBefore w:val="0"/>
        <w:kinsoku/>
        <w:wordWrap/>
        <w:overflowPunct/>
        <w:topLinePunct w:val="0"/>
        <w:autoSpaceDE/>
        <w:autoSpaceDN/>
        <w:bidi w:val="0"/>
        <w:adjustRightInd/>
        <w:snapToGrid/>
        <w:spacing w:before="0" w:line="360" w:lineRule="auto"/>
        <w:ind w:left="0" w:leftChars="0" w:firstLine="480" w:firstLineChars="200"/>
        <w:jc w:val="left"/>
        <w:textAlignment w:val="auto"/>
        <w:outlineLvl w:val="9"/>
        <w:rPr>
          <w:rFonts w:hint="eastAsia" w:ascii="仿宋" w:hAnsi="仿宋" w:eastAsia="仿宋" w:cs="仿宋"/>
          <w:b w:val="0"/>
          <w:sz w:val="24"/>
          <w:szCs w:val="24"/>
        </w:rPr>
      </w:pPr>
      <w:bookmarkStart w:id="212" w:name="_Toc422322549"/>
      <w:r>
        <w:rPr>
          <w:rFonts w:hint="eastAsia" w:ascii="仿宋" w:hAnsi="仿宋" w:eastAsia="仿宋" w:cs="仿宋"/>
          <w:b w:val="0"/>
          <w:sz w:val="24"/>
          <w:szCs w:val="24"/>
        </w:rPr>
        <w:t>7.3仲裁或诉讼</w:t>
      </w:r>
      <w:bookmarkEnd w:id="212"/>
    </w:p>
    <w:p w14:paraId="66A3049C">
      <w:pPr>
        <w:keepNext w:val="0"/>
        <w:keepLines w:val="0"/>
        <w:pageBreakBefore w:val="0"/>
        <w:kinsoku/>
        <w:wordWrap/>
        <w:overflowPunct/>
        <w:topLinePunct w:val="0"/>
        <w:autoSpaceDE/>
        <w:autoSpaceDN/>
        <w:bidi w:val="0"/>
        <w:adjustRightInd/>
        <w:snapToGrid/>
        <w:spacing w:line="360" w:lineRule="auto"/>
        <w:ind w:left="0" w:leftChars="0" w:firstLine="48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合同争议的最终解决方式为下列第</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w:t>
      </w:r>
      <w:r>
        <w:rPr>
          <w:rFonts w:hint="eastAsia" w:ascii="仿宋" w:hAnsi="仿宋" w:eastAsia="仿宋" w:cs="仿宋"/>
          <w:sz w:val="24"/>
          <w:szCs w:val="24"/>
        </w:rPr>
        <w:t>种方式：</w:t>
      </w:r>
    </w:p>
    <w:p w14:paraId="04E08815">
      <w:pPr>
        <w:keepNext w:val="0"/>
        <w:keepLines w:val="0"/>
        <w:pageBreakBefore w:val="0"/>
        <w:kinsoku/>
        <w:wordWrap/>
        <w:overflowPunct/>
        <w:topLinePunct w:val="0"/>
        <w:autoSpaceDE/>
        <w:autoSpaceDN/>
        <w:bidi w:val="0"/>
        <w:adjustRightInd/>
        <w:snapToGrid/>
        <w:spacing w:line="360" w:lineRule="auto"/>
        <w:ind w:left="0" w:leftChars="0" w:firstLine="48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 xml:space="preserve">   （1）提请／仲裁委员会进行仲裁。</w:t>
      </w:r>
    </w:p>
    <w:p w14:paraId="680A454B">
      <w:pPr>
        <w:keepNext w:val="0"/>
        <w:keepLines w:val="0"/>
        <w:pageBreakBefore w:val="0"/>
        <w:kinsoku/>
        <w:wordWrap/>
        <w:overflowPunct/>
        <w:topLinePunct w:val="0"/>
        <w:autoSpaceDE/>
        <w:autoSpaceDN/>
        <w:bidi w:val="0"/>
        <w:adjustRightInd/>
        <w:snapToGrid/>
        <w:spacing w:line="360" w:lineRule="auto"/>
        <w:ind w:left="0" w:leftChars="0" w:firstLine="48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委托人所在地</w:t>
      </w:r>
      <w:r>
        <w:rPr>
          <w:rFonts w:hint="eastAsia" w:ascii="仿宋" w:hAnsi="仿宋" w:eastAsia="仿宋" w:cs="仿宋"/>
          <w:sz w:val="24"/>
          <w:szCs w:val="24"/>
          <w:u w:val="single"/>
        </w:rPr>
        <w:t xml:space="preserve">  </w:t>
      </w:r>
      <w:r>
        <w:rPr>
          <w:rFonts w:hint="eastAsia" w:ascii="仿宋" w:hAnsi="仿宋" w:eastAsia="仿宋" w:cs="仿宋"/>
          <w:sz w:val="24"/>
          <w:szCs w:val="24"/>
        </w:rPr>
        <w:t>人民法院提起诉讼。</w:t>
      </w:r>
    </w:p>
    <w:p w14:paraId="19EE7F17">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outlineLvl w:val="9"/>
        <w:rPr>
          <w:rStyle w:val="55"/>
          <w:rFonts w:hint="eastAsia" w:ascii="仿宋" w:hAnsi="仿宋" w:eastAsia="仿宋" w:cs="仿宋"/>
          <w:b w:val="0"/>
          <w:sz w:val="24"/>
          <w:szCs w:val="24"/>
        </w:rPr>
      </w:pPr>
      <w:bookmarkStart w:id="213" w:name="_Toc422322550"/>
      <w:bookmarkStart w:id="214" w:name="_Toc419045123"/>
      <w:bookmarkStart w:id="215" w:name="_Toc26351"/>
      <w:r>
        <w:rPr>
          <w:rStyle w:val="54"/>
          <w:rFonts w:hint="eastAsia" w:ascii="仿宋" w:hAnsi="仿宋" w:eastAsia="仿宋" w:cs="仿宋"/>
          <w:sz w:val="24"/>
          <w:szCs w:val="24"/>
        </w:rPr>
        <w:t>8. 其他</w:t>
      </w:r>
      <w:bookmarkEnd w:id="213"/>
      <w:bookmarkEnd w:id="214"/>
      <w:bookmarkEnd w:id="215"/>
    </w:p>
    <w:p w14:paraId="6D703741">
      <w:pPr>
        <w:pStyle w:val="25"/>
        <w:keepNext w:val="0"/>
        <w:keepLines w:val="0"/>
        <w:pageBreakBefore w:val="0"/>
        <w:kinsoku/>
        <w:wordWrap/>
        <w:overflowPunct/>
        <w:topLinePunct w:val="0"/>
        <w:autoSpaceDE/>
        <w:autoSpaceDN/>
        <w:bidi w:val="0"/>
        <w:adjustRightInd/>
        <w:snapToGrid/>
        <w:spacing w:before="0" w:line="360" w:lineRule="auto"/>
        <w:ind w:left="0" w:leftChars="0" w:firstLine="480" w:firstLineChars="200"/>
        <w:jc w:val="left"/>
        <w:textAlignment w:val="auto"/>
        <w:outlineLvl w:val="9"/>
        <w:rPr>
          <w:rFonts w:hint="eastAsia" w:ascii="仿宋" w:hAnsi="仿宋" w:eastAsia="仿宋" w:cs="仿宋"/>
          <w:b w:val="0"/>
          <w:sz w:val="24"/>
          <w:szCs w:val="24"/>
        </w:rPr>
      </w:pPr>
      <w:bookmarkStart w:id="216" w:name="_Toc422322551"/>
      <w:r>
        <w:rPr>
          <w:rFonts w:hint="eastAsia" w:ascii="仿宋" w:hAnsi="仿宋" w:eastAsia="仿宋" w:cs="仿宋"/>
          <w:b w:val="0"/>
          <w:sz w:val="24"/>
          <w:szCs w:val="24"/>
        </w:rPr>
        <w:t>8.1考察及相关费用</w:t>
      </w:r>
      <w:bookmarkEnd w:id="216"/>
    </w:p>
    <w:p w14:paraId="427704E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咨询人经委托人同意进行考察发生的费用由</w:t>
      </w:r>
      <w:r>
        <w:rPr>
          <w:rFonts w:hint="eastAsia" w:ascii="仿宋" w:hAnsi="仿宋" w:eastAsia="仿宋" w:cs="仿宋"/>
          <w:sz w:val="24"/>
          <w:szCs w:val="24"/>
          <w:u w:val="single"/>
        </w:rPr>
        <w:t xml:space="preserve">  委托人  </w:t>
      </w:r>
      <w:r>
        <w:rPr>
          <w:rFonts w:hint="eastAsia" w:ascii="仿宋" w:hAnsi="仿宋" w:eastAsia="仿宋" w:cs="仿宋"/>
          <w:sz w:val="24"/>
          <w:szCs w:val="24"/>
        </w:rPr>
        <w:t>支付。</w:t>
      </w:r>
    </w:p>
    <w:p w14:paraId="124F4BA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Style w:val="55"/>
          <w:rFonts w:hint="eastAsia" w:ascii="仿宋" w:hAnsi="仿宋" w:eastAsia="仿宋" w:cs="仿宋"/>
          <w:b w:val="0"/>
          <w:sz w:val="24"/>
          <w:szCs w:val="24"/>
        </w:rPr>
      </w:pPr>
      <w:r>
        <w:rPr>
          <w:rFonts w:hint="eastAsia" w:ascii="仿宋" w:hAnsi="仿宋" w:eastAsia="仿宋" w:cs="仿宋"/>
          <w:sz w:val="24"/>
          <w:szCs w:val="24"/>
        </w:rPr>
        <w:t>差旅费及相关费用的支付：</w:t>
      </w:r>
      <w:r>
        <w:rPr>
          <w:rFonts w:hint="eastAsia" w:ascii="仿宋" w:hAnsi="仿宋" w:eastAsia="仿宋" w:cs="仿宋"/>
          <w:sz w:val="24"/>
          <w:szCs w:val="24"/>
          <w:u w:val="single"/>
        </w:rPr>
        <w:t>实报实销     。</w:t>
      </w:r>
      <w:r>
        <w:rPr>
          <w:rFonts w:hint="eastAsia" w:ascii="仿宋" w:hAnsi="仿宋" w:eastAsia="仿宋" w:cs="仿宋"/>
          <w:sz w:val="24"/>
          <w:szCs w:val="24"/>
        </w:rPr>
        <w:t xml:space="preserve">          </w:t>
      </w:r>
    </w:p>
    <w:p w14:paraId="3961EEEB">
      <w:pPr>
        <w:pStyle w:val="25"/>
        <w:keepNext w:val="0"/>
        <w:keepLines w:val="0"/>
        <w:pageBreakBefore w:val="0"/>
        <w:kinsoku/>
        <w:wordWrap/>
        <w:overflowPunct/>
        <w:topLinePunct w:val="0"/>
        <w:autoSpaceDE/>
        <w:autoSpaceDN/>
        <w:bidi w:val="0"/>
        <w:adjustRightInd/>
        <w:snapToGrid/>
        <w:spacing w:before="0" w:line="360" w:lineRule="auto"/>
        <w:ind w:left="0" w:leftChars="0" w:firstLine="480" w:firstLineChars="200"/>
        <w:jc w:val="left"/>
        <w:textAlignment w:val="auto"/>
        <w:outlineLvl w:val="9"/>
        <w:rPr>
          <w:rFonts w:hint="eastAsia" w:ascii="仿宋" w:hAnsi="仿宋" w:eastAsia="仿宋" w:cs="仿宋"/>
          <w:b w:val="0"/>
          <w:sz w:val="24"/>
          <w:szCs w:val="24"/>
        </w:rPr>
      </w:pPr>
      <w:bookmarkStart w:id="217" w:name="_Toc422322552"/>
      <w:r>
        <w:rPr>
          <w:rFonts w:hint="eastAsia" w:ascii="仿宋" w:hAnsi="仿宋" w:eastAsia="仿宋" w:cs="仿宋"/>
          <w:b w:val="0"/>
          <w:sz w:val="24"/>
          <w:szCs w:val="24"/>
        </w:rPr>
        <w:t>8.2奖励</w:t>
      </w:r>
      <w:bookmarkEnd w:id="217"/>
    </w:p>
    <w:p w14:paraId="5AEF1F3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Style w:val="55"/>
          <w:rFonts w:hint="eastAsia" w:ascii="仿宋" w:hAnsi="仿宋" w:eastAsia="仿宋" w:cs="仿宋"/>
          <w:b w:val="0"/>
          <w:sz w:val="24"/>
          <w:szCs w:val="24"/>
        </w:rPr>
      </w:pPr>
      <w:r>
        <w:rPr>
          <w:rFonts w:hint="eastAsia" w:ascii="仿宋" w:hAnsi="仿宋" w:eastAsia="仿宋" w:cs="仿宋"/>
          <w:sz w:val="24"/>
          <w:szCs w:val="24"/>
        </w:rPr>
        <w:t>合理化建议的奖励金额按下列方法确定：</w:t>
      </w:r>
      <w:r>
        <w:rPr>
          <w:rFonts w:hint="eastAsia" w:ascii="仿宋" w:hAnsi="仿宋" w:eastAsia="仿宋" w:cs="仿宋"/>
          <w:sz w:val="24"/>
          <w:szCs w:val="24"/>
          <w:u w:val="single"/>
        </w:rPr>
        <w:t xml:space="preserve">  执行通用条款    </w:t>
      </w:r>
      <w:r>
        <w:rPr>
          <w:rFonts w:hint="eastAsia" w:ascii="仿宋" w:hAnsi="仿宋" w:eastAsia="仿宋" w:cs="仿宋"/>
          <w:sz w:val="24"/>
          <w:szCs w:val="24"/>
        </w:rPr>
        <w:t xml:space="preserve">。 </w:t>
      </w:r>
    </w:p>
    <w:p w14:paraId="4D3B014A">
      <w:pPr>
        <w:pStyle w:val="25"/>
        <w:keepNext w:val="0"/>
        <w:keepLines w:val="0"/>
        <w:pageBreakBefore w:val="0"/>
        <w:kinsoku/>
        <w:wordWrap/>
        <w:overflowPunct/>
        <w:topLinePunct w:val="0"/>
        <w:autoSpaceDE/>
        <w:autoSpaceDN/>
        <w:bidi w:val="0"/>
        <w:adjustRightInd/>
        <w:snapToGrid/>
        <w:spacing w:before="0" w:line="360" w:lineRule="auto"/>
        <w:ind w:left="0" w:leftChars="0" w:firstLine="480" w:firstLineChars="200"/>
        <w:jc w:val="left"/>
        <w:textAlignment w:val="auto"/>
        <w:outlineLvl w:val="9"/>
        <w:rPr>
          <w:rFonts w:hint="eastAsia" w:ascii="仿宋" w:hAnsi="仿宋" w:eastAsia="仿宋" w:cs="仿宋"/>
          <w:b w:val="0"/>
          <w:sz w:val="24"/>
          <w:szCs w:val="24"/>
        </w:rPr>
      </w:pPr>
      <w:bookmarkStart w:id="218" w:name="_Toc422322553"/>
      <w:r>
        <w:rPr>
          <w:rFonts w:hint="eastAsia" w:ascii="仿宋" w:hAnsi="仿宋" w:eastAsia="仿宋" w:cs="仿宋"/>
          <w:b w:val="0"/>
          <w:sz w:val="24"/>
          <w:szCs w:val="24"/>
        </w:rPr>
        <w:t>8.3保密</w:t>
      </w:r>
      <w:bookmarkEnd w:id="218"/>
    </w:p>
    <w:p w14:paraId="0D0F6632">
      <w:pPr>
        <w:keepNext w:val="0"/>
        <w:keepLines w:val="0"/>
        <w:pageBreakBefore w:val="0"/>
        <w:kinsoku/>
        <w:wordWrap/>
        <w:overflowPunct/>
        <w:topLinePunct w:val="0"/>
        <w:autoSpaceDE/>
        <w:autoSpaceDN/>
        <w:bidi w:val="0"/>
        <w:adjustRightInd/>
        <w:snapToGrid/>
        <w:spacing w:line="360" w:lineRule="auto"/>
        <w:ind w:left="0" w:leftChars="0" w:firstLine="360" w:firstLineChars="15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委托人申明的保密事项和期限：</w:t>
      </w:r>
      <w:r>
        <w:rPr>
          <w:rFonts w:hint="eastAsia" w:ascii="仿宋" w:hAnsi="仿宋" w:eastAsia="仿宋" w:cs="仿宋"/>
          <w:sz w:val="24"/>
          <w:szCs w:val="24"/>
          <w:u w:val="single"/>
        </w:rPr>
        <w:t xml:space="preserve">  执行通用条款    </w:t>
      </w:r>
      <w:r>
        <w:rPr>
          <w:rFonts w:hint="eastAsia" w:ascii="仿宋" w:hAnsi="仿宋" w:eastAsia="仿宋" w:cs="仿宋"/>
          <w:sz w:val="24"/>
          <w:szCs w:val="24"/>
        </w:rPr>
        <w:t xml:space="preserve">。 </w:t>
      </w:r>
    </w:p>
    <w:p w14:paraId="21332827">
      <w:pPr>
        <w:keepNext w:val="0"/>
        <w:keepLines w:val="0"/>
        <w:pageBreakBefore w:val="0"/>
        <w:kinsoku/>
        <w:wordWrap/>
        <w:overflowPunct/>
        <w:topLinePunct w:val="0"/>
        <w:autoSpaceDE/>
        <w:autoSpaceDN/>
        <w:bidi w:val="0"/>
        <w:adjustRightInd/>
        <w:snapToGrid/>
        <w:spacing w:line="360" w:lineRule="auto"/>
        <w:ind w:left="0" w:leftChars="0" w:firstLine="360" w:firstLineChars="15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 xml:space="preserve"> 咨询人申明的保密事项和期限：</w:t>
      </w:r>
      <w:r>
        <w:rPr>
          <w:rFonts w:hint="eastAsia" w:ascii="仿宋" w:hAnsi="仿宋" w:eastAsia="仿宋" w:cs="仿宋"/>
          <w:sz w:val="24"/>
          <w:szCs w:val="24"/>
          <w:u w:val="single"/>
        </w:rPr>
        <w:t xml:space="preserve">  执行通用条款    </w:t>
      </w:r>
      <w:r>
        <w:rPr>
          <w:rFonts w:hint="eastAsia" w:ascii="仿宋" w:hAnsi="仿宋" w:eastAsia="仿宋" w:cs="仿宋"/>
          <w:sz w:val="24"/>
          <w:szCs w:val="24"/>
        </w:rPr>
        <w:t xml:space="preserve">。             </w:t>
      </w:r>
    </w:p>
    <w:p w14:paraId="7F5F68C7">
      <w:pPr>
        <w:keepNext w:val="0"/>
        <w:keepLines w:val="0"/>
        <w:pageBreakBefore w:val="0"/>
        <w:kinsoku/>
        <w:wordWrap/>
        <w:overflowPunct/>
        <w:topLinePunct w:val="0"/>
        <w:autoSpaceDE/>
        <w:autoSpaceDN/>
        <w:bidi w:val="0"/>
        <w:adjustRightInd/>
        <w:snapToGrid/>
        <w:spacing w:line="360" w:lineRule="auto"/>
        <w:ind w:left="0" w:leftChars="0" w:firstLine="360" w:firstLineChars="15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第三人申明的保密事项和期限：</w:t>
      </w:r>
      <w:r>
        <w:rPr>
          <w:rFonts w:hint="eastAsia" w:ascii="仿宋" w:hAnsi="仿宋" w:eastAsia="仿宋" w:cs="仿宋"/>
          <w:sz w:val="24"/>
          <w:szCs w:val="24"/>
          <w:u w:val="single"/>
        </w:rPr>
        <w:t xml:space="preserve">  执行通用条款    </w:t>
      </w:r>
      <w:r>
        <w:rPr>
          <w:rFonts w:hint="eastAsia" w:ascii="仿宋" w:hAnsi="仿宋" w:eastAsia="仿宋" w:cs="仿宋"/>
          <w:sz w:val="24"/>
          <w:szCs w:val="24"/>
        </w:rPr>
        <w:t xml:space="preserve">。 </w:t>
      </w:r>
    </w:p>
    <w:p w14:paraId="2EC6FD06">
      <w:pPr>
        <w:keepNext w:val="0"/>
        <w:keepLines w:val="0"/>
        <w:pageBreakBefore w:val="0"/>
        <w:kinsoku/>
        <w:wordWrap/>
        <w:overflowPunct/>
        <w:topLinePunct w:val="0"/>
        <w:autoSpaceDE/>
        <w:autoSpaceDN/>
        <w:bidi w:val="0"/>
        <w:adjustRightInd/>
        <w:snapToGrid/>
        <w:spacing w:line="360" w:lineRule="auto"/>
        <w:ind w:left="0" w:leftChars="0" w:firstLine="360" w:firstLineChars="150"/>
        <w:textAlignment w:val="auto"/>
        <w:outlineLvl w:val="9"/>
        <w:rPr>
          <w:rFonts w:hint="eastAsia" w:ascii="仿宋" w:hAnsi="仿宋" w:eastAsia="仿宋" w:cs="仿宋"/>
          <w:bCs/>
          <w:kern w:val="28"/>
          <w:sz w:val="24"/>
          <w:szCs w:val="24"/>
        </w:rPr>
      </w:pPr>
      <w:bookmarkStart w:id="219" w:name="_Toc422322554"/>
      <w:bookmarkStart w:id="220" w:name="_Toc861"/>
      <w:r>
        <w:rPr>
          <w:rStyle w:val="55"/>
          <w:rFonts w:hint="eastAsia" w:ascii="仿宋" w:hAnsi="仿宋" w:eastAsia="仿宋" w:cs="仿宋"/>
          <w:b w:val="0"/>
          <w:sz w:val="24"/>
          <w:szCs w:val="24"/>
        </w:rPr>
        <w:t>8.4联络</w:t>
      </w:r>
      <w:bookmarkEnd w:id="219"/>
      <w:bookmarkEnd w:id="220"/>
    </w:p>
    <w:p w14:paraId="6643BB3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8.4.1任何一方与合同有关的通知、指示、要求、决定等，均应在</w:t>
      </w:r>
      <w:r>
        <w:rPr>
          <w:rFonts w:hint="eastAsia" w:ascii="仿宋" w:hAnsi="仿宋" w:eastAsia="仿宋" w:cs="仿宋"/>
          <w:sz w:val="24"/>
          <w:szCs w:val="24"/>
          <w:u w:val="single"/>
        </w:rPr>
        <w:t xml:space="preserve">  七  </w:t>
      </w:r>
      <w:r>
        <w:rPr>
          <w:rFonts w:hint="eastAsia" w:ascii="仿宋" w:hAnsi="仿宋" w:eastAsia="仿宋" w:cs="仿宋"/>
          <w:sz w:val="24"/>
          <w:szCs w:val="24"/>
        </w:rPr>
        <w:t>日内送达对方指定的接收人和送达地点。</w:t>
      </w:r>
    </w:p>
    <w:p w14:paraId="32D91F6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8.4.2委托人指定的送达接收人：</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u w:val="single"/>
          <w:lang w:val="en-US" w:eastAsia="zh-CN"/>
        </w:rPr>
        <w:t>刘峰</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sz w:val="24"/>
          <w:szCs w:val="24"/>
        </w:rPr>
        <w:t xml:space="preserve"> </w:t>
      </w:r>
    </w:p>
    <w:p w14:paraId="0F59A2D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咨询人指定的送达接收人：</w:t>
      </w:r>
      <w:r>
        <w:rPr>
          <w:rFonts w:hint="eastAsia" w:ascii="仿宋" w:hAnsi="仿宋" w:eastAsia="仿宋" w:cs="仿宋"/>
          <w:color w:val="000000"/>
          <w:sz w:val="24"/>
          <w:szCs w:val="24"/>
          <w:u w:val="single"/>
          <w:vertAlign w:val="superscript"/>
          <w:lang w:val="en-US" w:eastAsia="zh-CN"/>
        </w:rPr>
        <w:t xml:space="preserve">       </w:t>
      </w:r>
      <w:r>
        <w:rPr>
          <w:rFonts w:hint="eastAsia" w:ascii="仿宋" w:hAnsi="仿宋" w:eastAsia="仿宋" w:cs="仿宋"/>
          <w:sz w:val="24"/>
          <w:szCs w:val="24"/>
        </w:rPr>
        <w:t>。</w:t>
      </w:r>
    </w:p>
    <w:p w14:paraId="312FAC9D">
      <w:pPr>
        <w:keepNext w:val="0"/>
        <w:keepLines w:val="0"/>
        <w:pageBreakBefore w:val="0"/>
        <w:kinsoku/>
        <w:wordWrap/>
        <w:overflowPunct/>
        <w:topLinePunct w:val="0"/>
        <w:autoSpaceDE/>
        <w:autoSpaceDN/>
        <w:bidi w:val="0"/>
        <w:adjustRightInd/>
        <w:snapToGrid/>
        <w:spacing w:line="360" w:lineRule="auto"/>
        <w:ind w:left="0" w:leftChars="0" w:firstLine="360" w:firstLineChars="150"/>
        <w:textAlignment w:val="auto"/>
        <w:outlineLvl w:val="9"/>
        <w:rPr>
          <w:rStyle w:val="55"/>
          <w:rFonts w:hint="eastAsia" w:ascii="仿宋" w:hAnsi="仿宋" w:eastAsia="仿宋" w:cs="仿宋"/>
          <w:b w:val="0"/>
          <w:sz w:val="24"/>
          <w:szCs w:val="24"/>
        </w:rPr>
      </w:pPr>
      <w:bookmarkStart w:id="221" w:name="_Toc422322555"/>
      <w:bookmarkStart w:id="222" w:name="_Toc419045124"/>
      <w:bookmarkStart w:id="223" w:name="_Toc7152"/>
      <w:r>
        <w:rPr>
          <w:rStyle w:val="55"/>
          <w:rFonts w:hint="eastAsia" w:ascii="仿宋" w:hAnsi="仿宋" w:eastAsia="仿宋" w:cs="仿宋"/>
          <w:b w:val="0"/>
          <w:sz w:val="24"/>
          <w:szCs w:val="24"/>
        </w:rPr>
        <w:t>8.5知识产权</w:t>
      </w:r>
      <w:bookmarkEnd w:id="221"/>
      <w:bookmarkEnd w:id="222"/>
    </w:p>
    <w:bookmarkEnd w:id="223"/>
    <w:p w14:paraId="733EB85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委托人提供给咨询人的图纸、委托人为实施工程自行编制或委托编制的技术规范以及反映委托人要求的或其他类似性质文件的著作权属于</w:t>
      </w:r>
      <w:r>
        <w:rPr>
          <w:rFonts w:hint="eastAsia" w:ascii="仿宋" w:hAnsi="仿宋" w:eastAsia="仿宋" w:cs="仿宋"/>
          <w:sz w:val="24"/>
          <w:szCs w:val="24"/>
          <w:u w:val="single"/>
        </w:rPr>
        <w:t xml:space="preserve">  委托人  </w:t>
      </w:r>
      <w:r>
        <w:rPr>
          <w:rFonts w:hint="eastAsia" w:ascii="仿宋" w:hAnsi="仿宋" w:eastAsia="仿宋" w:cs="仿宋"/>
          <w:sz w:val="24"/>
          <w:szCs w:val="24"/>
        </w:rPr>
        <w:t>。</w:t>
      </w:r>
    </w:p>
    <w:p w14:paraId="51ACFA9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咨询人为履行本合同约定而编制的成果文件，其著作权属于</w:t>
      </w:r>
      <w:r>
        <w:rPr>
          <w:rFonts w:hint="eastAsia" w:ascii="仿宋" w:hAnsi="仿宋" w:eastAsia="仿宋" w:cs="仿宋"/>
          <w:sz w:val="24"/>
          <w:szCs w:val="24"/>
          <w:u w:val="single"/>
          <w:lang w:val="en-US" w:eastAsia="zh-CN"/>
        </w:rPr>
        <w:t>委托</w:t>
      </w:r>
      <w:r>
        <w:rPr>
          <w:rFonts w:hint="eastAsia" w:ascii="仿宋" w:hAnsi="仿宋" w:eastAsia="仿宋" w:cs="仿宋"/>
          <w:sz w:val="24"/>
          <w:szCs w:val="24"/>
          <w:u w:val="single"/>
        </w:rPr>
        <w:t xml:space="preserve">人 </w:t>
      </w:r>
      <w:r>
        <w:rPr>
          <w:rFonts w:hint="eastAsia" w:ascii="仿宋" w:hAnsi="仿宋" w:eastAsia="仿宋" w:cs="仿宋"/>
          <w:sz w:val="24"/>
          <w:szCs w:val="24"/>
        </w:rPr>
        <w:t>。</w:t>
      </w:r>
    </w:p>
    <w:p w14:paraId="2B8462F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双方将履行本合同形成的有关成果文件用于企业宣传、申报奖项以及接受上级主管部门的检查须遵守以下约定：</w:t>
      </w:r>
      <w:bookmarkStart w:id="224" w:name="_Toc422322556"/>
      <w:bookmarkStart w:id="225" w:name="_Toc419045125"/>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需经委托人书面同意后方可用于企业宣传、申报奖项以及接受上级主管部门的检查</w:t>
      </w:r>
    </w:p>
    <w:p w14:paraId="7FA4B70C">
      <w:pPr>
        <w:keepNext w:val="0"/>
        <w:keepLines w:val="0"/>
        <w:pageBreakBefore w:val="0"/>
        <w:numPr>
          <w:ilvl w:val="0"/>
          <w:numId w:val="13"/>
        </w:numPr>
        <w:kinsoku/>
        <w:wordWrap/>
        <w:overflowPunct/>
        <w:topLinePunct w:val="0"/>
        <w:autoSpaceDE/>
        <w:autoSpaceDN/>
        <w:bidi w:val="0"/>
        <w:adjustRightInd/>
        <w:snapToGrid/>
        <w:spacing w:line="360" w:lineRule="auto"/>
        <w:ind w:left="0" w:leftChars="0" w:firstLine="472" w:firstLineChars="196"/>
        <w:textAlignment w:val="auto"/>
        <w:outlineLvl w:val="9"/>
        <w:rPr>
          <w:rStyle w:val="54"/>
          <w:rFonts w:hint="eastAsia" w:ascii="仿宋" w:hAnsi="仿宋" w:eastAsia="仿宋" w:cs="仿宋"/>
          <w:sz w:val="24"/>
          <w:szCs w:val="24"/>
        </w:rPr>
      </w:pPr>
      <w:bookmarkStart w:id="226" w:name="_Toc13521"/>
      <w:r>
        <w:rPr>
          <w:rStyle w:val="54"/>
          <w:rFonts w:hint="eastAsia" w:ascii="仿宋" w:hAnsi="仿宋" w:eastAsia="仿宋" w:cs="仿宋"/>
          <w:sz w:val="24"/>
          <w:szCs w:val="24"/>
        </w:rPr>
        <w:t>补充条款</w:t>
      </w:r>
      <w:bookmarkEnd w:id="224"/>
      <w:bookmarkEnd w:id="225"/>
    </w:p>
    <w:bookmarkEnd w:id="226"/>
    <w:p w14:paraId="3ED499B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rPr>
      </w:pPr>
      <w:r>
        <w:rPr>
          <w:rStyle w:val="55"/>
          <w:rFonts w:hint="eastAsia" w:ascii="仿宋" w:hAnsi="仿宋" w:eastAsia="仿宋" w:cs="仿宋"/>
          <w:b w:val="0"/>
          <w:bCs w:val="0"/>
          <w:sz w:val="24"/>
          <w:szCs w:val="24"/>
          <w:u w:val="single"/>
        </w:rPr>
        <w:t xml:space="preserve"> </w:t>
      </w:r>
      <w:r>
        <w:rPr>
          <w:rFonts w:hint="eastAsia" w:ascii="仿宋" w:hAnsi="仿宋" w:eastAsia="仿宋" w:cs="仿宋"/>
          <w:sz w:val="24"/>
          <w:szCs w:val="24"/>
        </w:rPr>
        <w:t>9</w:t>
      </w:r>
      <w:r>
        <w:rPr>
          <w:rFonts w:hint="eastAsia" w:ascii="仿宋" w:hAnsi="仿宋" w:eastAsia="仿宋" w:cs="仿宋"/>
          <w:sz w:val="24"/>
          <w:szCs w:val="24"/>
          <w:lang w:val="en-US" w:eastAsia="zh-Hans"/>
        </w:rPr>
        <w:t>.</w:t>
      </w:r>
      <w:r>
        <w:rPr>
          <w:rFonts w:hint="eastAsia" w:ascii="仿宋" w:hAnsi="仿宋" w:eastAsia="仿宋" w:cs="仿宋"/>
          <w:sz w:val="24"/>
          <w:szCs w:val="24"/>
          <w:lang w:eastAsia="zh-Hans"/>
        </w:rPr>
        <w:t>1</w:t>
      </w:r>
      <w:r>
        <w:rPr>
          <w:rFonts w:hint="eastAsia" w:ascii="仿宋" w:hAnsi="仿宋" w:eastAsia="仿宋" w:cs="仿宋"/>
          <w:sz w:val="24"/>
          <w:szCs w:val="24"/>
        </w:rPr>
        <w:t>因咨询人违约，委托人为主张权利所支出的包含但不限于诉讼费、诉讼责任险费、律师费、保全费、鉴定费等全部费用由咨询人承担。</w:t>
      </w:r>
    </w:p>
    <w:p w14:paraId="1C584F6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9</w:t>
      </w:r>
      <w:r>
        <w:rPr>
          <w:rFonts w:hint="eastAsia" w:ascii="仿宋" w:hAnsi="仿宋" w:eastAsia="仿宋" w:cs="仿宋"/>
          <w:sz w:val="24"/>
          <w:szCs w:val="24"/>
          <w:lang w:val="en-US" w:eastAsia="zh-Hans"/>
        </w:rPr>
        <w:t>.</w:t>
      </w:r>
      <w:r>
        <w:rPr>
          <w:rFonts w:hint="eastAsia" w:ascii="仿宋" w:hAnsi="仿宋" w:eastAsia="仿宋" w:cs="仿宋"/>
          <w:sz w:val="24"/>
          <w:szCs w:val="24"/>
          <w:lang w:eastAsia="zh-Hans"/>
        </w:rPr>
        <w:t>2</w:t>
      </w:r>
      <w:r>
        <w:rPr>
          <w:rFonts w:hint="eastAsia" w:ascii="仿宋" w:hAnsi="仿宋" w:eastAsia="仿宋" w:cs="仿宋"/>
          <w:sz w:val="24"/>
          <w:szCs w:val="24"/>
          <w:lang w:val="en-US" w:eastAsia="zh-CN"/>
        </w:rPr>
        <w:t>本合同约定的违约金均为惩罚性违约金，</w:t>
      </w:r>
      <w:r>
        <w:rPr>
          <w:rFonts w:hint="eastAsia" w:ascii="仿宋" w:hAnsi="仿宋" w:eastAsia="仿宋" w:cs="仿宋"/>
          <w:sz w:val="24"/>
          <w:szCs w:val="24"/>
          <w:lang w:eastAsia="zh-CN"/>
        </w:rPr>
        <w:t>咨询人</w:t>
      </w:r>
      <w:r>
        <w:rPr>
          <w:rFonts w:hint="eastAsia" w:ascii="仿宋" w:hAnsi="仿宋" w:eastAsia="仿宋" w:cs="仿宋"/>
          <w:sz w:val="24"/>
          <w:szCs w:val="24"/>
          <w:lang w:val="en-US" w:eastAsia="zh-CN"/>
        </w:rPr>
        <w:t>不得以违约金过高予以减免，</w:t>
      </w:r>
      <w:r>
        <w:rPr>
          <w:rFonts w:hint="eastAsia" w:ascii="仿宋" w:hAnsi="仿宋" w:eastAsia="仿宋" w:cs="仿宋"/>
          <w:sz w:val="24"/>
          <w:szCs w:val="24"/>
          <w:lang w:eastAsia="zh-CN"/>
        </w:rPr>
        <w:t>咨询人</w:t>
      </w:r>
      <w:r>
        <w:rPr>
          <w:rFonts w:hint="eastAsia" w:ascii="仿宋" w:hAnsi="仿宋" w:eastAsia="仿宋" w:cs="仿宋"/>
          <w:sz w:val="24"/>
          <w:szCs w:val="24"/>
          <w:lang w:val="en-US" w:eastAsia="zh-CN"/>
        </w:rPr>
        <w:t>同时出现几种违约情形的，违约金可以累加。</w:t>
      </w:r>
    </w:p>
    <w:p w14:paraId="3D66B712">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仿宋" w:hAnsi="仿宋" w:eastAsia="仿宋" w:cs="仿宋"/>
          <w:sz w:val="24"/>
          <w:szCs w:val="24"/>
          <w:highlight w:val="none"/>
          <w:u w:val="none"/>
        </w:rPr>
      </w:pPr>
      <w:r>
        <w:rPr>
          <w:rFonts w:hint="eastAsia" w:ascii="仿宋" w:hAnsi="仿宋" w:eastAsia="仿宋" w:cs="仿宋"/>
          <w:b/>
          <w:bCs/>
          <w:sz w:val="24"/>
          <w:szCs w:val="24"/>
          <w:highlight w:val="none"/>
          <w:u w:val="none"/>
        </w:rPr>
        <w:t xml:space="preserve"> </w:t>
      </w:r>
      <w:r>
        <w:rPr>
          <w:rFonts w:hint="eastAsia" w:ascii="仿宋" w:hAnsi="仿宋" w:eastAsia="仿宋" w:cs="仿宋"/>
          <w:sz w:val="24"/>
          <w:szCs w:val="24"/>
          <w:highlight w:val="none"/>
          <w:u w:val="none"/>
        </w:rPr>
        <w:t>9.</w:t>
      </w: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rPr>
        <w:t>咨询人应依据合同约定，通过有效计划、组织和协调，按时完成咨询服务工作保证咨询成果文件质量；</w:t>
      </w:r>
    </w:p>
    <w:p w14:paraId="3A43EAE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9.</w:t>
      </w:r>
      <w:r>
        <w:rPr>
          <w:rFonts w:hint="eastAsia" w:ascii="仿宋" w:hAnsi="仿宋" w:eastAsia="仿宋" w:cs="仿宋"/>
          <w:sz w:val="24"/>
          <w:szCs w:val="24"/>
          <w:highlight w:val="none"/>
          <w:u w:val="none"/>
          <w:lang w:val="en-US" w:eastAsia="zh-CN"/>
        </w:rPr>
        <w:t>4</w:t>
      </w:r>
      <w:r>
        <w:rPr>
          <w:rFonts w:hint="eastAsia" w:ascii="仿宋" w:hAnsi="仿宋" w:eastAsia="仿宋" w:cs="仿宋"/>
          <w:sz w:val="24"/>
          <w:szCs w:val="24"/>
          <w:highlight w:val="none"/>
          <w:u w:val="none"/>
        </w:rPr>
        <w:t>咨询人和工程施工方窜通，损害委托人利益的，一经发现，委托人可解除本合同，委托人可扣除全部咨询工作酬金，并支付工作酬金总额10%的违约金；</w:t>
      </w:r>
    </w:p>
    <w:p w14:paraId="46B5AE3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9.</w:t>
      </w: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咨询人擅自将合同的全部或部分事务转由第三人承担，委托人可解除合同，同时咨询人应向委托人支付工作酬金总额10%的违约金，并承担损失赔偿责任；</w:t>
      </w:r>
    </w:p>
    <w:p w14:paraId="5AB5601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9.</w:t>
      </w: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u w:val="none"/>
        </w:rPr>
        <w:t>咨询人擅自更换咨询团队负责人及咨询人员的，或咨询人无正当理由拒绝更换咨询人员的，委托人有权解除合同，同时咨询人应向委托人支付工作酬金总额10%的违约金，并承担损失赔偿责任；</w:t>
      </w:r>
    </w:p>
    <w:p w14:paraId="042CA01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9.</w:t>
      </w:r>
      <w:r>
        <w:rPr>
          <w:rFonts w:hint="eastAsia" w:ascii="仿宋" w:hAnsi="仿宋" w:eastAsia="仿宋" w:cs="仿宋"/>
          <w:sz w:val="24"/>
          <w:szCs w:val="24"/>
          <w:highlight w:val="none"/>
          <w:u w:val="none"/>
          <w:lang w:val="en-US" w:eastAsia="zh-CN"/>
        </w:rPr>
        <w:t>7</w:t>
      </w:r>
      <w:r>
        <w:rPr>
          <w:rFonts w:hint="eastAsia" w:ascii="仿宋" w:hAnsi="仿宋" w:eastAsia="仿宋" w:cs="仿宋"/>
          <w:sz w:val="24"/>
          <w:szCs w:val="24"/>
          <w:highlight w:val="none"/>
          <w:u w:val="none"/>
        </w:rPr>
        <w:t>咨询人出具的咨询成果文件不真实、不准确，咨询人应承担由此造成委托人的经济损失并向委托人支付工作酬金总额10%的违约金；</w:t>
      </w:r>
    </w:p>
    <w:p w14:paraId="5905A9B2">
      <w:pPr>
        <w:keepNext w:val="0"/>
        <w:keepLines w:val="0"/>
        <w:pageBreakBefore w:val="0"/>
        <w:kinsoku/>
        <w:wordWrap/>
        <w:overflowPunct/>
        <w:topLinePunct w:val="0"/>
        <w:autoSpaceDE/>
        <w:autoSpaceDN/>
        <w:bidi w:val="0"/>
        <w:adjustRightInd/>
        <w:snapToGrid/>
        <w:spacing w:line="360" w:lineRule="auto"/>
        <w:ind w:left="0" w:leftChars="0"/>
        <w:textAlignment w:val="auto"/>
        <w:outlineLvl w:val="9"/>
        <w:rPr>
          <w:rFonts w:hint="eastAsia" w:ascii="仿宋" w:hAnsi="仿宋" w:eastAsia="仿宋" w:cs="仿宋"/>
          <w:sz w:val="24"/>
          <w:szCs w:val="24"/>
          <w:u w:val="single"/>
          <w:lang w:val="en-US" w:eastAsia="zh-CN"/>
        </w:rPr>
        <w:sectPr>
          <w:pgSz w:w="11906" w:h="16838"/>
          <w:pgMar w:top="1440" w:right="1800" w:bottom="1440" w:left="1800" w:header="851" w:footer="992" w:gutter="0"/>
          <w:pgNumType w:fmt="decimal"/>
          <w:cols w:space="720" w:num="1"/>
          <w:docGrid w:linePitch="312" w:charSpace="0"/>
        </w:sectPr>
      </w:pPr>
    </w:p>
    <w:p w14:paraId="60E438E8">
      <w:pPr>
        <w:pStyle w:val="3"/>
        <w:spacing w:before="0" w:after="0"/>
        <w:jc w:val="center"/>
        <w:rPr>
          <w:rFonts w:hint="eastAsia" w:ascii="仿宋" w:hAnsi="仿宋" w:eastAsia="仿宋" w:cs="仿宋"/>
          <w:sz w:val="24"/>
          <w:szCs w:val="24"/>
        </w:rPr>
      </w:pPr>
      <w:bookmarkStart w:id="227" w:name="_Toc422322557"/>
      <w:bookmarkStart w:id="228" w:name="_Toc419045126"/>
      <w:bookmarkStart w:id="229" w:name="_Toc32212"/>
      <w:r>
        <w:rPr>
          <w:rFonts w:hint="eastAsia" w:ascii="仿宋" w:hAnsi="仿宋" w:eastAsia="仿宋" w:cs="仿宋"/>
          <w:sz w:val="24"/>
          <w:szCs w:val="24"/>
        </w:rPr>
        <w:t>附录A 服务范围及工作内容、酬金一览表</w:t>
      </w:r>
      <w:bookmarkEnd w:id="227"/>
      <w:bookmarkEnd w:id="228"/>
      <w:bookmarkEnd w:id="229"/>
    </w:p>
    <w:tbl>
      <w:tblPr>
        <w:tblStyle w:val="30"/>
        <w:tblW w:w="14420"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2835"/>
        <w:gridCol w:w="2577"/>
        <w:gridCol w:w="1269"/>
        <w:gridCol w:w="2265"/>
        <w:gridCol w:w="2859"/>
        <w:gridCol w:w="992"/>
      </w:tblGrid>
      <w:tr w14:paraId="465A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3" w:type="dxa"/>
            <w:vMerge w:val="restart"/>
            <w:noWrap w:val="0"/>
            <w:vAlign w:val="center"/>
          </w:tcPr>
          <w:p w14:paraId="213EA9FF">
            <w:pPr>
              <w:pStyle w:val="27"/>
              <w:widowControl w:val="0"/>
              <w:spacing w:line="360" w:lineRule="auto"/>
              <w:jc w:val="center"/>
              <w:rPr>
                <w:rFonts w:hint="eastAsia" w:ascii="仿宋" w:hAnsi="仿宋" w:eastAsia="仿宋" w:cs="仿宋"/>
              </w:rPr>
            </w:pPr>
            <w:r>
              <w:rPr>
                <w:rFonts w:hint="eastAsia" w:ascii="仿宋" w:hAnsi="仿宋" w:eastAsia="仿宋" w:cs="仿宋"/>
              </w:rPr>
              <w:t>服务阶段</w:t>
            </w:r>
          </w:p>
        </w:tc>
        <w:tc>
          <w:tcPr>
            <w:tcW w:w="5412" w:type="dxa"/>
            <w:gridSpan w:val="2"/>
            <w:noWrap w:val="0"/>
            <w:vAlign w:val="center"/>
          </w:tcPr>
          <w:p w14:paraId="7F8BD8F5">
            <w:pPr>
              <w:pStyle w:val="27"/>
              <w:widowControl w:val="0"/>
              <w:spacing w:line="360" w:lineRule="auto"/>
              <w:jc w:val="center"/>
              <w:rPr>
                <w:rFonts w:hint="eastAsia" w:ascii="仿宋" w:hAnsi="仿宋" w:eastAsia="仿宋" w:cs="仿宋"/>
              </w:rPr>
            </w:pPr>
            <w:r>
              <w:rPr>
                <w:rFonts w:hint="eastAsia" w:ascii="仿宋" w:hAnsi="仿宋" w:eastAsia="仿宋" w:cs="仿宋"/>
              </w:rPr>
              <w:t>服务范围及工作内容</w:t>
            </w:r>
          </w:p>
        </w:tc>
        <w:tc>
          <w:tcPr>
            <w:tcW w:w="6393" w:type="dxa"/>
            <w:gridSpan w:val="3"/>
            <w:noWrap w:val="0"/>
            <w:vAlign w:val="top"/>
          </w:tcPr>
          <w:p w14:paraId="78370D46">
            <w:pPr>
              <w:pStyle w:val="27"/>
              <w:widowControl w:val="0"/>
              <w:spacing w:line="360" w:lineRule="auto"/>
              <w:jc w:val="center"/>
              <w:rPr>
                <w:rFonts w:hint="eastAsia" w:ascii="仿宋" w:hAnsi="仿宋" w:eastAsia="仿宋" w:cs="仿宋"/>
              </w:rPr>
            </w:pPr>
            <w:r>
              <w:rPr>
                <w:rFonts w:hint="eastAsia" w:ascii="仿宋" w:hAnsi="仿宋" w:eastAsia="仿宋" w:cs="仿宋"/>
              </w:rPr>
              <w:t>酬金</w:t>
            </w:r>
          </w:p>
        </w:tc>
        <w:tc>
          <w:tcPr>
            <w:tcW w:w="992" w:type="dxa"/>
            <w:noWrap w:val="0"/>
            <w:vAlign w:val="top"/>
          </w:tcPr>
          <w:p w14:paraId="5BFBA37D">
            <w:pPr>
              <w:pStyle w:val="27"/>
              <w:widowControl w:val="0"/>
              <w:spacing w:line="360" w:lineRule="auto"/>
              <w:jc w:val="center"/>
              <w:rPr>
                <w:rFonts w:hint="eastAsia" w:ascii="仿宋" w:hAnsi="仿宋" w:eastAsia="仿宋" w:cs="仿宋"/>
              </w:rPr>
            </w:pPr>
            <w:r>
              <w:rPr>
                <w:rFonts w:hint="eastAsia" w:ascii="仿宋" w:hAnsi="仿宋" w:eastAsia="仿宋" w:cs="仿宋"/>
              </w:rPr>
              <w:t>备注</w:t>
            </w:r>
          </w:p>
        </w:tc>
      </w:tr>
      <w:tr w14:paraId="083D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62BD6516">
            <w:pPr>
              <w:pStyle w:val="27"/>
              <w:widowControl w:val="0"/>
              <w:spacing w:line="360" w:lineRule="auto"/>
              <w:jc w:val="center"/>
              <w:rPr>
                <w:rFonts w:hint="eastAsia" w:ascii="仿宋" w:hAnsi="仿宋" w:eastAsia="仿宋" w:cs="仿宋"/>
              </w:rPr>
            </w:pPr>
          </w:p>
        </w:tc>
        <w:tc>
          <w:tcPr>
            <w:tcW w:w="2835" w:type="dxa"/>
            <w:noWrap w:val="0"/>
            <w:vAlign w:val="center"/>
          </w:tcPr>
          <w:p w14:paraId="472B30F9">
            <w:pPr>
              <w:pStyle w:val="27"/>
              <w:widowControl w:val="0"/>
              <w:spacing w:line="360" w:lineRule="auto"/>
              <w:rPr>
                <w:rFonts w:hint="eastAsia" w:ascii="仿宋" w:hAnsi="仿宋" w:eastAsia="仿宋" w:cs="仿宋"/>
              </w:rPr>
            </w:pPr>
            <w:r>
              <w:rPr>
                <w:rFonts w:hint="eastAsia" w:ascii="仿宋" w:hAnsi="仿宋" w:eastAsia="仿宋" w:cs="仿宋"/>
              </w:rPr>
              <w:t>服务范围</w:t>
            </w:r>
          </w:p>
        </w:tc>
        <w:tc>
          <w:tcPr>
            <w:tcW w:w="2577" w:type="dxa"/>
            <w:noWrap w:val="0"/>
            <w:vAlign w:val="center"/>
          </w:tcPr>
          <w:p w14:paraId="083EF221">
            <w:pPr>
              <w:pStyle w:val="27"/>
              <w:widowControl w:val="0"/>
              <w:spacing w:line="360" w:lineRule="auto"/>
              <w:jc w:val="center"/>
              <w:rPr>
                <w:rFonts w:hint="eastAsia" w:ascii="仿宋" w:hAnsi="仿宋" w:eastAsia="仿宋" w:cs="仿宋"/>
              </w:rPr>
            </w:pPr>
            <w:r>
              <w:rPr>
                <w:rFonts w:hint="eastAsia" w:ascii="仿宋" w:hAnsi="仿宋" w:eastAsia="仿宋" w:cs="仿宋"/>
              </w:rPr>
              <w:t>工作内容</w:t>
            </w:r>
          </w:p>
        </w:tc>
        <w:tc>
          <w:tcPr>
            <w:tcW w:w="1269" w:type="dxa"/>
            <w:noWrap w:val="0"/>
            <w:vAlign w:val="top"/>
          </w:tcPr>
          <w:p w14:paraId="0F3FAC7A">
            <w:pPr>
              <w:pStyle w:val="27"/>
              <w:widowControl w:val="0"/>
              <w:spacing w:line="360" w:lineRule="auto"/>
              <w:jc w:val="center"/>
              <w:rPr>
                <w:rFonts w:hint="eastAsia" w:ascii="仿宋" w:hAnsi="仿宋" w:eastAsia="仿宋" w:cs="仿宋"/>
              </w:rPr>
            </w:pPr>
            <w:r>
              <w:rPr>
                <w:rFonts w:hint="eastAsia" w:ascii="仿宋" w:hAnsi="仿宋" w:eastAsia="仿宋" w:cs="仿宋"/>
              </w:rPr>
              <w:t>收费基数</w:t>
            </w:r>
          </w:p>
        </w:tc>
        <w:tc>
          <w:tcPr>
            <w:tcW w:w="2265" w:type="dxa"/>
            <w:noWrap w:val="0"/>
            <w:vAlign w:val="top"/>
          </w:tcPr>
          <w:p w14:paraId="04062B38">
            <w:pPr>
              <w:pStyle w:val="27"/>
              <w:widowControl w:val="0"/>
              <w:spacing w:line="360" w:lineRule="auto"/>
              <w:jc w:val="center"/>
              <w:rPr>
                <w:rFonts w:hint="eastAsia" w:ascii="仿宋" w:hAnsi="仿宋" w:eastAsia="仿宋" w:cs="仿宋"/>
              </w:rPr>
            </w:pPr>
            <w:r>
              <w:rPr>
                <w:rFonts w:hint="eastAsia" w:ascii="仿宋" w:hAnsi="仿宋" w:eastAsia="仿宋" w:cs="仿宋"/>
              </w:rPr>
              <w:t>收费标准（比例）</w:t>
            </w:r>
          </w:p>
        </w:tc>
        <w:tc>
          <w:tcPr>
            <w:tcW w:w="2859" w:type="dxa"/>
            <w:noWrap w:val="0"/>
            <w:vAlign w:val="top"/>
          </w:tcPr>
          <w:p w14:paraId="1762A9E6">
            <w:pPr>
              <w:pStyle w:val="27"/>
              <w:widowControl w:val="0"/>
              <w:spacing w:line="360" w:lineRule="auto"/>
              <w:jc w:val="both"/>
              <w:rPr>
                <w:rFonts w:hint="eastAsia" w:ascii="仿宋" w:hAnsi="仿宋" w:eastAsia="仿宋" w:cs="仿宋"/>
              </w:rPr>
            </w:pPr>
            <w:r>
              <w:rPr>
                <w:rFonts w:hint="eastAsia" w:ascii="仿宋" w:hAnsi="仿宋" w:eastAsia="仿宋" w:cs="仿宋"/>
              </w:rPr>
              <w:t>酬金数额（单位：元）</w:t>
            </w:r>
          </w:p>
        </w:tc>
        <w:tc>
          <w:tcPr>
            <w:tcW w:w="992" w:type="dxa"/>
            <w:noWrap w:val="0"/>
            <w:vAlign w:val="top"/>
          </w:tcPr>
          <w:p w14:paraId="2FF39BD7">
            <w:pPr>
              <w:pStyle w:val="27"/>
              <w:widowControl w:val="0"/>
              <w:spacing w:line="360" w:lineRule="auto"/>
              <w:jc w:val="center"/>
              <w:rPr>
                <w:rFonts w:hint="eastAsia" w:ascii="仿宋" w:hAnsi="仿宋" w:eastAsia="仿宋" w:cs="仿宋"/>
              </w:rPr>
            </w:pPr>
          </w:p>
        </w:tc>
      </w:tr>
      <w:tr w14:paraId="61A0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restart"/>
            <w:noWrap w:val="0"/>
            <w:vAlign w:val="center"/>
          </w:tcPr>
          <w:p w14:paraId="0D5C8843">
            <w:pPr>
              <w:pStyle w:val="27"/>
              <w:widowControl w:val="0"/>
              <w:spacing w:line="360" w:lineRule="auto"/>
              <w:jc w:val="center"/>
              <w:rPr>
                <w:rFonts w:hint="eastAsia" w:ascii="仿宋" w:hAnsi="仿宋" w:eastAsia="仿宋" w:cs="仿宋"/>
              </w:rPr>
            </w:pPr>
            <w:r>
              <w:rPr>
                <w:rFonts w:hint="eastAsia" w:ascii="仿宋" w:hAnsi="仿宋" w:eastAsia="仿宋" w:cs="仿宋"/>
              </w:rPr>
              <w:t>决策阶段</w:t>
            </w:r>
          </w:p>
        </w:tc>
        <w:tc>
          <w:tcPr>
            <w:tcW w:w="2835" w:type="dxa"/>
            <w:noWrap w:val="0"/>
            <w:vAlign w:val="center"/>
          </w:tcPr>
          <w:p w14:paraId="145CA57C">
            <w:pPr>
              <w:widowControl w:val="0"/>
              <w:spacing w:line="360" w:lineRule="auto"/>
              <w:rPr>
                <w:rFonts w:hint="eastAsia" w:ascii="仿宋" w:hAnsi="仿宋" w:eastAsia="仿宋" w:cs="仿宋"/>
              </w:rPr>
            </w:pPr>
            <w:r>
              <w:rPr>
                <w:rFonts w:hint="eastAsia" w:ascii="仿宋" w:hAnsi="仿宋" w:eastAsia="仿宋" w:cs="仿宋"/>
              </w:rPr>
              <w:t>投资估算</w:t>
            </w:r>
          </w:p>
        </w:tc>
        <w:tc>
          <w:tcPr>
            <w:tcW w:w="2577" w:type="dxa"/>
            <w:noWrap w:val="0"/>
            <w:vAlign w:val="top"/>
          </w:tcPr>
          <w:p w14:paraId="77F566B8">
            <w:pPr>
              <w:widowControl w:val="0"/>
              <w:spacing w:line="360" w:lineRule="auto"/>
              <w:jc w:val="both"/>
              <w:rPr>
                <w:rFonts w:hint="eastAsia" w:ascii="仿宋" w:hAnsi="仿宋" w:eastAsia="仿宋" w:cs="仿宋"/>
              </w:rPr>
            </w:pPr>
            <w:r>
              <w:rPr>
                <w:rFonts w:hint="eastAsia" w:ascii="仿宋" w:hAnsi="仿宋" w:eastAsia="仿宋" w:cs="仿宋"/>
              </w:rPr>
              <w:t>□编制□审核□调整</w:t>
            </w:r>
          </w:p>
        </w:tc>
        <w:tc>
          <w:tcPr>
            <w:tcW w:w="1269" w:type="dxa"/>
            <w:noWrap w:val="0"/>
            <w:vAlign w:val="top"/>
          </w:tcPr>
          <w:p w14:paraId="70CEE4CD">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265" w:type="dxa"/>
            <w:noWrap w:val="0"/>
            <w:vAlign w:val="top"/>
          </w:tcPr>
          <w:p w14:paraId="7DE5DD7C">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859" w:type="dxa"/>
            <w:noWrap w:val="0"/>
            <w:vAlign w:val="top"/>
          </w:tcPr>
          <w:p w14:paraId="67DF6907">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992" w:type="dxa"/>
            <w:noWrap w:val="0"/>
            <w:vAlign w:val="top"/>
          </w:tcPr>
          <w:p w14:paraId="5C97B5F9">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w:t>
            </w:r>
          </w:p>
        </w:tc>
      </w:tr>
      <w:tr w14:paraId="44D9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7B87DD5A">
            <w:pPr>
              <w:pStyle w:val="27"/>
              <w:widowControl w:val="0"/>
              <w:spacing w:line="360" w:lineRule="auto"/>
              <w:jc w:val="center"/>
              <w:rPr>
                <w:rFonts w:hint="eastAsia" w:ascii="仿宋" w:hAnsi="仿宋" w:eastAsia="仿宋" w:cs="仿宋"/>
              </w:rPr>
            </w:pPr>
          </w:p>
        </w:tc>
        <w:tc>
          <w:tcPr>
            <w:tcW w:w="2835" w:type="dxa"/>
            <w:noWrap w:val="0"/>
            <w:vAlign w:val="center"/>
          </w:tcPr>
          <w:p w14:paraId="10944677">
            <w:pPr>
              <w:widowControl w:val="0"/>
              <w:spacing w:line="360" w:lineRule="auto"/>
              <w:rPr>
                <w:rFonts w:hint="eastAsia" w:ascii="仿宋" w:hAnsi="仿宋" w:eastAsia="仿宋" w:cs="仿宋"/>
              </w:rPr>
            </w:pPr>
            <w:r>
              <w:rPr>
                <w:rFonts w:hint="eastAsia" w:ascii="仿宋" w:hAnsi="仿宋" w:eastAsia="仿宋" w:cs="仿宋"/>
              </w:rPr>
              <w:t>经济评价</w:t>
            </w:r>
          </w:p>
        </w:tc>
        <w:tc>
          <w:tcPr>
            <w:tcW w:w="2577" w:type="dxa"/>
            <w:noWrap w:val="0"/>
            <w:vAlign w:val="top"/>
          </w:tcPr>
          <w:p w14:paraId="6B43B09C">
            <w:pPr>
              <w:widowControl w:val="0"/>
              <w:spacing w:line="360" w:lineRule="auto"/>
              <w:jc w:val="both"/>
              <w:rPr>
                <w:rFonts w:hint="eastAsia" w:ascii="仿宋" w:hAnsi="仿宋" w:eastAsia="仿宋" w:cs="仿宋"/>
              </w:rPr>
            </w:pPr>
            <w:r>
              <w:rPr>
                <w:rFonts w:hint="eastAsia" w:ascii="仿宋" w:hAnsi="仿宋" w:eastAsia="仿宋" w:cs="仿宋"/>
              </w:rPr>
              <w:t>□编制□审核□调整</w:t>
            </w:r>
          </w:p>
        </w:tc>
        <w:tc>
          <w:tcPr>
            <w:tcW w:w="1269" w:type="dxa"/>
            <w:noWrap w:val="0"/>
            <w:vAlign w:val="top"/>
          </w:tcPr>
          <w:p w14:paraId="104AE0B4">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265" w:type="dxa"/>
            <w:noWrap w:val="0"/>
            <w:vAlign w:val="top"/>
          </w:tcPr>
          <w:p w14:paraId="5005ED03">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859" w:type="dxa"/>
            <w:noWrap w:val="0"/>
            <w:vAlign w:val="top"/>
          </w:tcPr>
          <w:p w14:paraId="6F5DC251">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992" w:type="dxa"/>
            <w:noWrap w:val="0"/>
            <w:vAlign w:val="top"/>
          </w:tcPr>
          <w:p w14:paraId="7261769D">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w:t>
            </w:r>
          </w:p>
        </w:tc>
      </w:tr>
      <w:tr w14:paraId="1C22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4E0858DD">
            <w:pPr>
              <w:pStyle w:val="27"/>
              <w:widowControl w:val="0"/>
              <w:spacing w:line="360" w:lineRule="auto"/>
              <w:jc w:val="center"/>
              <w:rPr>
                <w:rFonts w:hint="eastAsia" w:ascii="仿宋" w:hAnsi="仿宋" w:eastAsia="仿宋" w:cs="仿宋"/>
              </w:rPr>
            </w:pPr>
          </w:p>
        </w:tc>
        <w:tc>
          <w:tcPr>
            <w:tcW w:w="2835" w:type="dxa"/>
            <w:noWrap w:val="0"/>
            <w:vAlign w:val="center"/>
          </w:tcPr>
          <w:p w14:paraId="4BD8DD9C">
            <w:pPr>
              <w:widowControl w:val="0"/>
              <w:spacing w:line="360" w:lineRule="auto"/>
              <w:rPr>
                <w:rFonts w:hint="eastAsia" w:ascii="仿宋" w:hAnsi="仿宋" w:eastAsia="仿宋" w:cs="仿宋"/>
              </w:rPr>
            </w:pPr>
            <w:r>
              <w:rPr>
                <w:rFonts w:hint="eastAsia" w:ascii="仿宋" w:hAnsi="仿宋" w:eastAsia="仿宋" w:cs="仿宋"/>
              </w:rPr>
              <w:t>其他：</w:t>
            </w:r>
          </w:p>
        </w:tc>
        <w:tc>
          <w:tcPr>
            <w:tcW w:w="2577" w:type="dxa"/>
            <w:noWrap w:val="0"/>
            <w:vAlign w:val="top"/>
          </w:tcPr>
          <w:p w14:paraId="0ABA665D">
            <w:pPr>
              <w:widowControl w:val="0"/>
              <w:spacing w:line="360" w:lineRule="auto"/>
              <w:jc w:val="both"/>
              <w:rPr>
                <w:rFonts w:hint="eastAsia" w:ascii="仿宋" w:hAnsi="仿宋" w:eastAsia="仿宋" w:cs="仿宋"/>
              </w:rPr>
            </w:pPr>
          </w:p>
        </w:tc>
        <w:tc>
          <w:tcPr>
            <w:tcW w:w="1269" w:type="dxa"/>
            <w:noWrap w:val="0"/>
            <w:vAlign w:val="top"/>
          </w:tcPr>
          <w:p w14:paraId="0696DD6B">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265" w:type="dxa"/>
            <w:noWrap w:val="0"/>
            <w:vAlign w:val="top"/>
          </w:tcPr>
          <w:p w14:paraId="1461AD1D">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859" w:type="dxa"/>
            <w:noWrap w:val="0"/>
            <w:vAlign w:val="top"/>
          </w:tcPr>
          <w:p w14:paraId="6BC6455B">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992" w:type="dxa"/>
            <w:noWrap w:val="0"/>
            <w:vAlign w:val="top"/>
          </w:tcPr>
          <w:p w14:paraId="3B0A9D3C">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w:t>
            </w:r>
          </w:p>
        </w:tc>
      </w:tr>
      <w:tr w14:paraId="544C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restart"/>
            <w:noWrap w:val="0"/>
            <w:vAlign w:val="center"/>
          </w:tcPr>
          <w:p w14:paraId="2AD36F60">
            <w:pPr>
              <w:pStyle w:val="27"/>
              <w:widowControl w:val="0"/>
              <w:spacing w:line="360" w:lineRule="auto"/>
              <w:jc w:val="center"/>
              <w:rPr>
                <w:rFonts w:hint="eastAsia" w:ascii="仿宋" w:hAnsi="仿宋" w:eastAsia="仿宋" w:cs="仿宋"/>
              </w:rPr>
            </w:pPr>
            <w:r>
              <w:rPr>
                <w:rFonts w:hint="eastAsia" w:ascii="仿宋" w:hAnsi="仿宋" w:eastAsia="仿宋" w:cs="仿宋"/>
              </w:rPr>
              <w:t>设计阶段</w:t>
            </w:r>
          </w:p>
        </w:tc>
        <w:tc>
          <w:tcPr>
            <w:tcW w:w="2835" w:type="dxa"/>
            <w:noWrap w:val="0"/>
            <w:vAlign w:val="top"/>
          </w:tcPr>
          <w:p w14:paraId="61A9E131">
            <w:pPr>
              <w:widowControl w:val="0"/>
              <w:spacing w:line="360" w:lineRule="auto"/>
              <w:jc w:val="both"/>
              <w:rPr>
                <w:rFonts w:hint="eastAsia" w:ascii="仿宋" w:hAnsi="仿宋" w:eastAsia="仿宋" w:cs="仿宋"/>
              </w:rPr>
            </w:pPr>
            <w:r>
              <w:rPr>
                <w:rFonts w:hint="eastAsia" w:ascii="仿宋" w:hAnsi="仿宋" w:eastAsia="仿宋" w:cs="仿宋"/>
              </w:rPr>
              <w:t>设计概算</w:t>
            </w:r>
          </w:p>
        </w:tc>
        <w:tc>
          <w:tcPr>
            <w:tcW w:w="2577" w:type="dxa"/>
            <w:noWrap w:val="0"/>
            <w:vAlign w:val="top"/>
          </w:tcPr>
          <w:p w14:paraId="55B43710">
            <w:pPr>
              <w:widowControl w:val="0"/>
              <w:spacing w:line="360" w:lineRule="auto"/>
              <w:jc w:val="both"/>
              <w:rPr>
                <w:rFonts w:hint="eastAsia" w:ascii="仿宋" w:hAnsi="仿宋" w:eastAsia="仿宋" w:cs="仿宋"/>
              </w:rPr>
            </w:pPr>
            <w:r>
              <w:rPr>
                <w:rFonts w:hint="eastAsia" w:ascii="仿宋" w:hAnsi="仿宋" w:eastAsia="仿宋" w:cs="仿宋"/>
              </w:rPr>
              <w:t>□编制□审核□调整</w:t>
            </w:r>
          </w:p>
        </w:tc>
        <w:tc>
          <w:tcPr>
            <w:tcW w:w="1269" w:type="dxa"/>
            <w:noWrap w:val="0"/>
            <w:vAlign w:val="top"/>
          </w:tcPr>
          <w:p w14:paraId="0A51819A">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265" w:type="dxa"/>
            <w:noWrap w:val="0"/>
            <w:vAlign w:val="top"/>
          </w:tcPr>
          <w:p w14:paraId="23070E67">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859" w:type="dxa"/>
            <w:noWrap w:val="0"/>
            <w:vAlign w:val="top"/>
          </w:tcPr>
          <w:p w14:paraId="601BC030">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992" w:type="dxa"/>
            <w:noWrap w:val="0"/>
            <w:vAlign w:val="top"/>
          </w:tcPr>
          <w:p w14:paraId="4ACEE94E">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w:t>
            </w:r>
          </w:p>
        </w:tc>
      </w:tr>
      <w:tr w14:paraId="24D1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567D20DC">
            <w:pPr>
              <w:pStyle w:val="27"/>
              <w:widowControl w:val="0"/>
              <w:spacing w:line="360" w:lineRule="auto"/>
              <w:jc w:val="center"/>
              <w:rPr>
                <w:rFonts w:hint="eastAsia" w:ascii="仿宋" w:hAnsi="仿宋" w:eastAsia="仿宋" w:cs="仿宋"/>
              </w:rPr>
            </w:pPr>
          </w:p>
        </w:tc>
        <w:tc>
          <w:tcPr>
            <w:tcW w:w="2835" w:type="dxa"/>
            <w:noWrap w:val="0"/>
            <w:vAlign w:val="top"/>
          </w:tcPr>
          <w:p w14:paraId="56021475">
            <w:pPr>
              <w:widowControl w:val="0"/>
              <w:spacing w:line="360" w:lineRule="auto"/>
              <w:jc w:val="both"/>
              <w:rPr>
                <w:rFonts w:hint="eastAsia" w:ascii="仿宋" w:hAnsi="仿宋" w:eastAsia="仿宋" w:cs="仿宋"/>
              </w:rPr>
            </w:pPr>
            <w:r>
              <w:rPr>
                <w:rFonts w:hint="eastAsia" w:ascii="仿宋" w:hAnsi="仿宋" w:eastAsia="仿宋" w:cs="仿宋"/>
              </w:rPr>
              <w:t>施工图预算</w:t>
            </w:r>
          </w:p>
        </w:tc>
        <w:tc>
          <w:tcPr>
            <w:tcW w:w="2577" w:type="dxa"/>
            <w:noWrap w:val="0"/>
            <w:vAlign w:val="top"/>
          </w:tcPr>
          <w:p w14:paraId="44C6D91E">
            <w:pPr>
              <w:widowControl w:val="0"/>
              <w:spacing w:line="360" w:lineRule="auto"/>
              <w:jc w:val="both"/>
              <w:rPr>
                <w:rFonts w:hint="eastAsia" w:ascii="仿宋" w:hAnsi="仿宋" w:eastAsia="仿宋" w:cs="仿宋"/>
              </w:rPr>
            </w:pPr>
            <w:r>
              <w:rPr>
                <w:rFonts w:hint="eastAsia" w:ascii="仿宋" w:hAnsi="仿宋" w:eastAsia="仿宋" w:cs="仿宋"/>
              </w:rPr>
              <w:t>□编制□审核□调整</w:t>
            </w:r>
          </w:p>
        </w:tc>
        <w:tc>
          <w:tcPr>
            <w:tcW w:w="1269" w:type="dxa"/>
            <w:noWrap w:val="0"/>
            <w:vAlign w:val="top"/>
          </w:tcPr>
          <w:p w14:paraId="40D1822F">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265" w:type="dxa"/>
            <w:noWrap w:val="0"/>
            <w:vAlign w:val="top"/>
          </w:tcPr>
          <w:p w14:paraId="582C6681">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859" w:type="dxa"/>
            <w:noWrap w:val="0"/>
            <w:vAlign w:val="top"/>
          </w:tcPr>
          <w:p w14:paraId="0CFE9773">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992" w:type="dxa"/>
            <w:noWrap w:val="0"/>
            <w:vAlign w:val="top"/>
          </w:tcPr>
          <w:p w14:paraId="24110B78">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w:t>
            </w:r>
          </w:p>
        </w:tc>
      </w:tr>
      <w:tr w14:paraId="7ED4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6401D847">
            <w:pPr>
              <w:pStyle w:val="27"/>
              <w:widowControl w:val="0"/>
              <w:spacing w:line="360" w:lineRule="auto"/>
              <w:jc w:val="center"/>
              <w:rPr>
                <w:rFonts w:hint="eastAsia" w:ascii="仿宋" w:hAnsi="仿宋" w:eastAsia="仿宋" w:cs="仿宋"/>
              </w:rPr>
            </w:pPr>
          </w:p>
        </w:tc>
        <w:tc>
          <w:tcPr>
            <w:tcW w:w="2835" w:type="dxa"/>
            <w:noWrap w:val="0"/>
            <w:vAlign w:val="top"/>
          </w:tcPr>
          <w:p w14:paraId="47E983B7">
            <w:pPr>
              <w:widowControl w:val="0"/>
              <w:spacing w:line="360" w:lineRule="auto"/>
              <w:jc w:val="both"/>
              <w:rPr>
                <w:rFonts w:hint="eastAsia" w:ascii="仿宋" w:hAnsi="仿宋" w:eastAsia="仿宋" w:cs="仿宋"/>
              </w:rPr>
            </w:pPr>
            <w:r>
              <w:rPr>
                <w:rFonts w:hint="eastAsia" w:ascii="仿宋" w:hAnsi="仿宋" w:eastAsia="仿宋" w:cs="仿宋"/>
              </w:rPr>
              <w:t>其他：</w:t>
            </w:r>
          </w:p>
        </w:tc>
        <w:tc>
          <w:tcPr>
            <w:tcW w:w="2577" w:type="dxa"/>
            <w:noWrap w:val="0"/>
            <w:vAlign w:val="top"/>
          </w:tcPr>
          <w:p w14:paraId="3925963F">
            <w:pPr>
              <w:widowControl w:val="0"/>
              <w:spacing w:line="360" w:lineRule="auto"/>
              <w:jc w:val="both"/>
              <w:rPr>
                <w:rFonts w:hint="eastAsia" w:ascii="仿宋" w:hAnsi="仿宋" w:eastAsia="仿宋" w:cs="仿宋"/>
              </w:rPr>
            </w:pPr>
          </w:p>
        </w:tc>
        <w:tc>
          <w:tcPr>
            <w:tcW w:w="1269" w:type="dxa"/>
            <w:noWrap w:val="0"/>
            <w:vAlign w:val="top"/>
          </w:tcPr>
          <w:p w14:paraId="142777CF">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265" w:type="dxa"/>
            <w:noWrap w:val="0"/>
            <w:vAlign w:val="top"/>
          </w:tcPr>
          <w:p w14:paraId="68F42311">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859" w:type="dxa"/>
            <w:noWrap w:val="0"/>
            <w:vAlign w:val="top"/>
          </w:tcPr>
          <w:p w14:paraId="030DE72C">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992" w:type="dxa"/>
            <w:noWrap w:val="0"/>
            <w:vAlign w:val="top"/>
          </w:tcPr>
          <w:p w14:paraId="006C87B3">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w:t>
            </w:r>
          </w:p>
        </w:tc>
      </w:tr>
      <w:tr w14:paraId="6D6D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restart"/>
            <w:noWrap w:val="0"/>
            <w:vAlign w:val="center"/>
          </w:tcPr>
          <w:p w14:paraId="2FE47E8E">
            <w:pPr>
              <w:widowControl w:val="0"/>
              <w:spacing w:line="360" w:lineRule="auto"/>
              <w:jc w:val="center"/>
              <w:rPr>
                <w:rFonts w:hint="eastAsia" w:ascii="仿宋" w:hAnsi="仿宋" w:eastAsia="仿宋" w:cs="仿宋"/>
              </w:rPr>
            </w:pPr>
            <w:r>
              <w:rPr>
                <w:rFonts w:hint="eastAsia" w:ascii="仿宋" w:hAnsi="仿宋" w:eastAsia="仿宋" w:cs="仿宋"/>
              </w:rPr>
              <w:t>发承包阶段</w:t>
            </w:r>
          </w:p>
        </w:tc>
        <w:tc>
          <w:tcPr>
            <w:tcW w:w="2835" w:type="dxa"/>
            <w:noWrap w:val="0"/>
            <w:vAlign w:val="top"/>
          </w:tcPr>
          <w:p w14:paraId="69D64B04">
            <w:pPr>
              <w:widowControl w:val="0"/>
              <w:spacing w:line="360" w:lineRule="auto"/>
              <w:jc w:val="both"/>
              <w:rPr>
                <w:rFonts w:hint="eastAsia" w:ascii="仿宋" w:hAnsi="仿宋" w:eastAsia="仿宋" w:cs="仿宋"/>
              </w:rPr>
            </w:pPr>
            <w:r>
              <w:rPr>
                <w:rFonts w:hint="eastAsia" w:ascii="仿宋" w:hAnsi="仿宋" w:eastAsia="仿宋" w:cs="仿宋"/>
              </w:rPr>
              <w:t>工程量清单</w:t>
            </w:r>
          </w:p>
        </w:tc>
        <w:tc>
          <w:tcPr>
            <w:tcW w:w="2577" w:type="dxa"/>
            <w:noWrap w:val="0"/>
            <w:vAlign w:val="top"/>
          </w:tcPr>
          <w:p w14:paraId="2E959CA9">
            <w:pPr>
              <w:widowControl w:val="0"/>
              <w:spacing w:line="360" w:lineRule="auto"/>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编制</w:t>
            </w:r>
            <w:r>
              <w:rPr>
                <w:rFonts w:hint="eastAsia" w:ascii="仿宋" w:hAnsi="仿宋" w:eastAsia="仿宋" w:cs="仿宋"/>
                <w:lang w:eastAsia="zh-CN"/>
              </w:rPr>
              <w:t>□</w:t>
            </w:r>
            <w:r>
              <w:rPr>
                <w:rFonts w:hint="eastAsia" w:ascii="仿宋" w:hAnsi="仿宋" w:eastAsia="仿宋" w:cs="仿宋"/>
              </w:rPr>
              <w:t>审核</w:t>
            </w:r>
            <w:r>
              <w:rPr>
                <w:rFonts w:hint="eastAsia" w:ascii="仿宋" w:hAnsi="仿宋" w:eastAsia="仿宋" w:cs="仿宋"/>
                <w:lang w:eastAsia="zh-CN"/>
              </w:rPr>
              <w:t>□</w:t>
            </w:r>
            <w:r>
              <w:rPr>
                <w:rFonts w:hint="eastAsia" w:ascii="仿宋" w:hAnsi="仿宋" w:eastAsia="仿宋" w:cs="仿宋"/>
              </w:rPr>
              <w:t>调整</w:t>
            </w:r>
          </w:p>
        </w:tc>
        <w:tc>
          <w:tcPr>
            <w:tcW w:w="1269" w:type="dxa"/>
            <w:noWrap w:val="0"/>
            <w:vAlign w:val="top"/>
          </w:tcPr>
          <w:p w14:paraId="1753163D">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265" w:type="dxa"/>
            <w:noWrap w:val="0"/>
            <w:vAlign w:val="top"/>
          </w:tcPr>
          <w:p w14:paraId="7CE7C6CE">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859" w:type="dxa"/>
            <w:noWrap w:val="0"/>
            <w:vAlign w:val="top"/>
          </w:tcPr>
          <w:p w14:paraId="332F9A49">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992" w:type="dxa"/>
            <w:noWrap w:val="0"/>
            <w:vAlign w:val="top"/>
          </w:tcPr>
          <w:p w14:paraId="70542AA9">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w:t>
            </w:r>
          </w:p>
        </w:tc>
      </w:tr>
      <w:tr w14:paraId="3D39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top"/>
          </w:tcPr>
          <w:p w14:paraId="4D0D5E2B">
            <w:pPr>
              <w:widowControl w:val="0"/>
              <w:spacing w:line="360" w:lineRule="auto"/>
              <w:jc w:val="center"/>
              <w:rPr>
                <w:rFonts w:hint="eastAsia" w:ascii="仿宋" w:hAnsi="仿宋" w:eastAsia="仿宋" w:cs="仿宋"/>
              </w:rPr>
            </w:pPr>
          </w:p>
        </w:tc>
        <w:tc>
          <w:tcPr>
            <w:tcW w:w="2835" w:type="dxa"/>
            <w:noWrap w:val="0"/>
            <w:vAlign w:val="top"/>
          </w:tcPr>
          <w:p w14:paraId="6EE89A46">
            <w:pPr>
              <w:widowControl w:val="0"/>
              <w:spacing w:line="360" w:lineRule="auto"/>
              <w:jc w:val="both"/>
              <w:rPr>
                <w:rFonts w:hint="eastAsia" w:ascii="仿宋" w:hAnsi="仿宋" w:eastAsia="仿宋" w:cs="仿宋"/>
              </w:rPr>
            </w:pPr>
            <w:r>
              <w:rPr>
                <w:rFonts w:hint="eastAsia" w:ascii="仿宋" w:hAnsi="仿宋" w:eastAsia="仿宋" w:cs="仿宋"/>
              </w:rPr>
              <w:t>最高投标限价</w:t>
            </w:r>
          </w:p>
        </w:tc>
        <w:tc>
          <w:tcPr>
            <w:tcW w:w="2577" w:type="dxa"/>
            <w:noWrap w:val="0"/>
            <w:vAlign w:val="top"/>
          </w:tcPr>
          <w:p w14:paraId="50240529">
            <w:pPr>
              <w:widowControl w:val="0"/>
              <w:spacing w:line="360" w:lineRule="auto"/>
              <w:jc w:val="both"/>
              <w:rPr>
                <w:rFonts w:hint="eastAsia" w:ascii="仿宋" w:hAnsi="仿宋" w:eastAsia="仿宋" w:cs="仿宋"/>
              </w:rPr>
            </w:pPr>
            <w:r>
              <w:rPr>
                <w:rFonts w:hint="eastAsia" w:ascii="仿宋" w:hAnsi="仿宋" w:eastAsia="仿宋" w:cs="仿宋"/>
              </w:rPr>
              <w:t>□编制□审核□调整</w:t>
            </w:r>
          </w:p>
        </w:tc>
        <w:tc>
          <w:tcPr>
            <w:tcW w:w="1269" w:type="dxa"/>
            <w:noWrap w:val="0"/>
            <w:vAlign w:val="top"/>
          </w:tcPr>
          <w:p w14:paraId="263F6AE8">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265" w:type="dxa"/>
            <w:noWrap w:val="0"/>
            <w:vAlign w:val="top"/>
          </w:tcPr>
          <w:p w14:paraId="1030326C">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859" w:type="dxa"/>
            <w:noWrap w:val="0"/>
            <w:vAlign w:val="top"/>
          </w:tcPr>
          <w:p w14:paraId="5358AC3F">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992" w:type="dxa"/>
            <w:noWrap w:val="0"/>
            <w:vAlign w:val="top"/>
          </w:tcPr>
          <w:p w14:paraId="0D862E26">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w:t>
            </w:r>
          </w:p>
        </w:tc>
      </w:tr>
      <w:tr w14:paraId="254A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3" w:type="dxa"/>
            <w:vMerge w:val="continue"/>
            <w:noWrap w:val="0"/>
            <w:vAlign w:val="top"/>
          </w:tcPr>
          <w:p w14:paraId="271E7691">
            <w:pPr>
              <w:widowControl w:val="0"/>
              <w:spacing w:line="360" w:lineRule="auto"/>
              <w:jc w:val="center"/>
              <w:rPr>
                <w:rFonts w:hint="eastAsia" w:ascii="仿宋" w:hAnsi="仿宋" w:eastAsia="仿宋" w:cs="仿宋"/>
              </w:rPr>
            </w:pPr>
          </w:p>
        </w:tc>
        <w:tc>
          <w:tcPr>
            <w:tcW w:w="2835" w:type="dxa"/>
            <w:noWrap w:val="0"/>
            <w:vAlign w:val="top"/>
          </w:tcPr>
          <w:p w14:paraId="28D1FF89">
            <w:pPr>
              <w:widowControl w:val="0"/>
              <w:spacing w:line="360" w:lineRule="auto"/>
              <w:jc w:val="both"/>
              <w:rPr>
                <w:rFonts w:hint="eastAsia" w:ascii="仿宋" w:hAnsi="仿宋" w:eastAsia="仿宋" w:cs="仿宋"/>
              </w:rPr>
            </w:pPr>
            <w:r>
              <w:rPr>
                <w:rFonts w:hint="eastAsia" w:ascii="仿宋" w:hAnsi="仿宋" w:eastAsia="仿宋" w:cs="仿宋"/>
              </w:rPr>
              <w:t>投标报价分析</w:t>
            </w:r>
          </w:p>
        </w:tc>
        <w:tc>
          <w:tcPr>
            <w:tcW w:w="2577" w:type="dxa"/>
            <w:noWrap w:val="0"/>
            <w:vAlign w:val="top"/>
          </w:tcPr>
          <w:p w14:paraId="18121247">
            <w:pPr>
              <w:widowControl w:val="0"/>
              <w:spacing w:line="360" w:lineRule="auto"/>
              <w:jc w:val="both"/>
              <w:rPr>
                <w:rFonts w:hint="eastAsia" w:ascii="仿宋" w:hAnsi="仿宋" w:eastAsia="仿宋" w:cs="仿宋"/>
              </w:rPr>
            </w:pPr>
            <w:r>
              <w:rPr>
                <w:rFonts w:hint="eastAsia" w:ascii="仿宋" w:hAnsi="仿宋" w:eastAsia="仿宋" w:cs="仿宋"/>
              </w:rPr>
              <w:t>□编制□审核□调整</w:t>
            </w:r>
          </w:p>
        </w:tc>
        <w:tc>
          <w:tcPr>
            <w:tcW w:w="1269" w:type="dxa"/>
            <w:noWrap w:val="0"/>
            <w:vAlign w:val="top"/>
          </w:tcPr>
          <w:p w14:paraId="6881E87B">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265" w:type="dxa"/>
            <w:noWrap w:val="0"/>
            <w:vAlign w:val="top"/>
          </w:tcPr>
          <w:p w14:paraId="1E1581E1">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859" w:type="dxa"/>
            <w:noWrap w:val="0"/>
            <w:vAlign w:val="top"/>
          </w:tcPr>
          <w:p w14:paraId="0E74F49C">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992" w:type="dxa"/>
            <w:noWrap w:val="0"/>
            <w:vAlign w:val="top"/>
          </w:tcPr>
          <w:p w14:paraId="206915E1">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w:t>
            </w:r>
          </w:p>
        </w:tc>
      </w:tr>
      <w:tr w14:paraId="766B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623" w:type="dxa"/>
            <w:vMerge w:val="continue"/>
            <w:noWrap w:val="0"/>
            <w:vAlign w:val="top"/>
          </w:tcPr>
          <w:p w14:paraId="37EB21F1">
            <w:pPr>
              <w:widowControl w:val="0"/>
              <w:spacing w:line="360" w:lineRule="auto"/>
              <w:jc w:val="center"/>
              <w:rPr>
                <w:rFonts w:hint="eastAsia" w:ascii="仿宋" w:hAnsi="仿宋" w:eastAsia="仿宋" w:cs="仿宋"/>
              </w:rPr>
            </w:pPr>
          </w:p>
        </w:tc>
        <w:tc>
          <w:tcPr>
            <w:tcW w:w="2835" w:type="dxa"/>
            <w:noWrap w:val="0"/>
            <w:vAlign w:val="top"/>
          </w:tcPr>
          <w:p w14:paraId="6AF9AD7B">
            <w:pPr>
              <w:widowControl w:val="0"/>
              <w:spacing w:line="360" w:lineRule="auto"/>
              <w:jc w:val="both"/>
              <w:rPr>
                <w:rFonts w:hint="eastAsia" w:ascii="仿宋" w:hAnsi="仿宋" w:eastAsia="仿宋" w:cs="仿宋"/>
              </w:rPr>
            </w:pPr>
            <w:r>
              <w:rPr>
                <w:rFonts w:hint="eastAsia" w:ascii="仿宋" w:hAnsi="仿宋" w:eastAsia="仿宋" w:cs="仿宋"/>
              </w:rPr>
              <w:t>清标报告</w:t>
            </w:r>
          </w:p>
        </w:tc>
        <w:tc>
          <w:tcPr>
            <w:tcW w:w="2577" w:type="dxa"/>
            <w:noWrap w:val="0"/>
            <w:vAlign w:val="top"/>
          </w:tcPr>
          <w:p w14:paraId="00EBE20A">
            <w:pPr>
              <w:widowControl w:val="0"/>
              <w:spacing w:line="360" w:lineRule="auto"/>
              <w:jc w:val="both"/>
              <w:rPr>
                <w:rFonts w:hint="eastAsia" w:ascii="仿宋" w:hAnsi="仿宋" w:eastAsia="仿宋" w:cs="仿宋"/>
              </w:rPr>
            </w:pPr>
            <w:r>
              <w:rPr>
                <w:rFonts w:hint="eastAsia" w:ascii="仿宋" w:hAnsi="仿宋" w:eastAsia="仿宋" w:cs="仿宋"/>
              </w:rPr>
              <w:t>□编制□审核□调整</w:t>
            </w:r>
          </w:p>
        </w:tc>
        <w:tc>
          <w:tcPr>
            <w:tcW w:w="1269" w:type="dxa"/>
            <w:noWrap w:val="0"/>
            <w:vAlign w:val="top"/>
          </w:tcPr>
          <w:p w14:paraId="339958B8">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265" w:type="dxa"/>
            <w:noWrap w:val="0"/>
            <w:vAlign w:val="top"/>
          </w:tcPr>
          <w:p w14:paraId="0DE91914">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859" w:type="dxa"/>
            <w:noWrap w:val="0"/>
            <w:vAlign w:val="top"/>
          </w:tcPr>
          <w:p w14:paraId="48809E21">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992" w:type="dxa"/>
            <w:noWrap w:val="0"/>
            <w:vAlign w:val="top"/>
          </w:tcPr>
          <w:p w14:paraId="68774905">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w:t>
            </w:r>
          </w:p>
        </w:tc>
      </w:tr>
      <w:tr w14:paraId="6FF6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623" w:type="dxa"/>
            <w:vMerge w:val="continue"/>
            <w:noWrap w:val="0"/>
            <w:vAlign w:val="top"/>
          </w:tcPr>
          <w:p w14:paraId="5E7F2D61">
            <w:pPr>
              <w:widowControl w:val="0"/>
              <w:spacing w:line="360" w:lineRule="auto"/>
              <w:jc w:val="center"/>
              <w:rPr>
                <w:rFonts w:hint="eastAsia" w:ascii="仿宋" w:hAnsi="仿宋" w:eastAsia="仿宋" w:cs="仿宋"/>
              </w:rPr>
            </w:pPr>
          </w:p>
        </w:tc>
        <w:tc>
          <w:tcPr>
            <w:tcW w:w="2835" w:type="dxa"/>
            <w:noWrap w:val="0"/>
            <w:vAlign w:val="top"/>
          </w:tcPr>
          <w:p w14:paraId="39F9B0C3">
            <w:pPr>
              <w:widowControl w:val="0"/>
              <w:spacing w:line="360" w:lineRule="auto"/>
              <w:jc w:val="both"/>
              <w:rPr>
                <w:rFonts w:hint="eastAsia" w:ascii="仿宋" w:hAnsi="仿宋" w:eastAsia="仿宋" w:cs="仿宋"/>
              </w:rPr>
            </w:pPr>
            <w:r>
              <w:rPr>
                <w:rFonts w:hint="eastAsia" w:ascii="仿宋" w:hAnsi="仿宋" w:eastAsia="仿宋" w:cs="仿宋"/>
              </w:rPr>
              <w:t>其他：</w:t>
            </w:r>
          </w:p>
        </w:tc>
        <w:tc>
          <w:tcPr>
            <w:tcW w:w="2577" w:type="dxa"/>
            <w:noWrap w:val="0"/>
            <w:vAlign w:val="top"/>
          </w:tcPr>
          <w:p w14:paraId="57FDD81F">
            <w:pPr>
              <w:widowControl w:val="0"/>
              <w:spacing w:line="360" w:lineRule="auto"/>
              <w:jc w:val="both"/>
              <w:rPr>
                <w:rFonts w:hint="eastAsia" w:ascii="仿宋" w:hAnsi="仿宋" w:eastAsia="仿宋" w:cs="仿宋"/>
              </w:rPr>
            </w:pPr>
          </w:p>
        </w:tc>
        <w:tc>
          <w:tcPr>
            <w:tcW w:w="1269" w:type="dxa"/>
            <w:noWrap w:val="0"/>
            <w:vAlign w:val="top"/>
          </w:tcPr>
          <w:p w14:paraId="0BAF8F25">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265" w:type="dxa"/>
            <w:noWrap w:val="0"/>
            <w:vAlign w:val="top"/>
          </w:tcPr>
          <w:p w14:paraId="0363C15A">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859" w:type="dxa"/>
            <w:noWrap w:val="0"/>
            <w:vAlign w:val="top"/>
          </w:tcPr>
          <w:p w14:paraId="7C02E401">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992" w:type="dxa"/>
            <w:noWrap w:val="0"/>
            <w:vAlign w:val="top"/>
          </w:tcPr>
          <w:p w14:paraId="0FA8ECFD">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w:t>
            </w:r>
          </w:p>
        </w:tc>
      </w:tr>
      <w:tr w14:paraId="6F03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23" w:type="dxa"/>
            <w:vMerge w:val="restart"/>
            <w:noWrap w:val="0"/>
            <w:vAlign w:val="top"/>
          </w:tcPr>
          <w:p w14:paraId="6062067F">
            <w:pPr>
              <w:widowControl w:val="0"/>
              <w:spacing w:line="360" w:lineRule="auto"/>
              <w:jc w:val="center"/>
              <w:rPr>
                <w:rFonts w:hint="eastAsia" w:ascii="仿宋" w:hAnsi="仿宋" w:eastAsia="仿宋" w:cs="仿宋"/>
              </w:rPr>
            </w:pPr>
          </w:p>
          <w:p w14:paraId="188F2133">
            <w:pPr>
              <w:widowControl w:val="0"/>
              <w:spacing w:line="360" w:lineRule="auto"/>
              <w:jc w:val="center"/>
              <w:rPr>
                <w:rFonts w:hint="eastAsia" w:ascii="仿宋" w:hAnsi="仿宋" w:eastAsia="仿宋" w:cs="仿宋"/>
              </w:rPr>
            </w:pPr>
          </w:p>
          <w:p w14:paraId="124C52C0">
            <w:pPr>
              <w:widowControl w:val="0"/>
              <w:spacing w:line="360" w:lineRule="auto"/>
              <w:jc w:val="center"/>
              <w:rPr>
                <w:rFonts w:hint="eastAsia" w:ascii="仿宋" w:hAnsi="仿宋" w:eastAsia="仿宋" w:cs="仿宋"/>
              </w:rPr>
            </w:pPr>
          </w:p>
          <w:p w14:paraId="25333AC9">
            <w:pPr>
              <w:widowControl w:val="0"/>
              <w:spacing w:line="360" w:lineRule="auto"/>
              <w:jc w:val="center"/>
              <w:rPr>
                <w:rFonts w:hint="eastAsia" w:ascii="仿宋" w:hAnsi="仿宋" w:eastAsia="仿宋" w:cs="仿宋"/>
              </w:rPr>
            </w:pPr>
            <w:r>
              <w:rPr>
                <w:rFonts w:hint="eastAsia" w:ascii="仿宋" w:hAnsi="仿宋" w:eastAsia="仿宋" w:cs="仿宋"/>
              </w:rPr>
              <w:t>实施阶段</w:t>
            </w:r>
          </w:p>
        </w:tc>
        <w:tc>
          <w:tcPr>
            <w:tcW w:w="2835" w:type="dxa"/>
            <w:noWrap w:val="0"/>
            <w:vAlign w:val="top"/>
          </w:tcPr>
          <w:p w14:paraId="3DAA472D">
            <w:pPr>
              <w:widowControl w:val="0"/>
              <w:spacing w:line="360" w:lineRule="auto"/>
              <w:jc w:val="both"/>
              <w:rPr>
                <w:rFonts w:hint="eastAsia" w:ascii="仿宋" w:hAnsi="仿宋" w:eastAsia="仿宋" w:cs="仿宋"/>
              </w:rPr>
            </w:pPr>
          </w:p>
          <w:p w14:paraId="7BF8D425">
            <w:pPr>
              <w:widowControl w:val="0"/>
              <w:spacing w:line="360" w:lineRule="auto"/>
              <w:jc w:val="both"/>
              <w:rPr>
                <w:rFonts w:hint="eastAsia" w:ascii="仿宋" w:hAnsi="仿宋" w:eastAsia="仿宋" w:cs="仿宋"/>
              </w:rPr>
            </w:pPr>
            <w:r>
              <w:rPr>
                <w:rFonts w:hint="eastAsia" w:ascii="仿宋" w:hAnsi="仿宋" w:eastAsia="仿宋" w:cs="仿宋"/>
              </w:rPr>
              <w:t>资金使用计划</w:t>
            </w:r>
          </w:p>
        </w:tc>
        <w:tc>
          <w:tcPr>
            <w:tcW w:w="2577" w:type="dxa"/>
            <w:noWrap w:val="0"/>
            <w:vAlign w:val="top"/>
          </w:tcPr>
          <w:p w14:paraId="0C506B36">
            <w:pPr>
              <w:widowControl w:val="0"/>
              <w:spacing w:line="360" w:lineRule="auto"/>
              <w:jc w:val="both"/>
              <w:rPr>
                <w:rFonts w:hint="eastAsia" w:ascii="仿宋" w:hAnsi="仿宋" w:eastAsia="仿宋" w:cs="仿宋"/>
              </w:rPr>
            </w:pPr>
          </w:p>
          <w:p w14:paraId="5D3C3128">
            <w:pPr>
              <w:widowControl w:val="0"/>
              <w:spacing w:line="360" w:lineRule="auto"/>
              <w:jc w:val="both"/>
              <w:rPr>
                <w:rFonts w:hint="eastAsia" w:ascii="仿宋" w:hAnsi="仿宋" w:eastAsia="仿宋" w:cs="仿宋"/>
              </w:rPr>
            </w:pPr>
            <w:r>
              <w:rPr>
                <w:rFonts w:hint="eastAsia" w:ascii="仿宋" w:hAnsi="仿宋" w:eastAsia="仿宋" w:cs="仿宋"/>
              </w:rPr>
              <w:sym w:font="Wingdings 2" w:char="00A3"/>
            </w:r>
            <w:r>
              <w:rPr>
                <w:rFonts w:hint="eastAsia" w:ascii="仿宋" w:hAnsi="仿宋" w:eastAsia="仿宋" w:cs="仿宋"/>
              </w:rPr>
              <w:t>编制</w:t>
            </w:r>
          </w:p>
        </w:tc>
        <w:tc>
          <w:tcPr>
            <w:tcW w:w="1269" w:type="dxa"/>
            <w:noWrap w:val="0"/>
            <w:vAlign w:val="top"/>
          </w:tcPr>
          <w:p w14:paraId="26776B7E">
            <w:pPr>
              <w:widowControl w:val="0"/>
              <w:spacing w:line="360" w:lineRule="auto"/>
              <w:jc w:val="both"/>
              <w:rPr>
                <w:rFonts w:hint="eastAsia" w:ascii="仿宋" w:hAnsi="仿宋" w:eastAsia="仿宋" w:cs="仿宋"/>
              </w:rPr>
            </w:pPr>
          </w:p>
        </w:tc>
        <w:tc>
          <w:tcPr>
            <w:tcW w:w="2265" w:type="dxa"/>
            <w:noWrap w:val="0"/>
            <w:vAlign w:val="top"/>
          </w:tcPr>
          <w:p w14:paraId="7D801F5F">
            <w:pPr>
              <w:widowControl w:val="0"/>
              <w:spacing w:line="360" w:lineRule="auto"/>
              <w:jc w:val="both"/>
              <w:rPr>
                <w:rFonts w:hint="eastAsia" w:ascii="仿宋" w:hAnsi="仿宋" w:eastAsia="仿宋" w:cs="仿宋"/>
              </w:rPr>
            </w:pPr>
          </w:p>
        </w:tc>
        <w:tc>
          <w:tcPr>
            <w:tcW w:w="2859" w:type="dxa"/>
            <w:noWrap w:val="0"/>
            <w:vAlign w:val="top"/>
          </w:tcPr>
          <w:p w14:paraId="6DDD42FF">
            <w:pPr>
              <w:widowControl w:val="0"/>
              <w:spacing w:line="360" w:lineRule="auto"/>
              <w:jc w:val="both"/>
              <w:rPr>
                <w:rFonts w:hint="eastAsia" w:ascii="仿宋" w:hAnsi="仿宋" w:eastAsia="仿宋" w:cs="仿宋"/>
              </w:rPr>
            </w:pPr>
          </w:p>
        </w:tc>
        <w:tc>
          <w:tcPr>
            <w:tcW w:w="992" w:type="dxa"/>
            <w:noWrap w:val="0"/>
            <w:vAlign w:val="top"/>
          </w:tcPr>
          <w:p w14:paraId="69CD268C">
            <w:pPr>
              <w:widowControl w:val="0"/>
              <w:spacing w:line="360" w:lineRule="auto"/>
              <w:jc w:val="center"/>
              <w:rPr>
                <w:rFonts w:hint="eastAsia" w:ascii="仿宋" w:hAnsi="仿宋" w:eastAsia="仿宋" w:cs="仿宋"/>
              </w:rPr>
            </w:pPr>
          </w:p>
        </w:tc>
      </w:tr>
      <w:tr w14:paraId="2548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top"/>
          </w:tcPr>
          <w:p w14:paraId="6C7457A1">
            <w:pPr>
              <w:widowControl w:val="0"/>
              <w:spacing w:line="360" w:lineRule="auto"/>
              <w:jc w:val="center"/>
              <w:rPr>
                <w:rFonts w:hint="eastAsia" w:ascii="仿宋" w:hAnsi="仿宋" w:eastAsia="仿宋" w:cs="仿宋"/>
              </w:rPr>
            </w:pPr>
          </w:p>
        </w:tc>
        <w:tc>
          <w:tcPr>
            <w:tcW w:w="2835" w:type="dxa"/>
            <w:noWrap w:val="0"/>
            <w:vAlign w:val="top"/>
          </w:tcPr>
          <w:p w14:paraId="784C27AF">
            <w:pPr>
              <w:widowControl w:val="0"/>
              <w:spacing w:line="360" w:lineRule="auto"/>
              <w:jc w:val="both"/>
              <w:rPr>
                <w:rFonts w:hint="eastAsia" w:ascii="仿宋" w:hAnsi="仿宋" w:eastAsia="仿宋" w:cs="仿宋"/>
              </w:rPr>
            </w:pPr>
            <w:r>
              <w:rPr>
                <w:rFonts w:hint="eastAsia" w:ascii="仿宋" w:hAnsi="仿宋" w:eastAsia="仿宋" w:cs="仿宋"/>
              </w:rPr>
              <w:t>工程计量与工程款审核</w:t>
            </w:r>
          </w:p>
        </w:tc>
        <w:tc>
          <w:tcPr>
            <w:tcW w:w="2577" w:type="dxa"/>
            <w:noWrap w:val="0"/>
            <w:vAlign w:val="top"/>
          </w:tcPr>
          <w:p w14:paraId="57D50470">
            <w:pPr>
              <w:widowControl w:val="0"/>
              <w:spacing w:line="360" w:lineRule="auto"/>
              <w:jc w:val="both"/>
              <w:rPr>
                <w:rFonts w:hint="eastAsia" w:ascii="仿宋" w:hAnsi="仿宋" w:eastAsia="仿宋" w:cs="仿宋"/>
              </w:rPr>
            </w:pPr>
            <w:r>
              <w:rPr>
                <w:rFonts w:hint="eastAsia" w:ascii="仿宋" w:hAnsi="仿宋" w:eastAsia="仿宋" w:cs="仿宋"/>
              </w:rPr>
              <w:sym w:font="Wingdings 2" w:char="00A3"/>
            </w:r>
            <w:r>
              <w:rPr>
                <w:rFonts w:hint="eastAsia" w:ascii="仿宋" w:hAnsi="仿宋" w:eastAsia="仿宋" w:cs="仿宋"/>
              </w:rPr>
              <w:t>编制</w:t>
            </w:r>
            <w:r>
              <w:rPr>
                <w:rFonts w:hint="eastAsia" w:ascii="仿宋" w:hAnsi="仿宋" w:eastAsia="仿宋" w:cs="仿宋"/>
              </w:rPr>
              <w:sym w:font="Wingdings 2" w:char="00A3"/>
            </w:r>
            <w:r>
              <w:rPr>
                <w:rFonts w:hint="eastAsia" w:ascii="仿宋" w:hAnsi="仿宋" w:eastAsia="仿宋" w:cs="仿宋"/>
              </w:rPr>
              <w:t>审核</w:t>
            </w:r>
            <w:r>
              <w:rPr>
                <w:rFonts w:hint="eastAsia" w:ascii="仿宋" w:hAnsi="仿宋" w:eastAsia="仿宋" w:cs="仿宋"/>
              </w:rPr>
              <w:sym w:font="Wingdings 2" w:char="00A3"/>
            </w:r>
            <w:r>
              <w:rPr>
                <w:rFonts w:hint="eastAsia" w:ascii="仿宋" w:hAnsi="仿宋" w:eastAsia="仿宋" w:cs="仿宋"/>
              </w:rPr>
              <w:t>调整</w:t>
            </w:r>
          </w:p>
        </w:tc>
        <w:tc>
          <w:tcPr>
            <w:tcW w:w="1269" w:type="dxa"/>
            <w:noWrap w:val="0"/>
            <w:vAlign w:val="top"/>
          </w:tcPr>
          <w:p w14:paraId="2B173127">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265" w:type="dxa"/>
            <w:noWrap w:val="0"/>
            <w:vAlign w:val="top"/>
          </w:tcPr>
          <w:p w14:paraId="3237A06E">
            <w:pPr>
              <w:widowControl w:val="0"/>
              <w:spacing w:line="360" w:lineRule="auto"/>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w:t>
            </w:r>
          </w:p>
        </w:tc>
        <w:tc>
          <w:tcPr>
            <w:tcW w:w="2859" w:type="dxa"/>
            <w:vMerge w:val="restart"/>
            <w:noWrap w:val="0"/>
            <w:vAlign w:val="top"/>
          </w:tcPr>
          <w:p w14:paraId="33488BF1">
            <w:pPr>
              <w:widowControl w:val="0"/>
              <w:spacing w:line="360" w:lineRule="auto"/>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w:t>
            </w:r>
          </w:p>
        </w:tc>
        <w:tc>
          <w:tcPr>
            <w:tcW w:w="992" w:type="dxa"/>
            <w:noWrap w:val="0"/>
            <w:vAlign w:val="top"/>
          </w:tcPr>
          <w:p w14:paraId="48C2EBFE">
            <w:pPr>
              <w:widowControl w:val="0"/>
              <w:spacing w:line="360" w:lineRule="auto"/>
              <w:jc w:val="center"/>
              <w:rPr>
                <w:rFonts w:hint="eastAsia" w:ascii="仿宋" w:hAnsi="仿宋" w:eastAsia="仿宋" w:cs="仿宋"/>
              </w:rPr>
            </w:pPr>
          </w:p>
        </w:tc>
      </w:tr>
      <w:tr w14:paraId="44FB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23" w:type="dxa"/>
            <w:vMerge w:val="continue"/>
            <w:noWrap w:val="0"/>
            <w:vAlign w:val="top"/>
          </w:tcPr>
          <w:p w14:paraId="0D7D662D">
            <w:pPr>
              <w:widowControl w:val="0"/>
              <w:spacing w:line="360" w:lineRule="auto"/>
              <w:jc w:val="center"/>
              <w:rPr>
                <w:rFonts w:hint="eastAsia" w:ascii="仿宋" w:hAnsi="仿宋" w:eastAsia="仿宋" w:cs="仿宋"/>
              </w:rPr>
            </w:pPr>
          </w:p>
        </w:tc>
        <w:tc>
          <w:tcPr>
            <w:tcW w:w="2835" w:type="dxa"/>
            <w:noWrap w:val="0"/>
            <w:vAlign w:val="top"/>
          </w:tcPr>
          <w:p w14:paraId="39FE7101">
            <w:pPr>
              <w:widowControl w:val="0"/>
              <w:spacing w:line="360" w:lineRule="auto"/>
              <w:jc w:val="both"/>
              <w:rPr>
                <w:rFonts w:hint="eastAsia" w:ascii="仿宋" w:hAnsi="仿宋" w:eastAsia="仿宋" w:cs="仿宋"/>
              </w:rPr>
            </w:pPr>
            <w:r>
              <w:rPr>
                <w:rFonts w:hint="eastAsia" w:ascii="仿宋" w:hAnsi="仿宋" w:eastAsia="仿宋" w:cs="仿宋"/>
              </w:rPr>
              <w:t>合同价款调整</w:t>
            </w:r>
          </w:p>
        </w:tc>
        <w:tc>
          <w:tcPr>
            <w:tcW w:w="2577" w:type="dxa"/>
            <w:noWrap w:val="0"/>
            <w:vAlign w:val="top"/>
          </w:tcPr>
          <w:p w14:paraId="3A1E3456">
            <w:pPr>
              <w:widowControl w:val="0"/>
              <w:spacing w:line="360" w:lineRule="auto"/>
              <w:jc w:val="both"/>
              <w:rPr>
                <w:rFonts w:hint="eastAsia" w:ascii="仿宋" w:hAnsi="仿宋" w:eastAsia="仿宋" w:cs="仿宋"/>
              </w:rPr>
            </w:pPr>
            <w:r>
              <w:rPr>
                <w:rFonts w:hint="eastAsia" w:ascii="仿宋" w:hAnsi="仿宋" w:eastAsia="仿宋" w:cs="仿宋"/>
              </w:rPr>
              <w:sym w:font="Wingdings 2" w:char="00A3"/>
            </w:r>
            <w:r>
              <w:rPr>
                <w:rFonts w:hint="eastAsia" w:ascii="仿宋" w:hAnsi="仿宋" w:eastAsia="仿宋" w:cs="仿宋"/>
              </w:rPr>
              <w:t>编制</w:t>
            </w:r>
            <w:r>
              <w:rPr>
                <w:rFonts w:hint="eastAsia" w:ascii="仿宋" w:hAnsi="仿宋" w:eastAsia="仿宋" w:cs="仿宋"/>
              </w:rPr>
              <w:sym w:font="Wingdings 2" w:char="00A3"/>
            </w:r>
            <w:r>
              <w:rPr>
                <w:rFonts w:hint="eastAsia" w:ascii="仿宋" w:hAnsi="仿宋" w:eastAsia="仿宋" w:cs="仿宋"/>
              </w:rPr>
              <w:t>审核</w:t>
            </w:r>
            <w:r>
              <w:rPr>
                <w:rFonts w:hint="eastAsia" w:ascii="仿宋" w:hAnsi="仿宋" w:eastAsia="仿宋" w:cs="仿宋"/>
              </w:rPr>
              <w:sym w:font="Wingdings 2" w:char="00A3"/>
            </w:r>
            <w:r>
              <w:rPr>
                <w:rFonts w:hint="eastAsia" w:ascii="仿宋" w:hAnsi="仿宋" w:eastAsia="仿宋" w:cs="仿宋"/>
              </w:rPr>
              <w:t>调整</w:t>
            </w:r>
          </w:p>
        </w:tc>
        <w:tc>
          <w:tcPr>
            <w:tcW w:w="1269" w:type="dxa"/>
            <w:noWrap w:val="0"/>
            <w:vAlign w:val="top"/>
          </w:tcPr>
          <w:p w14:paraId="7E2E7AE1">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265" w:type="dxa"/>
            <w:noWrap w:val="0"/>
            <w:vAlign w:val="top"/>
          </w:tcPr>
          <w:p w14:paraId="0A9850DD">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859" w:type="dxa"/>
            <w:vMerge w:val="continue"/>
            <w:noWrap w:val="0"/>
            <w:vAlign w:val="top"/>
          </w:tcPr>
          <w:p w14:paraId="13DFD924">
            <w:pPr>
              <w:widowControl w:val="0"/>
              <w:spacing w:line="360" w:lineRule="auto"/>
              <w:jc w:val="both"/>
              <w:rPr>
                <w:rFonts w:hint="eastAsia" w:ascii="仿宋" w:hAnsi="仿宋" w:eastAsia="仿宋" w:cs="仿宋"/>
              </w:rPr>
            </w:pPr>
          </w:p>
        </w:tc>
        <w:tc>
          <w:tcPr>
            <w:tcW w:w="992" w:type="dxa"/>
            <w:noWrap w:val="0"/>
            <w:vAlign w:val="top"/>
          </w:tcPr>
          <w:p w14:paraId="4C3F4EC6">
            <w:pPr>
              <w:widowControl w:val="0"/>
              <w:spacing w:line="360" w:lineRule="auto"/>
              <w:jc w:val="center"/>
              <w:rPr>
                <w:rFonts w:hint="eastAsia" w:ascii="仿宋" w:hAnsi="仿宋" w:eastAsia="仿宋" w:cs="仿宋"/>
              </w:rPr>
            </w:pPr>
          </w:p>
        </w:tc>
      </w:tr>
      <w:tr w14:paraId="0C24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top"/>
          </w:tcPr>
          <w:p w14:paraId="49EB95B7">
            <w:pPr>
              <w:widowControl w:val="0"/>
              <w:spacing w:line="360" w:lineRule="auto"/>
              <w:jc w:val="center"/>
              <w:rPr>
                <w:rFonts w:hint="eastAsia" w:ascii="仿宋" w:hAnsi="仿宋" w:eastAsia="仿宋" w:cs="仿宋"/>
              </w:rPr>
            </w:pPr>
          </w:p>
        </w:tc>
        <w:tc>
          <w:tcPr>
            <w:tcW w:w="2835" w:type="dxa"/>
            <w:noWrap w:val="0"/>
            <w:vAlign w:val="top"/>
          </w:tcPr>
          <w:p w14:paraId="601F53E9">
            <w:pPr>
              <w:widowControl w:val="0"/>
              <w:spacing w:line="360" w:lineRule="auto"/>
              <w:jc w:val="both"/>
              <w:rPr>
                <w:rFonts w:hint="eastAsia" w:ascii="仿宋" w:hAnsi="仿宋" w:eastAsia="仿宋" w:cs="仿宋"/>
              </w:rPr>
            </w:pPr>
            <w:r>
              <w:rPr>
                <w:rFonts w:hint="eastAsia" w:ascii="仿宋" w:hAnsi="仿宋" w:eastAsia="仿宋" w:cs="仿宋"/>
              </w:rPr>
              <w:t>工程变更、索赔、签证</w:t>
            </w:r>
          </w:p>
        </w:tc>
        <w:tc>
          <w:tcPr>
            <w:tcW w:w="2577" w:type="dxa"/>
            <w:noWrap w:val="0"/>
            <w:vAlign w:val="top"/>
          </w:tcPr>
          <w:p w14:paraId="3C668E8F">
            <w:pPr>
              <w:widowControl w:val="0"/>
              <w:spacing w:line="360" w:lineRule="auto"/>
              <w:jc w:val="both"/>
              <w:rPr>
                <w:rFonts w:hint="eastAsia" w:ascii="仿宋" w:hAnsi="仿宋" w:eastAsia="仿宋" w:cs="仿宋"/>
              </w:rPr>
            </w:pPr>
            <w:r>
              <w:rPr>
                <w:rFonts w:hint="eastAsia" w:ascii="仿宋" w:hAnsi="仿宋" w:eastAsia="仿宋" w:cs="仿宋"/>
              </w:rPr>
              <w:sym w:font="Wingdings 2" w:char="00A3"/>
            </w:r>
            <w:r>
              <w:rPr>
                <w:rFonts w:hint="eastAsia" w:ascii="仿宋" w:hAnsi="仿宋" w:eastAsia="仿宋" w:cs="仿宋"/>
              </w:rPr>
              <w:t>审核</w:t>
            </w:r>
          </w:p>
        </w:tc>
        <w:tc>
          <w:tcPr>
            <w:tcW w:w="1269" w:type="dxa"/>
            <w:noWrap w:val="0"/>
            <w:vAlign w:val="top"/>
          </w:tcPr>
          <w:p w14:paraId="7022D59F">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265" w:type="dxa"/>
            <w:noWrap w:val="0"/>
            <w:vAlign w:val="top"/>
          </w:tcPr>
          <w:p w14:paraId="43705939">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859" w:type="dxa"/>
            <w:vMerge w:val="continue"/>
            <w:noWrap w:val="0"/>
            <w:vAlign w:val="top"/>
          </w:tcPr>
          <w:p w14:paraId="00A3FF9A">
            <w:pPr>
              <w:widowControl w:val="0"/>
              <w:spacing w:line="360" w:lineRule="auto"/>
              <w:jc w:val="both"/>
              <w:rPr>
                <w:rFonts w:hint="eastAsia" w:ascii="仿宋" w:hAnsi="仿宋" w:eastAsia="仿宋" w:cs="仿宋"/>
              </w:rPr>
            </w:pPr>
          </w:p>
        </w:tc>
        <w:tc>
          <w:tcPr>
            <w:tcW w:w="992" w:type="dxa"/>
            <w:noWrap w:val="0"/>
            <w:vAlign w:val="top"/>
          </w:tcPr>
          <w:p w14:paraId="58B23844">
            <w:pPr>
              <w:widowControl w:val="0"/>
              <w:spacing w:line="360" w:lineRule="auto"/>
              <w:jc w:val="center"/>
              <w:rPr>
                <w:rFonts w:hint="eastAsia" w:ascii="仿宋" w:hAnsi="仿宋" w:eastAsia="仿宋" w:cs="仿宋"/>
              </w:rPr>
            </w:pPr>
          </w:p>
        </w:tc>
      </w:tr>
      <w:tr w14:paraId="18EF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top"/>
          </w:tcPr>
          <w:p w14:paraId="00A959F3">
            <w:pPr>
              <w:widowControl w:val="0"/>
              <w:spacing w:line="360" w:lineRule="auto"/>
              <w:jc w:val="center"/>
              <w:rPr>
                <w:rFonts w:hint="eastAsia" w:ascii="仿宋" w:hAnsi="仿宋" w:eastAsia="仿宋" w:cs="仿宋"/>
              </w:rPr>
            </w:pPr>
          </w:p>
        </w:tc>
        <w:tc>
          <w:tcPr>
            <w:tcW w:w="2835" w:type="dxa"/>
            <w:noWrap w:val="0"/>
            <w:vAlign w:val="top"/>
          </w:tcPr>
          <w:p w14:paraId="2726AE9B">
            <w:pPr>
              <w:widowControl w:val="0"/>
              <w:spacing w:line="360" w:lineRule="auto"/>
              <w:jc w:val="both"/>
              <w:rPr>
                <w:rFonts w:hint="eastAsia" w:ascii="仿宋" w:hAnsi="仿宋" w:eastAsia="仿宋" w:cs="仿宋"/>
              </w:rPr>
            </w:pPr>
            <w:r>
              <w:rPr>
                <w:rFonts w:hint="eastAsia" w:ascii="仿宋" w:hAnsi="仿宋" w:eastAsia="仿宋" w:cs="仿宋"/>
              </w:rPr>
              <w:t>工程实施阶段造价控制</w:t>
            </w:r>
          </w:p>
        </w:tc>
        <w:tc>
          <w:tcPr>
            <w:tcW w:w="2577" w:type="dxa"/>
            <w:noWrap w:val="0"/>
            <w:vAlign w:val="top"/>
          </w:tcPr>
          <w:p w14:paraId="594BB350">
            <w:pPr>
              <w:widowControl w:val="0"/>
              <w:spacing w:line="360" w:lineRule="auto"/>
              <w:jc w:val="both"/>
              <w:rPr>
                <w:rFonts w:hint="eastAsia" w:ascii="仿宋" w:hAnsi="仿宋" w:eastAsia="仿宋" w:cs="仿宋"/>
              </w:rPr>
            </w:pPr>
            <w:r>
              <w:rPr>
                <w:rFonts w:hint="eastAsia" w:ascii="仿宋" w:hAnsi="仿宋" w:eastAsia="仿宋" w:cs="仿宋"/>
              </w:rPr>
              <w:sym w:font="Wingdings 2" w:char="00A3"/>
            </w:r>
            <w:r>
              <w:rPr>
                <w:rFonts w:hint="eastAsia" w:ascii="仿宋" w:hAnsi="仿宋" w:eastAsia="仿宋" w:cs="仿宋"/>
              </w:rPr>
              <w:t>审核</w:t>
            </w:r>
          </w:p>
        </w:tc>
        <w:tc>
          <w:tcPr>
            <w:tcW w:w="1269" w:type="dxa"/>
            <w:noWrap w:val="0"/>
            <w:vAlign w:val="top"/>
          </w:tcPr>
          <w:p w14:paraId="5185A95C">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265" w:type="dxa"/>
            <w:noWrap w:val="0"/>
            <w:vAlign w:val="top"/>
          </w:tcPr>
          <w:p w14:paraId="7F277B90">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859" w:type="dxa"/>
            <w:vMerge w:val="continue"/>
            <w:noWrap w:val="0"/>
            <w:vAlign w:val="top"/>
          </w:tcPr>
          <w:p w14:paraId="0B7FDB19">
            <w:pPr>
              <w:widowControl w:val="0"/>
              <w:spacing w:line="360" w:lineRule="auto"/>
              <w:jc w:val="both"/>
              <w:rPr>
                <w:rFonts w:hint="eastAsia" w:ascii="仿宋" w:hAnsi="仿宋" w:eastAsia="仿宋" w:cs="仿宋"/>
              </w:rPr>
            </w:pPr>
          </w:p>
        </w:tc>
        <w:tc>
          <w:tcPr>
            <w:tcW w:w="992" w:type="dxa"/>
            <w:noWrap w:val="0"/>
            <w:vAlign w:val="top"/>
          </w:tcPr>
          <w:p w14:paraId="7B1C002F">
            <w:pPr>
              <w:widowControl w:val="0"/>
              <w:spacing w:line="360" w:lineRule="auto"/>
              <w:jc w:val="center"/>
              <w:rPr>
                <w:rFonts w:hint="eastAsia" w:ascii="仿宋" w:hAnsi="仿宋" w:eastAsia="仿宋" w:cs="仿宋"/>
              </w:rPr>
            </w:pPr>
          </w:p>
        </w:tc>
      </w:tr>
      <w:tr w14:paraId="5444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top"/>
          </w:tcPr>
          <w:p w14:paraId="30A3F78B">
            <w:pPr>
              <w:widowControl w:val="0"/>
              <w:spacing w:line="360" w:lineRule="auto"/>
              <w:jc w:val="center"/>
              <w:rPr>
                <w:rFonts w:hint="eastAsia" w:ascii="仿宋" w:hAnsi="仿宋" w:eastAsia="仿宋" w:cs="仿宋"/>
              </w:rPr>
            </w:pPr>
          </w:p>
        </w:tc>
        <w:tc>
          <w:tcPr>
            <w:tcW w:w="2835" w:type="dxa"/>
            <w:noWrap w:val="0"/>
            <w:vAlign w:val="top"/>
          </w:tcPr>
          <w:p w14:paraId="7200D8CF">
            <w:pPr>
              <w:widowControl w:val="0"/>
              <w:spacing w:line="360" w:lineRule="auto"/>
              <w:jc w:val="both"/>
              <w:rPr>
                <w:rFonts w:hint="eastAsia" w:ascii="仿宋" w:hAnsi="仿宋" w:eastAsia="仿宋" w:cs="仿宋"/>
              </w:rPr>
            </w:pPr>
            <w:r>
              <w:rPr>
                <w:rFonts w:hint="eastAsia" w:ascii="仿宋" w:hAnsi="仿宋" w:eastAsia="仿宋" w:cs="仿宋"/>
              </w:rPr>
              <w:t>其他：</w:t>
            </w:r>
          </w:p>
        </w:tc>
        <w:tc>
          <w:tcPr>
            <w:tcW w:w="2577" w:type="dxa"/>
            <w:noWrap w:val="0"/>
            <w:vAlign w:val="top"/>
          </w:tcPr>
          <w:p w14:paraId="576157CC">
            <w:pPr>
              <w:widowControl w:val="0"/>
              <w:spacing w:line="360" w:lineRule="auto"/>
              <w:jc w:val="both"/>
              <w:rPr>
                <w:rFonts w:hint="eastAsia" w:ascii="仿宋" w:hAnsi="仿宋" w:eastAsia="仿宋" w:cs="仿宋"/>
              </w:rPr>
            </w:pPr>
          </w:p>
        </w:tc>
        <w:tc>
          <w:tcPr>
            <w:tcW w:w="1269" w:type="dxa"/>
            <w:noWrap w:val="0"/>
            <w:vAlign w:val="top"/>
          </w:tcPr>
          <w:p w14:paraId="788F0D0D">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265" w:type="dxa"/>
            <w:noWrap w:val="0"/>
            <w:vAlign w:val="top"/>
          </w:tcPr>
          <w:p w14:paraId="4CE7DA41">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859" w:type="dxa"/>
            <w:vMerge w:val="continue"/>
            <w:noWrap w:val="0"/>
            <w:vAlign w:val="top"/>
          </w:tcPr>
          <w:p w14:paraId="55FE3106">
            <w:pPr>
              <w:widowControl w:val="0"/>
              <w:spacing w:line="360" w:lineRule="auto"/>
              <w:jc w:val="both"/>
              <w:rPr>
                <w:rFonts w:hint="eastAsia" w:ascii="仿宋" w:hAnsi="仿宋" w:eastAsia="仿宋" w:cs="仿宋"/>
              </w:rPr>
            </w:pPr>
          </w:p>
        </w:tc>
        <w:tc>
          <w:tcPr>
            <w:tcW w:w="992" w:type="dxa"/>
            <w:noWrap w:val="0"/>
            <w:vAlign w:val="top"/>
          </w:tcPr>
          <w:p w14:paraId="5BC997C7">
            <w:pPr>
              <w:widowControl w:val="0"/>
              <w:spacing w:line="360" w:lineRule="auto"/>
              <w:jc w:val="center"/>
              <w:rPr>
                <w:rFonts w:hint="eastAsia" w:ascii="仿宋" w:hAnsi="仿宋" w:eastAsia="仿宋" w:cs="仿宋"/>
              </w:rPr>
            </w:pPr>
          </w:p>
        </w:tc>
      </w:tr>
      <w:tr w14:paraId="717F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3" w:type="dxa"/>
            <w:vMerge w:val="restart"/>
            <w:noWrap w:val="0"/>
            <w:vAlign w:val="center"/>
          </w:tcPr>
          <w:p w14:paraId="7DD44243">
            <w:pPr>
              <w:widowControl w:val="0"/>
              <w:spacing w:line="360" w:lineRule="auto"/>
              <w:jc w:val="center"/>
              <w:rPr>
                <w:rFonts w:hint="eastAsia" w:ascii="仿宋" w:hAnsi="仿宋" w:eastAsia="仿宋" w:cs="仿宋"/>
              </w:rPr>
            </w:pPr>
            <w:r>
              <w:rPr>
                <w:rFonts w:hint="eastAsia" w:ascii="仿宋" w:hAnsi="仿宋" w:eastAsia="仿宋" w:cs="仿宋"/>
              </w:rPr>
              <w:t>竣工阶段</w:t>
            </w:r>
          </w:p>
        </w:tc>
        <w:tc>
          <w:tcPr>
            <w:tcW w:w="2835" w:type="dxa"/>
            <w:noWrap w:val="0"/>
            <w:vAlign w:val="top"/>
          </w:tcPr>
          <w:p w14:paraId="7A781690">
            <w:pPr>
              <w:widowControl w:val="0"/>
              <w:spacing w:line="360" w:lineRule="auto"/>
              <w:jc w:val="both"/>
              <w:rPr>
                <w:rFonts w:hint="eastAsia" w:ascii="仿宋" w:hAnsi="仿宋" w:eastAsia="仿宋" w:cs="仿宋"/>
              </w:rPr>
            </w:pPr>
            <w:r>
              <w:rPr>
                <w:rFonts w:hint="eastAsia" w:ascii="仿宋" w:hAnsi="仿宋" w:eastAsia="仿宋" w:cs="仿宋"/>
              </w:rPr>
              <w:t>竣工结算</w:t>
            </w:r>
          </w:p>
        </w:tc>
        <w:tc>
          <w:tcPr>
            <w:tcW w:w="2577" w:type="dxa"/>
            <w:noWrap w:val="0"/>
            <w:vAlign w:val="top"/>
          </w:tcPr>
          <w:p w14:paraId="2093C72C">
            <w:pPr>
              <w:widowControl w:val="0"/>
              <w:spacing w:line="360" w:lineRule="auto"/>
              <w:jc w:val="both"/>
              <w:rPr>
                <w:rFonts w:hint="eastAsia" w:ascii="仿宋" w:hAnsi="仿宋" w:eastAsia="仿宋" w:cs="仿宋"/>
              </w:rPr>
            </w:pPr>
            <w:r>
              <w:rPr>
                <w:rFonts w:hint="eastAsia" w:ascii="仿宋" w:hAnsi="仿宋" w:eastAsia="仿宋" w:cs="仿宋"/>
              </w:rPr>
              <w:sym w:font="Wingdings 2" w:char="00A3"/>
            </w:r>
            <w:r>
              <w:rPr>
                <w:rFonts w:hint="eastAsia" w:ascii="仿宋" w:hAnsi="仿宋" w:eastAsia="仿宋" w:cs="仿宋"/>
              </w:rPr>
              <w:t>编制</w:t>
            </w:r>
            <w:r>
              <w:rPr>
                <w:rFonts w:hint="eastAsia" w:ascii="仿宋" w:hAnsi="仿宋" w:eastAsia="仿宋" w:cs="仿宋"/>
              </w:rPr>
              <w:sym w:font="Wingdings 2" w:char="00A3"/>
            </w:r>
            <w:r>
              <w:rPr>
                <w:rFonts w:hint="eastAsia" w:ascii="仿宋" w:hAnsi="仿宋" w:eastAsia="仿宋" w:cs="仿宋"/>
              </w:rPr>
              <w:t>审核</w:t>
            </w:r>
            <w:r>
              <w:rPr>
                <w:rFonts w:hint="eastAsia" w:ascii="仿宋" w:hAnsi="仿宋" w:eastAsia="仿宋" w:cs="仿宋"/>
              </w:rPr>
              <w:sym w:font="Wingdings 2" w:char="00A3"/>
            </w:r>
            <w:r>
              <w:rPr>
                <w:rFonts w:hint="eastAsia" w:ascii="仿宋" w:hAnsi="仿宋" w:eastAsia="仿宋" w:cs="仿宋"/>
              </w:rPr>
              <w:t>调整</w:t>
            </w:r>
          </w:p>
        </w:tc>
        <w:tc>
          <w:tcPr>
            <w:tcW w:w="1269" w:type="dxa"/>
            <w:noWrap w:val="0"/>
            <w:vAlign w:val="top"/>
          </w:tcPr>
          <w:p w14:paraId="037CCB82">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265" w:type="dxa"/>
            <w:noWrap w:val="0"/>
            <w:vAlign w:val="top"/>
          </w:tcPr>
          <w:p w14:paraId="07AF8726">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859" w:type="dxa"/>
            <w:vMerge w:val="continue"/>
            <w:noWrap w:val="0"/>
            <w:vAlign w:val="top"/>
          </w:tcPr>
          <w:p w14:paraId="719CC393">
            <w:pPr>
              <w:widowControl w:val="0"/>
              <w:spacing w:line="360" w:lineRule="auto"/>
              <w:jc w:val="both"/>
              <w:rPr>
                <w:rFonts w:hint="eastAsia" w:ascii="仿宋" w:hAnsi="仿宋" w:eastAsia="仿宋" w:cs="仿宋"/>
              </w:rPr>
            </w:pPr>
          </w:p>
        </w:tc>
        <w:tc>
          <w:tcPr>
            <w:tcW w:w="992" w:type="dxa"/>
            <w:noWrap w:val="0"/>
            <w:vAlign w:val="top"/>
          </w:tcPr>
          <w:p w14:paraId="3228A686">
            <w:pPr>
              <w:widowControl w:val="0"/>
              <w:spacing w:line="360" w:lineRule="auto"/>
              <w:jc w:val="center"/>
              <w:rPr>
                <w:rFonts w:hint="eastAsia" w:ascii="仿宋" w:hAnsi="仿宋" w:eastAsia="仿宋" w:cs="仿宋"/>
              </w:rPr>
            </w:pPr>
          </w:p>
        </w:tc>
      </w:tr>
      <w:tr w14:paraId="3FAD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41D1C018">
            <w:pPr>
              <w:widowControl w:val="0"/>
              <w:spacing w:line="360" w:lineRule="auto"/>
              <w:jc w:val="center"/>
              <w:rPr>
                <w:rFonts w:hint="eastAsia" w:ascii="仿宋" w:hAnsi="仿宋" w:eastAsia="仿宋" w:cs="仿宋"/>
              </w:rPr>
            </w:pPr>
          </w:p>
        </w:tc>
        <w:tc>
          <w:tcPr>
            <w:tcW w:w="2835" w:type="dxa"/>
            <w:noWrap w:val="0"/>
            <w:vAlign w:val="top"/>
          </w:tcPr>
          <w:p w14:paraId="54C67C7F">
            <w:pPr>
              <w:widowControl w:val="0"/>
              <w:spacing w:line="360" w:lineRule="auto"/>
              <w:jc w:val="both"/>
              <w:rPr>
                <w:rFonts w:hint="eastAsia" w:ascii="仿宋" w:hAnsi="仿宋" w:eastAsia="仿宋" w:cs="仿宋"/>
              </w:rPr>
            </w:pPr>
            <w:r>
              <w:rPr>
                <w:rFonts w:hint="eastAsia" w:ascii="仿宋" w:hAnsi="仿宋" w:eastAsia="仿宋" w:cs="仿宋"/>
              </w:rPr>
              <w:t>竣工决算</w:t>
            </w:r>
          </w:p>
        </w:tc>
        <w:tc>
          <w:tcPr>
            <w:tcW w:w="2577" w:type="dxa"/>
            <w:noWrap w:val="0"/>
            <w:vAlign w:val="top"/>
          </w:tcPr>
          <w:p w14:paraId="17CBB55E">
            <w:pPr>
              <w:widowControl w:val="0"/>
              <w:spacing w:line="360" w:lineRule="auto"/>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编制</w:t>
            </w:r>
            <w:r>
              <w:rPr>
                <w:rFonts w:hint="eastAsia" w:ascii="仿宋" w:hAnsi="仿宋" w:eastAsia="仿宋" w:cs="仿宋"/>
                <w:lang w:eastAsia="zh-CN"/>
              </w:rPr>
              <w:t>☑</w:t>
            </w:r>
            <w:r>
              <w:rPr>
                <w:rFonts w:hint="eastAsia" w:ascii="仿宋" w:hAnsi="仿宋" w:eastAsia="仿宋" w:cs="仿宋"/>
              </w:rPr>
              <w:t>审核</w:t>
            </w:r>
            <w:r>
              <w:rPr>
                <w:rFonts w:hint="eastAsia" w:ascii="仿宋" w:hAnsi="仿宋" w:eastAsia="仿宋" w:cs="仿宋"/>
                <w:lang w:eastAsia="zh-CN"/>
              </w:rPr>
              <w:t>☑</w:t>
            </w:r>
            <w:r>
              <w:rPr>
                <w:rFonts w:hint="eastAsia" w:ascii="仿宋" w:hAnsi="仿宋" w:eastAsia="仿宋" w:cs="仿宋"/>
              </w:rPr>
              <w:t>调整</w:t>
            </w:r>
          </w:p>
        </w:tc>
        <w:tc>
          <w:tcPr>
            <w:tcW w:w="1269" w:type="dxa"/>
            <w:noWrap w:val="0"/>
            <w:vAlign w:val="top"/>
          </w:tcPr>
          <w:p w14:paraId="3C974E80">
            <w:pPr>
              <w:widowControl w:val="0"/>
              <w:spacing w:line="360" w:lineRule="auto"/>
              <w:jc w:val="both"/>
              <w:rPr>
                <w:rFonts w:hint="eastAsia" w:ascii="仿宋" w:hAnsi="仿宋" w:eastAsia="仿宋" w:cs="仿宋"/>
              </w:rPr>
            </w:pPr>
          </w:p>
        </w:tc>
        <w:tc>
          <w:tcPr>
            <w:tcW w:w="2265" w:type="dxa"/>
            <w:noWrap w:val="0"/>
            <w:vAlign w:val="top"/>
          </w:tcPr>
          <w:p w14:paraId="7D52D025">
            <w:pPr>
              <w:widowControl w:val="0"/>
              <w:spacing w:line="360" w:lineRule="auto"/>
              <w:jc w:val="both"/>
              <w:rPr>
                <w:rFonts w:hint="eastAsia" w:ascii="仿宋" w:hAnsi="仿宋" w:eastAsia="仿宋" w:cs="仿宋"/>
              </w:rPr>
            </w:pPr>
          </w:p>
        </w:tc>
        <w:tc>
          <w:tcPr>
            <w:tcW w:w="2859" w:type="dxa"/>
            <w:vMerge w:val="restart"/>
            <w:noWrap w:val="0"/>
            <w:vAlign w:val="top"/>
          </w:tcPr>
          <w:p w14:paraId="3A2A4F3D">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费用为：</w:t>
            </w:r>
          </w:p>
        </w:tc>
        <w:tc>
          <w:tcPr>
            <w:tcW w:w="992" w:type="dxa"/>
            <w:noWrap w:val="0"/>
            <w:vAlign w:val="top"/>
          </w:tcPr>
          <w:p w14:paraId="2775D964">
            <w:pPr>
              <w:widowControl w:val="0"/>
              <w:spacing w:line="360" w:lineRule="auto"/>
              <w:jc w:val="center"/>
              <w:rPr>
                <w:rFonts w:hint="eastAsia" w:ascii="仿宋" w:hAnsi="仿宋" w:eastAsia="仿宋" w:cs="仿宋"/>
              </w:rPr>
            </w:pPr>
          </w:p>
        </w:tc>
      </w:tr>
      <w:tr w14:paraId="0425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588C0D5E">
            <w:pPr>
              <w:widowControl w:val="0"/>
              <w:spacing w:line="360" w:lineRule="auto"/>
              <w:jc w:val="center"/>
              <w:rPr>
                <w:rFonts w:hint="eastAsia" w:ascii="仿宋" w:hAnsi="仿宋" w:eastAsia="仿宋" w:cs="仿宋"/>
              </w:rPr>
            </w:pPr>
          </w:p>
        </w:tc>
        <w:tc>
          <w:tcPr>
            <w:tcW w:w="2835" w:type="dxa"/>
            <w:noWrap w:val="0"/>
            <w:vAlign w:val="top"/>
          </w:tcPr>
          <w:p w14:paraId="2896A94B">
            <w:pPr>
              <w:widowControl w:val="0"/>
              <w:spacing w:line="360" w:lineRule="auto"/>
              <w:jc w:val="both"/>
              <w:rPr>
                <w:rFonts w:hint="eastAsia" w:ascii="仿宋" w:hAnsi="仿宋" w:eastAsia="仿宋" w:cs="仿宋"/>
                <w:lang w:val="en-US" w:eastAsia="zh-CN"/>
              </w:rPr>
            </w:pPr>
            <w:r>
              <w:rPr>
                <w:rFonts w:hint="eastAsia" w:ascii="仿宋" w:hAnsi="仿宋" w:eastAsia="仿宋" w:cs="仿宋"/>
              </w:rPr>
              <w:t>其他：</w:t>
            </w:r>
            <w:r>
              <w:rPr>
                <w:rFonts w:hint="eastAsia" w:ascii="仿宋" w:hAnsi="仿宋" w:eastAsia="仿宋" w:cs="仿宋"/>
                <w:lang w:val="en-US" w:eastAsia="zh-CN"/>
              </w:rPr>
              <w:t>二审</w:t>
            </w:r>
          </w:p>
        </w:tc>
        <w:tc>
          <w:tcPr>
            <w:tcW w:w="2577" w:type="dxa"/>
            <w:noWrap w:val="0"/>
            <w:vAlign w:val="top"/>
          </w:tcPr>
          <w:p w14:paraId="22B92A27">
            <w:pPr>
              <w:widowControl w:val="0"/>
              <w:spacing w:line="360" w:lineRule="auto"/>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编制</w:t>
            </w:r>
            <w:r>
              <w:rPr>
                <w:rFonts w:hint="eastAsia" w:ascii="仿宋" w:hAnsi="仿宋" w:eastAsia="仿宋" w:cs="仿宋"/>
                <w:lang w:eastAsia="zh-CN"/>
              </w:rPr>
              <w:t>☑</w:t>
            </w:r>
            <w:r>
              <w:rPr>
                <w:rFonts w:hint="eastAsia" w:ascii="仿宋" w:hAnsi="仿宋" w:eastAsia="仿宋" w:cs="仿宋"/>
              </w:rPr>
              <w:t>审核</w:t>
            </w:r>
            <w:r>
              <w:rPr>
                <w:rFonts w:hint="eastAsia" w:ascii="仿宋" w:hAnsi="仿宋" w:eastAsia="仿宋" w:cs="仿宋"/>
                <w:lang w:eastAsia="zh-CN"/>
              </w:rPr>
              <w:t>☑</w:t>
            </w:r>
            <w:r>
              <w:rPr>
                <w:rFonts w:hint="eastAsia" w:ascii="仿宋" w:hAnsi="仿宋" w:eastAsia="仿宋" w:cs="仿宋"/>
              </w:rPr>
              <w:t>调整</w:t>
            </w:r>
          </w:p>
        </w:tc>
        <w:tc>
          <w:tcPr>
            <w:tcW w:w="1269" w:type="dxa"/>
            <w:noWrap w:val="0"/>
            <w:vAlign w:val="top"/>
          </w:tcPr>
          <w:p w14:paraId="45BE60CB">
            <w:pPr>
              <w:widowControl w:val="0"/>
              <w:spacing w:line="360" w:lineRule="auto"/>
              <w:jc w:val="both"/>
              <w:rPr>
                <w:rFonts w:hint="eastAsia" w:ascii="仿宋" w:hAnsi="仿宋" w:eastAsia="仿宋" w:cs="仿宋"/>
              </w:rPr>
            </w:pPr>
          </w:p>
        </w:tc>
        <w:tc>
          <w:tcPr>
            <w:tcW w:w="2265" w:type="dxa"/>
            <w:noWrap w:val="0"/>
            <w:vAlign w:val="top"/>
          </w:tcPr>
          <w:p w14:paraId="4F147F94">
            <w:pPr>
              <w:widowControl w:val="0"/>
              <w:spacing w:line="360" w:lineRule="auto"/>
              <w:jc w:val="both"/>
              <w:rPr>
                <w:rFonts w:hint="eastAsia" w:ascii="仿宋" w:hAnsi="仿宋" w:eastAsia="仿宋" w:cs="仿宋"/>
              </w:rPr>
            </w:pPr>
          </w:p>
        </w:tc>
        <w:tc>
          <w:tcPr>
            <w:tcW w:w="2859" w:type="dxa"/>
            <w:vMerge w:val="continue"/>
            <w:noWrap w:val="0"/>
            <w:vAlign w:val="top"/>
          </w:tcPr>
          <w:p w14:paraId="14C061B5">
            <w:pPr>
              <w:widowControl w:val="0"/>
              <w:spacing w:line="360" w:lineRule="auto"/>
              <w:jc w:val="both"/>
              <w:rPr>
                <w:rFonts w:hint="eastAsia" w:ascii="仿宋" w:hAnsi="仿宋" w:eastAsia="仿宋" w:cs="仿宋"/>
              </w:rPr>
            </w:pPr>
          </w:p>
        </w:tc>
        <w:tc>
          <w:tcPr>
            <w:tcW w:w="992" w:type="dxa"/>
            <w:noWrap w:val="0"/>
            <w:vAlign w:val="top"/>
          </w:tcPr>
          <w:p w14:paraId="45FA8301">
            <w:pPr>
              <w:widowControl w:val="0"/>
              <w:spacing w:line="360" w:lineRule="auto"/>
              <w:jc w:val="center"/>
              <w:rPr>
                <w:rFonts w:hint="eastAsia" w:ascii="仿宋" w:hAnsi="仿宋" w:eastAsia="仿宋" w:cs="仿宋"/>
              </w:rPr>
            </w:pPr>
          </w:p>
        </w:tc>
      </w:tr>
      <w:tr w14:paraId="23FA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noWrap w:val="0"/>
            <w:vAlign w:val="center"/>
          </w:tcPr>
          <w:p w14:paraId="0D2FF6CE">
            <w:pPr>
              <w:widowControl w:val="0"/>
              <w:spacing w:line="360" w:lineRule="auto"/>
              <w:jc w:val="center"/>
              <w:rPr>
                <w:rFonts w:hint="eastAsia" w:ascii="仿宋" w:hAnsi="仿宋" w:eastAsia="仿宋" w:cs="仿宋"/>
              </w:rPr>
            </w:pPr>
            <w:r>
              <w:rPr>
                <w:rFonts w:hint="eastAsia" w:ascii="仿宋" w:hAnsi="仿宋" w:eastAsia="仿宋" w:cs="仿宋"/>
              </w:rPr>
              <w:t>其他服务</w:t>
            </w:r>
          </w:p>
        </w:tc>
        <w:tc>
          <w:tcPr>
            <w:tcW w:w="2835" w:type="dxa"/>
            <w:noWrap w:val="0"/>
            <w:vAlign w:val="top"/>
          </w:tcPr>
          <w:p w14:paraId="70AA9312">
            <w:pPr>
              <w:widowControl w:val="0"/>
              <w:spacing w:line="360" w:lineRule="auto"/>
              <w:jc w:val="both"/>
              <w:rPr>
                <w:rFonts w:hint="eastAsia" w:ascii="仿宋" w:hAnsi="仿宋" w:eastAsia="仿宋" w:cs="仿宋"/>
              </w:rPr>
            </w:pPr>
            <w:r>
              <w:rPr>
                <w:rFonts w:hint="eastAsia" w:ascii="仿宋" w:hAnsi="仿宋" w:eastAsia="仿宋" w:cs="仿宋"/>
              </w:rPr>
              <w:t>工程造价鉴定</w:t>
            </w:r>
          </w:p>
        </w:tc>
        <w:tc>
          <w:tcPr>
            <w:tcW w:w="2577" w:type="dxa"/>
            <w:noWrap w:val="0"/>
            <w:vAlign w:val="top"/>
          </w:tcPr>
          <w:p w14:paraId="7BFCDDBB">
            <w:pPr>
              <w:widowControl w:val="0"/>
              <w:spacing w:line="360" w:lineRule="auto"/>
              <w:jc w:val="both"/>
              <w:rPr>
                <w:rFonts w:hint="eastAsia" w:ascii="仿宋" w:hAnsi="仿宋" w:eastAsia="仿宋" w:cs="仿宋"/>
              </w:rPr>
            </w:pPr>
          </w:p>
        </w:tc>
        <w:tc>
          <w:tcPr>
            <w:tcW w:w="1269" w:type="dxa"/>
            <w:noWrap w:val="0"/>
            <w:vAlign w:val="top"/>
          </w:tcPr>
          <w:p w14:paraId="7903B60A">
            <w:pPr>
              <w:widowControl w:val="0"/>
              <w:spacing w:line="360" w:lineRule="auto"/>
              <w:jc w:val="both"/>
              <w:rPr>
                <w:rFonts w:hint="eastAsia" w:ascii="仿宋" w:hAnsi="仿宋" w:eastAsia="仿宋" w:cs="仿宋"/>
              </w:rPr>
            </w:pPr>
          </w:p>
        </w:tc>
        <w:tc>
          <w:tcPr>
            <w:tcW w:w="2265" w:type="dxa"/>
            <w:noWrap w:val="0"/>
            <w:vAlign w:val="top"/>
          </w:tcPr>
          <w:p w14:paraId="47059311">
            <w:pPr>
              <w:widowControl w:val="0"/>
              <w:spacing w:line="360" w:lineRule="auto"/>
              <w:jc w:val="both"/>
              <w:rPr>
                <w:rFonts w:hint="eastAsia" w:ascii="仿宋" w:hAnsi="仿宋" w:eastAsia="仿宋" w:cs="仿宋"/>
              </w:rPr>
            </w:pPr>
          </w:p>
        </w:tc>
        <w:tc>
          <w:tcPr>
            <w:tcW w:w="2859" w:type="dxa"/>
            <w:noWrap w:val="0"/>
            <w:vAlign w:val="top"/>
          </w:tcPr>
          <w:p w14:paraId="3FAA93B1">
            <w:pPr>
              <w:widowControl w:val="0"/>
              <w:spacing w:line="360" w:lineRule="auto"/>
              <w:jc w:val="both"/>
              <w:rPr>
                <w:rFonts w:hint="eastAsia" w:ascii="仿宋" w:hAnsi="仿宋" w:eastAsia="仿宋" w:cs="仿宋"/>
              </w:rPr>
            </w:pPr>
          </w:p>
        </w:tc>
        <w:tc>
          <w:tcPr>
            <w:tcW w:w="992" w:type="dxa"/>
            <w:noWrap w:val="0"/>
            <w:vAlign w:val="top"/>
          </w:tcPr>
          <w:p w14:paraId="4EC95097">
            <w:pPr>
              <w:widowControl w:val="0"/>
              <w:spacing w:line="360" w:lineRule="auto"/>
              <w:jc w:val="center"/>
              <w:rPr>
                <w:rFonts w:hint="eastAsia" w:ascii="仿宋" w:hAnsi="仿宋" w:eastAsia="仿宋" w:cs="仿宋"/>
              </w:rPr>
            </w:pPr>
          </w:p>
        </w:tc>
      </w:tr>
    </w:tbl>
    <w:p w14:paraId="29A19F03">
      <w:pPr>
        <w:spacing w:line="360" w:lineRule="auto"/>
        <w:rPr>
          <w:rFonts w:hint="eastAsia" w:ascii="仿宋" w:hAnsi="仿宋" w:eastAsia="仿宋" w:cs="仿宋"/>
          <w:b/>
        </w:rPr>
      </w:pPr>
      <w:r>
        <w:rPr>
          <w:rFonts w:hint="eastAsia" w:ascii="仿宋" w:hAnsi="仿宋" w:eastAsia="仿宋" w:cs="仿宋"/>
          <w:b/>
        </w:rPr>
        <w:t xml:space="preserve">      </w:t>
      </w:r>
    </w:p>
    <w:p w14:paraId="781ACB96">
      <w:pPr>
        <w:spacing w:line="360" w:lineRule="auto"/>
        <w:rPr>
          <w:rFonts w:hint="eastAsia" w:ascii="仿宋" w:hAnsi="仿宋" w:eastAsia="仿宋" w:cs="仿宋"/>
          <w:sz w:val="24"/>
          <w:szCs w:val="24"/>
        </w:rPr>
      </w:pPr>
      <w:r>
        <w:rPr>
          <w:rFonts w:hint="eastAsia" w:ascii="仿宋" w:hAnsi="仿宋" w:eastAsia="仿宋" w:cs="仿宋"/>
          <w:b/>
          <w:sz w:val="24"/>
          <w:szCs w:val="24"/>
        </w:rPr>
        <w:t xml:space="preserve">  注：</w:t>
      </w:r>
      <w:r>
        <w:rPr>
          <w:rFonts w:hint="eastAsia" w:ascii="仿宋" w:hAnsi="仿宋" w:eastAsia="仿宋" w:cs="仿宋"/>
          <w:sz w:val="24"/>
          <w:szCs w:val="24"/>
        </w:rPr>
        <w:t xml:space="preserve"> 1.附录A中服务范围及工作内容未涉及的可在“其他”项中列明。</w:t>
      </w:r>
    </w:p>
    <w:p w14:paraId="4265E47F">
      <w:pPr>
        <w:spacing w:line="360" w:lineRule="auto"/>
        <w:ind w:left="278" w:leftChars="116" w:firstLine="600" w:firstLineChars="250"/>
        <w:rPr>
          <w:rFonts w:hint="eastAsia" w:ascii="仿宋" w:hAnsi="仿宋" w:eastAsia="仿宋" w:cs="仿宋"/>
          <w:bCs/>
          <w:sz w:val="24"/>
          <w:szCs w:val="24"/>
          <w:u w:val="single"/>
          <w:lang w:eastAsia="zh-CN"/>
        </w:rPr>
        <w:sectPr>
          <w:pgSz w:w="16838" w:h="11906" w:orient="landscape"/>
          <w:pgMar w:top="1803" w:right="1440" w:bottom="1803" w:left="1440" w:header="851" w:footer="992" w:gutter="0"/>
          <w:pgNumType w:fmt="decimal"/>
          <w:cols w:space="720" w:num="1"/>
          <w:docGrid w:linePitch="312" w:charSpace="0"/>
        </w:sectPr>
      </w:pPr>
      <w:r>
        <w:rPr>
          <w:rFonts w:hint="eastAsia" w:ascii="仿宋" w:hAnsi="仿宋" w:eastAsia="仿宋" w:cs="仿宋"/>
          <w:bCs/>
          <w:sz w:val="24"/>
          <w:szCs w:val="24"/>
        </w:rPr>
        <w:t>2.实行全过程造价咨询的工程，服务范围及工作内容按上表，酬金及计取方式为:</w:t>
      </w:r>
      <w:r>
        <w:rPr>
          <w:rFonts w:hint="eastAsia" w:ascii="仿宋" w:hAnsi="仿宋" w:eastAsia="仿宋" w:cs="仿宋"/>
          <w:bCs/>
          <w:sz w:val="24"/>
          <w:szCs w:val="24"/>
          <w:u w:val="single"/>
          <w:lang w:eastAsia="zh-CN"/>
        </w:rPr>
        <w:t>以上费用计取比率按中价协[2013]35号文件取费执行</w:t>
      </w:r>
    </w:p>
    <w:p w14:paraId="6FE3370D">
      <w:pPr>
        <w:pStyle w:val="3"/>
        <w:spacing w:before="0" w:after="0"/>
        <w:jc w:val="center"/>
        <w:rPr>
          <w:rFonts w:hint="eastAsia" w:ascii="仿宋" w:hAnsi="仿宋" w:eastAsia="仿宋" w:cs="仿宋"/>
          <w:sz w:val="24"/>
          <w:szCs w:val="24"/>
        </w:rPr>
      </w:pPr>
      <w:bookmarkStart w:id="230" w:name="_Toc30084"/>
      <w:bookmarkStart w:id="231" w:name="_Toc422322558"/>
      <w:bookmarkStart w:id="232" w:name="_Toc419045127"/>
      <w:r>
        <w:rPr>
          <w:rFonts w:hint="eastAsia" w:ascii="仿宋" w:hAnsi="仿宋" w:eastAsia="仿宋" w:cs="仿宋"/>
          <w:sz w:val="24"/>
          <w:szCs w:val="24"/>
        </w:rPr>
        <w:t>附录B 咨询人提交成果文件一览表</w:t>
      </w:r>
      <w:bookmarkEnd w:id="230"/>
      <w:bookmarkEnd w:id="231"/>
      <w:bookmarkEnd w:id="232"/>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2417"/>
        <w:gridCol w:w="3200"/>
        <w:gridCol w:w="1604"/>
        <w:gridCol w:w="709"/>
        <w:gridCol w:w="3706"/>
      </w:tblGrid>
      <w:tr w14:paraId="1564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50" w:type="dxa"/>
            <w:noWrap w:val="0"/>
            <w:vAlign w:val="center"/>
          </w:tcPr>
          <w:p w14:paraId="5CAF72AB">
            <w:pPr>
              <w:widowControl w:val="0"/>
              <w:spacing w:line="360" w:lineRule="auto"/>
              <w:jc w:val="center"/>
              <w:rPr>
                <w:rFonts w:hint="eastAsia" w:ascii="仿宋" w:hAnsi="仿宋" w:eastAsia="仿宋" w:cs="仿宋"/>
                <w:bCs/>
              </w:rPr>
            </w:pPr>
            <w:r>
              <w:rPr>
                <w:rFonts w:hint="eastAsia" w:ascii="仿宋" w:hAnsi="仿宋" w:eastAsia="仿宋" w:cs="仿宋"/>
                <w:bCs/>
              </w:rPr>
              <w:t>服务阶段</w:t>
            </w:r>
          </w:p>
        </w:tc>
        <w:tc>
          <w:tcPr>
            <w:tcW w:w="2417" w:type="dxa"/>
            <w:noWrap w:val="0"/>
            <w:vAlign w:val="center"/>
          </w:tcPr>
          <w:p w14:paraId="45D4166E">
            <w:pPr>
              <w:widowControl w:val="0"/>
              <w:spacing w:line="360" w:lineRule="auto"/>
              <w:jc w:val="center"/>
              <w:rPr>
                <w:rFonts w:hint="eastAsia" w:ascii="仿宋" w:hAnsi="仿宋" w:eastAsia="仿宋" w:cs="仿宋"/>
                <w:bCs/>
              </w:rPr>
            </w:pPr>
            <w:r>
              <w:rPr>
                <w:rFonts w:hint="eastAsia" w:ascii="仿宋" w:hAnsi="仿宋" w:eastAsia="仿宋" w:cs="仿宋"/>
                <w:bCs/>
              </w:rPr>
              <w:t>成果文件名称</w:t>
            </w:r>
          </w:p>
        </w:tc>
        <w:tc>
          <w:tcPr>
            <w:tcW w:w="3200" w:type="dxa"/>
            <w:noWrap w:val="0"/>
            <w:vAlign w:val="center"/>
          </w:tcPr>
          <w:p w14:paraId="1A812476">
            <w:pPr>
              <w:widowControl w:val="0"/>
              <w:spacing w:line="360" w:lineRule="auto"/>
              <w:jc w:val="center"/>
              <w:rPr>
                <w:rFonts w:hint="eastAsia" w:ascii="仿宋" w:hAnsi="仿宋" w:eastAsia="仿宋" w:cs="仿宋"/>
                <w:bCs/>
              </w:rPr>
            </w:pPr>
            <w:r>
              <w:rPr>
                <w:rFonts w:hint="eastAsia" w:ascii="仿宋" w:hAnsi="仿宋" w:eastAsia="仿宋" w:cs="仿宋"/>
                <w:bCs/>
              </w:rPr>
              <w:t>成果文件组成</w:t>
            </w:r>
          </w:p>
        </w:tc>
        <w:tc>
          <w:tcPr>
            <w:tcW w:w="1604" w:type="dxa"/>
            <w:noWrap w:val="0"/>
            <w:vAlign w:val="center"/>
          </w:tcPr>
          <w:p w14:paraId="4DD987C2">
            <w:pPr>
              <w:widowControl w:val="0"/>
              <w:spacing w:line="360" w:lineRule="auto"/>
              <w:jc w:val="center"/>
              <w:rPr>
                <w:rFonts w:hint="eastAsia" w:ascii="仿宋" w:hAnsi="仿宋" w:eastAsia="仿宋" w:cs="仿宋"/>
                <w:bCs/>
              </w:rPr>
            </w:pPr>
            <w:r>
              <w:rPr>
                <w:rFonts w:hint="eastAsia" w:ascii="仿宋" w:hAnsi="仿宋" w:eastAsia="仿宋" w:cs="仿宋"/>
                <w:bCs/>
              </w:rPr>
              <w:t>提交时间</w:t>
            </w:r>
          </w:p>
        </w:tc>
        <w:tc>
          <w:tcPr>
            <w:tcW w:w="709" w:type="dxa"/>
            <w:noWrap w:val="0"/>
            <w:vAlign w:val="center"/>
          </w:tcPr>
          <w:p w14:paraId="3D3C6812">
            <w:pPr>
              <w:widowControl w:val="0"/>
              <w:spacing w:line="360" w:lineRule="auto"/>
              <w:jc w:val="center"/>
              <w:rPr>
                <w:rFonts w:hint="eastAsia" w:ascii="仿宋" w:hAnsi="仿宋" w:eastAsia="仿宋" w:cs="仿宋"/>
                <w:bCs/>
              </w:rPr>
            </w:pPr>
            <w:r>
              <w:rPr>
                <w:rFonts w:hint="eastAsia" w:ascii="仿宋" w:hAnsi="仿宋" w:eastAsia="仿宋" w:cs="仿宋"/>
                <w:bCs/>
              </w:rPr>
              <w:t>份数</w:t>
            </w:r>
          </w:p>
        </w:tc>
        <w:tc>
          <w:tcPr>
            <w:tcW w:w="3706" w:type="dxa"/>
            <w:noWrap w:val="0"/>
            <w:vAlign w:val="center"/>
          </w:tcPr>
          <w:p w14:paraId="425373E1">
            <w:pPr>
              <w:widowControl w:val="0"/>
              <w:spacing w:line="360" w:lineRule="auto"/>
              <w:jc w:val="center"/>
              <w:rPr>
                <w:rFonts w:hint="eastAsia" w:ascii="仿宋" w:hAnsi="仿宋" w:eastAsia="仿宋" w:cs="仿宋"/>
                <w:bCs/>
              </w:rPr>
            </w:pPr>
            <w:r>
              <w:rPr>
                <w:rFonts w:hint="eastAsia" w:ascii="仿宋" w:hAnsi="仿宋" w:eastAsia="仿宋" w:cs="仿宋"/>
                <w:bCs/>
              </w:rPr>
              <w:t>质量标准</w:t>
            </w:r>
          </w:p>
        </w:tc>
      </w:tr>
      <w:tr w14:paraId="7ABC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50" w:type="dxa"/>
            <w:vMerge w:val="restart"/>
            <w:noWrap w:val="0"/>
            <w:vAlign w:val="center"/>
          </w:tcPr>
          <w:p w14:paraId="40186917">
            <w:pPr>
              <w:pStyle w:val="27"/>
              <w:widowControl w:val="0"/>
              <w:spacing w:line="360" w:lineRule="auto"/>
              <w:jc w:val="center"/>
              <w:rPr>
                <w:rFonts w:hint="eastAsia" w:ascii="仿宋" w:hAnsi="仿宋" w:eastAsia="仿宋" w:cs="仿宋"/>
                <w:bCs/>
              </w:rPr>
            </w:pPr>
            <w:r>
              <w:rPr>
                <w:rFonts w:hint="eastAsia" w:ascii="仿宋" w:hAnsi="仿宋" w:eastAsia="仿宋" w:cs="仿宋"/>
                <w:bCs/>
              </w:rPr>
              <w:t>决策阶段</w:t>
            </w:r>
          </w:p>
        </w:tc>
        <w:tc>
          <w:tcPr>
            <w:tcW w:w="2417" w:type="dxa"/>
            <w:noWrap w:val="0"/>
            <w:vAlign w:val="center"/>
          </w:tcPr>
          <w:p w14:paraId="37F65688">
            <w:pPr>
              <w:widowControl w:val="0"/>
              <w:spacing w:line="360" w:lineRule="auto"/>
              <w:jc w:val="both"/>
              <w:rPr>
                <w:rFonts w:hint="eastAsia" w:ascii="仿宋" w:hAnsi="仿宋" w:eastAsia="仿宋" w:cs="仿宋"/>
                <w:bCs/>
                <w:lang w:val="en-US" w:eastAsia="zh-CN"/>
              </w:rPr>
            </w:pPr>
            <w:r>
              <w:rPr>
                <w:rFonts w:hint="eastAsia" w:ascii="仿宋" w:hAnsi="仿宋" w:eastAsia="仿宋" w:cs="仿宋"/>
                <w:bCs/>
                <w:lang w:val="en-US" w:eastAsia="zh-CN"/>
              </w:rPr>
              <w:t>/</w:t>
            </w:r>
          </w:p>
        </w:tc>
        <w:tc>
          <w:tcPr>
            <w:tcW w:w="3200" w:type="dxa"/>
            <w:noWrap w:val="0"/>
            <w:vAlign w:val="center"/>
          </w:tcPr>
          <w:p w14:paraId="11F5A523">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1604" w:type="dxa"/>
            <w:noWrap w:val="0"/>
            <w:vAlign w:val="center"/>
          </w:tcPr>
          <w:p w14:paraId="28460484">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709" w:type="dxa"/>
            <w:noWrap w:val="0"/>
            <w:vAlign w:val="center"/>
          </w:tcPr>
          <w:p w14:paraId="1D9BA1C1">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3706" w:type="dxa"/>
            <w:noWrap w:val="0"/>
            <w:vAlign w:val="center"/>
          </w:tcPr>
          <w:p w14:paraId="4447FD8F">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r>
      <w:tr w14:paraId="1AAD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50" w:type="dxa"/>
            <w:vMerge w:val="continue"/>
            <w:noWrap w:val="0"/>
            <w:vAlign w:val="center"/>
          </w:tcPr>
          <w:p w14:paraId="302A58B5">
            <w:pPr>
              <w:widowControl w:val="0"/>
              <w:spacing w:line="360" w:lineRule="auto"/>
              <w:jc w:val="center"/>
              <w:rPr>
                <w:rFonts w:hint="eastAsia" w:ascii="仿宋" w:hAnsi="仿宋" w:eastAsia="仿宋" w:cs="仿宋"/>
                <w:bCs/>
              </w:rPr>
            </w:pPr>
          </w:p>
        </w:tc>
        <w:tc>
          <w:tcPr>
            <w:tcW w:w="2417" w:type="dxa"/>
            <w:noWrap w:val="0"/>
            <w:vAlign w:val="center"/>
          </w:tcPr>
          <w:p w14:paraId="6E812B67">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3200" w:type="dxa"/>
            <w:noWrap w:val="0"/>
            <w:vAlign w:val="center"/>
          </w:tcPr>
          <w:p w14:paraId="5CE4B1C8">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1604" w:type="dxa"/>
            <w:noWrap w:val="0"/>
            <w:vAlign w:val="center"/>
          </w:tcPr>
          <w:p w14:paraId="78F2658C">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709" w:type="dxa"/>
            <w:noWrap w:val="0"/>
            <w:vAlign w:val="center"/>
          </w:tcPr>
          <w:p w14:paraId="72994D8F">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3706" w:type="dxa"/>
            <w:noWrap w:val="0"/>
            <w:vAlign w:val="center"/>
          </w:tcPr>
          <w:p w14:paraId="74F79A0B">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r>
      <w:tr w14:paraId="2D35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50" w:type="dxa"/>
            <w:vMerge w:val="continue"/>
            <w:noWrap w:val="0"/>
            <w:vAlign w:val="center"/>
          </w:tcPr>
          <w:p w14:paraId="57150262">
            <w:pPr>
              <w:widowControl w:val="0"/>
              <w:spacing w:line="360" w:lineRule="auto"/>
              <w:jc w:val="center"/>
              <w:rPr>
                <w:rFonts w:hint="eastAsia" w:ascii="仿宋" w:hAnsi="仿宋" w:eastAsia="仿宋" w:cs="仿宋"/>
                <w:bCs/>
              </w:rPr>
            </w:pPr>
          </w:p>
        </w:tc>
        <w:tc>
          <w:tcPr>
            <w:tcW w:w="2417" w:type="dxa"/>
            <w:noWrap w:val="0"/>
            <w:vAlign w:val="center"/>
          </w:tcPr>
          <w:p w14:paraId="7F5DA3BE">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3200" w:type="dxa"/>
            <w:noWrap w:val="0"/>
            <w:vAlign w:val="center"/>
          </w:tcPr>
          <w:p w14:paraId="6C26664F">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1604" w:type="dxa"/>
            <w:noWrap w:val="0"/>
            <w:vAlign w:val="center"/>
          </w:tcPr>
          <w:p w14:paraId="4D94D60E">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709" w:type="dxa"/>
            <w:noWrap w:val="0"/>
            <w:vAlign w:val="center"/>
          </w:tcPr>
          <w:p w14:paraId="6D6862FE">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3706" w:type="dxa"/>
            <w:noWrap w:val="0"/>
            <w:vAlign w:val="center"/>
          </w:tcPr>
          <w:p w14:paraId="1CAE4C91">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r>
      <w:tr w14:paraId="67DF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50" w:type="dxa"/>
            <w:vMerge w:val="restart"/>
            <w:noWrap w:val="0"/>
            <w:vAlign w:val="center"/>
          </w:tcPr>
          <w:p w14:paraId="3D75752E">
            <w:pPr>
              <w:pStyle w:val="27"/>
              <w:widowControl w:val="0"/>
              <w:spacing w:line="360" w:lineRule="auto"/>
              <w:jc w:val="center"/>
              <w:rPr>
                <w:rFonts w:hint="eastAsia" w:ascii="仿宋" w:hAnsi="仿宋" w:eastAsia="仿宋" w:cs="仿宋"/>
                <w:bCs/>
              </w:rPr>
            </w:pPr>
            <w:r>
              <w:rPr>
                <w:rFonts w:hint="eastAsia" w:ascii="仿宋" w:hAnsi="仿宋" w:eastAsia="仿宋" w:cs="仿宋"/>
                <w:bCs/>
              </w:rPr>
              <w:t>设计阶段</w:t>
            </w:r>
          </w:p>
        </w:tc>
        <w:tc>
          <w:tcPr>
            <w:tcW w:w="2417" w:type="dxa"/>
            <w:noWrap w:val="0"/>
            <w:vAlign w:val="center"/>
          </w:tcPr>
          <w:p w14:paraId="3CA65E57">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3200" w:type="dxa"/>
            <w:noWrap w:val="0"/>
            <w:vAlign w:val="center"/>
          </w:tcPr>
          <w:p w14:paraId="4DE8C238">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1604" w:type="dxa"/>
            <w:noWrap w:val="0"/>
            <w:vAlign w:val="center"/>
          </w:tcPr>
          <w:p w14:paraId="529FED1F">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709" w:type="dxa"/>
            <w:noWrap w:val="0"/>
            <w:vAlign w:val="center"/>
          </w:tcPr>
          <w:p w14:paraId="048D3C24">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3706" w:type="dxa"/>
            <w:noWrap w:val="0"/>
            <w:vAlign w:val="center"/>
          </w:tcPr>
          <w:p w14:paraId="5037A446">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r>
      <w:tr w14:paraId="4A3E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50" w:type="dxa"/>
            <w:vMerge w:val="continue"/>
            <w:noWrap w:val="0"/>
            <w:vAlign w:val="center"/>
          </w:tcPr>
          <w:p w14:paraId="420F7782">
            <w:pPr>
              <w:pStyle w:val="27"/>
              <w:widowControl w:val="0"/>
              <w:spacing w:line="360" w:lineRule="auto"/>
              <w:jc w:val="center"/>
              <w:rPr>
                <w:rFonts w:hint="eastAsia" w:ascii="仿宋" w:hAnsi="仿宋" w:eastAsia="仿宋" w:cs="仿宋"/>
                <w:bCs/>
              </w:rPr>
            </w:pPr>
          </w:p>
        </w:tc>
        <w:tc>
          <w:tcPr>
            <w:tcW w:w="2417" w:type="dxa"/>
            <w:noWrap w:val="0"/>
            <w:vAlign w:val="center"/>
          </w:tcPr>
          <w:p w14:paraId="35459BE1">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3200" w:type="dxa"/>
            <w:noWrap w:val="0"/>
            <w:vAlign w:val="center"/>
          </w:tcPr>
          <w:p w14:paraId="6A8A24F6">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1604" w:type="dxa"/>
            <w:noWrap w:val="0"/>
            <w:vAlign w:val="center"/>
          </w:tcPr>
          <w:p w14:paraId="76C4823E">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709" w:type="dxa"/>
            <w:noWrap w:val="0"/>
            <w:vAlign w:val="center"/>
          </w:tcPr>
          <w:p w14:paraId="445C5766">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3706" w:type="dxa"/>
            <w:noWrap w:val="0"/>
            <w:vAlign w:val="center"/>
          </w:tcPr>
          <w:p w14:paraId="04A19B22">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r>
      <w:tr w14:paraId="5A3C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50" w:type="dxa"/>
            <w:vMerge w:val="continue"/>
            <w:noWrap w:val="0"/>
            <w:vAlign w:val="center"/>
          </w:tcPr>
          <w:p w14:paraId="39B30ADE">
            <w:pPr>
              <w:widowControl w:val="0"/>
              <w:spacing w:line="360" w:lineRule="auto"/>
              <w:jc w:val="center"/>
              <w:rPr>
                <w:rFonts w:hint="eastAsia" w:ascii="仿宋" w:hAnsi="仿宋" w:eastAsia="仿宋" w:cs="仿宋"/>
                <w:bCs/>
              </w:rPr>
            </w:pPr>
          </w:p>
        </w:tc>
        <w:tc>
          <w:tcPr>
            <w:tcW w:w="2417" w:type="dxa"/>
            <w:noWrap w:val="0"/>
            <w:vAlign w:val="center"/>
          </w:tcPr>
          <w:p w14:paraId="7E0E9393">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3200" w:type="dxa"/>
            <w:noWrap w:val="0"/>
            <w:vAlign w:val="center"/>
          </w:tcPr>
          <w:p w14:paraId="4DD36602">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1604" w:type="dxa"/>
            <w:noWrap w:val="0"/>
            <w:vAlign w:val="center"/>
          </w:tcPr>
          <w:p w14:paraId="7EF36F06">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709" w:type="dxa"/>
            <w:noWrap w:val="0"/>
            <w:vAlign w:val="center"/>
          </w:tcPr>
          <w:p w14:paraId="29ACD19F">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3706" w:type="dxa"/>
            <w:noWrap w:val="0"/>
            <w:vAlign w:val="center"/>
          </w:tcPr>
          <w:p w14:paraId="3B6F5769">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r>
      <w:tr w14:paraId="0FD6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50" w:type="dxa"/>
            <w:vMerge w:val="restart"/>
            <w:noWrap w:val="0"/>
            <w:vAlign w:val="center"/>
          </w:tcPr>
          <w:p w14:paraId="4E05878A">
            <w:pPr>
              <w:pStyle w:val="27"/>
              <w:widowControl w:val="0"/>
              <w:spacing w:line="360" w:lineRule="auto"/>
              <w:jc w:val="center"/>
              <w:rPr>
                <w:rFonts w:hint="eastAsia" w:ascii="仿宋" w:hAnsi="仿宋" w:eastAsia="仿宋" w:cs="仿宋"/>
                <w:bCs/>
              </w:rPr>
            </w:pPr>
            <w:r>
              <w:rPr>
                <w:rFonts w:hint="eastAsia" w:ascii="仿宋" w:hAnsi="仿宋" w:eastAsia="仿宋" w:cs="仿宋"/>
                <w:bCs/>
              </w:rPr>
              <w:t>发承包阶段</w:t>
            </w:r>
          </w:p>
        </w:tc>
        <w:tc>
          <w:tcPr>
            <w:tcW w:w="2417" w:type="dxa"/>
            <w:noWrap w:val="0"/>
            <w:vAlign w:val="center"/>
          </w:tcPr>
          <w:p w14:paraId="217C28A9">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3200" w:type="dxa"/>
            <w:noWrap w:val="0"/>
            <w:vAlign w:val="center"/>
          </w:tcPr>
          <w:p w14:paraId="782BF4A7">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1604" w:type="dxa"/>
            <w:noWrap w:val="0"/>
            <w:vAlign w:val="center"/>
          </w:tcPr>
          <w:p w14:paraId="1B36F851">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709" w:type="dxa"/>
            <w:noWrap w:val="0"/>
            <w:vAlign w:val="center"/>
          </w:tcPr>
          <w:p w14:paraId="051AF426">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3706" w:type="dxa"/>
            <w:noWrap w:val="0"/>
            <w:vAlign w:val="center"/>
          </w:tcPr>
          <w:p w14:paraId="4896367F">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r>
      <w:tr w14:paraId="3C46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50" w:type="dxa"/>
            <w:vMerge w:val="continue"/>
            <w:noWrap w:val="0"/>
            <w:vAlign w:val="center"/>
          </w:tcPr>
          <w:p w14:paraId="3941377E">
            <w:pPr>
              <w:pStyle w:val="27"/>
              <w:widowControl w:val="0"/>
              <w:spacing w:line="360" w:lineRule="auto"/>
              <w:jc w:val="center"/>
              <w:rPr>
                <w:rFonts w:hint="eastAsia" w:ascii="仿宋" w:hAnsi="仿宋" w:eastAsia="仿宋" w:cs="仿宋"/>
                <w:bCs/>
              </w:rPr>
            </w:pPr>
          </w:p>
        </w:tc>
        <w:tc>
          <w:tcPr>
            <w:tcW w:w="2417" w:type="dxa"/>
            <w:noWrap w:val="0"/>
            <w:vAlign w:val="center"/>
          </w:tcPr>
          <w:p w14:paraId="39A6BFE7">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3200" w:type="dxa"/>
            <w:noWrap w:val="0"/>
            <w:vAlign w:val="center"/>
          </w:tcPr>
          <w:p w14:paraId="326D4861">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1604" w:type="dxa"/>
            <w:noWrap w:val="0"/>
            <w:vAlign w:val="center"/>
          </w:tcPr>
          <w:p w14:paraId="6C4EBD05">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709" w:type="dxa"/>
            <w:noWrap w:val="0"/>
            <w:vAlign w:val="center"/>
          </w:tcPr>
          <w:p w14:paraId="64990E62">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3706" w:type="dxa"/>
            <w:noWrap w:val="0"/>
            <w:vAlign w:val="center"/>
          </w:tcPr>
          <w:p w14:paraId="036165A0">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r>
      <w:tr w14:paraId="4298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2050" w:type="dxa"/>
            <w:vMerge w:val="restart"/>
            <w:noWrap w:val="0"/>
            <w:vAlign w:val="center"/>
          </w:tcPr>
          <w:p w14:paraId="3819E888">
            <w:pPr>
              <w:pStyle w:val="27"/>
              <w:widowControl w:val="0"/>
              <w:spacing w:line="360" w:lineRule="auto"/>
              <w:jc w:val="center"/>
              <w:rPr>
                <w:rFonts w:hint="eastAsia" w:ascii="仿宋" w:hAnsi="仿宋" w:eastAsia="仿宋" w:cs="仿宋"/>
                <w:bCs/>
              </w:rPr>
            </w:pPr>
            <w:r>
              <w:rPr>
                <w:rFonts w:hint="eastAsia" w:ascii="仿宋" w:hAnsi="仿宋" w:eastAsia="仿宋" w:cs="仿宋"/>
                <w:bCs/>
              </w:rPr>
              <w:t>实施阶段</w:t>
            </w:r>
          </w:p>
        </w:tc>
        <w:tc>
          <w:tcPr>
            <w:tcW w:w="2417" w:type="dxa"/>
            <w:noWrap w:val="0"/>
            <w:vAlign w:val="center"/>
          </w:tcPr>
          <w:p w14:paraId="4231C645">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3200" w:type="dxa"/>
            <w:noWrap w:val="0"/>
            <w:vAlign w:val="center"/>
          </w:tcPr>
          <w:p w14:paraId="7DEA4037">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1604" w:type="dxa"/>
            <w:noWrap w:val="0"/>
            <w:vAlign w:val="center"/>
          </w:tcPr>
          <w:p w14:paraId="55C70508">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709" w:type="dxa"/>
            <w:noWrap w:val="0"/>
            <w:vAlign w:val="center"/>
          </w:tcPr>
          <w:p w14:paraId="16127D27">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3706" w:type="dxa"/>
            <w:noWrap w:val="0"/>
            <w:vAlign w:val="center"/>
          </w:tcPr>
          <w:p w14:paraId="2EC91B0A">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r>
      <w:tr w14:paraId="00AE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2050" w:type="dxa"/>
            <w:vMerge w:val="continue"/>
            <w:noWrap w:val="0"/>
            <w:vAlign w:val="center"/>
          </w:tcPr>
          <w:p w14:paraId="51154557">
            <w:pPr>
              <w:pStyle w:val="27"/>
              <w:widowControl w:val="0"/>
              <w:spacing w:line="360" w:lineRule="auto"/>
              <w:jc w:val="center"/>
              <w:rPr>
                <w:rFonts w:hint="eastAsia" w:ascii="仿宋" w:hAnsi="仿宋" w:eastAsia="仿宋" w:cs="仿宋"/>
                <w:bCs/>
              </w:rPr>
            </w:pPr>
          </w:p>
        </w:tc>
        <w:tc>
          <w:tcPr>
            <w:tcW w:w="2417" w:type="dxa"/>
            <w:noWrap w:val="0"/>
            <w:vAlign w:val="center"/>
          </w:tcPr>
          <w:p w14:paraId="6D45E155">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3200" w:type="dxa"/>
            <w:noWrap w:val="0"/>
            <w:vAlign w:val="center"/>
          </w:tcPr>
          <w:p w14:paraId="3D9038B1">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1604" w:type="dxa"/>
            <w:noWrap w:val="0"/>
            <w:vAlign w:val="center"/>
          </w:tcPr>
          <w:p w14:paraId="346702DE">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709" w:type="dxa"/>
            <w:noWrap w:val="0"/>
            <w:vAlign w:val="center"/>
          </w:tcPr>
          <w:p w14:paraId="04959C4B">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c>
          <w:tcPr>
            <w:tcW w:w="3706" w:type="dxa"/>
            <w:noWrap w:val="0"/>
            <w:vAlign w:val="center"/>
          </w:tcPr>
          <w:p w14:paraId="10CF5348">
            <w:pPr>
              <w:widowControl w:val="0"/>
              <w:spacing w:line="360" w:lineRule="auto"/>
              <w:jc w:val="center"/>
              <w:rPr>
                <w:rFonts w:hint="eastAsia" w:ascii="仿宋" w:hAnsi="仿宋" w:eastAsia="仿宋" w:cs="仿宋"/>
                <w:bCs/>
                <w:lang w:val="en-US" w:eastAsia="zh-CN"/>
              </w:rPr>
            </w:pPr>
            <w:r>
              <w:rPr>
                <w:rFonts w:hint="eastAsia" w:ascii="仿宋" w:hAnsi="仿宋" w:eastAsia="仿宋" w:cs="仿宋"/>
                <w:bCs/>
                <w:lang w:val="en-US" w:eastAsia="zh-CN"/>
              </w:rPr>
              <w:t>/</w:t>
            </w:r>
          </w:p>
        </w:tc>
      </w:tr>
      <w:tr w14:paraId="7CC1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2050" w:type="dxa"/>
            <w:vMerge w:val="restart"/>
            <w:noWrap w:val="0"/>
            <w:vAlign w:val="center"/>
          </w:tcPr>
          <w:p w14:paraId="1E42477F">
            <w:pPr>
              <w:pStyle w:val="27"/>
              <w:widowControl w:val="0"/>
              <w:spacing w:line="360" w:lineRule="auto"/>
              <w:jc w:val="center"/>
              <w:rPr>
                <w:rFonts w:hint="eastAsia" w:ascii="仿宋" w:hAnsi="仿宋" w:eastAsia="仿宋" w:cs="仿宋"/>
                <w:bCs/>
              </w:rPr>
            </w:pPr>
            <w:r>
              <w:rPr>
                <w:rFonts w:hint="eastAsia" w:ascii="仿宋" w:hAnsi="仿宋" w:eastAsia="仿宋" w:cs="仿宋"/>
                <w:bCs/>
              </w:rPr>
              <w:t>竣工阶段</w:t>
            </w:r>
          </w:p>
        </w:tc>
        <w:tc>
          <w:tcPr>
            <w:tcW w:w="2417" w:type="dxa"/>
            <w:noWrap w:val="0"/>
            <w:vAlign w:val="center"/>
          </w:tcPr>
          <w:p w14:paraId="3EEF3064">
            <w:pPr>
              <w:widowControl w:val="0"/>
              <w:spacing w:line="360" w:lineRule="auto"/>
              <w:jc w:val="center"/>
              <w:rPr>
                <w:rFonts w:hint="eastAsia" w:ascii="仿宋" w:hAnsi="仿宋" w:eastAsia="仿宋" w:cs="仿宋"/>
                <w:bCs/>
                <w:color w:val="FF0000"/>
                <w:sz w:val="24"/>
                <w:szCs w:val="24"/>
                <w:lang w:val="en-US" w:eastAsia="zh-CN" w:bidi="ar-SA"/>
              </w:rPr>
            </w:pPr>
            <w:r>
              <w:rPr>
                <w:rFonts w:hint="eastAsia" w:ascii="仿宋" w:hAnsi="仿宋" w:eastAsia="仿宋" w:cs="仿宋"/>
                <w:bCs/>
                <w:color w:val="FF0000"/>
                <w:lang w:val="en-US" w:eastAsia="zh-CN"/>
              </w:rPr>
              <w:t>竣工决算审核</w:t>
            </w:r>
            <w:r>
              <w:rPr>
                <w:rFonts w:hint="eastAsia" w:ascii="仿宋" w:hAnsi="仿宋" w:eastAsia="仿宋" w:cs="仿宋"/>
                <w:bCs/>
                <w:color w:val="FF0000"/>
              </w:rPr>
              <w:t>　</w:t>
            </w:r>
          </w:p>
        </w:tc>
        <w:tc>
          <w:tcPr>
            <w:tcW w:w="3200" w:type="dxa"/>
            <w:noWrap w:val="0"/>
            <w:vAlign w:val="center"/>
          </w:tcPr>
          <w:p w14:paraId="1AC405D7">
            <w:pPr>
              <w:widowControl w:val="0"/>
              <w:spacing w:line="360" w:lineRule="auto"/>
              <w:jc w:val="center"/>
              <w:rPr>
                <w:rFonts w:hint="eastAsia" w:ascii="仿宋" w:hAnsi="仿宋" w:eastAsia="仿宋" w:cs="仿宋"/>
                <w:bCs/>
                <w:sz w:val="24"/>
                <w:szCs w:val="24"/>
                <w:lang w:val="en-US" w:eastAsia="zh-CN" w:bidi="ar-SA"/>
              </w:rPr>
            </w:pPr>
            <w:r>
              <w:rPr>
                <w:rFonts w:hint="eastAsia" w:ascii="仿宋" w:hAnsi="仿宋" w:eastAsia="仿宋" w:cs="仿宋"/>
                <w:bCs/>
                <w:lang w:eastAsia="zh-CN"/>
              </w:rPr>
              <w:t>竣工</w:t>
            </w:r>
            <w:r>
              <w:rPr>
                <w:rFonts w:hint="eastAsia" w:ascii="仿宋" w:hAnsi="仿宋" w:eastAsia="仿宋" w:cs="仿宋"/>
                <w:bCs/>
                <w:lang w:val="en-US" w:eastAsia="zh-CN"/>
              </w:rPr>
              <w:t>决</w:t>
            </w:r>
            <w:r>
              <w:rPr>
                <w:rFonts w:hint="eastAsia" w:ascii="仿宋" w:hAnsi="仿宋" w:eastAsia="仿宋" w:cs="仿宋"/>
                <w:bCs/>
                <w:lang w:eastAsia="zh-CN"/>
              </w:rPr>
              <w:t>算审核报告</w:t>
            </w:r>
          </w:p>
        </w:tc>
        <w:tc>
          <w:tcPr>
            <w:tcW w:w="1604" w:type="dxa"/>
            <w:noWrap w:val="0"/>
            <w:vAlign w:val="center"/>
          </w:tcPr>
          <w:p w14:paraId="7CE8A59C">
            <w:pPr>
              <w:widowControl w:val="0"/>
              <w:spacing w:line="360" w:lineRule="auto"/>
              <w:jc w:val="center"/>
              <w:rPr>
                <w:rFonts w:hint="eastAsia" w:ascii="仿宋" w:hAnsi="仿宋" w:eastAsia="仿宋" w:cs="仿宋"/>
                <w:bCs/>
                <w:sz w:val="24"/>
                <w:szCs w:val="24"/>
                <w:lang w:val="en-US" w:eastAsia="zh-CN" w:bidi="ar-SA"/>
              </w:rPr>
            </w:pPr>
            <w:r>
              <w:rPr>
                <w:rFonts w:hint="eastAsia" w:ascii="仿宋" w:hAnsi="仿宋" w:eastAsia="仿宋" w:cs="仿宋"/>
                <w:bCs/>
                <w:lang w:eastAsia="zh-CN"/>
              </w:rPr>
              <w:t>按合同要求</w:t>
            </w:r>
          </w:p>
        </w:tc>
        <w:tc>
          <w:tcPr>
            <w:tcW w:w="709" w:type="dxa"/>
            <w:noWrap w:val="0"/>
            <w:vAlign w:val="center"/>
          </w:tcPr>
          <w:p w14:paraId="7A334332">
            <w:pPr>
              <w:widowControl w:val="0"/>
              <w:spacing w:line="360" w:lineRule="auto"/>
              <w:jc w:val="center"/>
              <w:rPr>
                <w:rFonts w:hint="eastAsia" w:ascii="仿宋" w:hAnsi="仿宋" w:eastAsia="仿宋" w:cs="仿宋"/>
                <w:bCs/>
                <w:sz w:val="24"/>
                <w:szCs w:val="24"/>
                <w:lang w:val="en-US" w:eastAsia="zh-CN" w:bidi="ar-SA"/>
              </w:rPr>
            </w:pPr>
            <w:r>
              <w:rPr>
                <w:rFonts w:hint="eastAsia" w:ascii="仿宋" w:hAnsi="仿宋" w:eastAsia="仿宋" w:cs="仿宋"/>
                <w:bCs/>
                <w:lang w:val="en-US" w:eastAsia="zh-CN"/>
              </w:rPr>
              <w:t>4</w:t>
            </w:r>
          </w:p>
        </w:tc>
        <w:tc>
          <w:tcPr>
            <w:tcW w:w="3706" w:type="dxa"/>
            <w:noWrap w:val="0"/>
            <w:vAlign w:val="center"/>
          </w:tcPr>
          <w:p w14:paraId="4F4EA9A4">
            <w:pPr>
              <w:widowControl w:val="0"/>
              <w:spacing w:line="360" w:lineRule="auto"/>
              <w:jc w:val="center"/>
              <w:rPr>
                <w:rFonts w:hint="eastAsia" w:ascii="仿宋" w:hAnsi="仿宋" w:eastAsia="仿宋" w:cs="仿宋"/>
                <w:bCs/>
                <w:sz w:val="24"/>
                <w:szCs w:val="24"/>
                <w:lang w:val="en-US" w:eastAsia="zh-CN" w:bidi="ar-SA"/>
              </w:rPr>
            </w:pPr>
            <w:r>
              <w:rPr>
                <w:rFonts w:hint="eastAsia" w:ascii="仿宋" w:hAnsi="仿宋" w:eastAsia="仿宋" w:cs="仿宋"/>
                <w:bCs/>
                <w:lang w:eastAsia="zh-CN"/>
              </w:rPr>
              <w:t>符合质量标准</w:t>
            </w:r>
          </w:p>
        </w:tc>
      </w:tr>
      <w:tr w14:paraId="55BB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050" w:type="dxa"/>
            <w:vMerge w:val="continue"/>
            <w:noWrap w:val="0"/>
            <w:vAlign w:val="center"/>
          </w:tcPr>
          <w:p w14:paraId="7B62B431">
            <w:pPr>
              <w:pStyle w:val="27"/>
              <w:widowControl w:val="0"/>
              <w:spacing w:line="360" w:lineRule="auto"/>
              <w:jc w:val="center"/>
              <w:rPr>
                <w:rFonts w:hint="eastAsia" w:ascii="仿宋" w:hAnsi="仿宋" w:eastAsia="仿宋" w:cs="仿宋"/>
                <w:bCs/>
              </w:rPr>
            </w:pPr>
          </w:p>
        </w:tc>
        <w:tc>
          <w:tcPr>
            <w:tcW w:w="2417" w:type="dxa"/>
            <w:noWrap w:val="0"/>
            <w:vAlign w:val="center"/>
          </w:tcPr>
          <w:p w14:paraId="14CAAA1E">
            <w:pPr>
              <w:widowControl w:val="0"/>
              <w:spacing w:line="360" w:lineRule="auto"/>
              <w:jc w:val="center"/>
              <w:rPr>
                <w:rFonts w:hint="eastAsia" w:ascii="仿宋" w:hAnsi="仿宋" w:eastAsia="仿宋" w:cs="仿宋"/>
                <w:bCs/>
              </w:rPr>
            </w:pPr>
          </w:p>
        </w:tc>
        <w:tc>
          <w:tcPr>
            <w:tcW w:w="3200" w:type="dxa"/>
            <w:noWrap w:val="0"/>
            <w:vAlign w:val="center"/>
          </w:tcPr>
          <w:p w14:paraId="0BF1C6A6">
            <w:pPr>
              <w:widowControl w:val="0"/>
              <w:spacing w:line="360" w:lineRule="auto"/>
              <w:jc w:val="center"/>
              <w:rPr>
                <w:rFonts w:hint="eastAsia" w:ascii="仿宋" w:hAnsi="仿宋" w:eastAsia="仿宋" w:cs="仿宋"/>
                <w:bCs/>
              </w:rPr>
            </w:pPr>
          </w:p>
        </w:tc>
        <w:tc>
          <w:tcPr>
            <w:tcW w:w="1604" w:type="dxa"/>
            <w:noWrap w:val="0"/>
            <w:vAlign w:val="center"/>
          </w:tcPr>
          <w:p w14:paraId="604EDE06">
            <w:pPr>
              <w:widowControl w:val="0"/>
              <w:spacing w:line="360" w:lineRule="auto"/>
              <w:jc w:val="center"/>
              <w:rPr>
                <w:rFonts w:hint="eastAsia" w:ascii="仿宋" w:hAnsi="仿宋" w:eastAsia="仿宋" w:cs="仿宋"/>
                <w:bCs/>
              </w:rPr>
            </w:pPr>
          </w:p>
        </w:tc>
        <w:tc>
          <w:tcPr>
            <w:tcW w:w="709" w:type="dxa"/>
            <w:noWrap w:val="0"/>
            <w:vAlign w:val="center"/>
          </w:tcPr>
          <w:p w14:paraId="4E63E7DA">
            <w:pPr>
              <w:widowControl w:val="0"/>
              <w:spacing w:line="360" w:lineRule="auto"/>
              <w:jc w:val="center"/>
              <w:rPr>
                <w:rFonts w:hint="eastAsia" w:ascii="仿宋" w:hAnsi="仿宋" w:eastAsia="仿宋" w:cs="仿宋"/>
                <w:bCs/>
              </w:rPr>
            </w:pPr>
          </w:p>
        </w:tc>
        <w:tc>
          <w:tcPr>
            <w:tcW w:w="3706" w:type="dxa"/>
            <w:noWrap w:val="0"/>
            <w:vAlign w:val="center"/>
          </w:tcPr>
          <w:p w14:paraId="480C347C">
            <w:pPr>
              <w:widowControl w:val="0"/>
              <w:spacing w:line="360" w:lineRule="auto"/>
              <w:jc w:val="center"/>
              <w:rPr>
                <w:rFonts w:hint="eastAsia" w:ascii="仿宋" w:hAnsi="仿宋" w:eastAsia="仿宋" w:cs="仿宋"/>
                <w:bCs/>
              </w:rPr>
            </w:pPr>
          </w:p>
        </w:tc>
      </w:tr>
      <w:tr w14:paraId="5EE3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50" w:type="dxa"/>
            <w:vMerge w:val="continue"/>
            <w:noWrap w:val="0"/>
            <w:vAlign w:val="center"/>
          </w:tcPr>
          <w:p w14:paraId="0576115E">
            <w:pPr>
              <w:widowControl w:val="0"/>
              <w:spacing w:line="360" w:lineRule="auto"/>
              <w:jc w:val="center"/>
              <w:rPr>
                <w:rFonts w:hint="eastAsia" w:ascii="仿宋" w:hAnsi="仿宋" w:eastAsia="仿宋" w:cs="仿宋"/>
                <w:bCs/>
              </w:rPr>
            </w:pPr>
          </w:p>
        </w:tc>
        <w:tc>
          <w:tcPr>
            <w:tcW w:w="2417" w:type="dxa"/>
            <w:noWrap w:val="0"/>
            <w:vAlign w:val="center"/>
          </w:tcPr>
          <w:p w14:paraId="4B0FFA22">
            <w:pPr>
              <w:widowControl w:val="0"/>
              <w:spacing w:line="360" w:lineRule="auto"/>
              <w:jc w:val="center"/>
              <w:rPr>
                <w:rFonts w:hint="eastAsia" w:ascii="仿宋" w:hAnsi="仿宋" w:eastAsia="仿宋" w:cs="仿宋"/>
                <w:bCs/>
              </w:rPr>
            </w:pPr>
          </w:p>
        </w:tc>
        <w:tc>
          <w:tcPr>
            <w:tcW w:w="3200" w:type="dxa"/>
            <w:noWrap w:val="0"/>
            <w:vAlign w:val="center"/>
          </w:tcPr>
          <w:p w14:paraId="24A684C6">
            <w:pPr>
              <w:widowControl w:val="0"/>
              <w:spacing w:line="360" w:lineRule="auto"/>
              <w:jc w:val="center"/>
              <w:rPr>
                <w:rFonts w:hint="eastAsia" w:ascii="仿宋" w:hAnsi="仿宋" w:eastAsia="仿宋" w:cs="仿宋"/>
                <w:bCs/>
              </w:rPr>
            </w:pPr>
          </w:p>
        </w:tc>
        <w:tc>
          <w:tcPr>
            <w:tcW w:w="1604" w:type="dxa"/>
            <w:noWrap w:val="0"/>
            <w:vAlign w:val="center"/>
          </w:tcPr>
          <w:p w14:paraId="4673F6DF">
            <w:pPr>
              <w:widowControl w:val="0"/>
              <w:spacing w:line="360" w:lineRule="auto"/>
              <w:jc w:val="center"/>
              <w:rPr>
                <w:rFonts w:hint="eastAsia" w:ascii="仿宋" w:hAnsi="仿宋" w:eastAsia="仿宋" w:cs="仿宋"/>
                <w:bCs/>
              </w:rPr>
            </w:pPr>
          </w:p>
        </w:tc>
        <w:tc>
          <w:tcPr>
            <w:tcW w:w="709" w:type="dxa"/>
            <w:noWrap w:val="0"/>
            <w:vAlign w:val="center"/>
          </w:tcPr>
          <w:p w14:paraId="3B507212">
            <w:pPr>
              <w:widowControl w:val="0"/>
              <w:spacing w:line="360" w:lineRule="auto"/>
              <w:jc w:val="center"/>
              <w:rPr>
                <w:rFonts w:hint="eastAsia" w:ascii="仿宋" w:hAnsi="仿宋" w:eastAsia="仿宋" w:cs="仿宋"/>
                <w:bCs/>
              </w:rPr>
            </w:pPr>
          </w:p>
        </w:tc>
        <w:tc>
          <w:tcPr>
            <w:tcW w:w="3706" w:type="dxa"/>
            <w:noWrap w:val="0"/>
            <w:vAlign w:val="center"/>
          </w:tcPr>
          <w:p w14:paraId="72DAB8E6">
            <w:pPr>
              <w:widowControl w:val="0"/>
              <w:spacing w:line="360" w:lineRule="auto"/>
              <w:jc w:val="center"/>
              <w:rPr>
                <w:rFonts w:hint="eastAsia" w:ascii="仿宋" w:hAnsi="仿宋" w:eastAsia="仿宋" w:cs="仿宋"/>
                <w:bCs/>
              </w:rPr>
            </w:pPr>
          </w:p>
        </w:tc>
      </w:tr>
      <w:tr w14:paraId="22B1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50" w:type="dxa"/>
            <w:noWrap w:val="0"/>
            <w:vAlign w:val="center"/>
          </w:tcPr>
          <w:p w14:paraId="7C3AC3A6">
            <w:pPr>
              <w:widowControl w:val="0"/>
              <w:spacing w:line="360" w:lineRule="auto"/>
              <w:jc w:val="center"/>
              <w:rPr>
                <w:rFonts w:hint="eastAsia" w:ascii="仿宋" w:hAnsi="仿宋" w:eastAsia="仿宋" w:cs="仿宋"/>
                <w:bCs/>
              </w:rPr>
            </w:pPr>
            <w:r>
              <w:rPr>
                <w:rFonts w:hint="eastAsia" w:ascii="仿宋" w:hAnsi="仿宋" w:eastAsia="仿宋" w:cs="仿宋"/>
                <w:bCs/>
              </w:rPr>
              <w:t>其他服务</w:t>
            </w:r>
          </w:p>
        </w:tc>
        <w:tc>
          <w:tcPr>
            <w:tcW w:w="2417" w:type="dxa"/>
            <w:noWrap w:val="0"/>
            <w:vAlign w:val="center"/>
          </w:tcPr>
          <w:p w14:paraId="3ECA64FB">
            <w:pPr>
              <w:widowControl w:val="0"/>
              <w:spacing w:line="360" w:lineRule="auto"/>
              <w:jc w:val="center"/>
              <w:rPr>
                <w:rFonts w:hint="eastAsia" w:ascii="仿宋" w:hAnsi="仿宋" w:eastAsia="仿宋" w:cs="仿宋"/>
                <w:bCs/>
                <w:color w:val="FF0000"/>
              </w:rPr>
            </w:pPr>
            <w:r>
              <w:rPr>
                <w:rFonts w:hint="eastAsia" w:ascii="仿宋" w:hAnsi="仿宋" w:eastAsia="仿宋" w:cs="仿宋"/>
                <w:bCs/>
                <w:color w:val="FF0000"/>
                <w:lang w:val="en-US" w:eastAsia="zh-CN"/>
              </w:rPr>
              <w:t>二审结算审核</w:t>
            </w:r>
            <w:r>
              <w:rPr>
                <w:rFonts w:hint="eastAsia" w:ascii="仿宋" w:hAnsi="仿宋" w:eastAsia="仿宋" w:cs="仿宋"/>
                <w:bCs/>
                <w:color w:val="FF0000"/>
              </w:rPr>
              <w:t>　</w:t>
            </w:r>
          </w:p>
        </w:tc>
        <w:tc>
          <w:tcPr>
            <w:tcW w:w="3200" w:type="dxa"/>
            <w:noWrap w:val="0"/>
            <w:vAlign w:val="center"/>
          </w:tcPr>
          <w:p w14:paraId="0F5F3956">
            <w:pPr>
              <w:widowControl w:val="0"/>
              <w:spacing w:line="360" w:lineRule="auto"/>
              <w:jc w:val="center"/>
              <w:rPr>
                <w:rFonts w:hint="eastAsia" w:ascii="仿宋" w:hAnsi="仿宋" w:eastAsia="仿宋" w:cs="仿宋"/>
                <w:bCs/>
                <w:sz w:val="24"/>
                <w:szCs w:val="24"/>
                <w:lang w:val="en-US" w:eastAsia="zh-CN" w:bidi="ar-SA"/>
              </w:rPr>
            </w:pPr>
            <w:r>
              <w:rPr>
                <w:rFonts w:hint="eastAsia" w:ascii="仿宋" w:hAnsi="仿宋" w:eastAsia="仿宋" w:cs="仿宋"/>
                <w:bCs/>
                <w:lang w:eastAsia="zh-CN"/>
              </w:rPr>
              <w:t>竣工结算审核报告</w:t>
            </w:r>
          </w:p>
        </w:tc>
        <w:tc>
          <w:tcPr>
            <w:tcW w:w="1604" w:type="dxa"/>
            <w:noWrap w:val="0"/>
            <w:vAlign w:val="center"/>
          </w:tcPr>
          <w:p w14:paraId="36FDDF1A">
            <w:pPr>
              <w:widowControl w:val="0"/>
              <w:spacing w:line="360" w:lineRule="auto"/>
              <w:jc w:val="center"/>
              <w:rPr>
                <w:rFonts w:hint="eastAsia" w:ascii="仿宋" w:hAnsi="仿宋" w:eastAsia="仿宋" w:cs="仿宋"/>
                <w:bCs/>
                <w:sz w:val="24"/>
                <w:szCs w:val="24"/>
                <w:lang w:val="en-US" w:eastAsia="zh-CN" w:bidi="ar-SA"/>
              </w:rPr>
            </w:pPr>
            <w:r>
              <w:rPr>
                <w:rFonts w:hint="eastAsia" w:ascii="仿宋" w:hAnsi="仿宋" w:eastAsia="仿宋" w:cs="仿宋"/>
                <w:bCs/>
                <w:lang w:eastAsia="zh-CN"/>
              </w:rPr>
              <w:t>按合同要求</w:t>
            </w:r>
          </w:p>
        </w:tc>
        <w:tc>
          <w:tcPr>
            <w:tcW w:w="709" w:type="dxa"/>
            <w:noWrap w:val="0"/>
            <w:vAlign w:val="center"/>
          </w:tcPr>
          <w:p w14:paraId="1DD61C18">
            <w:pPr>
              <w:widowControl w:val="0"/>
              <w:spacing w:line="360" w:lineRule="auto"/>
              <w:jc w:val="center"/>
              <w:rPr>
                <w:rFonts w:hint="eastAsia" w:ascii="仿宋" w:hAnsi="仿宋" w:eastAsia="仿宋" w:cs="仿宋"/>
                <w:bCs/>
                <w:sz w:val="24"/>
                <w:szCs w:val="24"/>
                <w:lang w:val="en-US" w:eastAsia="zh-CN" w:bidi="ar-SA"/>
              </w:rPr>
            </w:pPr>
            <w:r>
              <w:rPr>
                <w:rFonts w:hint="eastAsia" w:ascii="仿宋" w:hAnsi="仿宋" w:eastAsia="仿宋" w:cs="仿宋"/>
                <w:bCs/>
                <w:lang w:val="en-US" w:eastAsia="zh-CN"/>
              </w:rPr>
              <w:t>4</w:t>
            </w:r>
          </w:p>
        </w:tc>
        <w:tc>
          <w:tcPr>
            <w:tcW w:w="3706" w:type="dxa"/>
            <w:noWrap w:val="0"/>
            <w:vAlign w:val="center"/>
          </w:tcPr>
          <w:p w14:paraId="2D59B920">
            <w:pPr>
              <w:widowControl w:val="0"/>
              <w:spacing w:line="360" w:lineRule="auto"/>
              <w:jc w:val="center"/>
              <w:rPr>
                <w:rFonts w:hint="eastAsia" w:ascii="仿宋" w:hAnsi="仿宋" w:eastAsia="仿宋" w:cs="仿宋"/>
                <w:bCs/>
                <w:sz w:val="24"/>
                <w:szCs w:val="24"/>
                <w:lang w:val="en-US" w:eastAsia="zh-CN" w:bidi="ar-SA"/>
              </w:rPr>
            </w:pPr>
            <w:r>
              <w:rPr>
                <w:rFonts w:hint="eastAsia" w:ascii="仿宋" w:hAnsi="仿宋" w:eastAsia="仿宋" w:cs="仿宋"/>
                <w:bCs/>
                <w:lang w:eastAsia="zh-CN"/>
              </w:rPr>
              <w:t>符合质量标准</w:t>
            </w:r>
          </w:p>
        </w:tc>
      </w:tr>
    </w:tbl>
    <w:p w14:paraId="5E1FAE40">
      <w:pPr>
        <w:spacing w:line="360" w:lineRule="auto"/>
        <w:rPr>
          <w:rFonts w:hint="eastAsia" w:ascii="仿宋" w:hAnsi="仿宋" w:eastAsia="仿宋" w:cs="仿宋"/>
          <w:b/>
        </w:rPr>
        <w:sectPr>
          <w:pgSz w:w="16838" w:h="11906" w:orient="landscape"/>
          <w:pgMar w:top="1803" w:right="1440" w:bottom="1438" w:left="1440" w:header="851" w:footer="992" w:gutter="0"/>
          <w:pgNumType w:fmt="decimal"/>
          <w:cols w:space="720" w:num="1"/>
          <w:docGrid w:linePitch="312" w:charSpace="0"/>
        </w:sectPr>
      </w:pPr>
    </w:p>
    <w:p w14:paraId="4FAAF42F">
      <w:pPr>
        <w:pStyle w:val="3"/>
        <w:spacing w:before="0" w:after="0"/>
        <w:jc w:val="center"/>
        <w:rPr>
          <w:rFonts w:hint="eastAsia" w:ascii="仿宋" w:hAnsi="仿宋" w:eastAsia="仿宋" w:cs="仿宋"/>
          <w:sz w:val="24"/>
          <w:szCs w:val="24"/>
        </w:rPr>
      </w:pPr>
      <w:bookmarkStart w:id="233" w:name="_Toc422322559"/>
      <w:bookmarkStart w:id="234" w:name="_Toc419045128"/>
      <w:bookmarkStart w:id="235" w:name="_Toc11577"/>
      <w:r>
        <w:rPr>
          <w:rFonts w:hint="eastAsia" w:ascii="仿宋" w:hAnsi="仿宋" w:eastAsia="仿宋" w:cs="仿宋"/>
          <w:sz w:val="24"/>
          <w:szCs w:val="24"/>
        </w:rPr>
        <w:t>附录C　委托人提供资料一览表</w:t>
      </w:r>
      <w:bookmarkEnd w:id="233"/>
      <w:bookmarkEnd w:id="234"/>
      <w:bookmarkEnd w:id="235"/>
    </w:p>
    <w:tbl>
      <w:tblPr>
        <w:tblStyle w:val="30"/>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14:paraId="681B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58E468AB">
            <w:pPr>
              <w:pStyle w:val="27"/>
              <w:widowControl w:val="0"/>
              <w:spacing w:line="360" w:lineRule="auto"/>
              <w:jc w:val="center"/>
              <w:rPr>
                <w:rFonts w:hint="eastAsia" w:ascii="仿宋" w:hAnsi="仿宋" w:eastAsia="仿宋" w:cs="仿宋"/>
              </w:rPr>
            </w:pPr>
            <w:r>
              <w:rPr>
                <w:rFonts w:hint="eastAsia" w:ascii="仿宋" w:hAnsi="仿宋" w:eastAsia="仿宋" w:cs="仿宋"/>
              </w:rPr>
              <w:t>名称</w:t>
            </w:r>
          </w:p>
        </w:tc>
        <w:tc>
          <w:tcPr>
            <w:tcW w:w="837" w:type="dxa"/>
            <w:noWrap w:val="0"/>
            <w:vAlign w:val="top"/>
          </w:tcPr>
          <w:p w14:paraId="7E36ECAB">
            <w:pPr>
              <w:pStyle w:val="27"/>
              <w:widowControl w:val="0"/>
              <w:spacing w:line="360" w:lineRule="auto"/>
              <w:jc w:val="center"/>
              <w:rPr>
                <w:rFonts w:hint="eastAsia" w:ascii="仿宋" w:hAnsi="仿宋" w:eastAsia="仿宋" w:cs="仿宋"/>
              </w:rPr>
            </w:pPr>
            <w:r>
              <w:rPr>
                <w:rFonts w:hint="eastAsia" w:ascii="仿宋" w:hAnsi="仿宋" w:eastAsia="仿宋" w:cs="仿宋"/>
              </w:rPr>
              <w:t>份数</w:t>
            </w:r>
          </w:p>
        </w:tc>
        <w:tc>
          <w:tcPr>
            <w:tcW w:w="1338" w:type="dxa"/>
            <w:noWrap w:val="0"/>
            <w:vAlign w:val="top"/>
          </w:tcPr>
          <w:p w14:paraId="34C260F0">
            <w:pPr>
              <w:pStyle w:val="27"/>
              <w:widowControl w:val="0"/>
              <w:spacing w:line="360" w:lineRule="auto"/>
              <w:jc w:val="center"/>
              <w:rPr>
                <w:rFonts w:hint="eastAsia" w:ascii="仿宋" w:hAnsi="仿宋" w:eastAsia="仿宋" w:cs="仿宋"/>
              </w:rPr>
            </w:pPr>
            <w:r>
              <w:rPr>
                <w:rFonts w:hint="eastAsia" w:ascii="仿宋" w:hAnsi="仿宋" w:eastAsia="仿宋" w:cs="仿宋"/>
              </w:rPr>
              <w:t>提供时间</w:t>
            </w:r>
          </w:p>
        </w:tc>
        <w:tc>
          <w:tcPr>
            <w:tcW w:w="2207" w:type="dxa"/>
            <w:noWrap w:val="0"/>
            <w:vAlign w:val="top"/>
          </w:tcPr>
          <w:p w14:paraId="32A75575">
            <w:pPr>
              <w:pStyle w:val="27"/>
              <w:widowControl w:val="0"/>
              <w:spacing w:line="360" w:lineRule="auto"/>
              <w:jc w:val="center"/>
              <w:rPr>
                <w:rFonts w:hint="eastAsia" w:ascii="仿宋" w:hAnsi="仿宋" w:eastAsia="仿宋" w:cs="仿宋"/>
              </w:rPr>
            </w:pPr>
            <w:r>
              <w:rPr>
                <w:rFonts w:hint="eastAsia" w:ascii="仿宋" w:hAnsi="仿宋" w:eastAsia="仿宋" w:cs="仿宋"/>
              </w:rPr>
              <w:t>备注</w:t>
            </w:r>
          </w:p>
        </w:tc>
      </w:tr>
      <w:tr w14:paraId="57AF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2595C4FE">
            <w:pPr>
              <w:pStyle w:val="27"/>
              <w:widowControl w:val="0"/>
              <w:spacing w:line="360" w:lineRule="auto"/>
              <w:jc w:val="center"/>
              <w:rPr>
                <w:rFonts w:hint="eastAsia" w:ascii="仿宋" w:hAnsi="仿宋" w:eastAsia="仿宋" w:cs="仿宋"/>
                <w:lang w:val="en-US" w:eastAsia="zh-CN"/>
              </w:rPr>
            </w:pPr>
            <w:r>
              <w:rPr>
                <w:rFonts w:hint="eastAsia" w:ascii="仿宋" w:hAnsi="仿宋" w:eastAsia="仿宋" w:cs="仿宋"/>
              </w:rPr>
              <w:t>　</w:t>
            </w:r>
            <w:r>
              <w:rPr>
                <w:rFonts w:hint="eastAsia" w:ascii="仿宋" w:hAnsi="仿宋" w:eastAsia="仿宋" w:cs="仿宋"/>
                <w:lang w:val="en-US" w:eastAsia="zh-CN"/>
              </w:rPr>
              <w:t>/</w:t>
            </w:r>
          </w:p>
        </w:tc>
        <w:tc>
          <w:tcPr>
            <w:tcW w:w="837" w:type="dxa"/>
            <w:noWrap w:val="0"/>
            <w:vAlign w:val="top"/>
          </w:tcPr>
          <w:p w14:paraId="3E89F415">
            <w:pPr>
              <w:widowControl w:val="0"/>
              <w:spacing w:line="360" w:lineRule="auto"/>
              <w:jc w:val="center"/>
              <w:rPr>
                <w:rFonts w:hint="eastAsia" w:ascii="仿宋" w:hAnsi="仿宋" w:eastAsia="仿宋" w:cs="仿宋"/>
                <w:lang w:val="en-US" w:eastAsia="zh-CN"/>
              </w:rPr>
            </w:pPr>
            <w:r>
              <w:rPr>
                <w:rFonts w:hint="eastAsia" w:ascii="仿宋" w:hAnsi="仿宋" w:eastAsia="仿宋" w:cs="仿宋"/>
              </w:rPr>
              <w:t>　</w:t>
            </w:r>
            <w:r>
              <w:rPr>
                <w:rFonts w:hint="eastAsia" w:ascii="仿宋" w:hAnsi="仿宋" w:eastAsia="仿宋" w:cs="仿宋"/>
                <w:lang w:val="en-US" w:eastAsia="zh-CN"/>
              </w:rPr>
              <w:t>/</w:t>
            </w:r>
          </w:p>
        </w:tc>
        <w:tc>
          <w:tcPr>
            <w:tcW w:w="1338" w:type="dxa"/>
            <w:noWrap w:val="0"/>
            <w:vAlign w:val="top"/>
          </w:tcPr>
          <w:p w14:paraId="51B028CB">
            <w:pPr>
              <w:widowControl w:val="0"/>
              <w:spacing w:line="360" w:lineRule="auto"/>
              <w:jc w:val="center"/>
              <w:rPr>
                <w:rFonts w:hint="eastAsia" w:ascii="仿宋" w:hAnsi="仿宋" w:eastAsia="仿宋" w:cs="仿宋"/>
                <w:lang w:val="en-US" w:eastAsia="zh-CN"/>
              </w:rPr>
            </w:pPr>
            <w:r>
              <w:rPr>
                <w:rFonts w:hint="eastAsia" w:ascii="仿宋" w:hAnsi="仿宋" w:eastAsia="仿宋" w:cs="仿宋"/>
              </w:rPr>
              <w:t>　</w:t>
            </w:r>
            <w:r>
              <w:rPr>
                <w:rFonts w:hint="eastAsia" w:ascii="仿宋" w:hAnsi="仿宋" w:eastAsia="仿宋" w:cs="仿宋"/>
                <w:lang w:val="en-US" w:eastAsia="zh-CN"/>
              </w:rPr>
              <w:t>/</w:t>
            </w:r>
          </w:p>
        </w:tc>
        <w:tc>
          <w:tcPr>
            <w:tcW w:w="2207" w:type="dxa"/>
            <w:noWrap w:val="0"/>
            <w:vAlign w:val="top"/>
          </w:tcPr>
          <w:p w14:paraId="773D88D7">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w:t>
            </w:r>
          </w:p>
        </w:tc>
      </w:tr>
      <w:tr w14:paraId="6E51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765D86AB">
            <w:pPr>
              <w:pStyle w:val="27"/>
              <w:widowControl w:val="0"/>
              <w:spacing w:line="360" w:lineRule="auto"/>
              <w:jc w:val="center"/>
              <w:rPr>
                <w:rFonts w:hint="eastAsia" w:ascii="仿宋" w:hAnsi="仿宋" w:eastAsia="仿宋" w:cs="仿宋"/>
              </w:rPr>
            </w:pPr>
          </w:p>
        </w:tc>
        <w:tc>
          <w:tcPr>
            <w:tcW w:w="837" w:type="dxa"/>
            <w:noWrap w:val="0"/>
            <w:vAlign w:val="top"/>
          </w:tcPr>
          <w:p w14:paraId="24707BE1">
            <w:pPr>
              <w:widowControl w:val="0"/>
              <w:spacing w:line="360" w:lineRule="auto"/>
              <w:jc w:val="center"/>
              <w:rPr>
                <w:rFonts w:hint="eastAsia" w:ascii="仿宋" w:hAnsi="仿宋" w:eastAsia="仿宋" w:cs="仿宋"/>
              </w:rPr>
            </w:pPr>
          </w:p>
        </w:tc>
        <w:tc>
          <w:tcPr>
            <w:tcW w:w="1338" w:type="dxa"/>
            <w:noWrap w:val="0"/>
            <w:vAlign w:val="top"/>
          </w:tcPr>
          <w:p w14:paraId="7E8FD1D2">
            <w:pPr>
              <w:widowControl w:val="0"/>
              <w:spacing w:line="360" w:lineRule="auto"/>
              <w:jc w:val="center"/>
              <w:rPr>
                <w:rFonts w:hint="eastAsia" w:ascii="仿宋" w:hAnsi="仿宋" w:eastAsia="仿宋" w:cs="仿宋"/>
              </w:rPr>
            </w:pPr>
          </w:p>
        </w:tc>
        <w:tc>
          <w:tcPr>
            <w:tcW w:w="2207" w:type="dxa"/>
            <w:noWrap w:val="0"/>
            <w:vAlign w:val="top"/>
          </w:tcPr>
          <w:p w14:paraId="43A4C833">
            <w:pPr>
              <w:widowControl w:val="0"/>
              <w:spacing w:line="360" w:lineRule="auto"/>
              <w:jc w:val="center"/>
              <w:rPr>
                <w:rFonts w:hint="eastAsia" w:ascii="仿宋" w:hAnsi="仿宋" w:eastAsia="仿宋" w:cs="仿宋"/>
              </w:rPr>
            </w:pPr>
          </w:p>
        </w:tc>
      </w:tr>
      <w:tr w14:paraId="551A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4CA7E698">
            <w:pPr>
              <w:pStyle w:val="27"/>
              <w:widowControl w:val="0"/>
              <w:spacing w:line="360" w:lineRule="auto"/>
              <w:jc w:val="center"/>
              <w:rPr>
                <w:rFonts w:hint="eastAsia" w:ascii="仿宋" w:hAnsi="仿宋" w:eastAsia="仿宋" w:cs="仿宋"/>
              </w:rPr>
            </w:pPr>
          </w:p>
        </w:tc>
        <w:tc>
          <w:tcPr>
            <w:tcW w:w="837" w:type="dxa"/>
            <w:noWrap w:val="0"/>
            <w:vAlign w:val="top"/>
          </w:tcPr>
          <w:p w14:paraId="18AF2CD0">
            <w:pPr>
              <w:widowControl w:val="0"/>
              <w:spacing w:line="360" w:lineRule="auto"/>
              <w:jc w:val="center"/>
              <w:rPr>
                <w:rFonts w:hint="eastAsia" w:ascii="仿宋" w:hAnsi="仿宋" w:eastAsia="仿宋" w:cs="仿宋"/>
              </w:rPr>
            </w:pPr>
          </w:p>
        </w:tc>
        <w:tc>
          <w:tcPr>
            <w:tcW w:w="1338" w:type="dxa"/>
            <w:noWrap w:val="0"/>
            <w:vAlign w:val="top"/>
          </w:tcPr>
          <w:p w14:paraId="71945356">
            <w:pPr>
              <w:widowControl w:val="0"/>
              <w:spacing w:line="360" w:lineRule="auto"/>
              <w:jc w:val="center"/>
              <w:rPr>
                <w:rFonts w:hint="eastAsia" w:ascii="仿宋" w:hAnsi="仿宋" w:eastAsia="仿宋" w:cs="仿宋"/>
              </w:rPr>
            </w:pPr>
          </w:p>
        </w:tc>
        <w:tc>
          <w:tcPr>
            <w:tcW w:w="2207" w:type="dxa"/>
            <w:noWrap w:val="0"/>
            <w:vAlign w:val="top"/>
          </w:tcPr>
          <w:p w14:paraId="78151454">
            <w:pPr>
              <w:widowControl w:val="0"/>
              <w:spacing w:line="360" w:lineRule="auto"/>
              <w:jc w:val="center"/>
              <w:rPr>
                <w:rFonts w:hint="eastAsia" w:ascii="仿宋" w:hAnsi="仿宋" w:eastAsia="仿宋" w:cs="仿宋"/>
              </w:rPr>
            </w:pPr>
          </w:p>
        </w:tc>
      </w:tr>
      <w:tr w14:paraId="333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6943FD0E">
            <w:pPr>
              <w:pStyle w:val="27"/>
              <w:widowControl w:val="0"/>
              <w:spacing w:line="360" w:lineRule="auto"/>
              <w:jc w:val="center"/>
              <w:rPr>
                <w:rFonts w:hint="eastAsia" w:ascii="仿宋" w:hAnsi="仿宋" w:eastAsia="仿宋" w:cs="仿宋"/>
              </w:rPr>
            </w:pPr>
          </w:p>
        </w:tc>
        <w:tc>
          <w:tcPr>
            <w:tcW w:w="837" w:type="dxa"/>
            <w:noWrap w:val="0"/>
            <w:vAlign w:val="top"/>
          </w:tcPr>
          <w:p w14:paraId="59F6ABEE">
            <w:pPr>
              <w:widowControl w:val="0"/>
              <w:spacing w:line="360" w:lineRule="auto"/>
              <w:jc w:val="center"/>
              <w:rPr>
                <w:rFonts w:hint="eastAsia" w:ascii="仿宋" w:hAnsi="仿宋" w:eastAsia="仿宋" w:cs="仿宋"/>
              </w:rPr>
            </w:pPr>
          </w:p>
        </w:tc>
        <w:tc>
          <w:tcPr>
            <w:tcW w:w="1338" w:type="dxa"/>
            <w:noWrap w:val="0"/>
            <w:vAlign w:val="top"/>
          </w:tcPr>
          <w:p w14:paraId="12E2325B">
            <w:pPr>
              <w:widowControl w:val="0"/>
              <w:spacing w:line="360" w:lineRule="auto"/>
              <w:jc w:val="center"/>
              <w:rPr>
                <w:rFonts w:hint="eastAsia" w:ascii="仿宋" w:hAnsi="仿宋" w:eastAsia="仿宋" w:cs="仿宋"/>
              </w:rPr>
            </w:pPr>
          </w:p>
        </w:tc>
        <w:tc>
          <w:tcPr>
            <w:tcW w:w="2207" w:type="dxa"/>
            <w:noWrap w:val="0"/>
            <w:vAlign w:val="top"/>
          </w:tcPr>
          <w:p w14:paraId="476DBBB6">
            <w:pPr>
              <w:widowControl w:val="0"/>
              <w:spacing w:line="360" w:lineRule="auto"/>
              <w:jc w:val="center"/>
              <w:rPr>
                <w:rFonts w:hint="eastAsia" w:ascii="仿宋" w:hAnsi="仿宋" w:eastAsia="仿宋" w:cs="仿宋"/>
              </w:rPr>
            </w:pPr>
          </w:p>
        </w:tc>
      </w:tr>
      <w:tr w14:paraId="76B7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30D3F0CA">
            <w:pPr>
              <w:pStyle w:val="27"/>
              <w:widowControl w:val="0"/>
              <w:spacing w:line="360" w:lineRule="auto"/>
              <w:jc w:val="center"/>
              <w:rPr>
                <w:rFonts w:hint="eastAsia" w:ascii="仿宋" w:hAnsi="仿宋" w:eastAsia="仿宋" w:cs="仿宋"/>
              </w:rPr>
            </w:pPr>
          </w:p>
        </w:tc>
        <w:tc>
          <w:tcPr>
            <w:tcW w:w="837" w:type="dxa"/>
            <w:noWrap w:val="0"/>
            <w:vAlign w:val="top"/>
          </w:tcPr>
          <w:p w14:paraId="4713F4C0">
            <w:pPr>
              <w:widowControl w:val="0"/>
              <w:spacing w:line="360" w:lineRule="auto"/>
              <w:jc w:val="center"/>
              <w:rPr>
                <w:rFonts w:hint="eastAsia" w:ascii="仿宋" w:hAnsi="仿宋" w:eastAsia="仿宋" w:cs="仿宋"/>
              </w:rPr>
            </w:pPr>
          </w:p>
        </w:tc>
        <w:tc>
          <w:tcPr>
            <w:tcW w:w="1338" w:type="dxa"/>
            <w:noWrap w:val="0"/>
            <w:vAlign w:val="top"/>
          </w:tcPr>
          <w:p w14:paraId="79975477">
            <w:pPr>
              <w:widowControl w:val="0"/>
              <w:spacing w:line="360" w:lineRule="auto"/>
              <w:jc w:val="center"/>
              <w:rPr>
                <w:rFonts w:hint="eastAsia" w:ascii="仿宋" w:hAnsi="仿宋" w:eastAsia="仿宋" w:cs="仿宋"/>
              </w:rPr>
            </w:pPr>
          </w:p>
        </w:tc>
        <w:tc>
          <w:tcPr>
            <w:tcW w:w="2207" w:type="dxa"/>
            <w:noWrap w:val="0"/>
            <w:vAlign w:val="top"/>
          </w:tcPr>
          <w:p w14:paraId="159C6BF7">
            <w:pPr>
              <w:widowControl w:val="0"/>
              <w:spacing w:line="360" w:lineRule="auto"/>
              <w:jc w:val="center"/>
              <w:rPr>
                <w:rFonts w:hint="eastAsia" w:ascii="仿宋" w:hAnsi="仿宋" w:eastAsia="仿宋" w:cs="仿宋"/>
              </w:rPr>
            </w:pPr>
          </w:p>
        </w:tc>
      </w:tr>
      <w:tr w14:paraId="4FFE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1B56C1E2">
            <w:pPr>
              <w:pStyle w:val="27"/>
              <w:widowControl w:val="0"/>
              <w:spacing w:line="360" w:lineRule="auto"/>
              <w:jc w:val="center"/>
              <w:rPr>
                <w:rFonts w:hint="eastAsia" w:ascii="仿宋" w:hAnsi="仿宋" w:eastAsia="仿宋" w:cs="仿宋"/>
              </w:rPr>
            </w:pPr>
          </w:p>
        </w:tc>
        <w:tc>
          <w:tcPr>
            <w:tcW w:w="837" w:type="dxa"/>
            <w:noWrap w:val="0"/>
            <w:vAlign w:val="top"/>
          </w:tcPr>
          <w:p w14:paraId="4B90D7FE">
            <w:pPr>
              <w:widowControl w:val="0"/>
              <w:spacing w:line="360" w:lineRule="auto"/>
              <w:jc w:val="center"/>
              <w:rPr>
                <w:rFonts w:hint="eastAsia" w:ascii="仿宋" w:hAnsi="仿宋" w:eastAsia="仿宋" w:cs="仿宋"/>
              </w:rPr>
            </w:pPr>
          </w:p>
        </w:tc>
        <w:tc>
          <w:tcPr>
            <w:tcW w:w="1338" w:type="dxa"/>
            <w:noWrap w:val="0"/>
            <w:vAlign w:val="top"/>
          </w:tcPr>
          <w:p w14:paraId="539FB7C3">
            <w:pPr>
              <w:widowControl w:val="0"/>
              <w:spacing w:line="360" w:lineRule="auto"/>
              <w:jc w:val="center"/>
              <w:rPr>
                <w:rFonts w:hint="eastAsia" w:ascii="仿宋" w:hAnsi="仿宋" w:eastAsia="仿宋" w:cs="仿宋"/>
              </w:rPr>
            </w:pPr>
          </w:p>
        </w:tc>
        <w:tc>
          <w:tcPr>
            <w:tcW w:w="2207" w:type="dxa"/>
            <w:noWrap w:val="0"/>
            <w:vAlign w:val="top"/>
          </w:tcPr>
          <w:p w14:paraId="0066E0C8">
            <w:pPr>
              <w:widowControl w:val="0"/>
              <w:spacing w:line="360" w:lineRule="auto"/>
              <w:jc w:val="center"/>
              <w:rPr>
                <w:rFonts w:hint="eastAsia" w:ascii="仿宋" w:hAnsi="仿宋" w:eastAsia="仿宋" w:cs="仿宋"/>
              </w:rPr>
            </w:pPr>
          </w:p>
        </w:tc>
      </w:tr>
      <w:tr w14:paraId="420C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0640DB32">
            <w:pPr>
              <w:widowControl w:val="0"/>
              <w:spacing w:line="360" w:lineRule="auto"/>
              <w:jc w:val="center"/>
              <w:rPr>
                <w:rFonts w:hint="eastAsia" w:ascii="仿宋" w:hAnsi="仿宋" w:eastAsia="仿宋" w:cs="仿宋"/>
              </w:rPr>
            </w:pPr>
          </w:p>
        </w:tc>
        <w:tc>
          <w:tcPr>
            <w:tcW w:w="837" w:type="dxa"/>
            <w:noWrap w:val="0"/>
            <w:vAlign w:val="top"/>
          </w:tcPr>
          <w:p w14:paraId="4DBD0FCC">
            <w:pPr>
              <w:widowControl w:val="0"/>
              <w:spacing w:line="360" w:lineRule="auto"/>
              <w:jc w:val="center"/>
              <w:rPr>
                <w:rFonts w:hint="eastAsia" w:ascii="仿宋" w:hAnsi="仿宋" w:eastAsia="仿宋" w:cs="仿宋"/>
              </w:rPr>
            </w:pPr>
          </w:p>
        </w:tc>
        <w:tc>
          <w:tcPr>
            <w:tcW w:w="1338" w:type="dxa"/>
            <w:noWrap w:val="0"/>
            <w:vAlign w:val="top"/>
          </w:tcPr>
          <w:p w14:paraId="7991A7DF">
            <w:pPr>
              <w:widowControl w:val="0"/>
              <w:spacing w:line="360" w:lineRule="auto"/>
              <w:jc w:val="center"/>
              <w:rPr>
                <w:rFonts w:hint="eastAsia" w:ascii="仿宋" w:hAnsi="仿宋" w:eastAsia="仿宋" w:cs="仿宋"/>
              </w:rPr>
            </w:pPr>
          </w:p>
        </w:tc>
        <w:tc>
          <w:tcPr>
            <w:tcW w:w="2207" w:type="dxa"/>
            <w:noWrap w:val="0"/>
            <w:vAlign w:val="top"/>
          </w:tcPr>
          <w:p w14:paraId="3989ACE2">
            <w:pPr>
              <w:widowControl w:val="0"/>
              <w:spacing w:line="360" w:lineRule="auto"/>
              <w:jc w:val="center"/>
              <w:rPr>
                <w:rFonts w:hint="eastAsia" w:ascii="仿宋" w:hAnsi="仿宋" w:eastAsia="仿宋" w:cs="仿宋"/>
              </w:rPr>
            </w:pPr>
          </w:p>
        </w:tc>
      </w:tr>
      <w:tr w14:paraId="3504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4E7C37A7">
            <w:pPr>
              <w:widowControl w:val="0"/>
              <w:spacing w:line="360" w:lineRule="auto"/>
              <w:jc w:val="center"/>
              <w:rPr>
                <w:rFonts w:hint="eastAsia" w:ascii="仿宋" w:hAnsi="仿宋" w:eastAsia="仿宋" w:cs="仿宋"/>
              </w:rPr>
            </w:pPr>
          </w:p>
        </w:tc>
        <w:tc>
          <w:tcPr>
            <w:tcW w:w="837" w:type="dxa"/>
            <w:noWrap w:val="0"/>
            <w:vAlign w:val="top"/>
          </w:tcPr>
          <w:p w14:paraId="3B00EC06">
            <w:pPr>
              <w:widowControl w:val="0"/>
              <w:spacing w:line="360" w:lineRule="auto"/>
              <w:jc w:val="center"/>
              <w:rPr>
                <w:rFonts w:hint="eastAsia" w:ascii="仿宋" w:hAnsi="仿宋" w:eastAsia="仿宋" w:cs="仿宋"/>
              </w:rPr>
            </w:pPr>
          </w:p>
        </w:tc>
        <w:tc>
          <w:tcPr>
            <w:tcW w:w="1338" w:type="dxa"/>
            <w:noWrap w:val="0"/>
            <w:vAlign w:val="top"/>
          </w:tcPr>
          <w:p w14:paraId="2CFEE6DB">
            <w:pPr>
              <w:widowControl w:val="0"/>
              <w:spacing w:line="360" w:lineRule="auto"/>
              <w:jc w:val="center"/>
              <w:rPr>
                <w:rFonts w:hint="eastAsia" w:ascii="仿宋" w:hAnsi="仿宋" w:eastAsia="仿宋" w:cs="仿宋"/>
              </w:rPr>
            </w:pPr>
          </w:p>
        </w:tc>
        <w:tc>
          <w:tcPr>
            <w:tcW w:w="2207" w:type="dxa"/>
            <w:noWrap w:val="0"/>
            <w:vAlign w:val="top"/>
          </w:tcPr>
          <w:p w14:paraId="26BC1E03">
            <w:pPr>
              <w:widowControl w:val="0"/>
              <w:spacing w:line="360" w:lineRule="auto"/>
              <w:jc w:val="center"/>
              <w:rPr>
                <w:rFonts w:hint="eastAsia" w:ascii="仿宋" w:hAnsi="仿宋" w:eastAsia="仿宋" w:cs="仿宋"/>
              </w:rPr>
            </w:pPr>
          </w:p>
        </w:tc>
      </w:tr>
      <w:tr w14:paraId="21B5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166DF1AA">
            <w:pPr>
              <w:widowControl w:val="0"/>
              <w:spacing w:line="360" w:lineRule="auto"/>
              <w:jc w:val="center"/>
              <w:rPr>
                <w:rFonts w:hint="eastAsia" w:ascii="仿宋" w:hAnsi="仿宋" w:eastAsia="仿宋" w:cs="仿宋"/>
              </w:rPr>
            </w:pPr>
          </w:p>
        </w:tc>
        <w:tc>
          <w:tcPr>
            <w:tcW w:w="837" w:type="dxa"/>
            <w:noWrap w:val="0"/>
            <w:vAlign w:val="top"/>
          </w:tcPr>
          <w:p w14:paraId="3B3BD368">
            <w:pPr>
              <w:widowControl w:val="0"/>
              <w:spacing w:line="360" w:lineRule="auto"/>
              <w:jc w:val="center"/>
              <w:rPr>
                <w:rFonts w:hint="eastAsia" w:ascii="仿宋" w:hAnsi="仿宋" w:eastAsia="仿宋" w:cs="仿宋"/>
              </w:rPr>
            </w:pPr>
          </w:p>
        </w:tc>
        <w:tc>
          <w:tcPr>
            <w:tcW w:w="1338" w:type="dxa"/>
            <w:noWrap w:val="0"/>
            <w:vAlign w:val="top"/>
          </w:tcPr>
          <w:p w14:paraId="772DBA89">
            <w:pPr>
              <w:widowControl w:val="0"/>
              <w:spacing w:line="360" w:lineRule="auto"/>
              <w:jc w:val="center"/>
              <w:rPr>
                <w:rFonts w:hint="eastAsia" w:ascii="仿宋" w:hAnsi="仿宋" w:eastAsia="仿宋" w:cs="仿宋"/>
              </w:rPr>
            </w:pPr>
          </w:p>
        </w:tc>
        <w:tc>
          <w:tcPr>
            <w:tcW w:w="2207" w:type="dxa"/>
            <w:noWrap w:val="0"/>
            <w:vAlign w:val="top"/>
          </w:tcPr>
          <w:p w14:paraId="03921354">
            <w:pPr>
              <w:widowControl w:val="0"/>
              <w:spacing w:line="360" w:lineRule="auto"/>
              <w:jc w:val="center"/>
              <w:rPr>
                <w:rFonts w:hint="eastAsia" w:ascii="仿宋" w:hAnsi="仿宋" w:eastAsia="仿宋" w:cs="仿宋"/>
              </w:rPr>
            </w:pPr>
          </w:p>
        </w:tc>
      </w:tr>
      <w:tr w14:paraId="3C90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49C62D6C">
            <w:pPr>
              <w:widowControl w:val="0"/>
              <w:spacing w:line="360" w:lineRule="auto"/>
              <w:jc w:val="center"/>
              <w:rPr>
                <w:rFonts w:hint="eastAsia" w:ascii="仿宋" w:hAnsi="仿宋" w:eastAsia="仿宋" w:cs="仿宋"/>
              </w:rPr>
            </w:pPr>
          </w:p>
        </w:tc>
        <w:tc>
          <w:tcPr>
            <w:tcW w:w="837" w:type="dxa"/>
            <w:noWrap w:val="0"/>
            <w:vAlign w:val="top"/>
          </w:tcPr>
          <w:p w14:paraId="6487A6FF">
            <w:pPr>
              <w:widowControl w:val="0"/>
              <w:spacing w:line="360" w:lineRule="auto"/>
              <w:jc w:val="center"/>
              <w:rPr>
                <w:rFonts w:hint="eastAsia" w:ascii="仿宋" w:hAnsi="仿宋" w:eastAsia="仿宋" w:cs="仿宋"/>
              </w:rPr>
            </w:pPr>
          </w:p>
        </w:tc>
        <w:tc>
          <w:tcPr>
            <w:tcW w:w="1338" w:type="dxa"/>
            <w:noWrap w:val="0"/>
            <w:vAlign w:val="top"/>
          </w:tcPr>
          <w:p w14:paraId="0318FD8A">
            <w:pPr>
              <w:widowControl w:val="0"/>
              <w:spacing w:line="360" w:lineRule="auto"/>
              <w:jc w:val="center"/>
              <w:rPr>
                <w:rFonts w:hint="eastAsia" w:ascii="仿宋" w:hAnsi="仿宋" w:eastAsia="仿宋" w:cs="仿宋"/>
              </w:rPr>
            </w:pPr>
          </w:p>
        </w:tc>
        <w:tc>
          <w:tcPr>
            <w:tcW w:w="2207" w:type="dxa"/>
            <w:noWrap w:val="0"/>
            <w:vAlign w:val="top"/>
          </w:tcPr>
          <w:p w14:paraId="456C1FF2">
            <w:pPr>
              <w:widowControl w:val="0"/>
              <w:spacing w:line="360" w:lineRule="auto"/>
              <w:jc w:val="center"/>
              <w:rPr>
                <w:rFonts w:hint="eastAsia" w:ascii="仿宋" w:hAnsi="仿宋" w:eastAsia="仿宋" w:cs="仿宋"/>
              </w:rPr>
            </w:pPr>
          </w:p>
        </w:tc>
      </w:tr>
      <w:tr w14:paraId="5905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392EE82C">
            <w:pPr>
              <w:widowControl w:val="0"/>
              <w:spacing w:line="360" w:lineRule="auto"/>
              <w:jc w:val="center"/>
              <w:rPr>
                <w:rFonts w:hint="eastAsia" w:ascii="仿宋" w:hAnsi="仿宋" w:eastAsia="仿宋" w:cs="仿宋"/>
              </w:rPr>
            </w:pPr>
          </w:p>
        </w:tc>
        <w:tc>
          <w:tcPr>
            <w:tcW w:w="837" w:type="dxa"/>
            <w:noWrap w:val="0"/>
            <w:vAlign w:val="top"/>
          </w:tcPr>
          <w:p w14:paraId="253802B7">
            <w:pPr>
              <w:widowControl w:val="0"/>
              <w:spacing w:line="360" w:lineRule="auto"/>
              <w:jc w:val="center"/>
              <w:rPr>
                <w:rFonts w:hint="eastAsia" w:ascii="仿宋" w:hAnsi="仿宋" w:eastAsia="仿宋" w:cs="仿宋"/>
              </w:rPr>
            </w:pPr>
          </w:p>
        </w:tc>
        <w:tc>
          <w:tcPr>
            <w:tcW w:w="1338" w:type="dxa"/>
            <w:noWrap w:val="0"/>
            <w:vAlign w:val="top"/>
          </w:tcPr>
          <w:p w14:paraId="5B29CBAE">
            <w:pPr>
              <w:widowControl w:val="0"/>
              <w:spacing w:line="360" w:lineRule="auto"/>
              <w:jc w:val="center"/>
              <w:rPr>
                <w:rFonts w:hint="eastAsia" w:ascii="仿宋" w:hAnsi="仿宋" w:eastAsia="仿宋" w:cs="仿宋"/>
              </w:rPr>
            </w:pPr>
          </w:p>
        </w:tc>
        <w:tc>
          <w:tcPr>
            <w:tcW w:w="2207" w:type="dxa"/>
            <w:noWrap w:val="0"/>
            <w:vAlign w:val="top"/>
          </w:tcPr>
          <w:p w14:paraId="3326AA67">
            <w:pPr>
              <w:widowControl w:val="0"/>
              <w:spacing w:line="360" w:lineRule="auto"/>
              <w:jc w:val="center"/>
              <w:rPr>
                <w:rFonts w:hint="eastAsia" w:ascii="仿宋" w:hAnsi="仿宋" w:eastAsia="仿宋" w:cs="仿宋"/>
              </w:rPr>
            </w:pPr>
          </w:p>
        </w:tc>
      </w:tr>
      <w:tr w14:paraId="5D68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55B96D36">
            <w:pPr>
              <w:widowControl w:val="0"/>
              <w:spacing w:line="360" w:lineRule="auto"/>
              <w:jc w:val="center"/>
              <w:rPr>
                <w:rFonts w:hint="eastAsia" w:ascii="仿宋" w:hAnsi="仿宋" w:eastAsia="仿宋" w:cs="仿宋"/>
              </w:rPr>
            </w:pPr>
          </w:p>
        </w:tc>
        <w:tc>
          <w:tcPr>
            <w:tcW w:w="837" w:type="dxa"/>
            <w:noWrap w:val="0"/>
            <w:vAlign w:val="top"/>
          </w:tcPr>
          <w:p w14:paraId="61C8967E">
            <w:pPr>
              <w:widowControl w:val="0"/>
              <w:spacing w:line="360" w:lineRule="auto"/>
              <w:jc w:val="center"/>
              <w:rPr>
                <w:rFonts w:hint="eastAsia" w:ascii="仿宋" w:hAnsi="仿宋" w:eastAsia="仿宋" w:cs="仿宋"/>
              </w:rPr>
            </w:pPr>
          </w:p>
        </w:tc>
        <w:tc>
          <w:tcPr>
            <w:tcW w:w="1338" w:type="dxa"/>
            <w:noWrap w:val="0"/>
            <w:vAlign w:val="top"/>
          </w:tcPr>
          <w:p w14:paraId="61E2A7B2">
            <w:pPr>
              <w:widowControl w:val="0"/>
              <w:spacing w:line="360" w:lineRule="auto"/>
              <w:jc w:val="center"/>
              <w:rPr>
                <w:rFonts w:hint="eastAsia" w:ascii="仿宋" w:hAnsi="仿宋" w:eastAsia="仿宋" w:cs="仿宋"/>
              </w:rPr>
            </w:pPr>
          </w:p>
        </w:tc>
        <w:tc>
          <w:tcPr>
            <w:tcW w:w="2207" w:type="dxa"/>
            <w:noWrap w:val="0"/>
            <w:vAlign w:val="top"/>
          </w:tcPr>
          <w:p w14:paraId="7B359DA1">
            <w:pPr>
              <w:widowControl w:val="0"/>
              <w:spacing w:line="360" w:lineRule="auto"/>
              <w:jc w:val="center"/>
              <w:rPr>
                <w:rFonts w:hint="eastAsia" w:ascii="仿宋" w:hAnsi="仿宋" w:eastAsia="仿宋" w:cs="仿宋"/>
              </w:rPr>
            </w:pPr>
          </w:p>
        </w:tc>
      </w:tr>
      <w:tr w14:paraId="2493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284A5ECF">
            <w:pPr>
              <w:widowControl w:val="0"/>
              <w:spacing w:line="360" w:lineRule="auto"/>
              <w:jc w:val="center"/>
              <w:rPr>
                <w:rFonts w:hint="eastAsia" w:ascii="仿宋" w:hAnsi="仿宋" w:eastAsia="仿宋" w:cs="仿宋"/>
              </w:rPr>
            </w:pPr>
          </w:p>
        </w:tc>
        <w:tc>
          <w:tcPr>
            <w:tcW w:w="837" w:type="dxa"/>
            <w:noWrap w:val="0"/>
            <w:vAlign w:val="top"/>
          </w:tcPr>
          <w:p w14:paraId="68BC9D13">
            <w:pPr>
              <w:widowControl w:val="0"/>
              <w:spacing w:line="360" w:lineRule="auto"/>
              <w:jc w:val="center"/>
              <w:rPr>
                <w:rFonts w:hint="eastAsia" w:ascii="仿宋" w:hAnsi="仿宋" w:eastAsia="仿宋" w:cs="仿宋"/>
              </w:rPr>
            </w:pPr>
          </w:p>
        </w:tc>
        <w:tc>
          <w:tcPr>
            <w:tcW w:w="1338" w:type="dxa"/>
            <w:noWrap w:val="0"/>
            <w:vAlign w:val="top"/>
          </w:tcPr>
          <w:p w14:paraId="6C65B3E5">
            <w:pPr>
              <w:widowControl w:val="0"/>
              <w:spacing w:line="360" w:lineRule="auto"/>
              <w:jc w:val="center"/>
              <w:rPr>
                <w:rFonts w:hint="eastAsia" w:ascii="仿宋" w:hAnsi="仿宋" w:eastAsia="仿宋" w:cs="仿宋"/>
              </w:rPr>
            </w:pPr>
          </w:p>
        </w:tc>
        <w:tc>
          <w:tcPr>
            <w:tcW w:w="2207" w:type="dxa"/>
            <w:noWrap w:val="0"/>
            <w:vAlign w:val="top"/>
          </w:tcPr>
          <w:p w14:paraId="7B50EF63">
            <w:pPr>
              <w:widowControl w:val="0"/>
              <w:spacing w:line="360" w:lineRule="auto"/>
              <w:jc w:val="center"/>
              <w:rPr>
                <w:rFonts w:hint="eastAsia" w:ascii="仿宋" w:hAnsi="仿宋" w:eastAsia="仿宋" w:cs="仿宋"/>
              </w:rPr>
            </w:pPr>
          </w:p>
        </w:tc>
      </w:tr>
      <w:tr w14:paraId="50C6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251C85E2">
            <w:pPr>
              <w:widowControl w:val="0"/>
              <w:spacing w:line="360" w:lineRule="auto"/>
              <w:jc w:val="center"/>
              <w:rPr>
                <w:rFonts w:hint="eastAsia" w:ascii="仿宋" w:hAnsi="仿宋" w:eastAsia="仿宋" w:cs="仿宋"/>
              </w:rPr>
            </w:pPr>
          </w:p>
        </w:tc>
        <w:tc>
          <w:tcPr>
            <w:tcW w:w="837" w:type="dxa"/>
            <w:noWrap w:val="0"/>
            <w:vAlign w:val="top"/>
          </w:tcPr>
          <w:p w14:paraId="12BD16AD">
            <w:pPr>
              <w:widowControl w:val="0"/>
              <w:spacing w:line="360" w:lineRule="auto"/>
              <w:jc w:val="center"/>
              <w:rPr>
                <w:rFonts w:hint="eastAsia" w:ascii="仿宋" w:hAnsi="仿宋" w:eastAsia="仿宋" w:cs="仿宋"/>
              </w:rPr>
            </w:pPr>
          </w:p>
        </w:tc>
        <w:tc>
          <w:tcPr>
            <w:tcW w:w="1338" w:type="dxa"/>
            <w:noWrap w:val="0"/>
            <w:vAlign w:val="top"/>
          </w:tcPr>
          <w:p w14:paraId="3F2B86E3">
            <w:pPr>
              <w:widowControl w:val="0"/>
              <w:spacing w:line="360" w:lineRule="auto"/>
              <w:jc w:val="center"/>
              <w:rPr>
                <w:rFonts w:hint="eastAsia" w:ascii="仿宋" w:hAnsi="仿宋" w:eastAsia="仿宋" w:cs="仿宋"/>
              </w:rPr>
            </w:pPr>
          </w:p>
        </w:tc>
        <w:tc>
          <w:tcPr>
            <w:tcW w:w="2207" w:type="dxa"/>
            <w:noWrap w:val="0"/>
            <w:vAlign w:val="top"/>
          </w:tcPr>
          <w:p w14:paraId="2BCC8DD8">
            <w:pPr>
              <w:widowControl w:val="0"/>
              <w:spacing w:line="360" w:lineRule="auto"/>
              <w:jc w:val="center"/>
              <w:rPr>
                <w:rFonts w:hint="eastAsia" w:ascii="仿宋" w:hAnsi="仿宋" w:eastAsia="仿宋" w:cs="仿宋"/>
              </w:rPr>
            </w:pPr>
          </w:p>
        </w:tc>
      </w:tr>
      <w:tr w14:paraId="7954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4A84AFAB">
            <w:pPr>
              <w:widowControl w:val="0"/>
              <w:spacing w:line="360" w:lineRule="auto"/>
              <w:jc w:val="center"/>
              <w:rPr>
                <w:rFonts w:hint="eastAsia" w:ascii="仿宋" w:hAnsi="仿宋" w:eastAsia="仿宋" w:cs="仿宋"/>
              </w:rPr>
            </w:pPr>
          </w:p>
        </w:tc>
        <w:tc>
          <w:tcPr>
            <w:tcW w:w="837" w:type="dxa"/>
            <w:noWrap w:val="0"/>
            <w:vAlign w:val="top"/>
          </w:tcPr>
          <w:p w14:paraId="1743CAFD">
            <w:pPr>
              <w:widowControl w:val="0"/>
              <w:spacing w:line="360" w:lineRule="auto"/>
              <w:jc w:val="center"/>
              <w:rPr>
                <w:rFonts w:hint="eastAsia" w:ascii="仿宋" w:hAnsi="仿宋" w:eastAsia="仿宋" w:cs="仿宋"/>
              </w:rPr>
            </w:pPr>
          </w:p>
        </w:tc>
        <w:tc>
          <w:tcPr>
            <w:tcW w:w="1338" w:type="dxa"/>
            <w:noWrap w:val="0"/>
            <w:vAlign w:val="top"/>
          </w:tcPr>
          <w:p w14:paraId="412C2842">
            <w:pPr>
              <w:widowControl w:val="0"/>
              <w:spacing w:line="360" w:lineRule="auto"/>
              <w:jc w:val="center"/>
              <w:rPr>
                <w:rFonts w:hint="eastAsia" w:ascii="仿宋" w:hAnsi="仿宋" w:eastAsia="仿宋" w:cs="仿宋"/>
              </w:rPr>
            </w:pPr>
          </w:p>
        </w:tc>
        <w:tc>
          <w:tcPr>
            <w:tcW w:w="2207" w:type="dxa"/>
            <w:noWrap w:val="0"/>
            <w:vAlign w:val="top"/>
          </w:tcPr>
          <w:p w14:paraId="4677D861">
            <w:pPr>
              <w:widowControl w:val="0"/>
              <w:spacing w:line="360" w:lineRule="auto"/>
              <w:jc w:val="center"/>
              <w:rPr>
                <w:rFonts w:hint="eastAsia" w:ascii="仿宋" w:hAnsi="仿宋" w:eastAsia="仿宋" w:cs="仿宋"/>
              </w:rPr>
            </w:pPr>
          </w:p>
        </w:tc>
      </w:tr>
      <w:tr w14:paraId="1EEE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04900C6C">
            <w:pPr>
              <w:widowControl w:val="0"/>
              <w:spacing w:line="360" w:lineRule="auto"/>
              <w:jc w:val="center"/>
              <w:rPr>
                <w:rFonts w:hint="eastAsia" w:ascii="仿宋" w:hAnsi="仿宋" w:eastAsia="仿宋" w:cs="仿宋"/>
              </w:rPr>
            </w:pPr>
          </w:p>
        </w:tc>
        <w:tc>
          <w:tcPr>
            <w:tcW w:w="837" w:type="dxa"/>
            <w:noWrap w:val="0"/>
            <w:vAlign w:val="top"/>
          </w:tcPr>
          <w:p w14:paraId="3398EEBE">
            <w:pPr>
              <w:widowControl w:val="0"/>
              <w:spacing w:line="360" w:lineRule="auto"/>
              <w:jc w:val="center"/>
              <w:rPr>
                <w:rFonts w:hint="eastAsia" w:ascii="仿宋" w:hAnsi="仿宋" w:eastAsia="仿宋" w:cs="仿宋"/>
              </w:rPr>
            </w:pPr>
          </w:p>
        </w:tc>
        <w:tc>
          <w:tcPr>
            <w:tcW w:w="1338" w:type="dxa"/>
            <w:noWrap w:val="0"/>
            <w:vAlign w:val="top"/>
          </w:tcPr>
          <w:p w14:paraId="4317DE0B">
            <w:pPr>
              <w:widowControl w:val="0"/>
              <w:spacing w:line="360" w:lineRule="auto"/>
              <w:jc w:val="center"/>
              <w:rPr>
                <w:rFonts w:hint="eastAsia" w:ascii="仿宋" w:hAnsi="仿宋" w:eastAsia="仿宋" w:cs="仿宋"/>
              </w:rPr>
            </w:pPr>
          </w:p>
        </w:tc>
        <w:tc>
          <w:tcPr>
            <w:tcW w:w="2207" w:type="dxa"/>
            <w:noWrap w:val="0"/>
            <w:vAlign w:val="top"/>
          </w:tcPr>
          <w:p w14:paraId="2F5725A6">
            <w:pPr>
              <w:widowControl w:val="0"/>
              <w:spacing w:line="360" w:lineRule="auto"/>
              <w:jc w:val="center"/>
              <w:rPr>
                <w:rFonts w:hint="eastAsia" w:ascii="仿宋" w:hAnsi="仿宋" w:eastAsia="仿宋" w:cs="仿宋"/>
              </w:rPr>
            </w:pPr>
          </w:p>
        </w:tc>
      </w:tr>
      <w:tr w14:paraId="4D27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33F6C5CC">
            <w:pPr>
              <w:widowControl w:val="0"/>
              <w:spacing w:line="360" w:lineRule="auto"/>
              <w:jc w:val="center"/>
              <w:rPr>
                <w:rFonts w:hint="eastAsia" w:ascii="仿宋" w:hAnsi="仿宋" w:eastAsia="仿宋" w:cs="仿宋"/>
              </w:rPr>
            </w:pPr>
          </w:p>
        </w:tc>
        <w:tc>
          <w:tcPr>
            <w:tcW w:w="837" w:type="dxa"/>
            <w:noWrap w:val="0"/>
            <w:vAlign w:val="top"/>
          </w:tcPr>
          <w:p w14:paraId="6B4B3D45">
            <w:pPr>
              <w:widowControl w:val="0"/>
              <w:spacing w:line="360" w:lineRule="auto"/>
              <w:jc w:val="center"/>
              <w:rPr>
                <w:rFonts w:hint="eastAsia" w:ascii="仿宋" w:hAnsi="仿宋" w:eastAsia="仿宋" w:cs="仿宋"/>
              </w:rPr>
            </w:pPr>
          </w:p>
        </w:tc>
        <w:tc>
          <w:tcPr>
            <w:tcW w:w="1338" w:type="dxa"/>
            <w:noWrap w:val="0"/>
            <w:vAlign w:val="top"/>
          </w:tcPr>
          <w:p w14:paraId="77C56432">
            <w:pPr>
              <w:widowControl w:val="0"/>
              <w:spacing w:line="360" w:lineRule="auto"/>
              <w:jc w:val="center"/>
              <w:rPr>
                <w:rFonts w:hint="eastAsia" w:ascii="仿宋" w:hAnsi="仿宋" w:eastAsia="仿宋" w:cs="仿宋"/>
              </w:rPr>
            </w:pPr>
          </w:p>
        </w:tc>
        <w:tc>
          <w:tcPr>
            <w:tcW w:w="2207" w:type="dxa"/>
            <w:noWrap w:val="0"/>
            <w:vAlign w:val="top"/>
          </w:tcPr>
          <w:p w14:paraId="1AB3AC06">
            <w:pPr>
              <w:widowControl w:val="0"/>
              <w:spacing w:line="360" w:lineRule="auto"/>
              <w:jc w:val="center"/>
              <w:rPr>
                <w:rFonts w:hint="eastAsia" w:ascii="仿宋" w:hAnsi="仿宋" w:eastAsia="仿宋" w:cs="仿宋"/>
              </w:rPr>
            </w:pPr>
          </w:p>
        </w:tc>
      </w:tr>
      <w:tr w14:paraId="2F15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783055B9">
            <w:pPr>
              <w:widowControl w:val="0"/>
              <w:spacing w:line="360" w:lineRule="auto"/>
              <w:jc w:val="center"/>
              <w:rPr>
                <w:rFonts w:hint="eastAsia" w:ascii="仿宋" w:hAnsi="仿宋" w:eastAsia="仿宋" w:cs="仿宋"/>
              </w:rPr>
            </w:pPr>
          </w:p>
        </w:tc>
        <w:tc>
          <w:tcPr>
            <w:tcW w:w="837" w:type="dxa"/>
            <w:noWrap w:val="0"/>
            <w:vAlign w:val="top"/>
          </w:tcPr>
          <w:p w14:paraId="583CAEE1">
            <w:pPr>
              <w:widowControl w:val="0"/>
              <w:spacing w:line="360" w:lineRule="auto"/>
              <w:jc w:val="center"/>
              <w:rPr>
                <w:rFonts w:hint="eastAsia" w:ascii="仿宋" w:hAnsi="仿宋" w:eastAsia="仿宋" w:cs="仿宋"/>
              </w:rPr>
            </w:pPr>
          </w:p>
        </w:tc>
        <w:tc>
          <w:tcPr>
            <w:tcW w:w="1338" w:type="dxa"/>
            <w:noWrap w:val="0"/>
            <w:vAlign w:val="top"/>
          </w:tcPr>
          <w:p w14:paraId="3C457592">
            <w:pPr>
              <w:widowControl w:val="0"/>
              <w:spacing w:line="360" w:lineRule="auto"/>
              <w:jc w:val="center"/>
              <w:rPr>
                <w:rFonts w:hint="eastAsia" w:ascii="仿宋" w:hAnsi="仿宋" w:eastAsia="仿宋" w:cs="仿宋"/>
              </w:rPr>
            </w:pPr>
          </w:p>
        </w:tc>
        <w:tc>
          <w:tcPr>
            <w:tcW w:w="2207" w:type="dxa"/>
            <w:noWrap w:val="0"/>
            <w:vAlign w:val="top"/>
          </w:tcPr>
          <w:p w14:paraId="13175C48">
            <w:pPr>
              <w:widowControl w:val="0"/>
              <w:spacing w:line="360" w:lineRule="auto"/>
              <w:jc w:val="center"/>
              <w:rPr>
                <w:rFonts w:hint="eastAsia" w:ascii="仿宋" w:hAnsi="仿宋" w:eastAsia="仿宋" w:cs="仿宋"/>
              </w:rPr>
            </w:pPr>
          </w:p>
        </w:tc>
      </w:tr>
      <w:tr w14:paraId="5271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3620472C">
            <w:pPr>
              <w:widowControl w:val="0"/>
              <w:spacing w:line="360" w:lineRule="auto"/>
              <w:jc w:val="center"/>
              <w:rPr>
                <w:rFonts w:hint="eastAsia" w:ascii="仿宋" w:hAnsi="仿宋" w:eastAsia="仿宋" w:cs="仿宋"/>
              </w:rPr>
            </w:pPr>
          </w:p>
        </w:tc>
        <w:tc>
          <w:tcPr>
            <w:tcW w:w="837" w:type="dxa"/>
            <w:noWrap w:val="0"/>
            <w:vAlign w:val="top"/>
          </w:tcPr>
          <w:p w14:paraId="281DD788">
            <w:pPr>
              <w:widowControl w:val="0"/>
              <w:spacing w:line="360" w:lineRule="auto"/>
              <w:jc w:val="center"/>
              <w:rPr>
                <w:rFonts w:hint="eastAsia" w:ascii="仿宋" w:hAnsi="仿宋" w:eastAsia="仿宋" w:cs="仿宋"/>
              </w:rPr>
            </w:pPr>
          </w:p>
        </w:tc>
        <w:tc>
          <w:tcPr>
            <w:tcW w:w="1338" w:type="dxa"/>
            <w:noWrap w:val="0"/>
            <w:vAlign w:val="top"/>
          </w:tcPr>
          <w:p w14:paraId="6C8C9357">
            <w:pPr>
              <w:widowControl w:val="0"/>
              <w:spacing w:line="360" w:lineRule="auto"/>
              <w:jc w:val="center"/>
              <w:rPr>
                <w:rFonts w:hint="eastAsia" w:ascii="仿宋" w:hAnsi="仿宋" w:eastAsia="仿宋" w:cs="仿宋"/>
              </w:rPr>
            </w:pPr>
          </w:p>
        </w:tc>
        <w:tc>
          <w:tcPr>
            <w:tcW w:w="2207" w:type="dxa"/>
            <w:noWrap w:val="0"/>
            <w:vAlign w:val="top"/>
          </w:tcPr>
          <w:p w14:paraId="59BA99B9">
            <w:pPr>
              <w:widowControl w:val="0"/>
              <w:spacing w:line="360" w:lineRule="auto"/>
              <w:jc w:val="center"/>
              <w:rPr>
                <w:rFonts w:hint="eastAsia" w:ascii="仿宋" w:hAnsi="仿宋" w:eastAsia="仿宋" w:cs="仿宋"/>
              </w:rPr>
            </w:pPr>
          </w:p>
        </w:tc>
      </w:tr>
      <w:tr w14:paraId="4C71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31CB97FD">
            <w:pPr>
              <w:widowControl w:val="0"/>
              <w:spacing w:line="360" w:lineRule="auto"/>
              <w:jc w:val="center"/>
              <w:rPr>
                <w:rFonts w:hint="eastAsia" w:ascii="仿宋" w:hAnsi="仿宋" w:eastAsia="仿宋" w:cs="仿宋"/>
              </w:rPr>
            </w:pPr>
          </w:p>
        </w:tc>
        <w:tc>
          <w:tcPr>
            <w:tcW w:w="837" w:type="dxa"/>
            <w:noWrap w:val="0"/>
            <w:vAlign w:val="top"/>
          </w:tcPr>
          <w:p w14:paraId="5CC0DA04">
            <w:pPr>
              <w:widowControl w:val="0"/>
              <w:spacing w:line="360" w:lineRule="auto"/>
              <w:jc w:val="center"/>
              <w:rPr>
                <w:rFonts w:hint="eastAsia" w:ascii="仿宋" w:hAnsi="仿宋" w:eastAsia="仿宋" w:cs="仿宋"/>
              </w:rPr>
            </w:pPr>
          </w:p>
        </w:tc>
        <w:tc>
          <w:tcPr>
            <w:tcW w:w="1338" w:type="dxa"/>
            <w:noWrap w:val="0"/>
            <w:vAlign w:val="top"/>
          </w:tcPr>
          <w:p w14:paraId="3148BCA4">
            <w:pPr>
              <w:widowControl w:val="0"/>
              <w:spacing w:line="360" w:lineRule="auto"/>
              <w:jc w:val="center"/>
              <w:rPr>
                <w:rFonts w:hint="eastAsia" w:ascii="仿宋" w:hAnsi="仿宋" w:eastAsia="仿宋" w:cs="仿宋"/>
              </w:rPr>
            </w:pPr>
          </w:p>
        </w:tc>
        <w:tc>
          <w:tcPr>
            <w:tcW w:w="2207" w:type="dxa"/>
            <w:noWrap w:val="0"/>
            <w:vAlign w:val="top"/>
          </w:tcPr>
          <w:p w14:paraId="1C5C2865">
            <w:pPr>
              <w:widowControl w:val="0"/>
              <w:spacing w:line="360" w:lineRule="auto"/>
              <w:jc w:val="center"/>
              <w:rPr>
                <w:rFonts w:hint="eastAsia" w:ascii="仿宋" w:hAnsi="仿宋" w:eastAsia="仿宋" w:cs="仿宋"/>
              </w:rPr>
            </w:pPr>
          </w:p>
        </w:tc>
      </w:tr>
      <w:tr w14:paraId="06BE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50D80855">
            <w:pPr>
              <w:widowControl w:val="0"/>
              <w:spacing w:line="360" w:lineRule="auto"/>
              <w:jc w:val="center"/>
              <w:rPr>
                <w:rFonts w:hint="eastAsia" w:ascii="仿宋" w:hAnsi="仿宋" w:eastAsia="仿宋" w:cs="仿宋"/>
              </w:rPr>
            </w:pPr>
          </w:p>
        </w:tc>
        <w:tc>
          <w:tcPr>
            <w:tcW w:w="837" w:type="dxa"/>
            <w:noWrap w:val="0"/>
            <w:vAlign w:val="top"/>
          </w:tcPr>
          <w:p w14:paraId="68B1DED5">
            <w:pPr>
              <w:widowControl w:val="0"/>
              <w:spacing w:line="360" w:lineRule="auto"/>
              <w:jc w:val="center"/>
              <w:rPr>
                <w:rFonts w:hint="eastAsia" w:ascii="仿宋" w:hAnsi="仿宋" w:eastAsia="仿宋" w:cs="仿宋"/>
              </w:rPr>
            </w:pPr>
          </w:p>
        </w:tc>
        <w:tc>
          <w:tcPr>
            <w:tcW w:w="1338" w:type="dxa"/>
            <w:noWrap w:val="0"/>
            <w:vAlign w:val="top"/>
          </w:tcPr>
          <w:p w14:paraId="75A3BD68">
            <w:pPr>
              <w:widowControl w:val="0"/>
              <w:spacing w:line="360" w:lineRule="auto"/>
              <w:jc w:val="center"/>
              <w:rPr>
                <w:rFonts w:hint="eastAsia" w:ascii="仿宋" w:hAnsi="仿宋" w:eastAsia="仿宋" w:cs="仿宋"/>
              </w:rPr>
            </w:pPr>
          </w:p>
        </w:tc>
        <w:tc>
          <w:tcPr>
            <w:tcW w:w="2207" w:type="dxa"/>
            <w:noWrap w:val="0"/>
            <w:vAlign w:val="top"/>
          </w:tcPr>
          <w:p w14:paraId="7895C62D">
            <w:pPr>
              <w:widowControl w:val="0"/>
              <w:spacing w:line="360" w:lineRule="auto"/>
              <w:jc w:val="center"/>
              <w:rPr>
                <w:rFonts w:hint="eastAsia" w:ascii="仿宋" w:hAnsi="仿宋" w:eastAsia="仿宋" w:cs="仿宋"/>
              </w:rPr>
            </w:pPr>
          </w:p>
        </w:tc>
      </w:tr>
      <w:tr w14:paraId="04C7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0DA1EC4F">
            <w:pPr>
              <w:widowControl w:val="0"/>
              <w:spacing w:line="360" w:lineRule="auto"/>
              <w:jc w:val="center"/>
              <w:rPr>
                <w:rFonts w:hint="eastAsia" w:ascii="仿宋" w:hAnsi="仿宋" w:eastAsia="仿宋" w:cs="仿宋"/>
              </w:rPr>
            </w:pPr>
          </w:p>
        </w:tc>
        <w:tc>
          <w:tcPr>
            <w:tcW w:w="837" w:type="dxa"/>
            <w:noWrap w:val="0"/>
            <w:vAlign w:val="top"/>
          </w:tcPr>
          <w:p w14:paraId="5B531CB6">
            <w:pPr>
              <w:widowControl w:val="0"/>
              <w:spacing w:line="360" w:lineRule="auto"/>
              <w:jc w:val="center"/>
              <w:rPr>
                <w:rFonts w:hint="eastAsia" w:ascii="仿宋" w:hAnsi="仿宋" w:eastAsia="仿宋" w:cs="仿宋"/>
              </w:rPr>
            </w:pPr>
          </w:p>
        </w:tc>
        <w:tc>
          <w:tcPr>
            <w:tcW w:w="1338" w:type="dxa"/>
            <w:noWrap w:val="0"/>
            <w:vAlign w:val="top"/>
          </w:tcPr>
          <w:p w14:paraId="37856FF9">
            <w:pPr>
              <w:widowControl w:val="0"/>
              <w:spacing w:line="360" w:lineRule="auto"/>
              <w:jc w:val="center"/>
              <w:rPr>
                <w:rFonts w:hint="eastAsia" w:ascii="仿宋" w:hAnsi="仿宋" w:eastAsia="仿宋" w:cs="仿宋"/>
              </w:rPr>
            </w:pPr>
          </w:p>
        </w:tc>
        <w:tc>
          <w:tcPr>
            <w:tcW w:w="2207" w:type="dxa"/>
            <w:noWrap w:val="0"/>
            <w:vAlign w:val="top"/>
          </w:tcPr>
          <w:p w14:paraId="73C4EB68">
            <w:pPr>
              <w:widowControl w:val="0"/>
              <w:spacing w:line="360" w:lineRule="auto"/>
              <w:jc w:val="center"/>
              <w:rPr>
                <w:rFonts w:hint="eastAsia" w:ascii="仿宋" w:hAnsi="仿宋" w:eastAsia="仿宋" w:cs="仿宋"/>
              </w:rPr>
            </w:pPr>
          </w:p>
        </w:tc>
      </w:tr>
      <w:tr w14:paraId="3FFE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29A93FEB">
            <w:pPr>
              <w:widowControl w:val="0"/>
              <w:spacing w:line="360" w:lineRule="auto"/>
              <w:jc w:val="center"/>
              <w:rPr>
                <w:rFonts w:hint="eastAsia" w:ascii="仿宋" w:hAnsi="仿宋" w:eastAsia="仿宋" w:cs="仿宋"/>
              </w:rPr>
            </w:pPr>
          </w:p>
        </w:tc>
        <w:tc>
          <w:tcPr>
            <w:tcW w:w="837" w:type="dxa"/>
            <w:noWrap w:val="0"/>
            <w:vAlign w:val="top"/>
          </w:tcPr>
          <w:p w14:paraId="2D6A78C2">
            <w:pPr>
              <w:widowControl w:val="0"/>
              <w:spacing w:line="360" w:lineRule="auto"/>
              <w:jc w:val="center"/>
              <w:rPr>
                <w:rFonts w:hint="eastAsia" w:ascii="仿宋" w:hAnsi="仿宋" w:eastAsia="仿宋" w:cs="仿宋"/>
              </w:rPr>
            </w:pPr>
          </w:p>
        </w:tc>
        <w:tc>
          <w:tcPr>
            <w:tcW w:w="1338" w:type="dxa"/>
            <w:noWrap w:val="0"/>
            <w:vAlign w:val="top"/>
          </w:tcPr>
          <w:p w14:paraId="18BC6F9D">
            <w:pPr>
              <w:widowControl w:val="0"/>
              <w:spacing w:line="360" w:lineRule="auto"/>
              <w:jc w:val="center"/>
              <w:rPr>
                <w:rFonts w:hint="eastAsia" w:ascii="仿宋" w:hAnsi="仿宋" w:eastAsia="仿宋" w:cs="仿宋"/>
              </w:rPr>
            </w:pPr>
          </w:p>
        </w:tc>
        <w:tc>
          <w:tcPr>
            <w:tcW w:w="2207" w:type="dxa"/>
            <w:noWrap w:val="0"/>
            <w:vAlign w:val="top"/>
          </w:tcPr>
          <w:p w14:paraId="73E7AF4A">
            <w:pPr>
              <w:widowControl w:val="0"/>
              <w:spacing w:line="360" w:lineRule="auto"/>
              <w:jc w:val="center"/>
              <w:rPr>
                <w:rFonts w:hint="eastAsia" w:ascii="仿宋" w:hAnsi="仿宋" w:eastAsia="仿宋" w:cs="仿宋"/>
              </w:rPr>
            </w:pPr>
          </w:p>
        </w:tc>
      </w:tr>
      <w:tr w14:paraId="39AB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7BB1CDE8">
            <w:pPr>
              <w:widowControl w:val="0"/>
              <w:spacing w:line="360" w:lineRule="auto"/>
              <w:jc w:val="center"/>
              <w:rPr>
                <w:rFonts w:hint="eastAsia" w:ascii="仿宋" w:hAnsi="仿宋" w:eastAsia="仿宋" w:cs="仿宋"/>
              </w:rPr>
            </w:pPr>
          </w:p>
        </w:tc>
        <w:tc>
          <w:tcPr>
            <w:tcW w:w="837" w:type="dxa"/>
            <w:noWrap w:val="0"/>
            <w:vAlign w:val="top"/>
          </w:tcPr>
          <w:p w14:paraId="71045EF3">
            <w:pPr>
              <w:widowControl w:val="0"/>
              <w:spacing w:line="360" w:lineRule="auto"/>
              <w:jc w:val="center"/>
              <w:rPr>
                <w:rFonts w:hint="eastAsia" w:ascii="仿宋" w:hAnsi="仿宋" w:eastAsia="仿宋" w:cs="仿宋"/>
              </w:rPr>
            </w:pPr>
          </w:p>
        </w:tc>
        <w:tc>
          <w:tcPr>
            <w:tcW w:w="1338" w:type="dxa"/>
            <w:noWrap w:val="0"/>
            <w:vAlign w:val="top"/>
          </w:tcPr>
          <w:p w14:paraId="11418484">
            <w:pPr>
              <w:widowControl w:val="0"/>
              <w:spacing w:line="360" w:lineRule="auto"/>
              <w:jc w:val="center"/>
              <w:rPr>
                <w:rFonts w:hint="eastAsia" w:ascii="仿宋" w:hAnsi="仿宋" w:eastAsia="仿宋" w:cs="仿宋"/>
              </w:rPr>
            </w:pPr>
          </w:p>
        </w:tc>
        <w:tc>
          <w:tcPr>
            <w:tcW w:w="2207" w:type="dxa"/>
            <w:noWrap w:val="0"/>
            <w:vAlign w:val="top"/>
          </w:tcPr>
          <w:p w14:paraId="3D8DBFF3">
            <w:pPr>
              <w:widowControl w:val="0"/>
              <w:spacing w:line="360" w:lineRule="auto"/>
              <w:jc w:val="center"/>
              <w:rPr>
                <w:rFonts w:hint="eastAsia" w:ascii="仿宋" w:hAnsi="仿宋" w:eastAsia="仿宋" w:cs="仿宋"/>
              </w:rPr>
            </w:pPr>
          </w:p>
        </w:tc>
      </w:tr>
      <w:tr w14:paraId="72AB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58BC8446">
            <w:pPr>
              <w:widowControl w:val="0"/>
              <w:spacing w:line="360" w:lineRule="auto"/>
              <w:jc w:val="center"/>
              <w:rPr>
                <w:rFonts w:hint="eastAsia" w:ascii="仿宋" w:hAnsi="仿宋" w:eastAsia="仿宋" w:cs="仿宋"/>
              </w:rPr>
            </w:pPr>
            <w:bookmarkStart w:id="236" w:name="_Toc419045129"/>
          </w:p>
        </w:tc>
        <w:tc>
          <w:tcPr>
            <w:tcW w:w="837" w:type="dxa"/>
            <w:noWrap w:val="0"/>
            <w:vAlign w:val="top"/>
          </w:tcPr>
          <w:p w14:paraId="114A0165">
            <w:pPr>
              <w:widowControl w:val="0"/>
              <w:spacing w:line="360" w:lineRule="auto"/>
              <w:jc w:val="center"/>
              <w:rPr>
                <w:rFonts w:hint="eastAsia" w:ascii="仿宋" w:hAnsi="仿宋" w:eastAsia="仿宋" w:cs="仿宋"/>
              </w:rPr>
            </w:pPr>
          </w:p>
        </w:tc>
        <w:tc>
          <w:tcPr>
            <w:tcW w:w="1338" w:type="dxa"/>
            <w:noWrap w:val="0"/>
            <w:vAlign w:val="top"/>
          </w:tcPr>
          <w:p w14:paraId="519DEA11">
            <w:pPr>
              <w:widowControl w:val="0"/>
              <w:spacing w:line="360" w:lineRule="auto"/>
              <w:jc w:val="center"/>
              <w:rPr>
                <w:rFonts w:hint="eastAsia" w:ascii="仿宋" w:hAnsi="仿宋" w:eastAsia="仿宋" w:cs="仿宋"/>
              </w:rPr>
            </w:pPr>
          </w:p>
        </w:tc>
        <w:tc>
          <w:tcPr>
            <w:tcW w:w="2207" w:type="dxa"/>
            <w:noWrap w:val="0"/>
            <w:vAlign w:val="top"/>
          </w:tcPr>
          <w:p w14:paraId="1CA3E892">
            <w:pPr>
              <w:widowControl w:val="0"/>
              <w:spacing w:line="360" w:lineRule="auto"/>
              <w:jc w:val="center"/>
              <w:rPr>
                <w:rFonts w:hint="eastAsia" w:ascii="仿宋" w:hAnsi="仿宋" w:eastAsia="仿宋" w:cs="仿宋"/>
              </w:rPr>
            </w:pPr>
          </w:p>
        </w:tc>
      </w:tr>
    </w:tbl>
    <w:p w14:paraId="2B277797">
      <w:pPr>
        <w:pStyle w:val="3"/>
        <w:spacing w:before="0" w:after="0"/>
        <w:jc w:val="center"/>
        <w:rPr>
          <w:rFonts w:hint="eastAsia" w:ascii="仿宋" w:hAnsi="仿宋" w:eastAsia="仿宋" w:cs="仿宋"/>
          <w:sz w:val="24"/>
          <w:szCs w:val="24"/>
        </w:rPr>
        <w:sectPr>
          <w:pgSz w:w="11906" w:h="16838"/>
          <w:pgMar w:top="1440" w:right="1800" w:bottom="1440" w:left="1800" w:header="851" w:footer="992" w:gutter="0"/>
          <w:pgNumType w:fmt="decimal"/>
          <w:cols w:space="720" w:num="1"/>
          <w:docGrid w:linePitch="312" w:charSpace="0"/>
        </w:sectPr>
      </w:pPr>
    </w:p>
    <w:p w14:paraId="500C79BF">
      <w:pPr>
        <w:pStyle w:val="3"/>
        <w:spacing w:before="0" w:after="0"/>
        <w:jc w:val="center"/>
        <w:rPr>
          <w:rFonts w:hint="eastAsia" w:ascii="仿宋" w:hAnsi="仿宋" w:eastAsia="仿宋" w:cs="仿宋"/>
          <w:sz w:val="24"/>
          <w:szCs w:val="24"/>
        </w:rPr>
      </w:pPr>
      <w:bookmarkStart w:id="237" w:name="_Toc9467"/>
      <w:bookmarkStart w:id="238" w:name="_Toc422322560"/>
      <w:r>
        <w:rPr>
          <w:rFonts w:hint="eastAsia" w:ascii="仿宋" w:hAnsi="仿宋" w:eastAsia="仿宋" w:cs="仿宋"/>
          <w:sz w:val="24"/>
          <w:szCs w:val="24"/>
        </w:rPr>
        <w:t>附录D 委托人提供房屋及设备一览表</w:t>
      </w:r>
      <w:bookmarkEnd w:id="236"/>
      <w:bookmarkEnd w:id="237"/>
      <w:bookmarkEnd w:id="238"/>
    </w:p>
    <w:tbl>
      <w:tblPr>
        <w:tblStyle w:val="30"/>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1175"/>
        <w:gridCol w:w="2716"/>
        <w:gridCol w:w="3150"/>
      </w:tblGrid>
      <w:tr w14:paraId="4235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37AB9896">
            <w:pPr>
              <w:pStyle w:val="27"/>
              <w:widowControl w:val="0"/>
              <w:spacing w:line="360" w:lineRule="auto"/>
              <w:jc w:val="center"/>
              <w:rPr>
                <w:rFonts w:hint="eastAsia" w:ascii="仿宋" w:hAnsi="仿宋" w:eastAsia="仿宋" w:cs="仿宋"/>
              </w:rPr>
            </w:pPr>
            <w:r>
              <w:rPr>
                <w:rFonts w:hint="eastAsia" w:ascii="仿宋" w:hAnsi="仿宋" w:eastAsia="仿宋" w:cs="仿宋"/>
              </w:rPr>
              <w:t>名称</w:t>
            </w:r>
          </w:p>
        </w:tc>
        <w:tc>
          <w:tcPr>
            <w:tcW w:w="1175" w:type="dxa"/>
            <w:noWrap w:val="0"/>
            <w:vAlign w:val="top"/>
          </w:tcPr>
          <w:p w14:paraId="3404C35C">
            <w:pPr>
              <w:pStyle w:val="27"/>
              <w:widowControl w:val="0"/>
              <w:spacing w:line="360" w:lineRule="auto"/>
              <w:jc w:val="center"/>
              <w:rPr>
                <w:rFonts w:hint="eastAsia" w:ascii="仿宋" w:hAnsi="仿宋" w:eastAsia="仿宋" w:cs="仿宋"/>
              </w:rPr>
            </w:pPr>
            <w:r>
              <w:rPr>
                <w:rFonts w:hint="eastAsia" w:ascii="仿宋" w:hAnsi="仿宋" w:eastAsia="仿宋" w:cs="仿宋"/>
              </w:rPr>
              <w:t>数量</w:t>
            </w:r>
          </w:p>
        </w:tc>
        <w:tc>
          <w:tcPr>
            <w:tcW w:w="2716" w:type="dxa"/>
            <w:noWrap w:val="0"/>
            <w:vAlign w:val="top"/>
          </w:tcPr>
          <w:p w14:paraId="0C511F58">
            <w:pPr>
              <w:pStyle w:val="27"/>
              <w:widowControl w:val="0"/>
              <w:spacing w:line="360" w:lineRule="auto"/>
              <w:jc w:val="center"/>
              <w:rPr>
                <w:rFonts w:hint="eastAsia" w:ascii="仿宋" w:hAnsi="仿宋" w:eastAsia="仿宋" w:cs="仿宋"/>
              </w:rPr>
            </w:pPr>
            <w:r>
              <w:rPr>
                <w:rFonts w:hint="eastAsia" w:ascii="仿宋" w:hAnsi="仿宋" w:eastAsia="仿宋" w:cs="仿宋"/>
              </w:rPr>
              <w:t>面积、型号及规格</w:t>
            </w:r>
          </w:p>
        </w:tc>
        <w:tc>
          <w:tcPr>
            <w:tcW w:w="3150" w:type="dxa"/>
            <w:noWrap w:val="0"/>
            <w:vAlign w:val="top"/>
          </w:tcPr>
          <w:p w14:paraId="332EFD5B">
            <w:pPr>
              <w:pStyle w:val="27"/>
              <w:widowControl w:val="0"/>
              <w:spacing w:line="360" w:lineRule="auto"/>
              <w:jc w:val="center"/>
              <w:rPr>
                <w:rFonts w:hint="eastAsia" w:ascii="仿宋" w:hAnsi="仿宋" w:eastAsia="仿宋" w:cs="仿宋"/>
              </w:rPr>
            </w:pPr>
            <w:r>
              <w:rPr>
                <w:rFonts w:hint="eastAsia" w:ascii="仿宋" w:hAnsi="仿宋" w:eastAsia="仿宋" w:cs="仿宋"/>
              </w:rPr>
              <w:t>提供时间</w:t>
            </w:r>
          </w:p>
        </w:tc>
      </w:tr>
      <w:tr w14:paraId="7806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8" w:type="dxa"/>
            <w:noWrap w:val="0"/>
            <w:vAlign w:val="top"/>
          </w:tcPr>
          <w:p w14:paraId="0EB1BCB5">
            <w:pPr>
              <w:pStyle w:val="27"/>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1175" w:type="dxa"/>
            <w:noWrap w:val="0"/>
            <w:vAlign w:val="top"/>
          </w:tcPr>
          <w:p w14:paraId="7BCE18AC">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2716" w:type="dxa"/>
            <w:noWrap w:val="0"/>
            <w:vAlign w:val="top"/>
          </w:tcPr>
          <w:p w14:paraId="7581EC56">
            <w:pPr>
              <w:widowControl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w:t>
            </w:r>
          </w:p>
        </w:tc>
        <w:tc>
          <w:tcPr>
            <w:tcW w:w="3150" w:type="dxa"/>
            <w:noWrap w:val="0"/>
            <w:vAlign w:val="top"/>
          </w:tcPr>
          <w:p w14:paraId="46FB38E8">
            <w:pPr>
              <w:widowControl w:val="0"/>
              <w:spacing w:line="360" w:lineRule="auto"/>
              <w:jc w:val="both"/>
              <w:rPr>
                <w:rFonts w:hint="eastAsia" w:ascii="仿宋" w:hAnsi="仿宋" w:eastAsia="仿宋" w:cs="仿宋"/>
                <w:lang w:val="en-US" w:eastAsia="zh-CN"/>
              </w:rPr>
            </w:pPr>
            <w:r>
              <w:rPr>
                <w:rFonts w:hint="eastAsia" w:ascii="仿宋" w:hAnsi="仿宋" w:eastAsia="仿宋" w:cs="仿宋"/>
              </w:rPr>
              <w:t>　</w:t>
            </w:r>
            <w:r>
              <w:rPr>
                <w:rFonts w:hint="eastAsia" w:ascii="仿宋" w:hAnsi="仿宋" w:eastAsia="仿宋" w:cs="仿宋"/>
                <w:lang w:val="en-US" w:eastAsia="zh-CN"/>
              </w:rPr>
              <w:t>/</w:t>
            </w:r>
          </w:p>
        </w:tc>
      </w:tr>
      <w:tr w14:paraId="6659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3328A51C">
            <w:pPr>
              <w:pStyle w:val="27"/>
              <w:widowControl w:val="0"/>
              <w:spacing w:line="360" w:lineRule="auto"/>
              <w:jc w:val="both"/>
              <w:rPr>
                <w:rFonts w:hint="eastAsia" w:ascii="仿宋" w:hAnsi="仿宋" w:eastAsia="仿宋" w:cs="仿宋"/>
              </w:rPr>
            </w:pPr>
          </w:p>
        </w:tc>
        <w:tc>
          <w:tcPr>
            <w:tcW w:w="1175" w:type="dxa"/>
            <w:noWrap w:val="0"/>
            <w:vAlign w:val="top"/>
          </w:tcPr>
          <w:p w14:paraId="0BB4C552">
            <w:pPr>
              <w:widowControl w:val="0"/>
              <w:spacing w:line="360" w:lineRule="auto"/>
              <w:jc w:val="both"/>
              <w:rPr>
                <w:rFonts w:hint="eastAsia" w:ascii="仿宋" w:hAnsi="仿宋" w:eastAsia="仿宋" w:cs="仿宋"/>
              </w:rPr>
            </w:pPr>
            <w:r>
              <w:rPr>
                <w:rFonts w:hint="eastAsia" w:ascii="仿宋" w:hAnsi="仿宋" w:eastAsia="仿宋" w:cs="仿宋"/>
              </w:rPr>
              <w:t>　</w:t>
            </w:r>
          </w:p>
        </w:tc>
        <w:tc>
          <w:tcPr>
            <w:tcW w:w="2716" w:type="dxa"/>
            <w:noWrap w:val="0"/>
            <w:vAlign w:val="top"/>
          </w:tcPr>
          <w:p w14:paraId="5C1DF70A">
            <w:pPr>
              <w:widowControl w:val="0"/>
              <w:spacing w:line="360" w:lineRule="auto"/>
              <w:jc w:val="both"/>
              <w:rPr>
                <w:rFonts w:hint="eastAsia" w:ascii="仿宋" w:hAnsi="仿宋" w:eastAsia="仿宋" w:cs="仿宋"/>
              </w:rPr>
            </w:pPr>
            <w:r>
              <w:rPr>
                <w:rFonts w:hint="eastAsia" w:ascii="仿宋" w:hAnsi="仿宋" w:eastAsia="仿宋" w:cs="仿宋"/>
              </w:rPr>
              <w:t>　</w:t>
            </w:r>
          </w:p>
        </w:tc>
        <w:tc>
          <w:tcPr>
            <w:tcW w:w="3150" w:type="dxa"/>
            <w:noWrap w:val="0"/>
            <w:vAlign w:val="top"/>
          </w:tcPr>
          <w:p w14:paraId="12973553">
            <w:pPr>
              <w:widowControl w:val="0"/>
              <w:spacing w:line="360" w:lineRule="auto"/>
              <w:jc w:val="both"/>
              <w:rPr>
                <w:rFonts w:hint="eastAsia" w:ascii="仿宋" w:hAnsi="仿宋" w:eastAsia="仿宋" w:cs="仿宋"/>
              </w:rPr>
            </w:pPr>
            <w:r>
              <w:rPr>
                <w:rFonts w:hint="eastAsia" w:ascii="仿宋" w:hAnsi="仿宋" w:eastAsia="仿宋" w:cs="仿宋"/>
              </w:rPr>
              <w:t>　</w:t>
            </w:r>
          </w:p>
        </w:tc>
      </w:tr>
      <w:tr w14:paraId="7C57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2853011F">
            <w:pPr>
              <w:pStyle w:val="27"/>
              <w:widowControl w:val="0"/>
              <w:spacing w:line="360" w:lineRule="auto"/>
              <w:jc w:val="both"/>
              <w:rPr>
                <w:rFonts w:hint="eastAsia" w:ascii="仿宋" w:hAnsi="仿宋" w:eastAsia="仿宋" w:cs="仿宋"/>
              </w:rPr>
            </w:pPr>
          </w:p>
        </w:tc>
        <w:tc>
          <w:tcPr>
            <w:tcW w:w="1175" w:type="dxa"/>
            <w:noWrap w:val="0"/>
            <w:vAlign w:val="top"/>
          </w:tcPr>
          <w:p w14:paraId="02241837">
            <w:pPr>
              <w:widowControl w:val="0"/>
              <w:spacing w:line="360" w:lineRule="auto"/>
              <w:jc w:val="both"/>
              <w:rPr>
                <w:rFonts w:hint="eastAsia" w:ascii="仿宋" w:hAnsi="仿宋" w:eastAsia="仿宋" w:cs="仿宋"/>
              </w:rPr>
            </w:pPr>
            <w:r>
              <w:rPr>
                <w:rFonts w:hint="eastAsia" w:ascii="仿宋" w:hAnsi="仿宋" w:eastAsia="仿宋" w:cs="仿宋"/>
              </w:rPr>
              <w:t>　</w:t>
            </w:r>
          </w:p>
        </w:tc>
        <w:tc>
          <w:tcPr>
            <w:tcW w:w="2716" w:type="dxa"/>
            <w:noWrap w:val="0"/>
            <w:vAlign w:val="top"/>
          </w:tcPr>
          <w:p w14:paraId="0163E0CD">
            <w:pPr>
              <w:widowControl w:val="0"/>
              <w:spacing w:line="360" w:lineRule="auto"/>
              <w:jc w:val="both"/>
              <w:rPr>
                <w:rFonts w:hint="eastAsia" w:ascii="仿宋" w:hAnsi="仿宋" w:eastAsia="仿宋" w:cs="仿宋"/>
              </w:rPr>
            </w:pPr>
            <w:r>
              <w:rPr>
                <w:rFonts w:hint="eastAsia" w:ascii="仿宋" w:hAnsi="仿宋" w:eastAsia="仿宋" w:cs="仿宋"/>
              </w:rPr>
              <w:t>　</w:t>
            </w:r>
          </w:p>
        </w:tc>
        <w:tc>
          <w:tcPr>
            <w:tcW w:w="3150" w:type="dxa"/>
            <w:noWrap w:val="0"/>
            <w:vAlign w:val="top"/>
          </w:tcPr>
          <w:p w14:paraId="6886B266">
            <w:pPr>
              <w:widowControl w:val="0"/>
              <w:spacing w:line="360" w:lineRule="auto"/>
              <w:jc w:val="both"/>
              <w:rPr>
                <w:rFonts w:hint="eastAsia" w:ascii="仿宋" w:hAnsi="仿宋" w:eastAsia="仿宋" w:cs="仿宋"/>
              </w:rPr>
            </w:pPr>
            <w:r>
              <w:rPr>
                <w:rFonts w:hint="eastAsia" w:ascii="仿宋" w:hAnsi="仿宋" w:eastAsia="仿宋" w:cs="仿宋"/>
              </w:rPr>
              <w:t>　</w:t>
            </w:r>
          </w:p>
        </w:tc>
      </w:tr>
      <w:tr w14:paraId="3330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66B8BECB">
            <w:pPr>
              <w:pStyle w:val="27"/>
              <w:widowControl w:val="0"/>
              <w:spacing w:line="360" w:lineRule="auto"/>
              <w:jc w:val="both"/>
              <w:rPr>
                <w:rFonts w:hint="eastAsia" w:ascii="仿宋" w:hAnsi="仿宋" w:eastAsia="仿宋" w:cs="仿宋"/>
              </w:rPr>
            </w:pPr>
          </w:p>
        </w:tc>
        <w:tc>
          <w:tcPr>
            <w:tcW w:w="1175" w:type="dxa"/>
            <w:noWrap w:val="0"/>
            <w:vAlign w:val="top"/>
          </w:tcPr>
          <w:p w14:paraId="0FC88842">
            <w:pPr>
              <w:widowControl w:val="0"/>
              <w:spacing w:line="360" w:lineRule="auto"/>
              <w:jc w:val="both"/>
              <w:rPr>
                <w:rFonts w:hint="eastAsia" w:ascii="仿宋" w:hAnsi="仿宋" w:eastAsia="仿宋" w:cs="仿宋"/>
              </w:rPr>
            </w:pPr>
            <w:r>
              <w:rPr>
                <w:rFonts w:hint="eastAsia" w:ascii="仿宋" w:hAnsi="仿宋" w:eastAsia="仿宋" w:cs="仿宋"/>
              </w:rPr>
              <w:t>　</w:t>
            </w:r>
          </w:p>
        </w:tc>
        <w:tc>
          <w:tcPr>
            <w:tcW w:w="2716" w:type="dxa"/>
            <w:noWrap w:val="0"/>
            <w:vAlign w:val="top"/>
          </w:tcPr>
          <w:p w14:paraId="0086F969">
            <w:pPr>
              <w:widowControl w:val="0"/>
              <w:spacing w:line="360" w:lineRule="auto"/>
              <w:jc w:val="both"/>
              <w:rPr>
                <w:rFonts w:hint="eastAsia" w:ascii="仿宋" w:hAnsi="仿宋" w:eastAsia="仿宋" w:cs="仿宋"/>
              </w:rPr>
            </w:pPr>
            <w:r>
              <w:rPr>
                <w:rFonts w:hint="eastAsia" w:ascii="仿宋" w:hAnsi="仿宋" w:eastAsia="仿宋" w:cs="仿宋"/>
              </w:rPr>
              <w:t>　</w:t>
            </w:r>
          </w:p>
        </w:tc>
        <w:tc>
          <w:tcPr>
            <w:tcW w:w="3150" w:type="dxa"/>
            <w:noWrap w:val="0"/>
            <w:vAlign w:val="top"/>
          </w:tcPr>
          <w:p w14:paraId="19747767">
            <w:pPr>
              <w:widowControl w:val="0"/>
              <w:spacing w:line="360" w:lineRule="auto"/>
              <w:jc w:val="both"/>
              <w:rPr>
                <w:rFonts w:hint="eastAsia" w:ascii="仿宋" w:hAnsi="仿宋" w:eastAsia="仿宋" w:cs="仿宋"/>
              </w:rPr>
            </w:pPr>
            <w:r>
              <w:rPr>
                <w:rFonts w:hint="eastAsia" w:ascii="仿宋" w:hAnsi="仿宋" w:eastAsia="仿宋" w:cs="仿宋"/>
              </w:rPr>
              <w:t>　</w:t>
            </w:r>
          </w:p>
        </w:tc>
      </w:tr>
      <w:tr w14:paraId="4BED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08BCBEB6">
            <w:pPr>
              <w:pStyle w:val="27"/>
              <w:widowControl w:val="0"/>
              <w:spacing w:line="360" w:lineRule="auto"/>
              <w:jc w:val="both"/>
              <w:rPr>
                <w:rFonts w:hint="eastAsia" w:ascii="仿宋" w:hAnsi="仿宋" w:eastAsia="仿宋" w:cs="仿宋"/>
              </w:rPr>
            </w:pPr>
          </w:p>
        </w:tc>
        <w:tc>
          <w:tcPr>
            <w:tcW w:w="1175" w:type="dxa"/>
            <w:noWrap w:val="0"/>
            <w:vAlign w:val="top"/>
          </w:tcPr>
          <w:p w14:paraId="767F9A03">
            <w:pPr>
              <w:widowControl w:val="0"/>
              <w:spacing w:line="360" w:lineRule="auto"/>
              <w:jc w:val="both"/>
              <w:rPr>
                <w:rFonts w:hint="eastAsia" w:ascii="仿宋" w:hAnsi="仿宋" w:eastAsia="仿宋" w:cs="仿宋"/>
              </w:rPr>
            </w:pPr>
            <w:r>
              <w:rPr>
                <w:rFonts w:hint="eastAsia" w:ascii="仿宋" w:hAnsi="仿宋" w:eastAsia="仿宋" w:cs="仿宋"/>
              </w:rPr>
              <w:t>　</w:t>
            </w:r>
          </w:p>
        </w:tc>
        <w:tc>
          <w:tcPr>
            <w:tcW w:w="2716" w:type="dxa"/>
            <w:noWrap w:val="0"/>
            <w:vAlign w:val="top"/>
          </w:tcPr>
          <w:p w14:paraId="08514570">
            <w:pPr>
              <w:widowControl w:val="0"/>
              <w:spacing w:line="360" w:lineRule="auto"/>
              <w:jc w:val="both"/>
              <w:rPr>
                <w:rFonts w:hint="eastAsia" w:ascii="仿宋" w:hAnsi="仿宋" w:eastAsia="仿宋" w:cs="仿宋"/>
              </w:rPr>
            </w:pPr>
            <w:r>
              <w:rPr>
                <w:rFonts w:hint="eastAsia" w:ascii="仿宋" w:hAnsi="仿宋" w:eastAsia="仿宋" w:cs="仿宋"/>
              </w:rPr>
              <w:t>　</w:t>
            </w:r>
          </w:p>
        </w:tc>
        <w:tc>
          <w:tcPr>
            <w:tcW w:w="3150" w:type="dxa"/>
            <w:noWrap w:val="0"/>
            <w:vAlign w:val="top"/>
          </w:tcPr>
          <w:p w14:paraId="5AD2DE61">
            <w:pPr>
              <w:widowControl w:val="0"/>
              <w:spacing w:line="360" w:lineRule="auto"/>
              <w:jc w:val="both"/>
              <w:rPr>
                <w:rFonts w:hint="eastAsia" w:ascii="仿宋" w:hAnsi="仿宋" w:eastAsia="仿宋" w:cs="仿宋"/>
              </w:rPr>
            </w:pPr>
            <w:r>
              <w:rPr>
                <w:rFonts w:hint="eastAsia" w:ascii="仿宋" w:hAnsi="仿宋" w:eastAsia="仿宋" w:cs="仿宋"/>
              </w:rPr>
              <w:t>　</w:t>
            </w:r>
          </w:p>
        </w:tc>
      </w:tr>
      <w:tr w14:paraId="45A2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693CBA5C">
            <w:pPr>
              <w:pStyle w:val="27"/>
              <w:widowControl w:val="0"/>
              <w:spacing w:line="360" w:lineRule="auto"/>
              <w:jc w:val="both"/>
              <w:rPr>
                <w:rFonts w:hint="eastAsia" w:ascii="仿宋" w:hAnsi="仿宋" w:eastAsia="仿宋" w:cs="仿宋"/>
              </w:rPr>
            </w:pPr>
          </w:p>
        </w:tc>
        <w:tc>
          <w:tcPr>
            <w:tcW w:w="1175" w:type="dxa"/>
            <w:noWrap w:val="0"/>
            <w:vAlign w:val="top"/>
          </w:tcPr>
          <w:p w14:paraId="3DD8B48D">
            <w:pPr>
              <w:widowControl w:val="0"/>
              <w:spacing w:line="360" w:lineRule="auto"/>
              <w:jc w:val="both"/>
              <w:rPr>
                <w:rFonts w:hint="eastAsia" w:ascii="仿宋" w:hAnsi="仿宋" w:eastAsia="仿宋" w:cs="仿宋"/>
              </w:rPr>
            </w:pPr>
            <w:r>
              <w:rPr>
                <w:rFonts w:hint="eastAsia" w:ascii="仿宋" w:hAnsi="仿宋" w:eastAsia="仿宋" w:cs="仿宋"/>
              </w:rPr>
              <w:t>　</w:t>
            </w:r>
          </w:p>
        </w:tc>
        <w:tc>
          <w:tcPr>
            <w:tcW w:w="2716" w:type="dxa"/>
            <w:noWrap w:val="0"/>
            <w:vAlign w:val="top"/>
          </w:tcPr>
          <w:p w14:paraId="6B9549A8">
            <w:pPr>
              <w:widowControl w:val="0"/>
              <w:spacing w:line="360" w:lineRule="auto"/>
              <w:jc w:val="both"/>
              <w:rPr>
                <w:rFonts w:hint="eastAsia" w:ascii="仿宋" w:hAnsi="仿宋" w:eastAsia="仿宋" w:cs="仿宋"/>
              </w:rPr>
            </w:pPr>
            <w:r>
              <w:rPr>
                <w:rFonts w:hint="eastAsia" w:ascii="仿宋" w:hAnsi="仿宋" w:eastAsia="仿宋" w:cs="仿宋"/>
              </w:rPr>
              <w:t>　</w:t>
            </w:r>
          </w:p>
        </w:tc>
        <w:tc>
          <w:tcPr>
            <w:tcW w:w="3150" w:type="dxa"/>
            <w:noWrap w:val="0"/>
            <w:vAlign w:val="top"/>
          </w:tcPr>
          <w:p w14:paraId="2182DCBF">
            <w:pPr>
              <w:widowControl w:val="0"/>
              <w:spacing w:line="360" w:lineRule="auto"/>
              <w:jc w:val="both"/>
              <w:rPr>
                <w:rFonts w:hint="eastAsia" w:ascii="仿宋" w:hAnsi="仿宋" w:eastAsia="仿宋" w:cs="仿宋"/>
              </w:rPr>
            </w:pPr>
            <w:r>
              <w:rPr>
                <w:rFonts w:hint="eastAsia" w:ascii="仿宋" w:hAnsi="仿宋" w:eastAsia="仿宋" w:cs="仿宋"/>
              </w:rPr>
              <w:t>　</w:t>
            </w:r>
          </w:p>
        </w:tc>
      </w:tr>
      <w:tr w14:paraId="6F8B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24BC3978">
            <w:pPr>
              <w:pStyle w:val="27"/>
              <w:widowControl w:val="0"/>
              <w:spacing w:line="360" w:lineRule="auto"/>
              <w:jc w:val="both"/>
              <w:rPr>
                <w:rFonts w:hint="eastAsia" w:ascii="仿宋" w:hAnsi="仿宋" w:eastAsia="仿宋" w:cs="仿宋"/>
              </w:rPr>
            </w:pPr>
          </w:p>
        </w:tc>
        <w:tc>
          <w:tcPr>
            <w:tcW w:w="1175" w:type="dxa"/>
            <w:noWrap w:val="0"/>
            <w:vAlign w:val="top"/>
          </w:tcPr>
          <w:p w14:paraId="4C0774E2">
            <w:pPr>
              <w:widowControl w:val="0"/>
              <w:spacing w:line="360" w:lineRule="auto"/>
              <w:jc w:val="both"/>
              <w:rPr>
                <w:rFonts w:hint="eastAsia" w:ascii="仿宋" w:hAnsi="仿宋" w:eastAsia="仿宋" w:cs="仿宋"/>
              </w:rPr>
            </w:pPr>
            <w:r>
              <w:rPr>
                <w:rFonts w:hint="eastAsia" w:ascii="仿宋" w:hAnsi="仿宋" w:eastAsia="仿宋" w:cs="仿宋"/>
              </w:rPr>
              <w:t>　</w:t>
            </w:r>
          </w:p>
        </w:tc>
        <w:tc>
          <w:tcPr>
            <w:tcW w:w="2716" w:type="dxa"/>
            <w:noWrap w:val="0"/>
            <w:vAlign w:val="top"/>
          </w:tcPr>
          <w:p w14:paraId="1478F07B">
            <w:pPr>
              <w:widowControl w:val="0"/>
              <w:spacing w:line="360" w:lineRule="auto"/>
              <w:jc w:val="both"/>
              <w:rPr>
                <w:rFonts w:hint="eastAsia" w:ascii="仿宋" w:hAnsi="仿宋" w:eastAsia="仿宋" w:cs="仿宋"/>
              </w:rPr>
            </w:pPr>
            <w:r>
              <w:rPr>
                <w:rFonts w:hint="eastAsia" w:ascii="仿宋" w:hAnsi="仿宋" w:eastAsia="仿宋" w:cs="仿宋"/>
              </w:rPr>
              <w:t>　</w:t>
            </w:r>
          </w:p>
        </w:tc>
        <w:tc>
          <w:tcPr>
            <w:tcW w:w="3150" w:type="dxa"/>
            <w:noWrap w:val="0"/>
            <w:vAlign w:val="top"/>
          </w:tcPr>
          <w:p w14:paraId="77D4C2E2">
            <w:pPr>
              <w:widowControl w:val="0"/>
              <w:spacing w:line="360" w:lineRule="auto"/>
              <w:jc w:val="both"/>
              <w:rPr>
                <w:rFonts w:hint="eastAsia" w:ascii="仿宋" w:hAnsi="仿宋" w:eastAsia="仿宋" w:cs="仿宋"/>
              </w:rPr>
            </w:pPr>
            <w:r>
              <w:rPr>
                <w:rFonts w:hint="eastAsia" w:ascii="仿宋" w:hAnsi="仿宋" w:eastAsia="仿宋" w:cs="仿宋"/>
              </w:rPr>
              <w:t>　</w:t>
            </w:r>
          </w:p>
        </w:tc>
      </w:tr>
      <w:tr w14:paraId="1994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1BA704EB">
            <w:pPr>
              <w:pStyle w:val="27"/>
              <w:widowControl w:val="0"/>
              <w:spacing w:line="360" w:lineRule="auto"/>
              <w:jc w:val="both"/>
              <w:rPr>
                <w:rFonts w:hint="eastAsia" w:ascii="仿宋" w:hAnsi="仿宋" w:eastAsia="仿宋" w:cs="仿宋"/>
              </w:rPr>
            </w:pPr>
          </w:p>
        </w:tc>
        <w:tc>
          <w:tcPr>
            <w:tcW w:w="1175" w:type="dxa"/>
            <w:noWrap w:val="0"/>
            <w:vAlign w:val="top"/>
          </w:tcPr>
          <w:p w14:paraId="44AEE749">
            <w:pPr>
              <w:widowControl w:val="0"/>
              <w:spacing w:line="360" w:lineRule="auto"/>
              <w:jc w:val="both"/>
              <w:rPr>
                <w:rFonts w:hint="eastAsia" w:ascii="仿宋" w:hAnsi="仿宋" w:eastAsia="仿宋" w:cs="仿宋"/>
              </w:rPr>
            </w:pPr>
            <w:r>
              <w:rPr>
                <w:rFonts w:hint="eastAsia" w:ascii="仿宋" w:hAnsi="仿宋" w:eastAsia="仿宋" w:cs="仿宋"/>
              </w:rPr>
              <w:t>　</w:t>
            </w:r>
          </w:p>
        </w:tc>
        <w:tc>
          <w:tcPr>
            <w:tcW w:w="2716" w:type="dxa"/>
            <w:noWrap w:val="0"/>
            <w:vAlign w:val="top"/>
          </w:tcPr>
          <w:p w14:paraId="2CA0BAB1">
            <w:pPr>
              <w:widowControl w:val="0"/>
              <w:spacing w:line="360" w:lineRule="auto"/>
              <w:jc w:val="both"/>
              <w:rPr>
                <w:rFonts w:hint="eastAsia" w:ascii="仿宋" w:hAnsi="仿宋" w:eastAsia="仿宋" w:cs="仿宋"/>
              </w:rPr>
            </w:pPr>
            <w:r>
              <w:rPr>
                <w:rFonts w:hint="eastAsia" w:ascii="仿宋" w:hAnsi="仿宋" w:eastAsia="仿宋" w:cs="仿宋"/>
              </w:rPr>
              <w:t>　</w:t>
            </w:r>
          </w:p>
        </w:tc>
        <w:tc>
          <w:tcPr>
            <w:tcW w:w="3150" w:type="dxa"/>
            <w:noWrap w:val="0"/>
            <w:vAlign w:val="top"/>
          </w:tcPr>
          <w:p w14:paraId="53203E8E">
            <w:pPr>
              <w:widowControl w:val="0"/>
              <w:spacing w:line="360" w:lineRule="auto"/>
              <w:jc w:val="both"/>
              <w:rPr>
                <w:rFonts w:hint="eastAsia" w:ascii="仿宋" w:hAnsi="仿宋" w:eastAsia="仿宋" w:cs="仿宋"/>
              </w:rPr>
            </w:pPr>
            <w:r>
              <w:rPr>
                <w:rFonts w:hint="eastAsia" w:ascii="仿宋" w:hAnsi="仿宋" w:eastAsia="仿宋" w:cs="仿宋"/>
              </w:rPr>
              <w:t>　</w:t>
            </w:r>
          </w:p>
        </w:tc>
      </w:tr>
      <w:tr w14:paraId="3AF4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7B4785FF">
            <w:pPr>
              <w:widowControl w:val="0"/>
              <w:spacing w:line="360" w:lineRule="auto"/>
              <w:jc w:val="both"/>
              <w:rPr>
                <w:rFonts w:hint="eastAsia" w:ascii="仿宋" w:hAnsi="仿宋" w:eastAsia="仿宋" w:cs="仿宋"/>
              </w:rPr>
            </w:pPr>
          </w:p>
        </w:tc>
        <w:tc>
          <w:tcPr>
            <w:tcW w:w="1175" w:type="dxa"/>
            <w:noWrap w:val="0"/>
            <w:vAlign w:val="top"/>
          </w:tcPr>
          <w:p w14:paraId="33A06912">
            <w:pPr>
              <w:widowControl w:val="0"/>
              <w:spacing w:line="360" w:lineRule="auto"/>
              <w:jc w:val="both"/>
              <w:rPr>
                <w:rFonts w:hint="eastAsia" w:ascii="仿宋" w:hAnsi="仿宋" w:eastAsia="仿宋" w:cs="仿宋"/>
              </w:rPr>
            </w:pPr>
            <w:r>
              <w:rPr>
                <w:rFonts w:hint="eastAsia" w:ascii="仿宋" w:hAnsi="仿宋" w:eastAsia="仿宋" w:cs="仿宋"/>
              </w:rPr>
              <w:t>　</w:t>
            </w:r>
          </w:p>
        </w:tc>
        <w:tc>
          <w:tcPr>
            <w:tcW w:w="2716" w:type="dxa"/>
            <w:noWrap w:val="0"/>
            <w:vAlign w:val="top"/>
          </w:tcPr>
          <w:p w14:paraId="59227474">
            <w:pPr>
              <w:widowControl w:val="0"/>
              <w:spacing w:line="360" w:lineRule="auto"/>
              <w:jc w:val="both"/>
              <w:rPr>
                <w:rFonts w:hint="eastAsia" w:ascii="仿宋" w:hAnsi="仿宋" w:eastAsia="仿宋" w:cs="仿宋"/>
              </w:rPr>
            </w:pPr>
            <w:r>
              <w:rPr>
                <w:rFonts w:hint="eastAsia" w:ascii="仿宋" w:hAnsi="仿宋" w:eastAsia="仿宋" w:cs="仿宋"/>
              </w:rPr>
              <w:t>　</w:t>
            </w:r>
          </w:p>
        </w:tc>
        <w:tc>
          <w:tcPr>
            <w:tcW w:w="3150" w:type="dxa"/>
            <w:noWrap w:val="0"/>
            <w:vAlign w:val="top"/>
          </w:tcPr>
          <w:p w14:paraId="0E724CB1">
            <w:pPr>
              <w:widowControl w:val="0"/>
              <w:spacing w:line="360" w:lineRule="auto"/>
              <w:jc w:val="both"/>
              <w:rPr>
                <w:rFonts w:hint="eastAsia" w:ascii="仿宋" w:hAnsi="仿宋" w:eastAsia="仿宋" w:cs="仿宋"/>
              </w:rPr>
            </w:pPr>
            <w:r>
              <w:rPr>
                <w:rFonts w:hint="eastAsia" w:ascii="仿宋" w:hAnsi="仿宋" w:eastAsia="仿宋" w:cs="仿宋"/>
              </w:rPr>
              <w:t>　</w:t>
            </w:r>
          </w:p>
        </w:tc>
      </w:tr>
      <w:tr w14:paraId="72E1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1B224DB5">
            <w:pPr>
              <w:widowControl w:val="0"/>
              <w:spacing w:line="360" w:lineRule="auto"/>
              <w:jc w:val="both"/>
              <w:rPr>
                <w:rFonts w:hint="eastAsia" w:ascii="仿宋" w:hAnsi="仿宋" w:eastAsia="仿宋" w:cs="仿宋"/>
              </w:rPr>
            </w:pPr>
          </w:p>
        </w:tc>
        <w:tc>
          <w:tcPr>
            <w:tcW w:w="1175" w:type="dxa"/>
            <w:noWrap w:val="0"/>
            <w:vAlign w:val="top"/>
          </w:tcPr>
          <w:p w14:paraId="63F863D2">
            <w:pPr>
              <w:widowControl w:val="0"/>
              <w:spacing w:line="360" w:lineRule="auto"/>
              <w:jc w:val="both"/>
              <w:rPr>
                <w:rFonts w:hint="eastAsia" w:ascii="仿宋" w:hAnsi="仿宋" w:eastAsia="仿宋" w:cs="仿宋"/>
              </w:rPr>
            </w:pPr>
          </w:p>
        </w:tc>
        <w:tc>
          <w:tcPr>
            <w:tcW w:w="2716" w:type="dxa"/>
            <w:noWrap w:val="0"/>
            <w:vAlign w:val="top"/>
          </w:tcPr>
          <w:p w14:paraId="3700A7DE">
            <w:pPr>
              <w:widowControl w:val="0"/>
              <w:spacing w:line="360" w:lineRule="auto"/>
              <w:jc w:val="both"/>
              <w:rPr>
                <w:rFonts w:hint="eastAsia" w:ascii="仿宋" w:hAnsi="仿宋" w:eastAsia="仿宋" w:cs="仿宋"/>
              </w:rPr>
            </w:pPr>
          </w:p>
        </w:tc>
        <w:tc>
          <w:tcPr>
            <w:tcW w:w="3150" w:type="dxa"/>
            <w:noWrap w:val="0"/>
            <w:vAlign w:val="top"/>
          </w:tcPr>
          <w:p w14:paraId="67195C99">
            <w:pPr>
              <w:widowControl w:val="0"/>
              <w:spacing w:line="360" w:lineRule="auto"/>
              <w:jc w:val="both"/>
              <w:rPr>
                <w:rFonts w:hint="eastAsia" w:ascii="仿宋" w:hAnsi="仿宋" w:eastAsia="仿宋" w:cs="仿宋"/>
              </w:rPr>
            </w:pPr>
          </w:p>
        </w:tc>
      </w:tr>
      <w:tr w14:paraId="3F1B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1C183B61">
            <w:pPr>
              <w:widowControl w:val="0"/>
              <w:spacing w:line="360" w:lineRule="auto"/>
              <w:jc w:val="both"/>
              <w:rPr>
                <w:rFonts w:hint="eastAsia" w:ascii="仿宋" w:hAnsi="仿宋" w:eastAsia="仿宋" w:cs="仿宋"/>
              </w:rPr>
            </w:pPr>
          </w:p>
        </w:tc>
        <w:tc>
          <w:tcPr>
            <w:tcW w:w="1175" w:type="dxa"/>
            <w:noWrap w:val="0"/>
            <w:vAlign w:val="top"/>
          </w:tcPr>
          <w:p w14:paraId="45CA22B5">
            <w:pPr>
              <w:widowControl w:val="0"/>
              <w:spacing w:line="360" w:lineRule="auto"/>
              <w:jc w:val="both"/>
              <w:rPr>
                <w:rFonts w:hint="eastAsia" w:ascii="仿宋" w:hAnsi="仿宋" w:eastAsia="仿宋" w:cs="仿宋"/>
              </w:rPr>
            </w:pPr>
          </w:p>
        </w:tc>
        <w:tc>
          <w:tcPr>
            <w:tcW w:w="2716" w:type="dxa"/>
            <w:noWrap w:val="0"/>
            <w:vAlign w:val="top"/>
          </w:tcPr>
          <w:p w14:paraId="3E77B483">
            <w:pPr>
              <w:widowControl w:val="0"/>
              <w:spacing w:line="360" w:lineRule="auto"/>
              <w:jc w:val="both"/>
              <w:rPr>
                <w:rFonts w:hint="eastAsia" w:ascii="仿宋" w:hAnsi="仿宋" w:eastAsia="仿宋" w:cs="仿宋"/>
              </w:rPr>
            </w:pPr>
          </w:p>
        </w:tc>
        <w:tc>
          <w:tcPr>
            <w:tcW w:w="3150" w:type="dxa"/>
            <w:noWrap w:val="0"/>
            <w:vAlign w:val="top"/>
          </w:tcPr>
          <w:p w14:paraId="3C1EF03B">
            <w:pPr>
              <w:widowControl w:val="0"/>
              <w:spacing w:line="360" w:lineRule="auto"/>
              <w:jc w:val="both"/>
              <w:rPr>
                <w:rFonts w:hint="eastAsia" w:ascii="仿宋" w:hAnsi="仿宋" w:eastAsia="仿宋" w:cs="仿宋"/>
              </w:rPr>
            </w:pPr>
          </w:p>
        </w:tc>
      </w:tr>
      <w:tr w14:paraId="39D2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127B8FDD">
            <w:pPr>
              <w:widowControl w:val="0"/>
              <w:spacing w:line="360" w:lineRule="auto"/>
              <w:jc w:val="both"/>
              <w:rPr>
                <w:rFonts w:hint="eastAsia" w:ascii="仿宋" w:hAnsi="仿宋" w:eastAsia="仿宋" w:cs="仿宋"/>
              </w:rPr>
            </w:pPr>
          </w:p>
        </w:tc>
        <w:tc>
          <w:tcPr>
            <w:tcW w:w="1175" w:type="dxa"/>
            <w:noWrap w:val="0"/>
            <w:vAlign w:val="top"/>
          </w:tcPr>
          <w:p w14:paraId="37DF0E7B">
            <w:pPr>
              <w:widowControl w:val="0"/>
              <w:spacing w:line="360" w:lineRule="auto"/>
              <w:jc w:val="both"/>
              <w:rPr>
                <w:rFonts w:hint="eastAsia" w:ascii="仿宋" w:hAnsi="仿宋" w:eastAsia="仿宋" w:cs="仿宋"/>
              </w:rPr>
            </w:pPr>
          </w:p>
        </w:tc>
        <w:tc>
          <w:tcPr>
            <w:tcW w:w="2716" w:type="dxa"/>
            <w:noWrap w:val="0"/>
            <w:vAlign w:val="top"/>
          </w:tcPr>
          <w:p w14:paraId="308F6FCC">
            <w:pPr>
              <w:widowControl w:val="0"/>
              <w:spacing w:line="360" w:lineRule="auto"/>
              <w:jc w:val="both"/>
              <w:rPr>
                <w:rFonts w:hint="eastAsia" w:ascii="仿宋" w:hAnsi="仿宋" w:eastAsia="仿宋" w:cs="仿宋"/>
              </w:rPr>
            </w:pPr>
          </w:p>
        </w:tc>
        <w:tc>
          <w:tcPr>
            <w:tcW w:w="3150" w:type="dxa"/>
            <w:noWrap w:val="0"/>
            <w:vAlign w:val="top"/>
          </w:tcPr>
          <w:p w14:paraId="050CEED7">
            <w:pPr>
              <w:widowControl w:val="0"/>
              <w:spacing w:line="360" w:lineRule="auto"/>
              <w:jc w:val="both"/>
              <w:rPr>
                <w:rFonts w:hint="eastAsia" w:ascii="仿宋" w:hAnsi="仿宋" w:eastAsia="仿宋" w:cs="仿宋"/>
              </w:rPr>
            </w:pPr>
          </w:p>
        </w:tc>
      </w:tr>
      <w:tr w14:paraId="4A53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58454DA2">
            <w:pPr>
              <w:widowControl w:val="0"/>
              <w:spacing w:line="360" w:lineRule="auto"/>
              <w:jc w:val="both"/>
              <w:rPr>
                <w:rFonts w:hint="eastAsia" w:ascii="仿宋" w:hAnsi="仿宋" w:eastAsia="仿宋" w:cs="仿宋"/>
              </w:rPr>
            </w:pPr>
          </w:p>
        </w:tc>
        <w:tc>
          <w:tcPr>
            <w:tcW w:w="1175" w:type="dxa"/>
            <w:noWrap w:val="0"/>
            <w:vAlign w:val="top"/>
          </w:tcPr>
          <w:p w14:paraId="23C6C2A4">
            <w:pPr>
              <w:widowControl w:val="0"/>
              <w:spacing w:line="360" w:lineRule="auto"/>
              <w:jc w:val="both"/>
              <w:rPr>
                <w:rFonts w:hint="eastAsia" w:ascii="仿宋" w:hAnsi="仿宋" w:eastAsia="仿宋" w:cs="仿宋"/>
              </w:rPr>
            </w:pPr>
          </w:p>
        </w:tc>
        <w:tc>
          <w:tcPr>
            <w:tcW w:w="2716" w:type="dxa"/>
            <w:noWrap w:val="0"/>
            <w:vAlign w:val="top"/>
          </w:tcPr>
          <w:p w14:paraId="22E3DF2A">
            <w:pPr>
              <w:widowControl w:val="0"/>
              <w:spacing w:line="360" w:lineRule="auto"/>
              <w:jc w:val="both"/>
              <w:rPr>
                <w:rFonts w:hint="eastAsia" w:ascii="仿宋" w:hAnsi="仿宋" w:eastAsia="仿宋" w:cs="仿宋"/>
              </w:rPr>
            </w:pPr>
          </w:p>
        </w:tc>
        <w:tc>
          <w:tcPr>
            <w:tcW w:w="3150" w:type="dxa"/>
            <w:noWrap w:val="0"/>
            <w:vAlign w:val="top"/>
          </w:tcPr>
          <w:p w14:paraId="7E394B7F">
            <w:pPr>
              <w:widowControl w:val="0"/>
              <w:spacing w:line="360" w:lineRule="auto"/>
              <w:jc w:val="both"/>
              <w:rPr>
                <w:rFonts w:hint="eastAsia" w:ascii="仿宋" w:hAnsi="仿宋" w:eastAsia="仿宋" w:cs="仿宋"/>
              </w:rPr>
            </w:pPr>
          </w:p>
        </w:tc>
      </w:tr>
      <w:tr w14:paraId="6A98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8" w:type="dxa"/>
            <w:noWrap w:val="0"/>
            <w:vAlign w:val="top"/>
          </w:tcPr>
          <w:p w14:paraId="413C8B00">
            <w:pPr>
              <w:widowControl w:val="0"/>
              <w:spacing w:line="360" w:lineRule="auto"/>
              <w:jc w:val="both"/>
              <w:rPr>
                <w:rFonts w:hint="eastAsia" w:ascii="仿宋" w:hAnsi="仿宋" w:eastAsia="仿宋" w:cs="仿宋"/>
              </w:rPr>
            </w:pPr>
          </w:p>
        </w:tc>
        <w:tc>
          <w:tcPr>
            <w:tcW w:w="1175" w:type="dxa"/>
            <w:noWrap w:val="0"/>
            <w:vAlign w:val="top"/>
          </w:tcPr>
          <w:p w14:paraId="6CF34858">
            <w:pPr>
              <w:widowControl w:val="0"/>
              <w:spacing w:line="360" w:lineRule="auto"/>
              <w:jc w:val="both"/>
              <w:rPr>
                <w:rFonts w:hint="eastAsia" w:ascii="仿宋" w:hAnsi="仿宋" w:eastAsia="仿宋" w:cs="仿宋"/>
              </w:rPr>
            </w:pPr>
          </w:p>
        </w:tc>
        <w:tc>
          <w:tcPr>
            <w:tcW w:w="2716" w:type="dxa"/>
            <w:noWrap w:val="0"/>
            <w:vAlign w:val="top"/>
          </w:tcPr>
          <w:p w14:paraId="1122A551">
            <w:pPr>
              <w:widowControl w:val="0"/>
              <w:spacing w:line="360" w:lineRule="auto"/>
              <w:jc w:val="both"/>
              <w:rPr>
                <w:rFonts w:hint="eastAsia" w:ascii="仿宋" w:hAnsi="仿宋" w:eastAsia="仿宋" w:cs="仿宋"/>
              </w:rPr>
            </w:pPr>
          </w:p>
        </w:tc>
        <w:tc>
          <w:tcPr>
            <w:tcW w:w="3150" w:type="dxa"/>
            <w:noWrap w:val="0"/>
            <w:vAlign w:val="top"/>
          </w:tcPr>
          <w:p w14:paraId="4C05728A">
            <w:pPr>
              <w:widowControl w:val="0"/>
              <w:spacing w:line="360" w:lineRule="auto"/>
              <w:jc w:val="both"/>
              <w:rPr>
                <w:rFonts w:hint="eastAsia" w:ascii="仿宋" w:hAnsi="仿宋" w:eastAsia="仿宋" w:cs="仿宋"/>
              </w:rPr>
            </w:pPr>
          </w:p>
        </w:tc>
      </w:tr>
      <w:tr w14:paraId="7B23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1AC0239B">
            <w:pPr>
              <w:widowControl w:val="0"/>
              <w:spacing w:line="360" w:lineRule="auto"/>
              <w:jc w:val="both"/>
              <w:rPr>
                <w:rFonts w:hint="eastAsia" w:ascii="仿宋" w:hAnsi="仿宋" w:eastAsia="仿宋" w:cs="仿宋"/>
              </w:rPr>
            </w:pPr>
          </w:p>
        </w:tc>
        <w:tc>
          <w:tcPr>
            <w:tcW w:w="1175" w:type="dxa"/>
            <w:noWrap w:val="0"/>
            <w:vAlign w:val="top"/>
          </w:tcPr>
          <w:p w14:paraId="5AA5CE96">
            <w:pPr>
              <w:widowControl w:val="0"/>
              <w:spacing w:line="360" w:lineRule="auto"/>
              <w:jc w:val="both"/>
              <w:rPr>
                <w:rFonts w:hint="eastAsia" w:ascii="仿宋" w:hAnsi="仿宋" w:eastAsia="仿宋" w:cs="仿宋"/>
              </w:rPr>
            </w:pPr>
          </w:p>
        </w:tc>
        <w:tc>
          <w:tcPr>
            <w:tcW w:w="2716" w:type="dxa"/>
            <w:noWrap w:val="0"/>
            <w:vAlign w:val="top"/>
          </w:tcPr>
          <w:p w14:paraId="3DB56A28">
            <w:pPr>
              <w:widowControl w:val="0"/>
              <w:spacing w:line="360" w:lineRule="auto"/>
              <w:jc w:val="both"/>
              <w:rPr>
                <w:rFonts w:hint="eastAsia" w:ascii="仿宋" w:hAnsi="仿宋" w:eastAsia="仿宋" w:cs="仿宋"/>
              </w:rPr>
            </w:pPr>
          </w:p>
        </w:tc>
        <w:tc>
          <w:tcPr>
            <w:tcW w:w="3150" w:type="dxa"/>
            <w:noWrap w:val="0"/>
            <w:vAlign w:val="top"/>
          </w:tcPr>
          <w:p w14:paraId="158DCCEB">
            <w:pPr>
              <w:widowControl w:val="0"/>
              <w:spacing w:line="360" w:lineRule="auto"/>
              <w:jc w:val="both"/>
              <w:rPr>
                <w:rFonts w:hint="eastAsia" w:ascii="仿宋" w:hAnsi="仿宋" w:eastAsia="仿宋" w:cs="仿宋"/>
              </w:rPr>
            </w:pPr>
          </w:p>
        </w:tc>
      </w:tr>
      <w:tr w14:paraId="7F5C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09BC018F">
            <w:pPr>
              <w:widowControl w:val="0"/>
              <w:spacing w:line="360" w:lineRule="auto"/>
              <w:jc w:val="both"/>
              <w:rPr>
                <w:rFonts w:hint="eastAsia" w:ascii="仿宋" w:hAnsi="仿宋" w:eastAsia="仿宋" w:cs="仿宋"/>
              </w:rPr>
            </w:pPr>
          </w:p>
        </w:tc>
        <w:tc>
          <w:tcPr>
            <w:tcW w:w="1175" w:type="dxa"/>
            <w:noWrap w:val="0"/>
            <w:vAlign w:val="top"/>
          </w:tcPr>
          <w:p w14:paraId="2C6CFC97">
            <w:pPr>
              <w:widowControl w:val="0"/>
              <w:spacing w:line="360" w:lineRule="auto"/>
              <w:jc w:val="both"/>
              <w:rPr>
                <w:rFonts w:hint="eastAsia" w:ascii="仿宋" w:hAnsi="仿宋" w:eastAsia="仿宋" w:cs="仿宋"/>
              </w:rPr>
            </w:pPr>
          </w:p>
        </w:tc>
        <w:tc>
          <w:tcPr>
            <w:tcW w:w="2716" w:type="dxa"/>
            <w:noWrap w:val="0"/>
            <w:vAlign w:val="top"/>
          </w:tcPr>
          <w:p w14:paraId="1679A552">
            <w:pPr>
              <w:widowControl w:val="0"/>
              <w:spacing w:line="360" w:lineRule="auto"/>
              <w:jc w:val="both"/>
              <w:rPr>
                <w:rFonts w:hint="eastAsia" w:ascii="仿宋" w:hAnsi="仿宋" w:eastAsia="仿宋" w:cs="仿宋"/>
              </w:rPr>
            </w:pPr>
          </w:p>
        </w:tc>
        <w:tc>
          <w:tcPr>
            <w:tcW w:w="3150" w:type="dxa"/>
            <w:noWrap w:val="0"/>
            <w:vAlign w:val="top"/>
          </w:tcPr>
          <w:p w14:paraId="0363E010">
            <w:pPr>
              <w:widowControl w:val="0"/>
              <w:spacing w:line="360" w:lineRule="auto"/>
              <w:jc w:val="both"/>
              <w:rPr>
                <w:rFonts w:hint="eastAsia" w:ascii="仿宋" w:hAnsi="仿宋" w:eastAsia="仿宋" w:cs="仿宋"/>
              </w:rPr>
            </w:pPr>
          </w:p>
        </w:tc>
      </w:tr>
      <w:tr w14:paraId="3876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6D73FA3E">
            <w:pPr>
              <w:widowControl w:val="0"/>
              <w:spacing w:line="360" w:lineRule="auto"/>
              <w:jc w:val="both"/>
              <w:rPr>
                <w:rFonts w:hint="eastAsia" w:ascii="仿宋" w:hAnsi="仿宋" w:eastAsia="仿宋" w:cs="仿宋"/>
              </w:rPr>
            </w:pPr>
          </w:p>
        </w:tc>
        <w:tc>
          <w:tcPr>
            <w:tcW w:w="1175" w:type="dxa"/>
            <w:noWrap w:val="0"/>
            <w:vAlign w:val="top"/>
          </w:tcPr>
          <w:p w14:paraId="144F8928">
            <w:pPr>
              <w:widowControl w:val="0"/>
              <w:spacing w:line="360" w:lineRule="auto"/>
              <w:jc w:val="both"/>
              <w:rPr>
                <w:rFonts w:hint="eastAsia" w:ascii="仿宋" w:hAnsi="仿宋" w:eastAsia="仿宋" w:cs="仿宋"/>
              </w:rPr>
            </w:pPr>
          </w:p>
        </w:tc>
        <w:tc>
          <w:tcPr>
            <w:tcW w:w="2716" w:type="dxa"/>
            <w:noWrap w:val="0"/>
            <w:vAlign w:val="top"/>
          </w:tcPr>
          <w:p w14:paraId="6C49D14E">
            <w:pPr>
              <w:widowControl w:val="0"/>
              <w:spacing w:line="360" w:lineRule="auto"/>
              <w:jc w:val="both"/>
              <w:rPr>
                <w:rFonts w:hint="eastAsia" w:ascii="仿宋" w:hAnsi="仿宋" w:eastAsia="仿宋" w:cs="仿宋"/>
              </w:rPr>
            </w:pPr>
          </w:p>
        </w:tc>
        <w:tc>
          <w:tcPr>
            <w:tcW w:w="3150" w:type="dxa"/>
            <w:noWrap w:val="0"/>
            <w:vAlign w:val="top"/>
          </w:tcPr>
          <w:p w14:paraId="59EC16AE">
            <w:pPr>
              <w:widowControl w:val="0"/>
              <w:spacing w:line="360" w:lineRule="auto"/>
              <w:jc w:val="both"/>
              <w:rPr>
                <w:rFonts w:hint="eastAsia" w:ascii="仿宋" w:hAnsi="仿宋" w:eastAsia="仿宋" w:cs="仿宋"/>
              </w:rPr>
            </w:pPr>
          </w:p>
        </w:tc>
      </w:tr>
      <w:tr w14:paraId="4B58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2AF98DC7">
            <w:pPr>
              <w:widowControl w:val="0"/>
              <w:spacing w:line="360" w:lineRule="auto"/>
              <w:jc w:val="both"/>
              <w:rPr>
                <w:rFonts w:hint="eastAsia" w:ascii="仿宋" w:hAnsi="仿宋" w:eastAsia="仿宋" w:cs="仿宋"/>
              </w:rPr>
            </w:pPr>
          </w:p>
        </w:tc>
        <w:tc>
          <w:tcPr>
            <w:tcW w:w="1175" w:type="dxa"/>
            <w:noWrap w:val="0"/>
            <w:vAlign w:val="top"/>
          </w:tcPr>
          <w:p w14:paraId="1EFFFABC">
            <w:pPr>
              <w:widowControl w:val="0"/>
              <w:spacing w:line="360" w:lineRule="auto"/>
              <w:jc w:val="both"/>
              <w:rPr>
                <w:rFonts w:hint="eastAsia" w:ascii="仿宋" w:hAnsi="仿宋" w:eastAsia="仿宋" w:cs="仿宋"/>
              </w:rPr>
            </w:pPr>
          </w:p>
        </w:tc>
        <w:tc>
          <w:tcPr>
            <w:tcW w:w="2716" w:type="dxa"/>
            <w:noWrap w:val="0"/>
            <w:vAlign w:val="top"/>
          </w:tcPr>
          <w:p w14:paraId="50488B01">
            <w:pPr>
              <w:widowControl w:val="0"/>
              <w:spacing w:line="360" w:lineRule="auto"/>
              <w:jc w:val="both"/>
              <w:rPr>
                <w:rFonts w:hint="eastAsia" w:ascii="仿宋" w:hAnsi="仿宋" w:eastAsia="仿宋" w:cs="仿宋"/>
              </w:rPr>
            </w:pPr>
          </w:p>
        </w:tc>
        <w:tc>
          <w:tcPr>
            <w:tcW w:w="3150" w:type="dxa"/>
            <w:noWrap w:val="0"/>
            <w:vAlign w:val="top"/>
          </w:tcPr>
          <w:p w14:paraId="6AA596C5">
            <w:pPr>
              <w:widowControl w:val="0"/>
              <w:spacing w:line="360" w:lineRule="auto"/>
              <w:jc w:val="both"/>
              <w:rPr>
                <w:rFonts w:hint="eastAsia" w:ascii="仿宋" w:hAnsi="仿宋" w:eastAsia="仿宋" w:cs="仿宋"/>
              </w:rPr>
            </w:pPr>
          </w:p>
        </w:tc>
      </w:tr>
      <w:tr w14:paraId="54BD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23F71212">
            <w:pPr>
              <w:widowControl w:val="0"/>
              <w:spacing w:line="360" w:lineRule="auto"/>
              <w:jc w:val="both"/>
              <w:rPr>
                <w:rFonts w:hint="eastAsia" w:ascii="仿宋" w:hAnsi="仿宋" w:eastAsia="仿宋" w:cs="仿宋"/>
              </w:rPr>
            </w:pPr>
          </w:p>
        </w:tc>
        <w:tc>
          <w:tcPr>
            <w:tcW w:w="1175" w:type="dxa"/>
            <w:noWrap w:val="0"/>
            <w:vAlign w:val="top"/>
          </w:tcPr>
          <w:p w14:paraId="4D4736E7">
            <w:pPr>
              <w:widowControl w:val="0"/>
              <w:spacing w:line="360" w:lineRule="auto"/>
              <w:jc w:val="both"/>
              <w:rPr>
                <w:rFonts w:hint="eastAsia" w:ascii="仿宋" w:hAnsi="仿宋" w:eastAsia="仿宋" w:cs="仿宋"/>
              </w:rPr>
            </w:pPr>
          </w:p>
        </w:tc>
        <w:tc>
          <w:tcPr>
            <w:tcW w:w="2716" w:type="dxa"/>
            <w:noWrap w:val="0"/>
            <w:vAlign w:val="top"/>
          </w:tcPr>
          <w:p w14:paraId="0108A06D">
            <w:pPr>
              <w:widowControl w:val="0"/>
              <w:spacing w:line="360" w:lineRule="auto"/>
              <w:jc w:val="both"/>
              <w:rPr>
                <w:rFonts w:hint="eastAsia" w:ascii="仿宋" w:hAnsi="仿宋" w:eastAsia="仿宋" w:cs="仿宋"/>
              </w:rPr>
            </w:pPr>
          </w:p>
        </w:tc>
        <w:tc>
          <w:tcPr>
            <w:tcW w:w="3150" w:type="dxa"/>
            <w:noWrap w:val="0"/>
            <w:vAlign w:val="top"/>
          </w:tcPr>
          <w:p w14:paraId="107A5865">
            <w:pPr>
              <w:widowControl w:val="0"/>
              <w:spacing w:line="360" w:lineRule="auto"/>
              <w:jc w:val="both"/>
              <w:rPr>
                <w:rFonts w:hint="eastAsia" w:ascii="仿宋" w:hAnsi="仿宋" w:eastAsia="仿宋" w:cs="仿宋"/>
              </w:rPr>
            </w:pPr>
          </w:p>
        </w:tc>
      </w:tr>
      <w:tr w14:paraId="123C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2E619737">
            <w:pPr>
              <w:widowControl w:val="0"/>
              <w:spacing w:line="360" w:lineRule="auto"/>
              <w:jc w:val="both"/>
              <w:rPr>
                <w:rFonts w:hint="eastAsia" w:ascii="仿宋" w:hAnsi="仿宋" w:eastAsia="仿宋" w:cs="仿宋"/>
              </w:rPr>
            </w:pPr>
          </w:p>
        </w:tc>
        <w:tc>
          <w:tcPr>
            <w:tcW w:w="1175" w:type="dxa"/>
            <w:noWrap w:val="0"/>
            <w:vAlign w:val="top"/>
          </w:tcPr>
          <w:p w14:paraId="22998BF7">
            <w:pPr>
              <w:widowControl w:val="0"/>
              <w:spacing w:line="360" w:lineRule="auto"/>
              <w:jc w:val="both"/>
              <w:rPr>
                <w:rFonts w:hint="eastAsia" w:ascii="仿宋" w:hAnsi="仿宋" w:eastAsia="仿宋" w:cs="仿宋"/>
              </w:rPr>
            </w:pPr>
          </w:p>
        </w:tc>
        <w:tc>
          <w:tcPr>
            <w:tcW w:w="2716" w:type="dxa"/>
            <w:noWrap w:val="0"/>
            <w:vAlign w:val="top"/>
          </w:tcPr>
          <w:p w14:paraId="3ADE2B4B">
            <w:pPr>
              <w:widowControl w:val="0"/>
              <w:spacing w:line="360" w:lineRule="auto"/>
              <w:jc w:val="both"/>
              <w:rPr>
                <w:rFonts w:hint="eastAsia" w:ascii="仿宋" w:hAnsi="仿宋" w:eastAsia="仿宋" w:cs="仿宋"/>
              </w:rPr>
            </w:pPr>
          </w:p>
        </w:tc>
        <w:tc>
          <w:tcPr>
            <w:tcW w:w="3150" w:type="dxa"/>
            <w:noWrap w:val="0"/>
            <w:vAlign w:val="top"/>
          </w:tcPr>
          <w:p w14:paraId="0E0A9A33">
            <w:pPr>
              <w:widowControl w:val="0"/>
              <w:spacing w:line="360" w:lineRule="auto"/>
              <w:jc w:val="both"/>
              <w:rPr>
                <w:rFonts w:hint="eastAsia" w:ascii="仿宋" w:hAnsi="仿宋" w:eastAsia="仿宋" w:cs="仿宋"/>
              </w:rPr>
            </w:pPr>
          </w:p>
        </w:tc>
      </w:tr>
    </w:tbl>
    <w:p w14:paraId="2272174E">
      <w:pPr>
        <w:spacing w:line="360" w:lineRule="auto"/>
        <w:jc w:val="both"/>
        <w:rPr>
          <w:rFonts w:hint="eastAsia" w:ascii="仿宋" w:hAnsi="仿宋" w:eastAsia="仿宋" w:cs="仿宋"/>
        </w:rPr>
      </w:pPr>
      <w:r>
        <w:rPr>
          <w:rFonts w:hint="eastAsia" w:ascii="仿宋" w:hAnsi="仿宋" w:eastAsia="仿宋" w:cs="仿宋"/>
        </w:rPr>
        <w:t>　　　　　　　　</w:t>
      </w:r>
    </w:p>
    <w:p w14:paraId="0655B14C">
      <w:pPr>
        <w:rPr>
          <w:rFonts w:hint="eastAsia" w:ascii="仿宋" w:hAnsi="仿宋" w:eastAsia="仿宋" w:cs="仿宋"/>
        </w:rPr>
      </w:pPr>
    </w:p>
    <w:p w14:paraId="32A75CE7">
      <w:pPr>
        <w:pStyle w:val="2"/>
        <w:numPr>
          <w:ilvl w:val="0"/>
          <w:numId w:val="5"/>
        </w:numPr>
        <w:bidi w:val="0"/>
        <w:jc w:val="center"/>
        <w:rPr>
          <w:rFonts w:hint="eastAsia" w:ascii="仿宋" w:hAnsi="仿宋" w:eastAsia="仿宋" w:cs="仿宋"/>
          <w:sz w:val="32"/>
          <w:szCs w:val="32"/>
          <w:highlight w:val="none"/>
          <w:lang w:val="en-US" w:eastAsia="zh-CN"/>
        </w:rPr>
      </w:pPr>
      <w:bookmarkStart w:id="239" w:name="_Toc12164"/>
      <w:r>
        <w:rPr>
          <w:rFonts w:hint="eastAsia" w:ascii="仿宋" w:hAnsi="仿宋" w:eastAsia="仿宋" w:cs="仿宋"/>
          <w:sz w:val="32"/>
          <w:szCs w:val="32"/>
          <w:highlight w:val="none"/>
          <w:lang w:val="en-US" w:eastAsia="zh-CN"/>
        </w:rPr>
        <w:t>采购需求</w:t>
      </w:r>
      <w:bookmarkEnd w:id="239"/>
    </w:p>
    <w:p w14:paraId="587DB8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highlight w:val="none"/>
          <w:lang w:val="en-US" w:eastAsia="zh-CN"/>
        </w:rPr>
      </w:pPr>
      <w:bookmarkStart w:id="240" w:name="_Toc7335"/>
      <w:r>
        <w:rPr>
          <w:rFonts w:hint="eastAsia" w:ascii="仿宋" w:hAnsi="仿宋" w:eastAsia="仿宋" w:cs="仿宋"/>
          <w:b/>
          <w:bCs/>
          <w:highlight w:val="none"/>
          <w:lang w:val="en-US" w:eastAsia="zh-CN"/>
        </w:rPr>
        <w:t>一、项目概况</w:t>
      </w:r>
    </w:p>
    <w:p w14:paraId="24CFFCB0">
      <w:pPr>
        <w:pStyle w:val="14"/>
        <w:spacing w:line="360" w:lineRule="auto"/>
        <w:ind w:firstLine="480" w:firstLineChars="200"/>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本项目建设总投资19997.18万元。</w:t>
      </w:r>
    </w:p>
    <w:p w14:paraId="4693A255">
      <w:pPr>
        <w:pStyle w:val="14"/>
        <w:spacing w:line="360" w:lineRule="auto"/>
        <w:ind w:firstLine="480" w:firstLineChars="200"/>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本项目主要建设内容包括:楼道粉刷、楼道配电系统改造(含电表箱、线路规整、感应灯安装)、楼梯扶手修复、楼栋单元门更换及楼宇对讲系统安装、屋面防水、外墙保温及粉刷、楼梯间窗户更换、加装电梯、室内燃气接头一拖二(为了消除居民私接软管三通出现的用气隐患)、户内水表及管线更换、室内供热管线改造(不含暖气包)、加装休闲设施、水电暖气管线的改造及迁改、绿地建设、道路硬化、安装庭院灯等。</w:t>
      </w:r>
    </w:p>
    <w:p w14:paraId="51370406">
      <w:pPr>
        <w:pStyle w:val="14"/>
        <w:spacing w:line="360" w:lineRule="auto"/>
        <w:ind w:firstLine="480" w:firstLineChars="200"/>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其中，拟改造住户约13001户，涉及楼栋303栋;室内燃气接头一拖二14230个，分户水表14643块及户内给水管道约237890米，室内供热管线约403997米，加装电梯110部，防盗门(含门铃)更换792樘，楼道墙面粉刷33036平米，电表箱维修改造5098个及线路规整25490米,楼梯间声控灯安装5098盏</w:t>
      </w:r>
    </w:p>
    <w:p w14:paraId="727F143C">
      <w:pPr>
        <w:pStyle w:val="14"/>
        <w:spacing w:line="360" w:lineRule="auto"/>
        <w:ind w:firstLine="480" w:firstLineChars="200"/>
        <w:rPr>
          <w:rFonts w:hint="eastAsia" w:ascii="仿宋" w:hAnsi="仿宋" w:eastAsia="仿宋" w:cs="仿宋"/>
          <w:highlight w:val="none"/>
          <w:lang w:eastAsia="zh-CN"/>
        </w:rPr>
      </w:pPr>
      <w:r>
        <w:rPr>
          <w:rFonts w:hint="eastAsia" w:ascii="仿宋" w:hAnsi="仿宋" w:eastAsia="仿宋" w:cs="仿宋"/>
          <w:b w:val="0"/>
          <w:bCs w:val="0"/>
          <w:highlight w:val="none"/>
          <w:lang w:val="en-US" w:eastAsia="zh-CN"/>
        </w:rPr>
        <w:t>楼梯扶手修复及更换 25490 米，外墙保温 53644.4平米，外墙粉刷 49570.6平米,楼梯间窗户更换 6882 平米，屋面防改造 14176平米，及室外路面硬化、绿化、给排水及供热管线改造及迁改、安装庭院照明等</w:t>
      </w:r>
      <w:r>
        <w:rPr>
          <w:rFonts w:hint="eastAsia" w:ascii="仿宋" w:hAnsi="仿宋" w:eastAsia="仿宋" w:cs="仿宋"/>
          <w:sz w:val="24"/>
          <w:szCs w:val="24"/>
          <w:highlight w:val="none"/>
          <w:lang w:eastAsia="zh-CN"/>
        </w:rPr>
        <w:t>。</w:t>
      </w:r>
    </w:p>
    <w:p w14:paraId="65C782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二、工作内容、技术服务要求与成果提交</w:t>
      </w:r>
    </w:p>
    <w:p w14:paraId="75023F35">
      <w:pPr>
        <w:spacing w:line="360" w:lineRule="auto"/>
        <w:ind w:firstLine="241" w:firstLineChars="100"/>
        <w:rPr>
          <w:rFonts w:hint="default" w:ascii="仿宋" w:hAnsi="仿宋" w:eastAsia="仿宋" w:cs="仿宋"/>
          <w:b/>
          <w:bCs/>
          <w:kern w:val="2"/>
          <w:sz w:val="24"/>
          <w:szCs w:val="24"/>
          <w:highlight w:val="none"/>
          <w:lang w:val="en-US" w:eastAsia="zh-CN" w:bidi="zh-CN"/>
        </w:rPr>
      </w:pPr>
      <w:r>
        <w:rPr>
          <w:rFonts w:hint="eastAsia" w:ascii="仿宋" w:hAnsi="仿宋" w:eastAsia="仿宋" w:cs="仿宋"/>
          <w:b/>
          <w:bCs/>
          <w:kern w:val="2"/>
          <w:sz w:val="24"/>
          <w:szCs w:val="24"/>
          <w:highlight w:val="none"/>
          <w:lang w:val="en-US" w:eastAsia="zh-CN" w:bidi="zh-CN"/>
        </w:rPr>
        <w:t>本项目的主要工作内容为未作二审的施工标段二审结算及整个项目的竣工决算的编制</w:t>
      </w:r>
    </w:p>
    <w:p w14:paraId="19A1D23A">
      <w:pPr>
        <w:spacing w:line="360" w:lineRule="auto"/>
        <w:ind w:firstLine="241" w:firstLineChars="100"/>
        <w:rPr>
          <w:rFonts w:hint="default" w:ascii="仿宋" w:hAnsi="仿宋" w:eastAsia="仿宋" w:cs="仿宋"/>
          <w:b/>
          <w:bCs/>
          <w:kern w:val="2"/>
          <w:sz w:val="24"/>
          <w:szCs w:val="24"/>
          <w:highlight w:val="none"/>
          <w:lang w:val="en-US" w:eastAsia="zh-CN" w:bidi="zh-CN"/>
        </w:rPr>
      </w:pPr>
      <w:r>
        <w:rPr>
          <w:rFonts w:hint="eastAsia" w:ascii="仿宋" w:hAnsi="仿宋" w:eastAsia="仿宋" w:cs="仿宋"/>
          <w:b/>
          <w:bCs/>
          <w:kern w:val="2"/>
          <w:sz w:val="24"/>
          <w:szCs w:val="24"/>
          <w:highlight w:val="none"/>
          <w:lang w:val="en-US" w:eastAsia="zh-CN" w:bidi="zh-CN"/>
        </w:rPr>
        <w:t>一）二审结算工作内容</w:t>
      </w:r>
    </w:p>
    <w:p w14:paraId="1462C89F">
      <w:pPr>
        <w:spacing w:line="360" w:lineRule="auto"/>
        <w:ind w:firstLine="480" w:firstLineChars="200"/>
        <w:rPr>
          <w:rFonts w:hint="eastAsia" w:ascii="仿宋" w:hAnsi="仿宋" w:eastAsia="仿宋" w:cs="仿宋"/>
          <w:b w:val="0"/>
          <w:bCs w:val="0"/>
          <w:kern w:val="2"/>
          <w:sz w:val="24"/>
          <w:szCs w:val="24"/>
          <w:highlight w:val="none"/>
          <w:lang w:val="en-US" w:eastAsia="zh-CN" w:bidi="zh-CN"/>
        </w:rPr>
      </w:pPr>
      <w:r>
        <w:rPr>
          <w:rFonts w:hint="eastAsia" w:ascii="仿宋" w:hAnsi="仿宋" w:eastAsia="仿宋" w:cs="仿宋"/>
          <w:b w:val="0"/>
          <w:bCs w:val="0"/>
          <w:kern w:val="2"/>
          <w:sz w:val="24"/>
          <w:szCs w:val="24"/>
          <w:highlight w:val="none"/>
          <w:lang w:val="en-US" w:eastAsia="zh-CN" w:bidi="zh-CN"/>
        </w:rPr>
        <w:t>1.资料收集与梳理：收集项目一审结算报告、工程合同（含补充协议）、招投标文件、施工图纸、设计变更、现场签证、材料设备价格确认单、隐蔽工程记录等资料，梳理资料的完整性与有效性。</w:t>
      </w:r>
    </w:p>
    <w:p w14:paraId="03DA8C73">
      <w:pPr>
        <w:spacing w:line="360" w:lineRule="auto"/>
        <w:ind w:firstLine="480" w:firstLineChars="200"/>
        <w:rPr>
          <w:rFonts w:hint="eastAsia" w:ascii="仿宋" w:hAnsi="仿宋" w:eastAsia="仿宋" w:cs="仿宋"/>
          <w:b w:val="0"/>
          <w:bCs w:val="0"/>
          <w:kern w:val="2"/>
          <w:sz w:val="24"/>
          <w:szCs w:val="24"/>
          <w:highlight w:val="none"/>
          <w:lang w:val="en-US" w:eastAsia="zh-CN" w:bidi="zh-CN"/>
        </w:rPr>
      </w:pPr>
      <w:r>
        <w:rPr>
          <w:rFonts w:hint="eastAsia" w:ascii="仿宋" w:hAnsi="仿宋" w:eastAsia="仿宋" w:cs="仿宋"/>
          <w:b w:val="0"/>
          <w:bCs w:val="0"/>
          <w:kern w:val="2"/>
          <w:sz w:val="24"/>
          <w:szCs w:val="24"/>
          <w:highlight w:val="none"/>
          <w:lang w:val="en-US" w:eastAsia="zh-CN" w:bidi="zh-CN"/>
        </w:rPr>
        <w:t>2.工程量复核：对照施工图纸、签证变更等资料，对一审结算中的分部分项工程量进行逐项核对，检查工程量计算规则的适用性及计算结果的准确性。</w:t>
      </w:r>
    </w:p>
    <w:p w14:paraId="6884F604">
      <w:pPr>
        <w:spacing w:line="360" w:lineRule="auto"/>
        <w:ind w:firstLine="480" w:firstLineChars="200"/>
        <w:rPr>
          <w:rFonts w:hint="eastAsia" w:ascii="仿宋" w:hAnsi="仿宋" w:eastAsia="仿宋" w:cs="仿宋"/>
          <w:b w:val="0"/>
          <w:bCs w:val="0"/>
          <w:kern w:val="2"/>
          <w:sz w:val="24"/>
          <w:szCs w:val="24"/>
          <w:highlight w:val="none"/>
          <w:lang w:val="en-US" w:eastAsia="zh-CN" w:bidi="zh-CN"/>
        </w:rPr>
      </w:pPr>
      <w:r>
        <w:rPr>
          <w:rFonts w:hint="eastAsia" w:ascii="仿宋" w:hAnsi="仿宋" w:eastAsia="仿宋" w:cs="仿宋"/>
          <w:b w:val="0"/>
          <w:bCs w:val="0"/>
          <w:kern w:val="2"/>
          <w:sz w:val="24"/>
          <w:szCs w:val="24"/>
          <w:highlight w:val="none"/>
          <w:lang w:val="en-US" w:eastAsia="zh-CN" w:bidi="zh-CN"/>
        </w:rPr>
        <w:t>3.单价与费用审查：核实综合单价的组成及套用是否符合合同约定、招投标文件及计价规范；审查各项费用（如措施费、规费、税金等）的计取是否合规、完整，有无多计、少计或重复计取情况。</w:t>
      </w:r>
    </w:p>
    <w:p w14:paraId="184C0ADA">
      <w:pPr>
        <w:spacing w:line="360" w:lineRule="auto"/>
        <w:ind w:firstLine="480" w:firstLineChars="200"/>
        <w:rPr>
          <w:rFonts w:hint="eastAsia" w:ascii="仿宋" w:hAnsi="仿宋" w:eastAsia="仿宋" w:cs="仿宋"/>
          <w:b w:val="0"/>
          <w:bCs w:val="0"/>
          <w:kern w:val="2"/>
          <w:sz w:val="24"/>
          <w:szCs w:val="24"/>
          <w:highlight w:val="none"/>
          <w:lang w:val="en-US" w:eastAsia="zh-CN" w:bidi="zh-CN"/>
        </w:rPr>
      </w:pPr>
      <w:r>
        <w:rPr>
          <w:rFonts w:hint="eastAsia" w:ascii="仿宋" w:hAnsi="仿宋" w:eastAsia="仿宋" w:cs="仿宋"/>
          <w:b w:val="0"/>
          <w:bCs w:val="0"/>
          <w:kern w:val="2"/>
          <w:sz w:val="24"/>
          <w:szCs w:val="24"/>
          <w:highlight w:val="none"/>
          <w:lang w:val="en-US" w:eastAsia="zh-CN" w:bidi="zh-CN"/>
        </w:rPr>
        <w:t>4.合同与变更执行核查：检查结算内容是否与合同约定一致，设计变更、现场签证的审批流程是否完整，费用调整是否符合合同条款。</w:t>
      </w:r>
    </w:p>
    <w:p w14:paraId="54A020F4">
      <w:pPr>
        <w:spacing w:line="360" w:lineRule="auto"/>
        <w:ind w:firstLine="480" w:firstLineChars="200"/>
        <w:rPr>
          <w:rFonts w:hint="eastAsia" w:ascii="仿宋" w:hAnsi="仿宋" w:eastAsia="仿宋" w:cs="仿宋"/>
          <w:b w:val="0"/>
          <w:bCs w:val="0"/>
          <w:kern w:val="2"/>
          <w:sz w:val="24"/>
          <w:szCs w:val="24"/>
          <w:highlight w:val="none"/>
          <w:lang w:val="en-US" w:eastAsia="zh-CN" w:bidi="zh-CN"/>
        </w:rPr>
      </w:pPr>
      <w:r>
        <w:rPr>
          <w:rFonts w:hint="eastAsia" w:ascii="仿宋" w:hAnsi="仿宋" w:eastAsia="仿宋" w:cs="仿宋"/>
          <w:b w:val="0"/>
          <w:bCs w:val="0"/>
          <w:kern w:val="2"/>
          <w:sz w:val="24"/>
          <w:szCs w:val="24"/>
          <w:highlight w:val="none"/>
          <w:lang w:val="en-US" w:eastAsia="zh-CN" w:bidi="zh-CN"/>
        </w:rPr>
        <w:t>5.差异分析与沟通：对复核中发现的与一审结算的差异进行汇总、分析，形成书面疑问清单，与委托方、施工单位等相关方沟通确认，明确差异原因及调整依据。</w:t>
      </w:r>
    </w:p>
    <w:p w14:paraId="12520B7C">
      <w:pPr>
        <w:spacing w:line="360" w:lineRule="auto"/>
        <w:ind w:firstLine="480" w:firstLineChars="200"/>
        <w:rPr>
          <w:rFonts w:hint="eastAsia" w:ascii="仿宋" w:hAnsi="仿宋" w:eastAsia="仿宋" w:cs="仿宋"/>
          <w:b w:val="0"/>
          <w:bCs w:val="0"/>
          <w:kern w:val="2"/>
          <w:sz w:val="24"/>
          <w:szCs w:val="24"/>
          <w:highlight w:val="none"/>
          <w:lang w:val="en-US" w:eastAsia="zh-CN" w:bidi="zh-CN"/>
        </w:rPr>
      </w:pPr>
      <w:r>
        <w:rPr>
          <w:rFonts w:hint="eastAsia" w:ascii="仿宋" w:hAnsi="仿宋" w:eastAsia="仿宋" w:cs="仿宋"/>
          <w:b w:val="0"/>
          <w:bCs w:val="0"/>
          <w:kern w:val="2"/>
          <w:sz w:val="24"/>
          <w:szCs w:val="24"/>
          <w:highlight w:val="none"/>
          <w:lang w:val="en-US" w:eastAsia="zh-CN" w:bidi="zh-CN"/>
        </w:rPr>
        <w:t>6.报告编制与定稿：根据复核结果及沟通确认情况，编制二审结算报告初稿，经委托方审核提出意见后修改完善，最终出具正式报告。</w:t>
      </w:r>
    </w:p>
    <w:p w14:paraId="6B7A6788">
      <w:pPr>
        <w:spacing w:line="360" w:lineRule="auto"/>
        <w:rPr>
          <w:rFonts w:hint="default" w:ascii="仿宋" w:hAnsi="仿宋" w:eastAsia="仿宋" w:cs="仿宋"/>
          <w:b/>
          <w:bCs/>
          <w:kern w:val="2"/>
          <w:sz w:val="24"/>
          <w:szCs w:val="24"/>
          <w:highlight w:val="none"/>
          <w:lang w:val="en-US" w:eastAsia="zh-CN" w:bidi="zh-CN"/>
        </w:rPr>
      </w:pPr>
      <w:r>
        <w:rPr>
          <w:rFonts w:hint="eastAsia" w:ascii="仿宋" w:hAnsi="仿宋" w:eastAsia="仿宋" w:cs="仿宋"/>
          <w:b/>
          <w:bCs/>
          <w:kern w:val="2"/>
          <w:sz w:val="24"/>
          <w:szCs w:val="24"/>
          <w:highlight w:val="none"/>
          <w:lang w:val="en-US" w:eastAsia="zh-CN" w:bidi="zh-CN"/>
        </w:rPr>
        <w:t>二）项目竣工决算工作内容</w:t>
      </w:r>
    </w:p>
    <w:p w14:paraId="2B2A4268">
      <w:pPr>
        <w:spacing w:line="360" w:lineRule="auto"/>
        <w:ind w:firstLine="480" w:firstLineChars="200"/>
        <w:rPr>
          <w:rFonts w:hint="eastAsia" w:ascii="仿宋" w:hAnsi="仿宋" w:eastAsia="仿宋" w:cs="仿宋"/>
          <w:b w:val="0"/>
          <w:bCs w:val="0"/>
          <w:kern w:val="2"/>
          <w:sz w:val="24"/>
          <w:szCs w:val="24"/>
          <w:highlight w:val="none"/>
          <w:lang w:val="en-US" w:eastAsia="zh-CN" w:bidi="zh-CN"/>
        </w:rPr>
      </w:pPr>
      <w:r>
        <w:rPr>
          <w:rFonts w:hint="eastAsia" w:ascii="仿宋" w:hAnsi="仿宋" w:eastAsia="仿宋" w:cs="仿宋"/>
          <w:b w:val="0"/>
          <w:bCs w:val="0"/>
          <w:kern w:val="2"/>
          <w:sz w:val="24"/>
          <w:szCs w:val="24"/>
          <w:highlight w:val="none"/>
          <w:lang w:val="en-US" w:eastAsia="zh-CN" w:bidi="zh-CN"/>
        </w:rPr>
        <w:t xml:space="preserve"> 1.全面资料收集：收集工程结算文件（含二审结果）、前期费用凭证（如勘察设计费、监理费等）、设备购置合同及发票、基建财务账簿（含收支明细、拨款凭证等）、项目立项批复、竣工验收资料等。</w:t>
      </w:r>
    </w:p>
    <w:p w14:paraId="2079415F">
      <w:pPr>
        <w:spacing w:line="360" w:lineRule="auto"/>
        <w:ind w:firstLine="480" w:firstLineChars="200"/>
        <w:rPr>
          <w:rFonts w:hint="eastAsia" w:ascii="仿宋" w:hAnsi="仿宋" w:eastAsia="仿宋" w:cs="仿宋"/>
          <w:b w:val="0"/>
          <w:bCs w:val="0"/>
          <w:kern w:val="2"/>
          <w:sz w:val="24"/>
          <w:szCs w:val="24"/>
          <w:highlight w:val="none"/>
          <w:lang w:val="en-US" w:eastAsia="zh-CN" w:bidi="zh-CN"/>
        </w:rPr>
      </w:pPr>
      <w:r>
        <w:rPr>
          <w:rFonts w:hint="eastAsia" w:ascii="仿宋" w:hAnsi="仿宋" w:eastAsia="仿宋" w:cs="仿宋"/>
          <w:b w:val="0"/>
          <w:bCs w:val="0"/>
          <w:kern w:val="2"/>
          <w:sz w:val="24"/>
          <w:szCs w:val="24"/>
          <w:highlight w:val="none"/>
          <w:lang w:val="en-US" w:eastAsia="zh-CN" w:bidi="zh-CN"/>
        </w:rPr>
        <w:t>2.费用归集与核算：按竣工决算编制要求，将项目从立项到竣工的全部支出进行分类归集，包括建筑安装工程费、设备购置费、工程建设其他费用、预备费、建设期利息等，核实各项费用的真实性与合规性。</w:t>
      </w:r>
    </w:p>
    <w:p w14:paraId="60077455">
      <w:pPr>
        <w:spacing w:line="360" w:lineRule="auto"/>
        <w:ind w:firstLine="480" w:firstLineChars="200"/>
        <w:rPr>
          <w:rFonts w:hint="eastAsia" w:ascii="仿宋" w:hAnsi="仿宋" w:eastAsia="仿宋" w:cs="仿宋"/>
          <w:b w:val="0"/>
          <w:bCs w:val="0"/>
          <w:kern w:val="2"/>
          <w:sz w:val="24"/>
          <w:szCs w:val="24"/>
          <w:highlight w:val="none"/>
          <w:lang w:val="en-US" w:eastAsia="zh-CN" w:bidi="zh-CN"/>
        </w:rPr>
      </w:pPr>
      <w:r>
        <w:rPr>
          <w:rFonts w:hint="eastAsia" w:ascii="仿宋" w:hAnsi="仿宋" w:eastAsia="仿宋" w:cs="仿宋"/>
          <w:b w:val="0"/>
          <w:bCs w:val="0"/>
          <w:kern w:val="2"/>
          <w:sz w:val="24"/>
          <w:szCs w:val="24"/>
          <w:highlight w:val="none"/>
          <w:lang w:val="en-US" w:eastAsia="zh-CN" w:bidi="zh-CN"/>
        </w:rPr>
        <w:t>3.资产价值确认：对项目形成的固定资产、无形资产、流动资产等进行价值核定，明确资产数量、规格及价值，为资产移交提供依据。</w:t>
      </w:r>
    </w:p>
    <w:p w14:paraId="691795C3">
      <w:pPr>
        <w:spacing w:line="360" w:lineRule="auto"/>
        <w:ind w:firstLine="480" w:firstLineChars="200"/>
        <w:rPr>
          <w:rFonts w:hint="eastAsia" w:ascii="仿宋" w:hAnsi="仿宋" w:eastAsia="仿宋" w:cs="仿宋"/>
          <w:b w:val="0"/>
          <w:bCs w:val="0"/>
          <w:kern w:val="2"/>
          <w:sz w:val="24"/>
          <w:szCs w:val="24"/>
          <w:highlight w:val="none"/>
          <w:lang w:val="en-US" w:eastAsia="zh-CN" w:bidi="zh-CN"/>
        </w:rPr>
      </w:pPr>
      <w:r>
        <w:rPr>
          <w:rFonts w:hint="eastAsia" w:ascii="仿宋" w:hAnsi="仿宋" w:eastAsia="仿宋" w:cs="仿宋"/>
          <w:b w:val="0"/>
          <w:bCs w:val="0"/>
          <w:kern w:val="2"/>
          <w:sz w:val="24"/>
          <w:szCs w:val="24"/>
          <w:highlight w:val="none"/>
          <w:lang w:val="en-US" w:eastAsia="zh-CN" w:bidi="zh-CN"/>
        </w:rPr>
        <w:t>4.决算报表编制：编制竣工财务决算报表，包括封面、基本情况表、竣工财务决算表、资金情况明细表等，确保报表数据准确、勾稽关系清晰。</w:t>
      </w:r>
    </w:p>
    <w:p w14:paraId="7251F6E7">
      <w:pPr>
        <w:spacing w:line="360" w:lineRule="auto"/>
        <w:ind w:firstLine="480" w:firstLineChars="200"/>
        <w:rPr>
          <w:rFonts w:hint="eastAsia" w:ascii="仿宋" w:hAnsi="仿宋" w:eastAsia="仿宋" w:cs="仿宋"/>
          <w:b w:val="0"/>
          <w:bCs w:val="0"/>
          <w:kern w:val="2"/>
          <w:sz w:val="24"/>
          <w:szCs w:val="24"/>
          <w:highlight w:val="none"/>
          <w:lang w:val="en-US" w:eastAsia="zh-CN" w:bidi="zh-CN"/>
        </w:rPr>
      </w:pPr>
      <w:r>
        <w:rPr>
          <w:rFonts w:hint="eastAsia" w:ascii="仿宋" w:hAnsi="仿宋" w:eastAsia="仿宋" w:cs="仿宋"/>
          <w:b w:val="0"/>
          <w:bCs w:val="0"/>
          <w:kern w:val="2"/>
          <w:sz w:val="24"/>
          <w:szCs w:val="24"/>
          <w:highlight w:val="none"/>
          <w:lang w:val="en-US" w:eastAsia="zh-CN" w:bidi="zh-CN"/>
        </w:rPr>
        <w:t>5.报告撰写与审核：撰写竣工决算说明书，阐述项目概况、投资完成情况、资金来源与使用情况、结余资金处理、财务管理情况等；将报表与说明书整合形成初稿，经委托方审核后修改，完成正式报告。</w:t>
      </w:r>
    </w:p>
    <w:p w14:paraId="7975F4A0">
      <w:pPr>
        <w:numPr>
          <w:ilvl w:val="0"/>
          <w:numId w:val="0"/>
        </w:numPr>
        <w:spacing w:line="360" w:lineRule="auto"/>
        <w:rPr>
          <w:rFonts w:hint="eastAsia" w:ascii="仿宋" w:hAnsi="仿宋" w:eastAsia="仿宋" w:cs="仿宋"/>
          <w:b/>
          <w:bCs/>
          <w:kern w:val="2"/>
          <w:sz w:val="24"/>
          <w:szCs w:val="24"/>
          <w:highlight w:val="none"/>
          <w:lang w:val="en-US" w:eastAsia="zh-CN" w:bidi="zh-CN"/>
        </w:rPr>
      </w:pPr>
      <w:r>
        <w:rPr>
          <w:rFonts w:hint="eastAsia" w:ascii="仿宋" w:hAnsi="仿宋" w:eastAsia="仿宋" w:cs="仿宋"/>
          <w:b/>
          <w:bCs/>
          <w:kern w:val="2"/>
          <w:sz w:val="24"/>
          <w:szCs w:val="24"/>
          <w:lang w:val="en-US" w:eastAsia="zh-CN" w:bidi="zh-CN"/>
        </w:rPr>
        <w:t>三）</w:t>
      </w:r>
      <w:r>
        <w:rPr>
          <w:rFonts w:hint="eastAsia" w:ascii="仿宋" w:hAnsi="仿宋" w:eastAsia="仿宋" w:cs="仿宋"/>
          <w:b/>
          <w:bCs/>
          <w:kern w:val="2"/>
          <w:sz w:val="24"/>
          <w:szCs w:val="24"/>
          <w:highlight w:val="none"/>
          <w:lang w:val="en-US" w:eastAsia="zh-CN" w:bidi="zh-CN"/>
        </w:rPr>
        <w:t>、技术服务要求</w:t>
      </w:r>
    </w:p>
    <w:p w14:paraId="5FDE198C">
      <w:pPr>
        <w:numPr>
          <w:ilvl w:val="0"/>
          <w:numId w:val="0"/>
        </w:numPr>
        <w:spacing w:line="360" w:lineRule="auto"/>
        <w:ind w:firstLine="480" w:firstLineChars="200"/>
        <w:rPr>
          <w:rFonts w:hint="eastAsia" w:ascii="仿宋" w:hAnsi="仿宋" w:eastAsia="仿宋" w:cs="仿宋"/>
          <w:b w:val="0"/>
          <w:bCs w:val="0"/>
          <w:kern w:val="2"/>
          <w:sz w:val="24"/>
          <w:szCs w:val="24"/>
          <w:highlight w:val="none"/>
          <w:lang w:val="en-US" w:eastAsia="zh-CN" w:bidi="zh-CN"/>
        </w:rPr>
      </w:pPr>
      <w:r>
        <w:rPr>
          <w:rFonts w:hint="eastAsia" w:ascii="仿宋" w:hAnsi="仿宋" w:eastAsia="仿宋" w:cs="仿宋"/>
          <w:b w:val="0"/>
          <w:bCs w:val="0"/>
          <w:kern w:val="2"/>
          <w:sz w:val="24"/>
          <w:szCs w:val="24"/>
          <w:highlight w:val="none"/>
          <w:lang w:val="en-US" w:eastAsia="zh-CN" w:bidi="zh-CN"/>
        </w:rPr>
        <w:t>1.合规性要求：所有工作需严格遵循《建设工程工程量清单计价规范》《建设项目竣工决算管理暂行办法》《基本建设财务规则》等国家及地方相关法律法规、行业标准与政策文件。</w:t>
      </w:r>
    </w:p>
    <w:p w14:paraId="5BF84A8A">
      <w:pPr>
        <w:spacing w:line="360" w:lineRule="auto"/>
        <w:ind w:firstLine="480" w:firstLineChars="200"/>
        <w:rPr>
          <w:rFonts w:hint="eastAsia" w:ascii="仿宋" w:hAnsi="仿宋" w:eastAsia="仿宋" w:cs="仿宋"/>
          <w:b w:val="0"/>
          <w:bCs w:val="0"/>
          <w:kern w:val="2"/>
          <w:sz w:val="24"/>
          <w:szCs w:val="24"/>
          <w:highlight w:val="none"/>
          <w:lang w:val="en-US" w:eastAsia="zh-CN" w:bidi="zh-CN"/>
        </w:rPr>
      </w:pPr>
      <w:r>
        <w:rPr>
          <w:rFonts w:hint="eastAsia" w:ascii="仿宋" w:hAnsi="仿宋" w:eastAsia="仿宋" w:cs="仿宋"/>
          <w:b w:val="0"/>
          <w:bCs w:val="0"/>
          <w:kern w:val="2"/>
          <w:sz w:val="24"/>
          <w:szCs w:val="24"/>
          <w:highlight w:val="none"/>
          <w:lang w:val="en-US" w:eastAsia="zh-CN" w:bidi="zh-CN"/>
        </w:rPr>
        <w:t>2.专业性要求：指派的项目团队中，项目负责人需具备注册造价工程师资格及至少5年类似项目服务经验，团队成员需熟悉结算审核、决算编制流程及相关专业知识。工作过程中采用专业的造价软件、财务核算工具，确保数据计算的精准性。</w:t>
      </w:r>
    </w:p>
    <w:p w14:paraId="4B8C7125">
      <w:pPr>
        <w:spacing w:line="360" w:lineRule="auto"/>
        <w:ind w:firstLine="480" w:firstLineChars="200"/>
        <w:rPr>
          <w:rFonts w:hint="eastAsia" w:ascii="仿宋" w:hAnsi="仿宋" w:eastAsia="仿宋" w:cs="仿宋"/>
          <w:b w:val="0"/>
          <w:bCs w:val="0"/>
          <w:kern w:val="2"/>
          <w:sz w:val="24"/>
          <w:szCs w:val="24"/>
          <w:highlight w:val="none"/>
          <w:lang w:val="en-US" w:eastAsia="zh-CN" w:bidi="zh-CN"/>
        </w:rPr>
      </w:pPr>
      <w:r>
        <w:rPr>
          <w:rFonts w:hint="eastAsia" w:ascii="仿宋" w:hAnsi="仿宋" w:eastAsia="仿宋" w:cs="仿宋"/>
          <w:b w:val="0"/>
          <w:bCs w:val="0"/>
          <w:kern w:val="2"/>
          <w:sz w:val="24"/>
          <w:szCs w:val="24"/>
          <w:highlight w:val="none"/>
          <w:lang w:val="en-US" w:eastAsia="zh-CN" w:bidi="zh-CN"/>
        </w:rPr>
        <w:t>3.质量保障要求：建立三级复核制度（编制人自校、项目负责人审核、机构负责人审定），确保报告无重大数据错误、逻辑矛盾或合规性问题。对委托方提出的合理修改意见，应在3个工作日内响应并完成修改。</w:t>
      </w:r>
    </w:p>
    <w:p w14:paraId="7A094852">
      <w:pPr>
        <w:numPr>
          <w:ilvl w:val="0"/>
          <w:numId w:val="0"/>
        </w:numPr>
        <w:spacing w:line="360" w:lineRule="auto"/>
        <w:ind w:firstLine="480" w:firstLineChars="200"/>
        <w:rPr>
          <w:rFonts w:hint="eastAsia" w:ascii="仿宋" w:hAnsi="仿宋" w:eastAsia="仿宋" w:cs="仿宋"/>
          <w:b w:val="0"/>
          <w:bCs w:val="0"/>
          <w:kern w:val="2"/>
          <w:sz w:val="24"/>
          <w:szCs w:val="24"/>
          <w:highlight w:val="none"/>
          <w:lang w:val="en-US" w:eastAsia="zh-CN" w:bidi="zh-CN"/>
        </w:rPr>
      </w:pPr>
      <w:r>
        <w:rPr>
          <w:rFonts w:hint="eastAsia" w:ascii="仿宋" w:hAnsi="仿宋" w:eastAsia="仿宋" w:cs="仿宋"/>
          <w:b w:val="0"/>
          <w:bCs w:val="0"/>
          <w:kern w:val="2"/>
          <w:sz w:val="24"/>
          <w:szCs w:val="24"/>
          <w:lang w:val="en-US" w:eastAsia="zh-CN" w:bidi="zh-CN"/>
        </w:rPr>
        <w:t>4.</w:t>
      </w:r>
      <w:r>
        <w:rPr>
          <w:rFonts w:hint="eastAsia" w:ascii="仿宋" w:hAnsi="仿宋" w:eastAsia="仿宋" w:cs="仿宋"/>
          <w:b w:val="0"/>
          <w:bCs w:val="0"/>
          <w:kern w:val="2"/>
          <w:sz w:val="24"/>
          <w:szCs w:val="24"/>
          <w:highlight w:val="none"/>
          <w:lang w:val="en-US" w:eastAsia="zh-CN" w:bidi="zh-CN"/>
        </w:rPr>
        <w:t>时效性要求：严格按照合同约定的时间节点完成各阶段工作，如遇资料延迟等特殊情况需延期，需提前与委托方沟通并书面确认。</w:t>
      </w:r>
    </w:p>
    <w:p w14:paraId="26529A1E">
      <w:pPr>
        <w:numPr>
          <w:ilvl w:val="0"/>
          <w:numId w:val="0"/>
        </w:numPr>
        <w:spacing w:line="360" w:lineRule="auto"/>
        <w:ind w:left="0" w:leftChars="0" w:firstLine="480" w:firstLineChars="200"/>
        <w:rPr>
          <w:rFonts w:hint="eastAsia" w:ascii="仿宋" w:hAnsi="仿宋" w:eastAsia="仿宋" w:cs="仿宋"/>
          <w:b w:val="0"/>
          <w:bCs w:val="0"/>
          <w:kern w:val="2"/>
          <w:sz w:val="24"/>
          <w:szCs w:val="24"/>
          <w:highlight w:val="none"/>
          <w:lang w:val="en-US" w:eastAsia="zh-CN" w:bidi="zh-CN"/>
        </w:rPr>
      </w:pPr>
      <w:r>
        <w:rPr>
          <w:rFonts w:hint="eastAsia" w:ascii="仿宋" w:hAnsi="仿宋" w:eastAsia="仿宋" w:cs="仿宋"/>
          <w:b w:val="0"/>
          <w:bCs w:val="0"/>
          <w:kern w:val="2"/>
          <w:sz w:val="24"/>
          <w:szCs w:val="24"/>
          <w:lang w:val="en-US" w:eastAsia="zh-CN" w:bidi="zh-CN"/>
        </w:rPr>
        <w:t>5.</w:t>
      </w:r>
      <w:r>
        <w:rPr>
          <w:rFonts w:hint="eastAsia" w:ascii="仿宋" w:hAnsi="仿宋" w:eastAsia="仿宋" w:cs="仿宋"/>
          <w:b w:val="0"/>
          <w:bCs w:val="0"/>
          <w:kern w:val="2"/>
          <w:sz w:val="24"/>
          <w:szCs w:val="24"/>
          <w:highlight w:val="none"/>
          <w:lang w:val="en-US" w:eastAsia="zh-CN" w:bidi="zh-CN"/>
        </w:rPr>
        <w:t>保密性要求：对工作中接触的委托方商业秘密、项目数据及资料严格保密，未经允许不得向第三方泄露，保密期限为项目完成后3年。</w:t>
      </w:r>
    </w:p>
    <w:p w14:paraId="04FE60A7">
      <w:pPr>
        <w:spacing w:line="360" w:lineRule="auto"/>
        <w:rPr>
          <w:rFonts w:hint="eastAsia" w:ascii="仿宋" w:hAnsi="仿宋" w:eastAsia="仿宋" w:cs="仿宋"/>
          <w:b/>
          <w:bCs/>
          <w:kern w:val="2"/>
          <w:sz w:val="24"/>
          <w:szCs w:val="24"/>
          <w:highlight w:val="none"/>
          <w:lang w:val="en-US" w:eastAsia="zh-CN" w:bidi="zh-CN"/>
        </w:rPr>
      </w:pPr>
      <w:r>
        <w:rPr>
          <w:rFonts w:hint="eastAsia" w:ascii="仿宋" w:hAnsi="仿宋" w:eastAsia="仿宋" w:cs="仿宋"/>
          <w:b/>
          <w:bCs/>
          <w:kern w:val="2"/>
          <w:sz w:val="24"/>
          <w:szCs w:val="24"/>
          <w:highlight w:val="none"/>
          <w:lang w:val="en-US" w:eastAsia="zh-CN" w:bidi="zh-CN"/>
        </w:rPr>
        <w:t>四）、提交的成果</w:t>
      </w:r>
    </w:p>
    <w:p w14:paraId="3EFD3257">
      <w:pPr>
        <w:spacing w:line="360" w:lineRule="auto"/>
        <w:ind w:firstLine="480" w:firstLineChars="200"/>
        <w:rPr>
          <w:rFonts w:hint="eastAsia" w:ascii="仿宋" w:hAnsi="仿宋" w:eastAsia="仿宋" w:cs="仿宋"/>
          <w:b w:val="0"/>
          <w:bCs w:val="0"/>
          <w:kern w:val="2"/>
          <w:sz w:val="24"/>
          <w:szCs w:val="24"/>
          <w:highlight w:val="none"/>
          <w:lang w:val="en-US" w:eastAsia="zh-CN" w:bidi="zh-CN"/>
        </w:rPr>
      </w:pPr>
      <w:r>
        <w:rPr>
          <w:rFonts w:hint="eastAsia" w:ascii="仿宋" w:hAnsi="仿宋" w:eastAsia="仿宋" w:cs="仿宋"/>
          <w:b w:val="0"/>
          <w:bCs w:val="0"/>
          <w:kern w:val="2"/>
          <w:sz w:val="24"/>
          <w:szCs w:val="24"/>
          <w:highlight w:val="none"/>
          <w:lang w:val="en-US" w:eastAsia="zh-CN" w:bidi="zh-CN"/>
        </w:rPr>
        <w:t>1.二审结算报告相关成果：正式二审结算报告纸质版4份（需加盖单位公章及注册造价工程师执业印章）、电子版（PDF格式）1份。包含的核心内容：项目概况、一审结算情况、二审复核范围与依据、复核发现的问题及调整说明、二审结算汇总表（分部分项工程费、措施项目费等明细）、差异对比分析表、相关证明材料附件等。</w:t>
      </w:r>
    </w:p>
    <w:p w14:paraId="5FA639A7">
      <w:pPr>
        <w:spacing w:line="360" w:lineRule="auto"/>
        <w:ind w:firstLine="480" w:firstLineChars="200"/>
        <w:rPr>
          <w:rFonts w:hint="eastAsia" w:ascii="仿宋" w:hAnsi="仿宋" w:eastAsia="仿宋" w:cs="仿宋"/>
          <w:b w:val="0"/>
          <w:bCs w:val="0"/>
          <w:kern w:val="2"/>
          <w:sz w:val="24"/>
          <w:szCs w:val="24"/>
          <w:highlight w:val="none"/>
          <w:lang w:val="en-US" w:eastAsia="zh-CN" w:bidi="zh-CN"/>
        </w:rPr>
      </w:pPr>
      <w:r>
        <w:rPr>
          <w:rFonts w:hint="eastAsia" w:ascii="仿宋" w:hAnsi="仿宋" w:eastAsia="仿宋" w:cs="仿宋"/>
          <w:b w:val="0"/>
          <w:bCs w:val="0"/>
          <w:kern w:val="2"/>
          <w:sz w:val="24"/>
          <w:szCs w:val="24"/>
          <w:highlight w:val="none"/>
          <w:lang w:val="en-US" w:eastAsia="zh-CN" w:bidi="zh-CN"/>
        </w:rPr>
        <w:t>2.项目竣工决算报告相关成果：正式竣工决算报告纸质版4份（加盖单位公章）、电子版（PDF格式）1份。包含的核心内容：竣工决算说明书（项目背景、投资执行情况等）、竣工财务决算报表（全套）、各项费用支出明细表、资产清单及价值核定表、相关合同及凭证复印件等附件。</w:t>
      </w:r>
    </w:p>
    <w:p w14:paraId="628F83FF">
      <w:pPr>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kern w:val="2"/>
          <w:sz w:val="24"/>
          <w:szCs w:val="24"/>
          <w:highlight w:val="none"/>
          <w:lang w:val="en-US" w:eastAsia="zh-CN" w:bidi="zh-CN"/>
        </w:rPr>
        <w:t>3.过程资料：二审复核疑问清单及沟通记录、竣工决算数据计算底稿（电子版）等，按需提交委托方存档。</w:t>
      </w:r>
    </w:p>
    <w:p w14:paraId="2598967C">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lang w:val="en-US" w:eastAsia="zh-CN"/>
        </w:rPr>
      </w:pPr>
      <w:r>
        <w:rPr>
          <w:rFonts w:hint="eastAsia" w:ascii="仿宋" w:hAnsi="仿宋" w:eastAsia="仿宋" w:cs="仿宋"/>
          <w:b/>
          <w:bCs/>
          <w:highlight w:val="none"/>
          <w:lang w:val="en-US" w:eastAsia="zh-CN"/>
        </w:rPr>
        <w:t>三、商务要求</w:t>
      </w:r>
    </w:p>
    <w:p w14:paraId="20B6ECE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合同履约期限：</w:t>
      </w:r>
      <w:r>
        <w:rPr>
          <w:rFonts w:hint="eastAsia" w:ascii="仿宋" w:hAnsi="仿宋" w:eastAsia="仿宋" w:cs="仿宋"/>
          <w:sz w:val="24"/>
          <w:highlight w:val="none"/>
          <w:lang w:val="en-US" w:eastAsia="zh-CN"/>
        </w:rPr>
        <w:t>自合同签订至项目竣工决算审核工作完成。</w:t>
      </w:r>
    </w:p>
    <w:p w14:paraId="08C683E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highlight w:val="none"/>
          <w:lang w:val="en-US" w:eastAsia="zh-CN"/>
        </w:rPr>
      </w:pPr>
      <w:r>
        <w:rPr>
          <w:rFonts w:hint="eastAsia" w:ascii="仿宋" w:hAnsi="仿宋" w:eastAsia="仿宋" w:cs="仿宋"/>
          <w:b/>
          <w:bCs/>
          <w:highlight w:val="none"/>
          <w:lang w:val="en-US" w:eastAsia="zh-CN"/>
        </w:rPr>
        <w:t>2</w:t>
      </w:r>
      <w:r>
        <w:rPr>
          <w:rFonts w:hint="eastAsia" w:ascii="仿宋" w:hAnsi="仿宋" w:eastAsia="仿宋" w:cs="仿宋"/>
          <w:b/>
          <w:bCs/>
          <w:highlight w:val="none"/>
        </w:rPr>
        <w:t>、付款办法：</w:t>
      </w:r>
      <w:r>
        <w:rPr>
          <w:rFonts w:hint="eastAsia" w:ascii="仿宋" w:hAnsi="仿宋" w:eastAsia="仿宋" w:cs="仿宋"/>
          <w:color w:val="auto"/>
          <w:kern w:val="0"/>
          <w:sz w:val="24"/>
          <w:szCs w:val="24"/>
          <w:highlight w:val="none"/>
          <w:lang w:val="en-US" w:eastAsia="zh-CN" w:bidi="ar"/>
        </w:rPr>
        <w:t>详见本采购文件第四章相关条款。</w:t>
      </w:r>
    </w:p>
    <w:bookmarkEnd w:id="240"/>
    <w:p w14:paraId="3B21CD6E">
      <w:pPr>
        <w:spacing w:line="360" w:lineRule="auto"/>
        <w:rPr>
          <w:rFonts w:hint="eastAsia" w:ascii="仿宋" w:hAnsi="仿宋" w:eastAsia="仿宋" w:cs="仿宋"/>
          <w:b/>
          <w:bCs/>
          <w:sz w:val="32"/>
          <w:szCs w:val="32"/>
          <w:highlight w:val="none"/>
          <w:lang w:val="en-US" w:eastAsia="zh-CN"/>
        </w:rPr>
      </w:pPr>
      <w:r>
        <w:rPr>
          <w:rFonts w:hint="eastAsia" w:ascii="仿宋" w:hAnsi="仿宋" w:eastAsia="仿宋" w:cs="仿宋"/>
          <w:sz w:val="32"/>
          <w:szCs w:val="32"/>
          <w:highlight w:val="none"/>
          <w:lang w:val="en-US" w:eastAsia="zh-CN"/>
        </w:rPr>
        <w:br w:type="page"/>
      </w:r>
    </w:p>
    <w:p w14:paraId="4E261EF5">
      <w:pPr>
        <w:pStyle w:val="2"/>
        <w:numPr>
          <w:ilvl w:val="0"/>
          <w:numId w:val="5"/>
        </w:numPr>
        <w:bidi w:val="0"/>
        <w:jc w:val="center"/>
        <w:rPr>
          <w:rFonts w:hint="eastAsia" w:ascii="仿宋" w:hAnsi="仿宋" w:eastAsia="仿宋" w:cs="仿宋"/>
          <w:b/>
          <w:bCs/>
          <w:sz w:val="32"/>
          <w:szCs w:val="32"/>
          <w:highlight w:val="none"/>
          <w:lang w:val="en-US" w:eastAsia="zh-CN"/>
        </w:rPr>
      </w:pPr>
      <w:bookmarkStart w:id="241" w:name="_Toc3888"/>
      <w:r>
        <w:rPr>
          <w:rFonts w:hint="eastAsia" w:ascii="仿宋" w:hAnsi="仿宋" w:eastAsia="仿宋" w:cs="仿宋"/>
          <w:sz w:val="32"/>
          <w:szCs w:val="32"/>
          <w:highlight w:val="none"/>
          <w:lang w:val="en-US" w:eastAsia="zh-CN"/>
        </w:rPr>
        <w:t>评标程序、评标方法和评标标准</w:t>
      </w:r>
      <w:bookmarkEnd w:id="241"/>
    </w:p>
    <w:p w14:paraId="6C8D159C">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lang w:val="en-US" w:eastAsia="zh-CN"/>
        </w:rPr>
      </w:pPr>
      <w:bookmarkStart w:id="242" w:name="_Toc8502"/>
      <w:bookmarkStart w:id="243" w:name="_Toc13381"/>
      <w:r>
        <w:rPr>
          <w:rFonts w:hint="eastAsia" w:ascii="仿宋" w:hAnsi="仿宋" w:eastAsia="仿宋" w:cs="仿宋"/>
          <w:b/>
          <w:bCs/>
          <w:sz w:val="24"/>
          <w:szCs w:val="24"/>
          <w:highlight w:val="none"/>
          <w:lang w:val="en-US" w:eastAsia="zh-CN"/>
        </w:rPr>
        <w:t>评标方法</w:t>
      </w:r>
      <w:bookmarkEnd w:id="242"/>
      <w:bookmarkEnd w:id="243"/>
      <w:r>
        <w:rPr>
          <w:rFonts w:hint="eastAsia" w:ascii="仿宋" w:hAnsi="仿宋" w:eastAsia="仿宋" w:cs="仿宋"/>
          <w:b/>
          <w:bCs/>
          <w:sz w:val="24"/>
          <w:szCs w:val="24"/>
          <w:highlight w:val="none"/>
          <w:lang w:val="en-US" w:eastAsia="zh-CN"/>
        </w:rPr>
        <w:t xml:space="preserve"> </w:t>
      </w:r>
    </w:p>
    <w:p w14:paraId="5B4BFDD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次评标采用综合评分法。是指经磋商确定最终采购需求和提交最后报价的供应商后，由磋商小组采用综合评分法对提交最后报价的供应商的响应文件和最后报价进行综合评分。评审得分最高的供应商为成交候选人的评标方法。</w:t>
      </w:r>
    </w:p>
    <w:p w14:paraId="74AF2D19">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44" w:name="_Toc29418"/>
      <w:bookmarkStart w:id="245" w:name="_Toc14691"/>
      <w:r>
        <w:rPr>
          <w:rFonts w:hint="eastAsia" w:ascii="仿宋" w:hAnsi="仿宋" w:eastAsia="仿宋" w:cs="仿宋"/>
          <w:b/>
          <w:bCs/>
          <w:sz w:val="24"/>
          <w:szCs w:val="24"/>
          <w:highlight w:val="none"/>
          <w:lang w:val="en-US" w:eastAsia="zh-CN"/>
        </w:rPr>
        <w:t>评标原则</w:t>
      </w:r>
      <w:bookmarkEnd w:id="244"/>
      <w:bookmarkEnd w:id="245"/>
    </w:p>
    <w:p w14:paraId="1098A367">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评标活动遵循公平、公正、科学和择优的原则，以采购文件和响应文件为评标的基本依据，并按照采购文件规定的评标方法和评标标准进行评标。</w:t>
      </w:r>
    </w:p>
    <w:p w14:paraId="16D9E4F5">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具体评标事项由磋商小组负责，并按采购文件的规定办法进行评审。对采购文件中描述有歧义或前后不一致的地方，磋商小组有权按法律法规的规定进行评判，但对同一条款的评判应适用于每个响应供应商。</w:t>
      </w:r>
    </w:p>
    <w:p w14:paraId="230BEA6D">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46" w:name="_Toc21169"/>
      <w:bookmarkStart w:id="247" w:name="_Toc32443"/>
      <w:r>
        <w:rPr>
          <w:rFonts w:hint="eastAsia" w:ascii="仿宋" w:hAnsi="仿宋" w:eastAsia="仿宋" w:cs="仿宋"/>
          <w:b/>
          <w:bCs/>
          <w:sz w:val="24"/>
          <w:szCs w:val="24"/>
          <w:highlight w:val="none"/>
          <w:lang w:val="en-US" w:eastAsia="zh-CN"/>
        </w:rPr>
        <w:t>资格审查</w:t>
      </w:r>
      <w:bookmarkEnd w:id="246"/>
      <w:bookmarkEnd w:id="247"/>
    </w:p>
    <w:p w14:paraId="176B1EA6">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磋商小组依据采购文件，对响应文件中的资格证明文件等进行审查，以确定供应商是否具备磋商资格。资格性审查中凡有其中任意一项未通过的，评审结果为未通过，未通过资格性审查的供应商按</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处理，不进入符合性审查。审查内容如下：</w:t>
      </w:r>
    </w:p>
    <w:p w14:paraId="29A1CE0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资格审查要求</w:t>
      </w:r>
    </w:p>
    <w:tbl>
      <w:tblPr>
        <w:tblStyle w:val="3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275"/>
        <w:gridCol w:w="3360"/>
        <w:gridCol w:w="4490"/>
      </w:tblGrid>
      <w:tr w14:paraId="374C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32" w:type="dxa"/>
            <w:vAlign w:val="center"/>
          </w:tcPr>
          <w:p w14:paraId="4CD4815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序号</w:t>
            </w:r>
          </w:p>
        </w:tc>
        <w:tc>
          <w:tcPr>
            <w:tcW w:w="1275" w:type="dxa"/>
            <w:vAlign w:val="center"/>
          </w:tcPr>
          <w:p w14:paraId="0834F8A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审查因素</w:t>
            </w:r>
          </w:p>
        </w:tc>
        <w:tc>
          <w:tcPr>
            <w:tcW w:w="3360" w:type="dxa"/>
            <w:vAlign w:val="center"/>
          </w:tcPr>
          <w:p w14:paraId="3B3675A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审查要求</w:t>
            </w:r>
          </w:p>
        </w:tc>
        <w:tc>
          <w:tcPr>
            <w:tcW w:w="4490" w:type="dxa"/>
            <w:vAlign w:val="center"/>
          </w:tcPr>
          <w:p w14:paraId="561BC92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lang w:val="en-US" w:eastAsia="zh-CN"/>
              </w:rPr>
              <w:t>要求说明</w:t>
            </w:r>
          </w:p>
        </w:tc>
      </w:tr>
      <w:tr w14:paraId="7700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3DF9BC6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w:t>
            </w:r>
          </w:p>
        </w:tc>
        <w:tc>
          <w:tcPr>
            <w:tcW w:w="1275" w:type="dxa"/>
            <w:vAlign w:val="center"/>
          </w:tcPr>
          <w:p w14:paraId="673EF0F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具有独立承担民事责任的能力</w:t>
            </w:r>
          </w:p>
        </w:tc>
        <w:tc>
          <w:tcPr>
            <w:tcW w:w="3360" w:type="dxa"/>
            <w:vAlign w:val="center"/>
          </w:tcPr>
          <w:p w14:paraId="12F9ECF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须提供法人或其他组织或自然人的营业执照副本或事业法人登记证或执业许可证或身份证等相关证明扫描件（除身份证外其余证件须供应商加盖电子印章）</w:t>
            </w:r>
          </w:p>
        </w:tc>
        <w:tc>
          <w:tcPr>
            <w:tcW w:w="4490" w:type="dxa"/>
            <w:vAlign w:val="center"/>
          </w:tcPr>
          <w:p w14:paraId="22C0820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72ED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715BC1D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w:t>
            </w:r>
          </w:p>
        </w:tc>
        <w:tc>
          <w:tcPr>
            <w:tcW w:w="1275" w:type="dxa"/>
            <w:vAlign w:val="center"/>
          </w:tcPr>
          <w:p w14:paraId="28C17A8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具有良好的商业信誉和健全的财务会计制度</w:t>
            </w:r>
          </w:p>
        </w:tc>
        <w:tc>
          <w:tcPr>
            <w:tcW w:w="3360" w:type="dxa"/>
            <w:vAlign w:val="center"/>
          </w:tcPr>
          <w:p w14:paraId="5195280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本单位上一年度由会计师事务所出具的财务审计报告（当上一年度审计报告未出来时，可提供前一年度审计报告，但6月1日（含6月1日）以后开标项目必须提供上一年度审计报告），审计报告须包括资产负债表、利润表、现金流量表、所有者权益变动（如有）及其附注（扫描件供应商加盖公章）。如供应商无法提供上年度审计报告，则需提供开标日前三个月内银行出具的资信证明原件或扫描件加盖公章。如供应商注册成立不足六个月的则提供承诺书（自拟）原件。</w:t>
            </w:r>
          </w:p>
        </w:tc>
        <w:tc>
          <w:tcPr>
            <w:tcW w:w="4490" w:type="dxa"/>
            <w:vAlign w:val="center"/>
          </w:tcPr>
          <w:p w14:paraId="1DA02D8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578D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34522E6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3</w:t>
            </w:r>
          </w:p>
        </w:tc>
        <w:tc>
          <w:tcPr>
            <w:tcW w:w="1275" w:type="dxa"/>
            <w:vAlign w:val="center"/>
          </w:tcPr>
          <w:p w14:paraId="100D277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具有履行合同所必需的设备和专业技术能力</w:t>
            </w:r>
          </w:p>
        </w:tc>
        <w:tc>
          <w:tcPr>
            <w:tcW w:w="3360" w:type="dxa"/>
            <w:vAlign w:val="center"/>
          </w:tcPr>
          <w:p w14:paraId="56D80DC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须提供具备履行合同所必需的设备和专业技术能力的书面声明原件（格式详见第七章响应文件格式附件1-5）。</w:t>
            </w:r>
          </w:p>
        </w:tc>
        <w:tc>
          <w:tcPr>
            <w:tcW w:w="4490" w:type="dxa"/>
            <w:vAlign w:val="center"/>
          </w:tcPr>
          <w:p w14:paraId="04746B5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266D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732ACCE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4</w:t>
            </w:r>
          </w:p>
        </w:tc>
        <w:tc>
          <w:tcPr>
            <w:tcW w:w="1275" w:type="dxa"/>
            <w:vAlign w:val="center"/>
          </w:tcPr>
          <w:p w14:paraId="376B592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有依法缴纳税收和依法缴纳社会保障资金的记录</w:t>
            </w:r>
          </w:p>
        </w:tc>
        <w:tc>
          <w:tcPr>
            <w:tcW w:w="3360" w:type="dxa"/>
            <w:vAlign w:val="center"/>
          </w:tcPr>
          <w:p w14:paraId="139184B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1.须提供响应文件递交截止日期之前六个月内任何一期的纳税记录或证明文件原件或扫描件供应商加盖电子印章（依法免税的应提供相应文件说明，</w:t>
            </w:r>
            <w:r>
              <w:rPr>
                <w:rFonts w:hint="eastAsia" w:ascii="仿宋" w:hAnsi="仿宋" w:eastAsia="仿宋" w:cs="仿宋"/>
                <w:sz w:val="21"/>
                <w:szCs w:val="21"/>
                <w:highlight w:val="none"/>
                <w:lang w:eastAsia="zh-CN"/>
              </w:rPr>
              <w:t>当月新成立公司不需提供</w:t>
            </w:r>
            <w:r>
              <w:rPr>
                <w:rFonts w:hint="eastAsia" w:ascii="仿宋" w:hAnsi="仿宋" w:eastAsia="仿宋" w:cs="仿宋"/>
                <w:b w:val="0"/>
                <w:bCs w:val="0"/>
                <w:sz w:val="21"/>
                <w:szCs w:val="21"/>
                <w:highlight w:val="none"/>
                <w:vertAlign w:val="baseline"/>
                <w:lang w:val="en-US" w:eastAsia="zh-CN"/>
              </w:rPr>
              <w:t>）</w:t>
            </w:r>
          </w:p>
          <w:p w14:paraId="369E4BB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须提供响应文件递交截止日期之前六个月内为员工缴纳社会保障资金的证明材料原件或扫描件供应商加盖电子印章（任意一个月即可），证明材料是缴纳社会保险的凭据（专用收据或社会保险缴纳清单或银行回单等）（依法不需要缴纳社会保障资金的应提供相应文件说明）</w:t>
            </w:r>
          </w:p>
        </w:tc>
        <w:tc>
          <w:tcPr>
            <w:tcW w:w="4490" w:type="dxa"/>
            <w:vAlign w:val="center"/>
          </w:tcPr>
          <w:p w14:paraId="3A4592F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2DCC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228BF7B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5</w:t>
            </w:r>
          </w:p>
        </w:tc>
        <w:tc>
          <w:tcPr>
            <w:tcW w:w="1275" w:type="dxa"/>
            <w:vAlign w:val="center"/>
          </w:tcPr>
          <w:p w14:paraId="5E893A3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参加政府采购活动前三年内，在经营活动中没有重大违法记录</w:t>
            </w:r>
          </w:p>
        </w:tc>
        <w:tc>
          <w:tcPr>
            <w:tcW w:w="3360" w:type="dxa"/>
            <w:vAlign w:val="center"/>
          </w:tcPr>
          <w:p w14:paraId="67FEE0F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须提供声明函原件（格式详见第七章响应文件格式附件1-5）</w:t>
            </w:r>
          </w:p>
        </w:tc>
        <w:tc>
          <w:tcPr>
            <w:tcW w:w="4490" w:type="dxa"/>
            <w:vAlign w:val="center"/>
          </w:tcPr>
          <w:p w14:paraId="466224E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4532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317C94C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6</w:t>
            </w:r>
          </w:p>
        </w:tc>
        <w:tc>
          <w:tcPr>
            <w:tcW w:w="1275" w:type="dxa"/>
            <w:vAlign w:val="center"/>
          </w:tcPr>
          <w:p w14:paraId="45C6BDD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供应商信用记录</w:t>
            </w:r>
          </w:p>
        </w:tc>
        <w:tc>
          <w:tcPr>
            <w:tcW w:w="3360" w:type="dxa"/>
            <w:vAlign w:val="center"/>
          </w:tcPr>
          <w:p w14:paraId="241F68B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投标人不得为“信用中国”网站中列入失信被执行人和重大税收违法案件当事人名单的投标人（在处罚期内），不得为“中国政府采购网”政府采购严重违法失信行为记录名单中被财政部门禁止参加政府采购活动的投标人（在处罚期内）。</w:t>
            </w:r>
            <w:r>
              <w:rPr>
                <w:rFonts w:hint="eastAsia" w:ascii="仿宋" w:hAnsi="仿宋" w:eastAsia="仿宋" w:cs="仿宋"/>
                <w:b/>
                <w:bCs/>
                <w:color w:val="auto"/>
                <w:sz w:val="21"/>
                <w:szCs w:val="21"/>
                <w:highlight w:val="none"/>
                <w:vertAlign w:val="baseline"/>
                <w:lang w:val="en-US" w:eastAsia="zh-CN"/>
              </w:rPr>
              <w:t>无须投标人提供，由采购人或采购代理机构查询结果为准</w:t>
            </w:r>
          </w:p>
        </w:tc>
        <w:tc>
          <w:tcPr>
            <w:tcW w:w="4490" w:type="dxa"/>
            <w:vAlign w:val="center"/>
          </w:tcPr>
          <w:p w14:paraId="1A44D52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查询渠道：信用中国网站和中国政府采购网</w:t>
            </w:r>
          </w:p>
          <w:p w14:paraId="089771D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 xml:space="preserve">查询时间：投标截止时间后至资格审查阶段完成； </w:t>
            </w:r>
          </w:p>
          <w:p w14:paraId="6778648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信用信息查询记录和证据留存具体方式：查询结果网页 打印页作为查询记录和证据，与其他采购文件一并保存；</w:t>
            </w:r>
          </w:p>
          <w:p w14:paraId="55DA3AA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w:t>
            </w:r>
            <w:r>
              <w:rPr>
                <w:rFonts w:hint="eastAsia" w:ascii="仿宋" w:hAnsi="仿宋" w:eastAsia="仿宋" w:cs="仿宋"/>
                <w:b/>
                <w:bCs/>
                <w:color w:val="auto"/>
                <w:sz w:val="21"/>
                <w:szCs w:val="21"/>
                <w:highlight w:val="none"/>
                <w:vertAlign w:val="baseline"/>
                <w:lang w:val="en-US" w:eastAsia="zh-CN"/>
              </w:rPr>
              <w:t>响应无效</w:t>
            </w:r>
            <w:r>
              <w:rPr>
                <w:rFonts w:hint="eastAsia" w:ascii="仿宋" w:hAnsi="仿宋" w:eastAsia="仿宋" w:cs="仿宋"/>
                <w:b w:val="0"/>
                <w:bCs w:val="0"/>
                <w:color w:val="auto"/>
                <w:sz w:val="21"/>
                <w:szCs w:val="21"/>
                <w:highlight w:val="none"/>
                <w:vertAlign w:val="baseline"/>
                <w:lang w:val="en-US" w:eastAsia="zh-CN"/>
              </w:rPr>
              <w:t>。联合体形式投标的，联合体成员存在不良信用记录，视同联合体存在不良信用记录。</w:t>
            </w:r>
            <w:r>
              <w:rPr>
                <w:rFonts w:hint="eastAsia" w:ascii="仿宋" w:hAnsi="仿宋" w:eastAsia="仿宋" w:cs="仿宋"/>
                <w:b/>
                <w:bCs/>
                <w:color w:val="auto"/>
                <w:sz w:val="21"/>
                <w:szCs w:val="21"/>
                <w:highlight w:val="none"/>
                <w:vertAlign w:val="baseline"/>
                <w:lang w:val="en-US" w:eastAsia="zh-CN"/>
              </w:rPr>
              <w:t>无须供应商提供，由采购人或采购代理机构查询结果为准。</w:t>
            </w:r>
          </w:p>
        </w:tc>
      </w:tr>
      <w:tr w14:paraId="1E7D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shd w:val="clear" w:color="auto" w:fill="auto"/>
            <w:vAlign w:val="center"/>
          </w:tcPr>
          <w:p w14:paraId="463DF95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kern w:val="2"/>
                <w:sz w:val="21"/>
                <w:szCs w:val="21"/>
                <w:highlight w:val="none"/>
                <w:vertAlign w:val="baseline"/>
                <w:lang w:val="en-US" w:eastAsia="zh-CN" w:bidi="ar-SA"/>
              </w:rPr>
            </w:pPr>
            <w:r>
              <w:rPr>
                <w:rFonts w:hint="eastAsia" w:ascii="仿宋" w:hAnsi="仿宋" w:eastAsia="仿宋" w:cs="仿宋"/>
                <w:b w:val="0"/>
                <w:bCs w:val="0"/>
                <w:sz w:val="21"/>
                <w:szCs w:val="21"/>
                <w:highlight w:val="none"/>
                <w:vertAlign w:val="baseline"/>
                <w:lang w:val="en-US" w:eastAsia="zh-CN"/>
              </w:rPr>
              <w:t>7</w:t>
            </w:r>
          </w:p>
        </w:tc>
        <w:tc>
          <w:tcPr>
            <w:tcW w:w="1275" w:type="dxa"/>
            <w:shd w:val="clear" w:color="auto" w:fill="auto"/>
            <w:vAlign w:val="center"/>
          </w:tcPr>
          <w:p w14:paraId="1852177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落实政府采购政策</w:t>
            </w:r>
          </w:p>
          <w:p w14:paraId="5588F69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kern w:val="2"/>
                <w:sz w:val="21"/>
                <w:szCs w:val="21"/>
                <w:highlight w:val="none"/>
                <w:vertAlign w:val="baseline"/>
                <w:lang w:val="en-US" w:eastAsia="zh-CN" w:bidi="ar-SA"/>
              </w:rPr>
            </w:pPr>
            <w:r>
              <w:rPr>
                <w:rFonts w:hint="eastAsia" w:ascii="仿宋" w:hAnsi="仿宋" w:eastAsia="仿宋" w:cs="仿宋"/>
                <w:b w:val="0"/>
                <w:bCs w:val="0"/>
                <w:sz w:val="21"/>
                <w:szCs w:val="21"/>
                <w:highlight w:val="none"/>
                <w:vertAlign w:val="baseline"/>
                <w:lang w:val="en-US" w:eastAsia="zh-CN"/>
              </w:rPr>
              <w:t>的资格要求</w:t>
            </w:r>
          </w:p>
        </w:tc>
        <w:tc>
          <w:tcPr>
            <w:tcW w:w="3360" w:type="dxa"/>
            <w:shd w:val="clear" w:color="auto" w:fill="auto"/>
            <w:vAlign w:val="center"/>
          </w:tcPr>
          <w:p w14:paraId="53D7D81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color w:val="auto"/>
                <w:sz w:val="24"/>
                <w:highlight w:val="none"/>
                <w:lang w:val="en-US" w:eastAsia="zh-CN"/>
              </w:rPr>
              <w:t>本标项</w:t>
            </w:r>
            <w:r>
              <w:rPr>
                <w:rFonts w:hint="eastAsia" w:ascii="仿宋" w:hAnsi="仿宋" w:eastAsia="仿宋" w:cs="仿宋"/>
                <w:b w:val="0"/>
                <w:bCs w:val="0"/>
                <w:color w:val="auto"/>
                <w:sz w:val="24"/>
                <w:szCs w:val="24"/>
                <w:highlight w:val="none"/>
                <w:lang w:val="en-US" w:eastAsia="zh-CN"/>
              </w:rPr>
              <w:t>专门面向中小企业（含中型、小型、微型企业）采购，</w:t>
            </w:r>
            <w:r>
              <w:rPr>
                <w:rFonts w:hint="eastAsia" w:ascii="仿宋" w:hAnsi="仿宋" w:eastAsia="仿宋" w:cs="仿宋"/>
                <w:b w:val="0"/>
                <w:bCs w:val="0"/>
                <w:sz w:val="24"/>
                <w:szCs w:val="24"/>
                <w:highlight w:val="none"/>
                <w:lang w:val="en-US" w:eastAsia="zh-CN"/>
              </w:rPr>
              <w:t>供应商应为中小企业</w:t>
            </w:r>
            <w:r>
              <w:rPr>
                <w:rFonts w:hint="eastAsia" w:ascii="仿宋" w:hAnsi="仿宋" w:eastAsia="仿宋" w:cs="仿宋"/>
                <w:b w:val="0"/>
                <w:bCs w:val="0"/>
                <w:color w:val="auto"/>
                <w:sz w:val="24"/>
                <w:szCs w:val="24"/>
                <w:highlight w:val="none"/>
                <w:lang w:val="en-US" w:eastAsia="zh-CN"/>
              </w:rPr>
              <w:t>或财库〔2014〕68号文规定的企业</w:t>
            </w:r>
            <w:r>
              <w:rPr>
                <w:rFonts w:hint="eastAsia" w:ascii="仿宋" w:hAnsi="仿宋" w:eastAsia="仿宋" w:cs="仿宋"/>
                <w:b w:val="0"/>
                <w:bCs w:val="0"/>
                <w:sz w:val="24"/>
                <w:szCs w:val="24"/>
                <w:highlight w:val="none"/>
                <w:lang w:val="en-US" w:eastAsia="zh-CN"/>
              </w:rPr>
              <w:t>或残疾人福利性单位。（以联合体形式参加政府采购活动，联合体各方均为中小企业的，联合体视同中小企业。其中，联合体各方均为小微企业的，联合体视同小微企业</w:t>
            </w:r>
            <w:r>
              <w:rPr>
                <w:rFonts w:hint="eastAsia" w:ascii="仿宋" w:hAnsi="仿宋" w:eastAsia="仿宋" w:cs="仿宋"/>
                <w:b w:val="0"/>
                <w:bCs w:val="0"/>
                <w:color w:val="auto"/>
                <w:sz w:val="24"/>
                <w:szCs w:val="24"/>
                <w:highlight w:val="none"/>
                <w:lang w:val="en-US" w:eastAsia="zh-CN"/>
              </w:rPr>
              <w:t>）</w:t>
            </w:r>
          </w:p>
        </w:tc>
        <w:tc>
          <w:tcPr>
            <w:tcW w:w="4490" w:type="dxa"/>
            <w:shd w:val="clear" w:color="auto" w:fill="auto"/>
            <w:vAlign w:val="center"/>
          </w:tcPr>
          <w:p w14:paraId="0211B7C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1、请根据"落实政府采购政策需满足的资格要求及审查要求"，上传对应中小企业声明函，格式以采购文件要求为准，无格式自行拟定。如果是联合体投标，联合体各方均需提供，加盖联合体牵头方公章或所有联合体成员公章。</w:t>
            </w:r>
          </w:p>
          <w:p w14:paraId="45D3C35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2、若为联合体投标单独上传《联合协议》，并在联合体协议中进行相关比例说明。格式以采购文件要求为准。加盖</w:t>
            </w:r>
            <w:r>
              <w:rPr>
                <w:rFonts w:hint="eastAsia" w:ascii="仿宋" w:hAnsi="仿宋" w:eastAsia="仿宋" w:cs="仿宋"/>
                <w:b/>
                <w:bCs/>
                <w:color w:val="000000"/>
                <w:spacing w:val="0"/>
                <w:kern w:val="2"/>
                <w:sz w:val="21"/>
                <w:szCs w:val="21"/>
                <w:highlight w:val="none"/>
                <w:u w:val="none"/>
                <w:vertAlign w:val="baseline"/>
                <w:lang w:val="en-US" w:eastAsia="zh-CN" w:bidi="ar"/>
              </w:rPr>
              <w:t>所有联合体成员公</w:t>
            </w:r>
            <w:r>
              <w:rPr>
                <w:rFonts w:hint="eastAsia" w:ascii="仿宋" w:hAnsi="仿宋" w:eastAsia="仿宋" w:cs="仿宋"/>
                <w:b w:val="0"/>
                <w:bCs w:val="0"/>
                <w:color w:val="000000"/>
                <w:spacing w:val="0"/>
                <w:kern w:val="2"/>
                <w:sz w:val="21"/>
                <w:szCs w:val="21"/>
                <w:highlight w:val="none"/>
                <w:u w:val="none"/>
                <w:vertAlign w:val="baseline"/>
                <w:lang w:val="en-US" w:eastAsia="zh-CN" w:bidi="ar"/>
              </w:rPr>
              <w:t>章上传。</w:t>
            </w:r>
          </w:p>
        </w:tc>
      </w:tr>
      <w:tr w14:paraId="32A8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6141AC8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8</w:t>
            </w:r>
          </w:p>
        </w:tc>
        <w:tc>
          <w:tcPr>
            <w:tcW w:w="1275" w:type="dxa"/>
            <w:vAlign w:val="center"/>
          </w:tcPr>
          <w:p w14:paraId="1BC257C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特定资格要求</w:t>
            </w:r>
          </w:p>
        </w:tc>
        <w:tc>
          <w:tcPr>
            <w:tcW w:w="3360" w:type="dxa"/>
            <w:vAlign w:val="center"/>
          </w:tcPr>
          <w:p w14:paraId="05C6FCB1">
            <w:pPr>
              <w:pStyle w:val="46"/>
              <w:keepNext w:val="0"/>
              <w:keepLines w:val="0"/>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b w:val="0"/>
                <w:bCs w:val="0"/>
                <w:color w:val="auto"/>
                <w:spacing w:val="0"/>
                <w:kern w:val="2"/>
                <w:sz w:val="21"/>
                <w:szCs w:val="21"/>
                <w:highlight w:val="none"/>
                <w:u w:val="none"/>
                <w:vertAlign w:val="baseline"/>
                <w:lang w:val="en-US" w:eastAsia="zh-CN" w:bidi="ar"/>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供应商具有国家行业主管部门核发的有效的会计师事务所执业证书。</w:t>
            </w:r>
          </w:p>
        </w:tc>
        <w:tc>
          <w:tcPr>
            <w:tcW w:w="4490" w:type="dxa"/>
            <w:vAlign w:val="center"/>
          </w:tcPr>
          <w:p w14:paraId="47A86EE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上传对应的资格文件扫描件加盖电子印章。</w:t>
            </w:r>
            <w:r>
              <w:rPr>
                <w:rFonts w:hint="eastAsia" w:ascii="仿宋" w:hAnsi="仿宋" w:eastAsia="仿宋" w:cs="仿宋"/>
                <w:b w:val="0"/>
                <w:bCs w:val="0"/>
                <w:color w:val="auto"/>
                <w:spacing w:val="0"/>
                <w:kern w:val="2"/>
                <w:sz w:val="21"/>
                <w:szCs w:val="21"/>
                <w:highlight w:val="none"/>
                <w:u w:val="none"/>
                <w:vertAlign w:val="baseline"/>
                <w:lang w:val="en-US" w:eastAsia="zh-CN" w:bidi="ar"/>
              </w:rPr>
              <w:t>如果是联合体投标，加盖联合体牵头方公章或所有联合体成员公章。</w:t>
            </w:r>
          </w:p>
        </w:tc>
      </w:tr>
    </w:tbl>
    <w:p w14:paraId="785C5EBA">
      <w:pPr>
        <w:pStyle w:val="16"/>
        <w:widowControl w:val="0"/>
        <w:numPr>
          <w:ilvl w:val="0"/>
          <w:numId w:val="0"/>
        </w:numPr>
        <w:autoSpaceDE w:val="0"/>
        <w:autoSpaceDN w:val="0"/>
        <w:spacing w:before="0" w:after="0" w:line="240" w:lineRule="auto"/>
        <w:ind w:right="0" w:rightChars="0"/>
        <w:jc w:val="left"/>
        <w:rPr>
          <w:rFonts w:hint="eastAsia" w:ascii="仿宋" w:hAnsi="仿宋" w:eastAsia="仿宋" w:cs="仿宋"/>
          <w:b/>
          <w:bCs/>
          <w:highlight w:val="none"/>
          <w:lang w:val="en-US" w:eastAsia="zh-CN"/>
        </w:rPr>
      </w:pPr>
    </w:p>
    <w:p w14:paraId="32113C9F">
      <w:pPr>
        <w:pStyle w:val="16"/>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500" w:lineRule="exact"/>
        <w:ind w:left="0" w:leftChars="0" w:right="0" w:rightChars="0" w:firstLine="0" w:firstLineChars="0"/>
        <w:jc w:val="left"/>
        <w:textAlignment w:val="auto"/>
        <w:outlineLvl w:val="1"/>
        <w:rPr>
          <w:rFonts w:hint="eastAsia" w:ascii="仿宋" w:hAnsi="仿宋" w:eastAsia="仿宋" w:cs="仿宋"/>
          <w:highlight w:val="none"/>
          <w:lang w:val="en-US" w:eastAsia="zh-CN"/>
        </w:rPr>
      </w:pPr>
      <w:bookmarkStart w:id="248" w:name="_Toc28667"/>
      <w:bookmarkStart w:id="249" w:name="_Toc20410"/>
      <w:r>
        <w:rPr>
          <w:rFonts w:hint="eastAsia" w:ascii="仿宋" w:hAnsi="仿宋" w:eastAsia="仿宋" w:cs="仿宋"/>
          <w:b/>
          <w:bCs/>
          <w:sz w:val="24"/>
          <w:szCs w:val="24"/>
          <w:highlight w:val="none"/>
          <w:lang w:val="en-US" w:eastAsia="zh-CN"/>
        </w:rPr>
        <w:t>符合性审查</w:t>
      </w:r>
      <w:bookmarkEnd w:id="248"/>
      <w:bookmarkEnd w:id="249"/>
    </w:p>
    <w:p w14:paraId="405FB414">
      <w:pPr>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小组依据采购文件，对响应文件的有效性、完整性和对采购文件的响应程度进行审查，以确定供应商是否对采购文件的实质性要求做出响应。符合性审查中凡有其中任意一项未通过的，评审结果为未通过，未通过符合性审查的供应商，不进入详细评审。审查内容如下：</w:t>
      </w:r>
    </w:p>
    <w:p w14:paraId="3B828BB2">
      <w:pPr>
        <w:pStyle w:val="16"/>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符合性审查要求</w:t>
      </w:r>
    </w:p>
    <w:tbl>
      <w:tblPr>
        <w:tblStyle w:val="31"/>
        <w:tblpPr w:leftFromText="180" w:rightFromText="180" w:vertAnchor="text" w:horzAnchor="page" w:tblpX="1381" w:tblpY="506"/>
        <w:tblOverlap w:val="never"/>
        <w:tblW w:w="9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037"/>
        <w:gridCol w:w="4025"/>
        <w:gridCol w:w="4133"/>
      </w:tblGrid>
      <w:tr w14:paraId="7E5B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3728572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序号</w:t>
            </w:r>
          </w:p>
        </w:tc>
        <w:tc>
          <w:tcPr>
            <w:tcW w:w="1037" w:type="dxa"/>
            <w:vAlign w:val="center"/>
          </w:tcPr>
          <w:p w14:paraId="35D472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审查因素</w:t>
            </w:r>
          </w:p>
        </w:tc>
        <w:tc>
          <w:tcPr>
            <w:tcW w:w="4025" w:type="dxa"/>
            <w:vAlign w:val="center"/>
          </w:tcPr>
          <w:p w14:paraId="0AD9130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审查内容</w:t>
            </w:r>
          </w:p>
        </w:tc>
        <w:tc>
          <w:tcPr>
            <w:tcW w:w="4133" w:type="dxa"/>
            <w:vAlign w:val="center"/>
          </w:tcPr>
          <w:p w14:paraId="0145763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要求说明</w:t>
            </w:r>
          </w:p>
        </w:tc>
      </w:tr>
      <w:tr w14:paraId="0166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703CFA7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w:t>
            </w:r>
          </w:p>
        </w:tc>
        <w:tc>
          <w:tcPr>
            <w:tcW w:w="1037" w:type="dxa"/>
            <w:vAlign w:val="center"/>
          </w:tcPr>
          <w:p w14:paraId="40E5870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授权委托书</w:t>
            </w:r>
          </w:p>
        </w:tc>
        <w:tc>
          <w:tcPr>
            <w:tcW w:w="4025" w:type="dxa"/>
            <w:vAlign w:val="center"/>
          </w:tcPr>
          <w:p w14:paraId="339BC01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响应文件中由法定代表人签字或盖签名章的，须提供法定代表人身份证明书；响应文件中由授权委托人签字的，须提供法定代表人授权委托书及法定代表人身份证明书。</w:t>
            </w:r>
          </w:p>
        </w:tc>
        <w:tc>
          <w:tcPr>
            <w:tcW w:w="4133" w:type="dxa"/>
            <w:vAlign w:val="center"/>
          </w:tcPr>
          <w:p w14:paraId="2539D4B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按审查内容</w:t>
            </w:r>
            <w:r>
              <w:rPr>
                <w:rFonts w:hint="eastAsia" w:ascii="仿宋" w:hAnsi="仿宋" w:eastAsia="仿宋" w:cs="仿宋"/>
                <w:color w:val="auto"/>
                <w:sz w:val="21"/>
                <w:szCs w:val="21"/>
                <w:highlight w:val="none"/>
              </w:rPr>
              <w:t>要求</w:t>
            </w:r>
            <w:r>
              <w:rPr>
                <w:rFonts w:hint="eastAsia" w:ascii="仿宋" w:hAnsi="仿宋" w:eastAsia="仿宋" w:cs="仿宋"/>
                <w:color w:val="auto"/>
                <w:sz w:val="21"/>
                <w:szCs w:val="21"/>
                <w:highlight w:val="none"/>
                <w:lang w:val="en-US" w:eastAsia="zh-CN"/>
              </w:rPr>
              <w:t>提供</w:t>
            </w:r>
            <w:r>
              <w:rPr>
                <w:rFonts w:hint="eastAsia" w:ascii="仿宋" w:hAnsi="仿宋" w:eastAsia="仿宋" w:cs="仿宋"/>
                <w:color w:val="auto"/>
                <w:sz w:val="21"/>
                <w:szCs w:val="21"/>
                <w:highlight w:val="none"/>
              </w:rPr>
              <w:t>法定代表人身份证明</w:t>
            </w:r>
            <w:r>
              <w:rPr>
                <w:rFonts w:hint="eastAsia" w:ascii="仿宋" w:hAnsi="仿宋" w:eastAsia="仿宋" w:cs="仿宋"/>
                <w:color w:val="auto"/>
                <w:sz w:val="21"/>
                <w:szCs w:val="21"/>
                <w:highlight w:val="none"/>
                <w:lang w:val="en-US" w:eastAsia="zh-CN"/>
              </w:rPr>
              <w:t>及</w:t>
            </w:r>
            <w:r>
              <w:rPr>
                <w:rFonts w:hint="eastAsia" w:ascii="仿宋" w:hAnsi="仿宋" w:eastAsia="仿宋" w:cs="仿宋"/>
                <w:color w:val="auto"/>
                <w:sz w:val="21"/>
                <w:szCs w:val="21"/>
                <w:highlight w:val="none"/>
              </w:rPr>
              <w:t>法定代表人身份证明。</w:t>
            </w:r>
          </w:p>
        </w:tc>
      </w:tr>
      <w:tr w14:paraId="78DD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01A55FC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w:t>
            </w:r>
          </w:p>
        </w:tc>
        <w:tc>
          <w:tcPr>
            <w:tcW w:w="1037" w:type="dxa"/>
            <w:vAlign w:val="center"/>
          </w:tcPr>
          <w:p w14:paraId="40C4BC4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磋商保证金</w:t>
            </w:r>
          </w:p>
        </w:tc>
        <w:tc>
          <w:tcPr>
            <w:tcW w:w="4025" w:type="dxa"/>
            <w:vAlign w:val="center"/>
          </w:tcPr>
          <w:p w14:paraId="1D52B6B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是否按照采购文件的规定提交磋商保证金</w:t>
            </w:r>
          </w:p>
        </w:tc>
        <w:tc>
          <w:tcPr>
            <w:tcW w:w="4133" w:type="dxa"/>
            <w:vAlign w:val="center"/>
          </w:tcPr>
          <w:p w14:paraId="385FE46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sz w:val="21"/>
                <w:szCs w:val="21"/>
                <w:highlight w:val="none"/>
                <w:vertAlign w:val="baseline"/>
                <w:lang w:val="en-US" w:eastAsia="zh-CN"/>
              </w:rPr>
              <w:t>按照采购文件的规定提交磋商保证金</w:t>
            </w:r>
          </w:p>
        </w:tc>
      </w:tr>
      <w:tr w14:paraId="32D7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64BF7C1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3</w:t>
            </w:r>
          </w:p>
        </w:tc>
        <w:tc>
          <w:tcPr>
            <w:tcW w:w="1037" w:type="dxa"/>
            <w:vAlign w:val="center"/>
          </w:tcPr>
          <w:p w14:paraId="2A75444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响应完整性</w:t>
            </w:r>
          </w:p>
        </w:tc>
        <w:tc>
          <w:tcPr>
            <w:tcW w:w="4025" w:type="dxa"/>
            <w:vAlign w:val="center"/>
          </w:tcPr>
          <w:p w14:paraId="1CF93B6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是否将一个采购包中的内容拆开投标</w:t>
            </w:r>
          </w:p>
        </w:tc>
        <w:tc>
          <w:tcPr>
            <w:tcW w:w="4133" w:type="dxa"/>
            <w:vAlign w:val="center"/>
          </w:tcPr>
          <w:p w14:paraId="42C7460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未将一个采购包中的内容拆开投标</w:t>
            </w:r>
          </w:p>
        </w:tc>
      </w:tr>
      <w:tr w14:paraId="0486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40FD082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4</w:t>
            </w:r>
          </w:p>
        </w:tc>
        <w:tc>
          <w:tcPr>
            <w:tcW w:w="1037" w:type="dxa"/>
            <w:vAlign w:val="center"/>
          </w:tcPr>
          <w:p w14:paraId="014E05F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响应报价</w:t>
            </w:r>
          </w:p>
        </w:tc>
        <w:tc>
          <w:tcPr>
            <w:tcW w:w="4025" w:type="dxa"/>
            <w:vAlign w:val="center"/>
          </w:tcPr>
          <w:p w14:paraId="1B503F4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响应报价是否超过采购文件中规定的项目/采购包预算金额或者项目/采购包最高限价；</w:t>
            </w:r>
          </w:p>
        </w:tc>
        <w:tc>
          <w:tcPr>
            <w:tcW w:w="4133" w:type="dxa"/>
            <w:vAlign w:val="center"/>
          </w:tcPr>
          <w:p w14:paraId="4342E6A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响应报价未超过采购文件中规定的项目/采购包预算金额或者项目/采购包最高限价；</w:t>
            </w:r>
          </w:p>
        </w:tc>
      </w:tr>
      <w:tr w14:paraId="6702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435125F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5</w:t>
            </w:r>
          </w:p>
        </w:tc>
        <w:tc>
          <w:tcPr>
            <w:tcW w:w="1037" w:type="dxa"/>
            <w:vAlign w:val="center"/>
          </w:tcPr>
          <w:p w14:paraId="7C709AE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报价唯一性</w:t>
            </w:r>
          </w:p>
        </w:tc>
        <w:tc>
          <w:tcPr>
            <w:tcW w:w="4025" w:type="dxa"/>
            <w:vAlign w:val="center"/>
          </w:tcPr>
          <w:p w14:paraId="036B3BA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响应文件是否出现可选择性或可调整的报价（采购文件另有规定的除外）</w:t>
            </w:r>
          </w:p>
        </w:tc>
        <w:tc>
          <w:tcPr>
            <w:tcW w:w="4133" w:type="dxa"/>
            <w:vAlign w:val="center"/>
          </w:tcPr>
          <w:p w14:paraId="55479B7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响应文件未出现可选择性或可调整的报价（采购文件另有规定的除外）</w:t>
            </w:r>
          </w:p>
        </w:tc>
      </w:tr>
      <w:tr w14:paraId="617C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95" w:type="dxa"/>
            <w:vAlign w:val="center"/>
          </w:tcPr>
          <w:p w14:paraId="1CD338B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6</w:t>
            </w:r>
          </w:p>
        </w:tc>
        <w:tc>
          <w:tcPr>
            <w:tcW w:w="1037" w:type="dxa"/>
            <w:vAlign w:val="center"/>
          </w:tcPr>
          <w:p w14:paraId="2A7CD0A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其他报价要求</w:t>
            </w:r>
          </w:p>
        </w:tc>
        <w:tc>
          <w:tcPr>
            <w:tcW w:w="4025" w:type="dxa"/>
            <w:vAlign w:val="center"/>
          </w:tcPr>
          <w:p w14:paraId="722F3A0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报价文件是否含有采购人不能接受的条件或是否有不满足招标文件规定的其他要求</w:t>
            </w:r>
          </w:p>
        </w:tc>
        <w:tc>
          <w:tcPr>
            <w:tcW w:w="4133" w:type="dxa"/>
            <w:vAlign w:val="center"/>
          </w:tcPr>
          <w:p w14:paraId="15532CE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报价文件无采购人不能接受的条件或无不满足招标文件规定的其他要求</w:t>
            </w:r>
          </w:p>
        </w:tc>
      </w:tr>
      <w:tr w14:paraId="0BF4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78C525F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7</w:t>
            </w:r>
          </w:p>
        </w:tc>
        <w:tc>
          <w:tcPr>
            <w:tcW w:w="1037" w:type="dxa"/>
            <w:vAlign w:val="center"/>
          </w:tcPr>
          <w:p w14:paraId="47B5E38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响应有效期</w:t>
            </w:r>
          </w:p>
        </w:tc>
        <w:tc>
          <w:tcPr>
            <w:tcW w:w="4025" w:type="dxa"/>
            <w:vAlign w:val="center"/>
          </w:tcPr>
          <w:p w14:paraId="5C44979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响应文件中承诺的响应有效期是否满足采购文件中载明的响应有效期</w:t>
            </w:r>
          </w:p>
        </w:tc>
        <w:tc>
          <w:tcPr>
            <w:tcW w:w="4133" w:type="dxa"/>
            <w:vAlign w:val="center"/>
          </w:tcPr>
          <w:p w14:paraId="140A4BD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响应文件中承诺的响应有效期满足采购文件中载明的响应有效期</w:t>
            </w:r>
          </w:p>
        </w:tc>
      </w:tr>
      <w:tr w14:paraId="2DC1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62F916E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8</w:t>
            </w:r>
          </w:p>
        </w:tc>
        <w:tc>
          <w:tcPr>
            <w:tcW w:w="1037" w:type="dxa"/>
            <w:vAlign w:val="center"/>
          </w:tcPr>
          <w:p w14:paraId="5EB00F7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签署、盖章</w:t>
            </w:r>
          </w:p>
        </w:tc>
        <w:tc>
          <w:tcPr>
            <w:tcW w:w="4025" w:type="dxa"/>
            <w:vAlign w:val="center"/>
          </w:tcPr>
          <w:p w14:paraId="4E5A7DA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是否按照采购文件要求签署、盖章</w:t>
            </w:r>
          </w:p>
        </w:tc>
        <w:tc>
          <w:tcPr>
            <w:tcW w:w="4133" w:type="dxa"/>
            <w:vAlign w:val="center"/>
          </w:tcPr>
          <w:p w14:paraId="7FE96B3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按照采购文件要求签署、盖章</w:t>
            </w:r>
          </w:p>
        </w:tc>
      </w:tr>
      <w:tr w14:paraId="3832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7731FAE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9</w:t>
            </w:r>
          </w:p>
        </w:tc>
        <w:tc>
          <w:tcPr>
            <w:tcW w:w="1037" w:type="dxa"/>
            <w:vAlign w:val="center"/>
          </w:tcPr>
          <w:p w14:paraId="091FFEF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报价合理性</w:t>
            </w:r>
          </w:p>
        </w:tc>
        <w:tc>
          <w:tcPr>
            <w:tcW w:w="4025" w:type="dxa"/>
            <w:vAlign w:val="center"/>
          </w:tcPr>
          <w:p w14:paraId="624279D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报价是否合理，或供应商的报价是否明显低于其他通过符合性审查供应商的报价，有可能影响产品质量或者不能诚信履约的，是否能够应磋商小组要求在规定时间内证明其报价合理性</w:t>
            </w:r>
          </w:p>
        </w:tc>
        <w:tc>
          <w:tcPr>
            <w:tcW w:w="4133" w:type="dxa"/>
            <w:vAlign w:val="center"/>
          </w:tcPr>
          <w:p w14:paraId="0B42309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报价合理，或供应商的报价明显低于其他通过符合性审查供应商的报价，有可能影响产品质量或者不能诚信履约的，能够应磋商小组要求在规定时间内证明其报价合理性的</w:t>
            </w:r>
          </w:p>
        </w:tc>
      </w:tr>
      <w:tr w14:paraId="799A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791A0D9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10</w:t>
            </w:r>
          </w:p>
        </w:tc>
        <w:tc>
          <w:tcPr>
            <w:tcW w:w="1037" w:type="dxa"/>
            <w:vAlign w:val="center"/>
          </w:tcPr>
          <w:p w14:paraId="1220DC3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附加条件</w:t>
            </w:r>
          </w:p>
        </w:tc>
        <w:tc>
          <w:tcPr>
            <w:tcW w:w="4025" w:type="dxa"/>
            <w:vAlign w:val="center"/>
          </w:tcPr>
          <w:p w14:paraId="5D6BEE1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响应文件是否含有采购人不能接受的附加条件</w:t>
            </w:r>
          </w:p>
        </w:tc>
        <w:tc>
          <w:tcPr>
            <w:tcW w:w="4133" w:type="dxa"/>
            <w:vAlign w:val="center"/>
          </w:tcPr>
          <w:p w14:paraId="64348DD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响应文件未含有采购人不能接受的附加条件</w:t>
            </w:r>
          </w:p>
        </w:tc>
      </w:tr>
      <w:tr w14:paraId="107C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0230C7B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11</w:t>
            </w:r>
          </w:p>
        </w:tc>
        <w:tc>
          <w:tcPr>
            <w:tcW w:w="1037" w:type="dxa"/>
            <w:vAlign w:val="center"/>
          </w:tcPr>
          <w:p w14:paraId="6B14E9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其他</w:t>
            </w:r>
          </w:p>
        </w:tc>
        <w:tc>
          <w:tcPr>
            <w:tcW w:w="4025" w:type="dxa"/>
            <w:vAlign w:val="center"/>
          </w:tcPr>
          <w:p w14:paraId="3B47B98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响应文件中是否存在违反国家法律、法规和采购文件规定的其他无效情形</w:t>
            </w:r>
          </w:p>
        </w:tc>
        <w:tc>
          <w:tcPr>
            <w:tcW w:w="4133" w:type="dxa"/>
            <w:vAlign w:val="center"/>
          </w:tcPr>
          <w:p w14:paraId="5427004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响应文件中不存在违反国家法律、法规和采购文件规定的其他无效情形</w:t>
            </w:r>
          </w:p>
        </w:tc>
      </w:tr>
    </w:tbl>
    <w:p w14:paraId="28F256E8">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textAlignment w:val="auto"/>
        <w:outlineLvl w:val="1"/>
        <w:rPr>
          <w:rFonts w:hint="eastAsia" w:ascii="仿宋" w:hAnsi="仿宋" w:eastAsia="仿宋" w:cs="仿宋"/>
          <w:b/>
          <w:bCs/>
          <w:sz w:val="24"/>
          <w:szCs w:val="24"/>
          <w:highlight w:val="none"/>
          <w:lang w:val="en-US" w:eastAsia="zh-CN"/>
        </w:rPr>
      </w:pPr>
      <w:bookmarkStart w:id="250" w:name="_Toc28783"/>
      <w:bookmarkStart w:id="251" w:name="_Toc23638"/>
      <w:r>
        <w:rPr>
          <w:rFonts w:hint="eastAsia" w:ascii="仿宋" w:hAnsi="仿宋" w:eastAsia="仿宋" w:cs="仿宋"/>
          <w:b/>
          <w:bCs/>
          <w:sz w:val="24"/>
          <w:szCs w:val="24"/>
          <w:highlight w:val="none"/>
          <w:lang w:val="en-US" w:eastAsia="zh-CN"/>
        </w:rPr>
        <w:t>响应文件澄清</w:t>
      </w:r>
      <w:bookmarkEnd w:id="250"/>
      <w:bookmarkEnd w:id="251"/>
    </w:p>
    <w:p w14:paraId="167B6D16">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于响应文件中含义不明确、同类问题表述不一致或者有明显文字和计算错误的内容，磋商小组可在评审过程中发起在线澄清，要求供应商针对价格或内容做出必要的澄清、说明或补正。代理机构可根据开启环节记录的</w:t>
      </w:r>
      <w:r>
        <w:rPr>
          <w:rFonts w:hint="eastAsia" w:ascii="仿宋" w:hAnsi="仿宋" w:eastAsia="仿宋" w:cs="仿宋"/>
          <w:b/>
          <w:bCs/>
          <w:sz w:val="24"/>
          <w:szCs w:val="24"/>
          <w:highlight w:val="none"/>
          <w:lang w:val="en-US" w:eastAsia="zh-CN"/>
        </w:rPr>
        <w:t>授权代表人联系方式</w:t>
      </w:r>
      <w:r>
        <w:rPr>
          <w:rFonts w:hint="eastAsia" w:ascii="仿宋" w:hAnsi="仿宋" w:eastAsia="仿宋" w:cs="仿宋"/>
          <w:sz w:val="24"/>
          <w:szCs w:val="24"/>
          <w:highlight w:val="none"/>
          <w:lang w:val="en-US" w:eastAsia="zh-CN"/>
        </w:rPr>
        <w:t>发送短信提醒或电话告知。</w:t>
      </w:r>
    </w:p>
    <w:p w14:paraId="5903978B">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供应商需登录电子招投标系统平台项目采购系统的等候大厅，在规定时间内完成澄清（响应），并加盖电子印章。</w:t>
      </w:r>
    </w:p>
    <w:p w14:paraId="6142E899">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若因供应商联系方式错误未接收短信、未接听电话或超时未进行澄清（响应）造成的不利后果由供应商自行承担。供应商的澄清、说明或者补正不得超出响应文件的范围或者改变响应文件的实质性内容。</w:t>
      </w:r>
    </w:p>
    <w:p w14:paraId="1F6A7EBD">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磋商小组不接受供应商主动提出的澄清、说明或补正。</w:t>
      </w:r>
    </w:p>
    <w:p w14:paraId="0E9C3666">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磋商小组对供应商提交的澄清、说明或补正有疑问的，可以要求供应商进一步澄清、说明或补正。</w:t>
      </w:r>
    </w:p>
    <w:p w14:paraId="48D5F703">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b/>
          <w:bCs/>
          <w:sz w:val="24"/>
          <w:szCs w:val="24"/>
          <w:highlight w:val="none"/>
          <w:lang w:val="en-US" w:eastAsia="zh-CN"/>
        </w:rPr>
      </w:pPr>
      <w:bookmarkStart w:id="252" w:name="_Toc799"/>
      <w:r>
        <w:rPr>
          <w:rFonts w:hint="eastAsia" w:ascii="仿宋" w:hAnsi="仿宋" w:eastAsia="仿宋" w:cs="仿宋"/>
          <w:b/>
          <w:bCs/>
          <w:sz w:val="24"/>
          <w:szCs w:val="24"/>
          <w:highlight w:val="none"/>
          <w:lang w:val="en-US" w:eastAsia="zh-CN"/>
        </w:rPr>
        <w:t>价格修正</w:t>
      </w:r>
      <w:bookmarkEnd w:id="252"/>
    </w:p>
    <w:p w14:paraId="4C0EF43A">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对报价的计算错误按以下原则修正：</w:t>
      </w:r>
    </w:p>
    <w:p w14:paraId="1273A5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（1）响应文件中报价一览表（报价表）内容与响应文件中相应内容不一致的，以报价一览表（报价表）为准；</w:t>
      </w:r>
    </w:p>
    <w:p w14:paraId="0DBE01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（2）大写金额和小写金额不一致的，以大写金额为准；</w:t>
      </w:r>
    </w:p>
    <w:p w14:paraId="4D3708E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（3）单价金额小数点或者百分比有明显错位的，以报价一览表的总价为准，并修改单价；</w:t>
      </w:r>
    </w:p>
    <w:p w14:paraId="5B1802E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（4）总价金额与按单价汇总金额不一致的，以单价金额计算结果为准。但是单价金额计算结果超过预算价的，对其按</w:t>
      </w:r>
      <w:r>
        <w:rPr>
          <w:rFonts w:hint="eastAsia" w:ascii="仿宋" w:hAnsi="仿宋" w:eastAsia="仿宋" w:cs="仿宋"/>
          <w:b/>
          <w:bCs/>
          <w:sz w:val="24"/>
          <w:szCs w:val="24"/>
          <w:highlight w:val="none"/>
          <w:lang w:val="en-US" w:eastAsia="zh-CN"/>
        </w:rPr>
        <w:t>无效响应</w:t>
      </w:r>
      <w:r>
        <w:rPr>
          <w:rFonts w:hint="eastAsia" w:ascii="仿宋" w:hAnsi="仿宋" w:eastAsia="仿宋" w:cs="仿宋"/>
          <w:sz w:val="24"/>
          <w:szCs w:val="24"/>
          <w:highlight w:val="none"/>
          <w:lang w:val="en-US" w:eastAsia="zh-CN"/>
        </w:rPr>
        <w:t>处理；</w:t>
      </w:r>
    </w:p>
    <w:p w14:paraId="68BCC35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（5）若投标客户端上传的电子报价数据与电子响应文件价格不一致的，以电子报价数据为准。</w:t>
      </w:r>
    </w:p>
    <w:p w14:paraId="5F0D8B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注：同时出现两种以上不一致的，按照前款规定的顺序在系统上进行价格澄清。澄清后的价格加盖电子印章确认后产生约束力，但不得超出响应文件的范围或者改变响应文件的实质性内容，供应商不确认的，其</w:t>
      </w:r>
      <w:r>
        <w:rPr>
          <w:rFonts w:hint="eastAsia" w:ascii="仿宋" w:hAnsi="仿宋" w:eastAsia="仿宋" w:cs="仿宋"/>
          <w:b/>
          <w:bCs/>
          <w:sz w:val="24"/>
          <w:szCs w:val="24"/>
          <w:highlight w:val="none"/>
          <w:lang w:val="en-US" w:eastAsia="zh-CN"/>
        </w:rPr>
        <w:t>响应无效</w:t>
      </w:r>
      <w:r>
        <w:rPr>
          <w:rFonts w:hint="eastAsia" w:ascii="仿宋" w:hAnsi="仿宋" w:eastAsia="仿宋" w:cs="仿宋"/>
          <w:sz w:val="24"/>
          <w:szCs w:val="24"/>
          <w:highlight w:val="none"/>
          <w:lang w:val="en-US" w:eastAsia="zh-CN"/>
        </w:rPr>
        <w:t>。</w:t>
      </w:r>
    </w:p>
    <w:p w14:paraId="3BF984C1">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textAlignment w:val="auto"/>
        <w:outlineLvl w:val="1"/>
        <w:rPr>
          <w:rFonts w:hint="eastAsia" w:ascii="仿宋" w:hAnsi="仿宋" w:eastAsia="仿宋" w:cs="仿宋"/>
          <w:sz w:val="24"/>
          <w:szCs w:val="24"/>
          <w:highlight w:val="none"/>
          <w:lang w:val="en-US" w:eastAsia="zh-CN"/>
        </w:rPr>
      </w:pPr>
      <w:bookmarkStart w:id="253" w:name="_Toc24810"/>
      <w:bookmarkStart w:id="254" w:name="_Toc27210"/>
      <w:r>
        <w:rPr>
          <w:rFonts w:hint="eastAsia" w:ascii="仿宋" w:hAnsi="仿宋" w:eastAsia="仿宋" w:cs="仿宋"/>
          <w:b/>
          <w:bCs/>
          <w:sz w:val="24"/>
          <w:szCs w:val="24"/>
          <w:highlight w:val="none"/>
          <w:lang w:val="en-US" w:eastAsia="zh-CN"/>
        </w:rPr>
        <w:t>磋商</w:t>
      </w:r>
      <w:bookmarkEnd w:id="253"/>
      <w:bookmarkEnd w:id="254"/>
    </w:p>
    <w:p w14:paraId="49C3EB5E">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磋商小组所有成员应当集中与单一供应商分别进行磋商，并给予所有参加磋商的供应商平等的磋商机会。</w:t>
      </w:r>
    </w:p>
    <w:p w14:paraId="23274165">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在磋商过程中，磋商小组可以根据采购文件和磋商情况实质性变动采购需求中的技术、服务要求以及合同草案条款，但不得变动采购文件中的其他内容。实质性变动的内容，须经采购人代表确认。</w:t>
      </w:r>
    </w:p>
    <w:p w14:paraId="6E3F64DD">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对采购文件作出的实质性变动是采购文件的有效组成部分，磋商小组应当及时、同时通知所有参加磋商的供应商。</w:t>
      </w:r>
    </w:p>
    <w:p w14:paraId="582A7C5B">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应当按照采购文件的变动情况和磋商小组的要求进行最后报价或重新提交响应文件，并由其法定代表人或授权代表签字或者加盖公章。由授权代表签字的，应当附法定代表人授权书。供应商为自然人的，应当由本人签字并附身份证明。</w:t>
      </w:r>
    </w:p>
    <w:p w14:paraId="0928C1C0">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textAlignment w:val="auto"/>
        <w:outlineLvl w:val="1"/>
        <w:rPr>
          <w:rFonts w:hint="eastAsia" w:ascii="仿宋" w:hAnsi="仿宋" w:eastAsia="仿宋" w:cs="仿宋"/>
          <w:b/>
          <w:bCs/>
          <w:sz w:val="24"/>
          <w:szCs w:val="24"/>
          <w:highlight w:val="none"/>
          <w:lang w:val="en-US" w:eastAsia="zh-CN"/>
        </w:rPr>
      </w:pPr>
      <w:bookmarkStart w:id="255" w:name="_Toc16007"/>
      <w:bookmarkStart w:id="256" w:name="_Toc6250"/>
      <w:r>
        <w:rPr>
          <w:rFonts w:hint="eastAsia" w:ascii="仿宋" w:hAnsi="仿宋" w:eastAsia="仿宋" w:cs="仿宋"/>
          <w:b/>
          <w:bCs/>
          <w:sz w:val="24"/>
          <w:szCs w:val="24"/>
          <w:highlight w:val="none"/>
          <w:lang w:val="en-US" w:eastAsia="zh-CN"/>
        </w:rPr>
        <w:t>最后报价</w:t>
      </w:r>
      <w:bookmarkEnd w:id="255"/>
      <w:bookmarkEnd w:id="256"/>
    </w:p>
    <w:p w14:paraId="38A10401">
      <w:pPr>
        <w:pStyle w:val="1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磋商结束后，磋商小组应当要求所有实质性响应的供应商在规定时间内提交最后报价。最后报价是供应商响应文件的有效组成部分。</w:t>
      </w:r>
    </w:p>
    <w:p w14:paraId="54C0060C">
      <w:pPr>
        <w:pStyle w:val="1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已提交响应文件的供应商，在提交最后报价之前，可以根据磋商情况退出磋商。</w:t>
      </w:r>
    </w:p>
    <w:p w14:paraId="5B09A4B2">
      <w:pPr>
        <w:pStyle w:val="1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除法规规定的特殊性情形外，提交最后报价的供应商不得少于3家。</w:t>
      </w:r>
    </w:p>
    <w:p w14:paraId="1FDC928A">
      <w:pPr>
        <w:keepNext w:val="0"/>
        <w:keepLines w:val="0"/>
        <w:pageBreakBefore w:val="0"/>
        <w:widowControl w:val="0"/>
        <w:numPr>
          <w:ilvl w:val="0"/>
          <w:numId w:val="14"/>
        </w:numPr>
        <w:kinsoku/>
        <w:wordWrap/>
        <w:overflowPunct/>
        <w:topLinePunct w:val="0"/>
        <w:bidi w:val="0"/>
        <w:adjustRightInd/>
        <w:snapToGrid/>
        <w:spacing w:line="500" w:lineRule="exact"/>
        <w:ind w:left="0" w:leftChars="0" w:firstLine="0" w:firstLineChars="0"/>
        <w:textAlignment w:val="auto"/>
        <w:outlineLvl w:val="1"/>
        <w:rPr>
          <w:rFonts w:hint="eastAsia" w:ascii="仿宋" w:hAnsi="仿宋" w:eastAsia="仿宋" w:cs="仿宋"/>
          <w:b/>
          <w:bCs/>
          <w:sz w:val="24"/>
          <w:szCs w:val="24"/>
          <w:highlight w:val="none"/>
          <w:lang w:val="en-US" w:eastAsia="zh-CN"/>
        </w:rPr>
      </w:pPr>
      <w:bookmarkStart w:id="257" w:name="_Toc5348"/>
      <w:bookmarkStart w:id="258" w:name="_Toc8727"/>
      <w:r>
        <w:rPr>
          <w:rFonts w:hint="eastAsia" w:ascii="仿宋" w:hAnsi="仿宋" w:eastAsia="仿宋" w:cs="仿宋"/>
          <w:b/>
          <w:bCs/>
          <w:sz w:val="24"/>
          <w:szCs w:val="24"/>
          <w:highlight w:val="none"/>
          <w:lang w:val="en-US" w:eastAsia="zh-CN"/>
        </w:rPr>
        <w:t>详细评审</w:t>
      </w:r>
      <w:bookmarkEnd w:id="257"/>
      <w:bookmarkEnd w:id="258"/>
    </w:p>
    <w:p w14:paraId="21E4575F">
      <w:pPr>
        <w:pStyle w:val="1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磋商小组对提交最后报价的供应商的响应文件和最后报价，对其技术部分、商务部分及报价部分作进一步的综合比较和评价。详细评审标准如下：</w:t>
      </w:r>
    </w:p>
    <w:p w14:paraId="0A6398D3">
      <w:pPr>
        <w:pStyle w:val="16"/>
        <w:keepNext w:val="0"/>
        <w:keepLines w:val="0"/>
        <w:pageBreakBefore w:val="0"/>
        <w:widowControl w:val="0"/>
        <w:numPr>
          <w:ilvl w:val="0"/>
          <w:numId w:val="0"/>
        </w:numPr>
        <w:kinsoku/>
        <w:wordWrap/>
        <w:overflowPunct/>
        <w:topLinePunct w:val="0"/>
        <w:bidi w:val="0"/>
        <w:adjustRightInd/>
        <w:snapToGrid/>
        <w:spacing w:line="500" w:lineRule="exact"/>
        <w:ind w:leftChars="0" w:right="0" w:rightChars="0"/>
        <w:jc w:val="center"/>
        <w:textAlignment w:val="auto"/>
        <w:rPr>
          <w:rFonts w:hint="eastAsia" w:ascii="仿宋" w:hAnsi="仿宋" w:eastAsia="仿宋" w:cs="仿宋"/>
          <w:b/>
          <w:bCs/>
          <w:highlight w:val="none"/>
          <w:lang w:val="en-US" w:eastAsia="zh-CN"/>
        </w:rPr>
      </w:pPr>
    </w:p>
    <w:p w14:paraId="36CC5553">
      <w:pP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br w:type="page"/>
      </w:r>
    </w:p>
    <w:p w14:paraId="424C1F14">
      <w:pPr>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详细评审标准</w:t>
      </w:r>
    </w:p>
    <w:tbl>
      <w:tblPr>
        <w:tblStyle w:val="31"/>
        <w:tblpPr w:leftFromText="180" w:rightFromText="180" w:vertAnchor="text" w:horzAnchor="page" w:tblpX="1567" w:tblpY="4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00"/>
        <w:gridCol w:w="735"/>
        <w:gridCol w:w="6769"/>
      </w:tblGrid>
      <w:tr w14:paraId="721B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3" w:type="dxa"/>
            <w:gridSpan w:val="2"/>
            <w:vAlign w:val="center"/>
          </w:tcPr>
          <w:p w14:paraId="027482DD">
            <w:pPr>
              <w:pStyle w:val="21"/>
              <w:keepNext w:val="0"/>
              <w:keepLines w:val="0"/>
              <w:pageBreakBefore w:val="0"/>
              <w:widowControl w:val="0"/>
              <w:kinsoku/>
              <w:wordWrap/>
              <w:overflowPunct/>
              <w:topLinePunct w:val="0"/>
              <w:bidi w:val="0"/>
              <w:adjustRightInd/>
              <w:spacing w:line="240" w:lineRule="auto"/>
              <w:ind w:right="0" w:rightChars="0"/>
              <w:jc w:val="center"/>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评分因素</w:t>
            </w:r>
          </w:p>
        </w:tc>
        <w:tc>
          <w:tcPr>
            <w:tcW w:w="735" w:type="dxa"/>
            <w:vAlign w:val="center"/>
          </w:tcPr>
          <w:p w14:paraId="3260A55A">
            <w:pPr>
              <w:pStyle w:val="21"/>
              <w:keepNext w:val="0"/>
              <w:keepLines w:val="0"/>
              <w:pageBreakBefore w:val="0"/>
              <w:widowControl w:val="0"/>
              <w:kinsoku/>
              <w:wordWrap/>
              <w:overflowPunct/>
              <w:topLinePunct w:val="0"/>
              <w:bidi w:val="0"/>
              <w:adjustRightInd/>
              <w:spacing w:line="240" w:lineRule="auto"/>
              <w:ind w:right="0" w:rightChars="0"/>
              <w:jc w:val="center"/>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分值</w:t>
            </w:r>
          </w:p>
        </w:tc>
        <w:tc>
          <w:tcPr>
            <w:tcW w:w="6769" w:type="dxa"/>
            <w:vAlign w:val="center"/>
          </w:tcPr>
          <w:p w14:paraId="336B365F">
            <w:pPr>
              <w:pStyle w:val="21"/>
              <w:keepNext w:val="0"/>
              <w:keepLines w:val="0"/>
              <w:pageBreakBefore w:val="0"/>
              <w:widowControl w:val="0"/>
              <w:kinsoku/>
              <w:wordWrap/>
              <w:overflowPunct/>
              <w:topLinePunct w:val="0"/>
              <w:bidi w:val="0"/>
              <w:adjustRightInd/>
              <w:spacing w:line="240" w:lineRule="auto"/>
              <w:ind w:right="0" w:rightChars="0"/>
              <w:jc w:val="center"/>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评分细则</w:t>
            </w:r>
          </w:p>
        </w:tc>
      </w:tr>
      <w:tr w14:paraId="435A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3" w:type="dxa"/>
            <w:gridSpan w:val="2"/>
            <w:vAlign w:val="center"/>
          </w:tcPr>
          <w:p w14:paraId="243AF5EF">
            <w:pPr>
              <w:pStyle w:val="21"/>
              <w:keepNext w:val="0"/>
              <w:keepLines w:val="0"/>
              <w:pageBreakBefore w:val="0"/>
              <w:widowControl w:val="0"/>
              <w:kinsoku/>
              <w:wordWrap/>
              <w:overflowPunct/>
              <w:topLinePunct w:val="0"/>
              <w:bidi w:val="0"/>
              <w:adjustRightInd/>
              <w:spacing w:line="240" w:lineRule="auto"/>
              <w:ind w:right="0" w:rightChars="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分值构成</w:t>
            </w:r>
          </w:p>
        </w:tc>
        <w:tc>
          <w:tcPr>
            <w:tcW w:w="7504" w:type="dxa"/>
            <w:gridSpan w:val="2"/>
            <w:vAlign w:val="center"/>
          </w:tcPr>
          <w:p w14:paraId="0BA12C29">
            <w:pPr>
              <w:pStyle w:val="21"/>
              <w:keepNext w:val="0"/>
              <w:keepLines w:val="0"/>
              <w:pageBreakBefore w:val="0"/>
              <w:widowControl w:val="0"/>
              <w:kinsoku/>
              <w:wordWrap/>
              <w:overflowPunct/>
              <w:topLinePunct w:val="0"/>
              <w:bidi w:val="0"/>
              <w:adjustRightInd/>
              <w:spacing w:line="240" w:lineRule="auto"/>
              <w:ind w:right="0" w:rightChars="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商务部分</w:t>
            </w:r>
            <w:r>
              <w:rPr>
                <w:rFonts w:hint="eastAsia" w:ascii="仿宋" w:hAnsi="仿宋" w:eastAsia="仿宋" w:cs="仿宋"/>
                <w:color w:val="000000"/>
                <w:sz w:val="24"/>
                <w:szCs w:val="24"/>
                <w:highlight w:val="none"/>
                <w:lang w:val="en-US" w:eastAsia="zh-CN"/>
              </w:rPr>
              <w:t>24</w:t>
            </w:r>
            <w:r>
              <w:rPr>
                <w:rFonts w:hint="eastAsia" w:ascii="仿宋" w:hAnsi="仿宋" w:eastAsia="仿宋" w:cs="仿宋"/>
                <w:color w:val="000000"/>
                <w:sz w:val="24"/>
                <w:szCs w:val="24"/>
                <w:highlight w:val="none"/>
              </w:rPr>
              <w:t>.0分</w:t>
            </w:r>
          </w:p>
          <w:p w14:paraId="7DA8BACD">
            <w:pPr>
              <w:pStyle w:val="21"/>
              <w:keepNext w:val="0"/>
              <w:keepLines w:val="0"/>
              <w:pageBreakBefore w:val="0"/>
              <w:widowControl w:val="0"/>
              <w:kinsoku/>
              <w:wordWrap/>
              <w:overflowPunct/>
              <w:topLinePunct w:val="0"/>
              <w:bidi w:val="0"/>
              <w:adjustRightInd/>
              <w:spacing w:line="240" w:lineRule="auto"/>
              <w:ind w:right="0" w:rightChars="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技术部分</w:t>
            </w:r>
            <w:r>
              <w:rPr>
                <w:rFonts w:hint="eastAsia" w:ascii="仿宋" w:hAnsi="仿宋" w:eastAsia="仿宋" w:cs="仿宋"/>
                <w:color w:val="000000"/>
                <w:sz w:val="24"/>
                <w:szCs w:val="24"/>
                <w:highlight w:val="none"/>
                <w:lang w:val="en-US" w:eastAsia="zh-CN"/>
              </w:rPr>
              <w:t>66</w:t>
            </w:r>
            <w:r>
              <w:rPr>
                <w:rFonts w:hint="eastAsia" w:ascii="仿宋" w:hAnsi="仿宋" w:eastAsia="仿宋" w:cs="仿宋"/>
                <w:color w:val="000000"/>
                <w:sz w:val="24"/>
                <w:szCs w:val="24"/>
                <w:highlight w:val="none"/>
              </w:rPr>
              <w:t>.0分</w:t>
            </w:r>
          </w:p>
          <w:p w14:paraId="362947D4">
            <w:pPr>
              <w:pStyle w:val="21"/>
              <w:keepNext w:val="0"/>
              <w:keepLines w:val="0"/>
              <w:pageBreakBefore w:val="0"/>
              <w:widowControl w:val="0"/>
              <w:kinsoku/>
              <w:wordWrap/>
              <w:overflowPunct/>
              <w:topLinePunct w:val="0"/>
              <w:bidi w:val="0"/>
              <w:adjustRightInd/>
              <w:spacing w:line="240" w:lineRule="auto"/>
              <w:ind w:right="0" w:rightChars="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报价得分</w:t>
            </w: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.0分</w:t>
            </w:r>
          </w:p>
        </w:tc>
      </w:tr>
      <w:tr w14:paraId="0D72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3" w:type="dxa"/>
            <w:gridSpan w:val="2"/>
            <w:vAlign w:val="center"/>
          </w:tcPr>
          <w:p w14:paraId="37355195">
            <w:pPr>
              <w:pStyle w:val="21"/>
              <w:keepNext w:val="0"/>
              <w:keepLines w:val="0"/>
              <w:pageBreakBefore w:val="0"/>
              <w:widowControl w:val="0"/>
              <w:kinsoku/>
              <w:wordWrap/>
              <w:overflowPunct/>
              <w:topLinePunct w:val="0"/>
              <w:bidi w:val="0"/>
              <w:adjustRightInd/>
              <w:spacing w:line="240" w:lineRule="auto"/>
              <w:ind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报价</w:t>
            </w:r>
            <w:r>
              <w:rPr>
                <w:rFonts w:hint="eastAsia" w:ascii="仿宋" w:hAnsi="仿宋" w:eastAsia="仿宋" w:cs="仿宋"/>
                <w:sz w:val="24"/>
                <w:szCs w:val="24"/>
                <w:highlight w:val="none"/>
              </w:rPr>
              <w:t>部分</w:t>
            </w:r>
          </w:p>
        </w:tc>
        <w:tc>
          <w:tcPr>
            <w:tcW w:w="735" w:type="dxa"/>
            <w:vAlign w:val="center"/>
          </w:tcPr>
          <w:p w14:paraId="25045457">
            <w:pPr>
              <w:pStyle w:val="21"/>
              <w:keepNext w:val="0"/>
              <w:keepLines w:val="0"/>
              <w:pageBreakBefore w:val="0"/>
              <w:widowControl w:val="0"/>
              <w:kinsoku/>
              <w:wordWrap/>
              <w:overflowPunct/>
              <w:topLinePunct w:val="0"/>
              <w:bidi w:val="0"/>
              <w:adjustRightInd/>
              <w:spacing w:line="240" w:lineRule="auto"/>
              <w:ind w:right="0" w:righ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6769" w:type="dxa"/>
          </w:tcPr>
          <w:p w14:paraId="07AA2C8A">
            <w:pPr>
              <w:pStyle w:val="21"/>
              <w:keepNext w:val="0"/>
              <w:keepLines w:val="0"/>
              <w:pageBreakBefore w:val="0"/>
              <w:widowControl w:val="0"/>
              <w:kinsoku/>
              <w:wordWrap/>
              <w:overflowPunct/>
              <w:topLinePunct w:val="0"/>
              <w:bidi w:val="0"/>
              <w:adjustRightInd/>
              <w:spacing w:line="240" w:lineRule="auto"/>
              <w:ind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满足磋商文件</w:t>
            </w:r>
            <w:r>
              <w:rPr>
                <w:rFonts w:hint="eastAsia" w:ascii="仿宋" w:hAnsi="仿宋" w:eastAsia="仿宋" w:cs="仿宋"/>
                <w:sz w:val="24"/>
                <w:szCs w:val="24"/>
                <w:highlight w:val="none"/>
              </w:rPr>
              <w:t>要求且投标价格最低的有效投标报价（即除低于成本报价以外的报价）为评标基准价。其他</w:t>
            </w:r>
            <w:r>
              <w:rPr>
                <w:rFonts w:hint="eastAsia" w:ascii="仿宋" w:hAnsi="仿宋" w:eastAsia="仿宋" w:cs="仿宋"/>
                <w:sz w:val="24"/>
                <w:szCs w:val="24"/>
                <w:highlight w:val="none"/>
                <w:lang w:val="en-US"/>
              </w:rPr>
              <w:t>供应商</w:t>
            </w:r>
            <w:r>
              <w:rPr>
                <w:rFonts w:hint="eastAsia" w:ascii="仿宋" w:hAnsi="仿宋" w:eastAsia="仿宋" w:cs="仿宋"/>
                <w:sz w:val="24"/>
                <w:szCs w:val="24"/>
                <w:highlight w:val="none"/>
              </w:rPr>
              <w:t>的价格分统一按照下列公式计算：</w:t>
            </w:r>
          </w:p>
          <w:p w14:paraId="6392552D">
            <w:pPr>
              <w:pStyle w:val="21"/>
              <w:keepNext w:val="0"/>
              <w:keepLines w:val="0"/>
              <w:pageBreakBefore w:val="0"/>
              <w:widowControl w:val="0"/>
              <w:kinsoku/>
              <w:wordWrap/>
              <w:overflowPunct/>
              <w:topLinePunct w:val="0"/>
              <w:bidi w:val="0"/>
              <w:adjustRightInd/>
              <w:spacing w:line="240" w:lineRule="auto"/>
              <w:ind w:right="0" w:rightChars="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rPr>
              <w:t>投标报价得分=（评标基准价/投标报价）×</w:t>
            </w:r>
            <w:r>
              <w:rPr>
                <w:rFonts w:hint="eastAsia" w:ascii="仿宋" w:hAnsi="仿宋" w:eastAsia="仿宋" w:cs="仿宋"/>
                <w:sz w:val="24"/>
                <w:szCs w:val="24"/>
                <w:highlight w:val="none"/>
                <w:lang w:val="en-US"/>
              </w:rPr>
              <w:t>价格满分分值</w:t>
            </w:r>
          </w:p>
        </w:tc>
      </w:tr>
      <w:tr w14:paraId="33EE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3" w:type="dxa"/>
            <w:vMerge w:val="restart"/>
            <w:tcBorders>
              <w:right w:val="single" w:color="000000" w:sz="4" w:space="0"/>
            </w:tcBorders>
            <w:vAlign w:val="center"/>
          </w:tcPr>
          <w:p w14:paraId="19995F40">
            <w:pPr>
              <w:pStyle w:val="21"/>
              <w:keepNext w:val="0"/>
              <w:keepLines w:val="0"/>
              <w:pageBreakBefore w:val="0"/>
              <w:widowControl w:val="0"/>
              <w:kinsoku/>
              <w:wordWrap/>
              <w:overflowPunct/>
              <w:topLinePunct w:val="0"/>
              <w:bidi w:val="0"/>
              <w:adjustRightInd/>
              <w:spacing w:line="240" w:lineRule="auto"/>
              <w:ind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商务部分</w:t>
            </w:r>
          </w:p>
          <w:p w14:paraId="086079C4">
            <w:pPr>
              <w:pStyle w:val="21"/>
              <w:keepNext w:val="0"/>
              <w:keepLines w:val="0"/>
              <w:pageBreakBefore w:val="0"/>
              <w:widowControl w:val="0"/>
              <w:kinsoku/>
              <w:wordWrap/>
              <w:overflowPunct/>
              <w:topLinePunct w:val="0"/>
              <w:bidi w:val="0"/>
              <w:adjustRightInd/>
              <w:spacing w:line="240" w:lineRule="auto"/>
              <w:ind w:right="0" w:rightChars="0"/>
              <w:jc w:val="center"/>
              <w:textAlignment w:val="auto"/>
              <w:rPr>
                <w:rFonts w:hint="eastAsia" w:ascii="仿宋" w:hAnsi="仿宋" w:eastAsia="仿宋" w:cs="仿宋"/>
                <w:sz w:val="24"/>
                <w:szCs w:val="24"/>
                <w:highlight w:val="none"/>
                <w:lang w:val="en-US"/>
              </w:rPr>
            </w:pPr>
          </w:p>
        </w:tc>
        <w:tc>
          <w:tcPr>
            <w:tcW w:w="1200" w:type="dxa"/>
            <w:tcBorders>
              <w:left w:val="single" w:color="000000" w:sz="4" w:space="0"/>
            </w:tcBorders>
            <w:vAlign w:val="center"/>
          </w:tcPr>
          <w:p w14:paraId="5599A9BC">
            <w:pPr>
              <w:pStyle w:val="21"/>
              <w:keepNext w:val="0"/>
              <w:keepLines w:val="0"/>
              <w:pageBreakBefore w:val="0"/>
              <w:widowControl w:val="0"/>
              <w:kinsoku/>
              <w:wordWrap/>
              <w:overflowPunct/>
              <w:topLinePunct w:val="0"/>
              <w:bidi w:val="0"/>
              <w:adjustRightInd/>
              <w:spacing w:line="240" w:lineRule="auto"/>
              <w:ind w:right="0" w:right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供应商类似业绩</w:t>
            </w:r>
          </w:p>
        </w:tc>
        <w:tc>
          <w:tcPr>
            <w:tcW w:w="735" w:type="dxa"/>
            <w:vAlign w:val="center"/>
          </w:tcPr>
          <w:p w14:paraId="0CCC558E">
            <w:pPr>
              <w:pStyle w:val="21"/>
              <w:keepNext w:val="0"/>
              <w:keepLines w:val="0"/>
              <w:pageBreakBefore w:val="0"/>
              <w:widowControl w:val="0"/>
              <w:kinsoku/>
              <w:wordWrap/>
              <w:overflowPunct/>
              <w:topLinePunct w:val="0"/>
              <w:bidi w:val="0"/>
              <w:adjustRightInd/>
              <w:spacing w:line="240" w:lineRule="auto"/>
              <w:ind w:right="0" w:rightChars="0"/>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12</w:t>
            </w:r>
          </w:p>
        </w:tc>
        <w:tc>
          <w:tcPr>
            <w:tcW w:w="6769" w:type="dxa"/>
            <w:vAlign w:val="center"/>
          </w:tcPr>
          <w:p w14:paraId="16F850BA">
            <w:pPr>
              <w:pStyle w:val="21"/>
              <w:keepNext w:val="0"/>
              <w:keepLines w:val="0"/>
              <w:pageBreakBefore w:val="0"/>
              <w:widowControl w:val="0"/>
              <w:kinsoku/>
              <w:wordWrap/>
              <w:overflowPunct/>
              <w:topLinePunct w:val="0"/>
              <w:bidi w:val="0"/>
              <w:adjustRightInd/>
              <w:spacing w:line="240" w:lineRule="auto"/>
              <w:ind w:right="0" w:rightChars="0"/>
              <w:jc w:val="lef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1、造价咨询业绩：投标人</w:t>
            </w:r>
            <w:r>
              <w:rPr>
                <w:rFonts w:hint="eastAsia" w:ascii="仿宋" w:hAnsi="仿宋" w:eastAsia="仿宋" w:cs="仿宋"/>
                <w:sz w:val="24"/>
                <w:szCs w:val="24"/>
                <w:highlight w:val="none"/>
                <w:vertAlign w:val="baseline"/>
              </w:rPr>
              <w:t>投标截止日</w:t>
            </w:r>
            <w:r>
              <w:rPr>
                <w:rFonts w:hint="eastAsia" w:ascii="仿宋" w:hAnsi="仿宋" w:eastAsia="仿宋" w:cs="仿宋"/>
                <w:sz w:val="24"/>
                <w:szCs w:val="24"/>
                <w:highlight w:val="none"/>
                <w:vertAlign w:val="baseline"/>
                <w:lang w:val="en-US" w:eastAsia="zh-CN"/>
              </w:rPr>
              <w:t>前三年</w:t>
            </w:r>
            <w:r>
              <w:rPr>
                <w:rFonts w:hint="eastAsia" w:ascii="仿宋" w:hAnsi="仿宋" w:eastAsia="仿宋" w:cs="仿宋"/>
                <w:sz w:val="24"/>
                <w:szCs w:val="24"/>
                <w:highlight w:val="none"/>
                <w:vertAlign w:val="baseline"/>
              </w:rPr>
              <w:t>（以合同签订合同</w:t>
            </w:r>
            <w:r>
              <w:rPr>
                <w:rFonts w:hint="eastAsia" w:ascii="仿宋" w:hAnsi="仿宋" w:eastAsia="仿宋" w:cs="仿宋"/>
                <w:sz w:val="24"/>
                <w:szCs w:val="24"/>
                <w:highlight w:val="none"/>
                <w:vertAlign w:val="baseline"/>
                <w:lang w:val="en-US" w:eastAsia="zh-CN"/>
              </w:rPr>
              <w:t>或中标通知书</w:t>
            </w:r>
            <w:r>
              <w:rPr>
                <w:rFonts w:hint="eastAsia" w:ascii="仿宋" w:hAnsi="仿宋" w:eastAsia="仿宋" w:cs="仿宋"/>
                <w:sz w:val="24"/>
                <w:szCs w:val="24"/>
                <w:highlight w:val="none"/>
                <w:vertAlign w:val="baseline"/>
              </w:rPr>
              <w:t>时间为准）独立承担的类似项目，每提供1份有效的业绩资料得</w:t>
            </w:r>
            <w:r>
              <w:rPr>
                <w:rFonts w:hint="eastAsia" w:ascii="仿宋" w:hAnsi="仿宋" w:eastAsia="仿宋" w:cs="仿宋"/>
                <w:sz w:val="24"/>
                <w:szCs w:val="24"/>
                <w:highlight w:val="none"/>
                <w:vertAlign w:val="baseline"/>
                <w:lang w:val="en-US" w:eastAsia="zh-CN"/>
              </w:rPr>
              <w:t>2</w:t>
            </w:r>
            <w:r>
              <w:rPr>
                <w:rFonts w:hint="eastAsia" w:ascii="仿宋" w:hAnsi="仿宋" w:eastAsia="仿宋" w:cs="仿宋"/>
                <w:sz w:val="24"/>
                <w:szCs w:val="24"/>
                <w:highlight w:val="none"/>
                <w:vertAlign w:val="baseline"/>
              </w:rPr>
              <w:t>分，满分</w:t>
            </w:r>
            <w:r>
              <w:rPr>
                <w:rFonts w:hint="eastAsia" w:ascii="仿宋" w:hAnsi="仿宋" w:eastAsia="仿宋" w:cs="仿宋"/>
                <w:sz w:val="24"/>
                <w:szCs w:val="24"/>
                <w:highlight w:val="none"/>
                <w:vertAlign w:val="baseline"/>
                <w:lang w:val="en-US" w:eastAsia="zh-CN"/>
              </w:rPr>
              <w:t>6</w:t>
            </w:r>
            <w:r>
              <w:rPr>
                <w:rFonts w:hint="eastAsia" w:ascii="仿宋" w:hAnsi="仿宋" w:eastAsia="仿宋" w:cs="仿宋"/>
                <w:sz w:val="24"/>
                <w:szCs w:val="24"/>
                <w:highlight w:val="none"/>
                <w:vertAlign w:val="baseline"/>
              </w:rPr>
              <w:t>分。</w:t>
            </w:r>
          </w:p>
          <w:p w14:paraId="7A3BFC2C">
            <w:pPr>
              <w:pStyle w:val="21"/>
              <w:keepNext w:val="0"/>
              <w:keepLines w:val="0"/>
              <w:pageBreakBefore w:val="0"/>
              <w:widowControl w:val="0"/>
              <w:kinsoku/>
              <w:wordWrap/>
              <w:overflowPunct/>
              <w:topLinePunct w:val="0"/>
              <w:bidi w:val="0"/>
              <w:adjustRightInd/>
              <w:spacing w:line="240" w:lineRule="auto"/>
              <w:ind w:right="0" w:rightChars="0"/>
              <w:jc w:val="lef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2、竣工决算业绩：投标人</w:t>
            </w:r>
            <w:r>
              <w:rPr>
                <w:rFonts w:hint="eastAsia" w:ascii="仿宋" w:hAnsi="仿宋" w:eastAsia="仿宋" w:cs="仿宋"/>
                <w:sz w:val="24"/>
                <w:szCs w:val="24"/>
                <w:highlight w:val="none"/>
                <w:vertAlign w:val="baseline"/>
              </w:rPr>
              <w:t>投标截止日</w:t>
            </w:r>
            <w:r>
              <w:rPr>
                <w:rFonts w:hint="eastAsia" w:ascii="仿宋" w:hAnsi="仿宋" w:eastAsia="仿宋" w:cs="仿宋"/>
                <w:sz w:val="24"/>
                <w:szCs w:val="24"/>
                <w:highlight w:val="none"/>
                <w:vertAlign w:val="baseline"/>
                <w:lang w:val="en-US" w:eastAsia="zh-CN"/>
              </w:rPr>
              <w:t>前三年</w:t>
            </w:r>
            <w:r>
              <w:rPr>
                <w:rFonts w:hint="eastAsia" w:ascii="仿宋" w:hAnsi="仿宋" w:eastAsia="仿宋" w:cs="仿宋"/>
                <w:sz w:val="24"/>
                <w:szCs w:val="24"/>
                <w:highlight w:val="none"/>
                <w:vertAlign w:val="baseline"/>
              </w:rPr>
              <w:t>（以合同签订合同</w:t>
            </w:r>
            <w:r>
              <w:rPr>
                <w:rFonts w:hint="eastAsia" w:ascii="仿宋" w:hAnsi="仿宋" w:eastAsia="仿宋" w:cs="仿宋"/>
                <w:sz w:val="24"/>
                <w:szCs w:val="24"/>
                <w:highlight w:val="none"/>
                <w:vertAlign w:val="baseline"/>
                <w:lang w:val="en-US" w:eastAsia="zh-CN"/>
              </w:rPr>
              <w:t>或中标通知书</w:t>
            </w:r>
            <w:r>
              <w:rPr>
                <w:rFonts w:hint="eastAsia" w:ascii="仿宋" w:hAnsi="仿宋" w:eastAsia="仿宋" w:cs="仿宋"/>
                <w:sz w:val="24"/>
                <w:szCs w:val="24"/>
                <w:highlight w:val="none"/>
                <w:vertAlign w:val="baseline"/>
              </w:rPr>
              <w:t>时间为准）独立承担的类似项目，每提供1份有效的业绩资料得</w:t>
            </w:r>
            <w:r>
              <w:rPr>
                <w:rFonts w:hint="eastAsia" w:ascii="仿宋" w:hAnsi="仿宋" w:eastAsia="仿宋" w:cs="仿宋"/>
                <w:sz w:val="24"/>
                <w:szCs w:val="24"/>
                <w:highlight w:val="none"/>
                <w:vertAlign w:val="baseline"/>
                <w:lang w:val="en-US" w:eastAsia="zh-CN"/>
              </w:rPr>
              <w:t xml:space="preserve">2 </w:t>
            </w:r>
            <w:r>
              <w:rPr>
                <w:rFonts w:hint="eastAsia" w:ascii="仿宋" w:hAnsi="仿宋" w:eastAsia="仿宋" w:cs="仿宋"/>
                <w:sz w:val="24"/>
                <w:szCs w:val="24"/>
                <w:highlight w:val="none"/>
                <w:vertAlign w:val="baseline"/>
              </w:rPr>
              <w:t>分，满分</w:t>
            </w:r>
            <w:r>
              <w:rPr>
                <w:rFonts w:hint="eastAsia" w:ascii="仿宋" w:hAnsi="仿宋" w:eastAsia="仿宋" w:cs="仿宋"/>
                <w:sz w:val="24"/>
                <w:szCs w:val="24"/>
                <w:highlight w:val="none"/>
                <w:vertAlign w:val="baseline"/>
                <w:lang w:val="en-US" w:eastAsia="zh-CN"/>
              </w:rPr>
              <w:t>6</w:t>
            </w:r>
            <w:r>
              <w:rPr>
                <w:rFonts w:hint="eastAsia" w:ascii="仿宋" w:hAnsi="仿宋" w:eastAsia="仿宋" w:cs="仿宋"/>
                <w:sz w:val="24"/>
                <w:szCs w:val="24"/>
                <w:highlight w:val="none"/>
                <w:vertAlign w:val="baseline"/>
              </w:rPr>
              <w:t>分。</w:t>
            </w:r>
          </w:p>
          <w:p w14:paraId="70C0B2F7">
            <w:pPr>
              <w:pStyle w:val="21"/>
              <w:keepNext w:val="0"/>
              <w:keepLines w:val="0"/>
              <w:pageBreakBefore w:val="0"/>
              <w:widowControl w:val="0"/>
              <w:kinsoku/>
              <w:wordWrap/>
              <w:overflowPunct/>
              <w:topLinePunct w:val="0"/>
              <w:bidi w:val="0"/>
              <w:adjustRightInd/>
              <w:spacing w:line="240" w:lineRule="auto"/>
              <w:ind w:right="0" w:rightChars="0"/>
              <w:jc w:val="lef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注：1.须提供业绩合同关键页（含：首页、</w:t>
            </w:r>
            <w:r>
              <w:rPr>
                <w:rFonts w:hint="eastAsia" w:ascii="仿宋" w:hAnsi="仿宋" w:eastAsia="仿宋" w:cs="仿宋"/>
                <w:sz w:val="24"/>
                <w:szCs w:val="24"/>
                <w:highlight w:val="none"/>
                <w:vertAlign w:val="baseline"/>
                <w:lang w:val="en-US" w:eastAsia="zh-CN"/>
              </w:rPr>
              <w:t>货物和</w:t>
            </w:r>
            <w:r>
              <w:rPr>
                <w:rFonts w:hint="eastAsia" w:ascii="仿宋" w:hAnsi="仿宋" w:eastAsia="仿宋" w:cs="仿宋"/>
                <w:sz w:val="24"/>
                <w:szCs w:val="24"/>
                <w:highlight w:val="none"/>
                <w:vertAlign w:val="baseline"/>
              </w:rPr>
              <w:t>服务内容信息页、合同金额页、签字盖章页）</w:t>
            </w:r>
            <w:r>
              <w:rPr>
                <w:rFonts w:hint="eastAsia" w:ascii="仿宋" w:hAnsi="仿宋" w:eastAsia="仿宋" w:cs="仿宋"/>
                <w:sz w:val="24"/>
                <w:szCs w:val="24"/>
                <w:highlight w:val="none"/>
                <w:vertAlign w:val="baseline"/>
                <w:lang w:val="en-US" w:eastAsia="zh-CN"/>
              </w:rPr>
              <w:t>或中标通知书</w:t>
            </w:r>
            <w:r>
              <w:rPr>
                <w:rFonts w:hint="eastAsia" w:ascii="仿宋" w:hAnsi="仿宋" w:eastAsia="仿宋" w:cs="仿宋"/>
                <w:sz w:val="24"/>
                <w:szCs w:val="24"/>
                <w:highlight w:val="none"/>
                <w:vertAlign w:val="baseline"/>
              </w:rPr>
              <w:t>。</w:t>
            </w:r>
            <w:r>
              <w:rPr>
                <w:rFonts w:hint="eastAsia" w:ascii="仿宋" w:hAnsi="仿宋" w:eastAsia="仿宋" w:cs="仿宋"/>
                <w:sz w:val="24"/>
                <w:szCs w:val="24"/>
                <w:highlight w:val="none"/>
                <w:vertAlign w:val="baseline"/>
                <w:lang w:eastAsia="zh-CN"/>
              </w:rPr>
              <w:t>扫描件或复印件</w:t>
            </w:r>
            <w:r>
              <w:rPr>
                <w:rFonts w:hint="eastAsia" w:ascii="仿宋" w:hAnsi="仿宋" w:eastAsia="仿宋" w:cs="仿宋"/>
                <w:sz w:val="24"/>
                <w:szCs w:val="24"/>
                <w:highlight w:val="none"/>
                <w:vertAlign w:val="baseline"/>
              </w:rPr>
              <w:t>加盖公章。不符合上述要求或未按要求提供有效证明文件的业绩在评审时将不予</w:t>
            </w:r>
            <w:r>
              <w:rPr>
                <w:rFonts w:hint="eastAsia" w:ascii="仿宋" w:hAnsi="仿宋" w:eastAsia="仿宋" w:cs="仿宋"/>
                <w:sz w:val="24"/>
                <w:szCs w:val="24"/>
                <w:highlight w:val="none"/>
                <w:vertAlign w:val="baseline"/>
                <w:lang w:val="en-US" w:eastAsia="zh-CN"/>
              </w:rPr>
              <w:t>认可</w:t>
            </w:r>
          </w:p>
          <w:p w14:paraId="2AAB01FC">
            <w:pPr>
              <w:pStyle w:val="21"/>
              <w:keepNext w:val="0"/>
              <w:keepLines w:val="0"/>
              <w:pageBreakBefore w:val="0"/>
              <w:widowControl w:val="0"/>
              <w:numPr>
                <w:ilvl w:val="0"/>
                <w:numId w:val="0"/>
              </w:numPr>
              <w:kinsoku/>
              <w:wordWrap/>
              <w:overflowPunct/>
              <w:topLinePunct w:val="0"/>
              <w:bidi w:val="0"/>
              <w:adjustRightInd/>
              <w:spacing w:line="240" w:lineRule="auto"/>
              <w:ind w:left="0" w:leftChars="0" w:right="0" w:rightChars="0" w:firstLine="0" w:firstLineChars="0"/>
              <w:jc w:val="left"/>
              <w:textAlignment w:val="auto"/>
              <w:rPr>
                <w:rFonts w:hint="eastAsia" w:ascii="仿宋" w:hAnsi="仿宋" w:eastAsia="仿宋" w:cs="仿宋"/>
                <w:sz w:val="24"/>
                <w:szCs w:val="24"/>
                <w:highlight w:val="none"/>
                <w:vertAlign w:val="baseline"/>
              </w:rPr>
            </w:pPr>
            <w:r>
              <w:rPr>
                <w:rFonts w:hint="eastAsia" w:ascii="仿宋" w:hAnsi="仿宋" w:eastAsia="仿宋" w:cs="仿宋"/>
                <w:kern w:val="2"/>
                <w:sz w:val="24"/>
                <w:szCs w:val="24"/>
                <w:vertAlign w:val="baseline"/>
                <w:lang w:val="en-US" w:eastAsia="zh-CN" w:bidi="zh-CN"/>
              </w:rPr>
              <w:t>2</w:t>
            </w:r>
            <w:r>
              <w:rPr>
                <w:rFonts w:hint="eastAsia" w:ascii="仿宋" w:hAnsi="仿宋" w:eastAsia="仿宋" w:cs="仿宋"/>
                <w:kern w:val="2"/>
                <w:sz w:val="24"/>
                <w:szCs w:val="24"/>
                <w:vertAlign w:val="baseline"/>
                <w:lang w:val="zh-CN" w:eastAsia="zh-CN" w:bidi="zh-CN"/>
              </w:rPr>
              <w:t>、</w:t>
            </w:r>
            <w:r>
              <w:rPr>
                <w:rFonts w:hint="eastAsia" w:ascii="仿宋" w:hAnsi="仿宋" w:eastAsia="仿宋" w:cs="仿宋"/>
                <w:sz w:val="24"/>
                <w:szCs w:val="24"/>
                <w:highlight w:val="none"/>
                <w:vertAlign w:val="baseline"/>
                <w:lang w:eastAsia="zh-CN"/>
              </w:rPr>
              <w:t>投标人</w:t>
            </w:r>
            <w:r>
              <w:rPr>
                <w:rFonts w:hint="eastAsia" w:ascii="仿宋" w:hAnsi="仿宋" w:eastAsia="仿宋" w:cs="仿宋"/>
                <w:sz w:val="24"/>
                <w:szCs w:val="24"/>
                <w:highlight w:val="none"/>
                <w:vertAlign w:val="baseline"/>
              </w:rPr>
              <w:t>提供虚假合同的，按虚假投标处理。</w:t>
            </w:r>
          </w:p>
          <w:p w14:paraId="1B9C7440">
            <w:pPr>
              <w:pStyle w:val="21"/>
              <w:keepNext w:val="0"/>
              <w:keepLines w:val="0"/>
              <w:pageBreakBefore w:val="0"/>
              <w:widowControl w:val="0"/>
              <w:numPr>
                <w:ilvl w:val="0"/>
                <w:numId w:val="0"/>
              </w:numPr>
              <w:kinsoku/>
              <w:wordWrap/>
              <w:overflowPunct/>
              <w:topLinePunct w:val="0"/>
              <w:bidi w:val="0"/>
              <w:adjustRightInd/>
              <w:spacing w:line="240" w:lineRule="auto"/>
              <w:ind w:left="0" w:leftChars="0" w:right="0" w:rightChars="0" w:firstLine="0" w:firstLineChars="0"/>
              <w:jc w:val="left"/>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3、联合体任意方均可。</w:t>
            </w:r>
          </w:p>
        </w:tc>
      </w:tr>
      <w:tr w14:paraId="68C2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3" w:type="dxa"/>
            <w:vMerge w:val="continue"/>
            <w:tcBorders>
              <w:right w:val="single" w:color="000000" w:sz="4" w:space="0"/>
            </w:tcBorders>
            <w:vAlign w:val="center"/>
          </w:tcPr>
          <w:p w14:paraId="64CA4EEA">
            <w:pPr>
              <w:pStyle w:val="21"/>
              <w:keepNext w:val="0"/>
              <w:keepLines w:val="0"/>
              <w:pageBreakBefore w:val="0"/>
              <w:widowControl w:val="0"/>
              <w:kinsoku/>
              <w:wordWrap/>
              <w:overflowPunct/>
              <w:topLinePunct w:val="0"/>
              <w:bidi w:val="0"/>
              <w:adjustRightInd/>
              <w:spacing w:line="240" w:lineRule="auto"/>
              <w:ind w:right="0" w:rightChars="0"/>
              <w:jc w:val="center"/>
              <w:textAlignment w:val="auto"/>
              <w:rPr>
                <w:rFonts w:hint="eastAsia" w:ascii="仿宋" w:hAnsi="仿宋" w:eastAsia="仿宋" w:cs="仿宋"/>
                <w:sz w:val="24"/>
                <w:szCs w:val="24"/>
                <w:highlight w:val="none"/>
                <w:lang w:val="en-US"/>
              </w:rPr>
            </w:pPr>
          </w:p>
        </w:tc>
        <w:tc>
          <w:tcPr>
            <w:tcW w:w="1200" w:type="dxa"/>
            <w:tcBorders>
              <w:left w:val="single" w:color="000000" w:sz="4" w:space="0"/>
            </w:tcBorders>
            <w:vAlign w:val="center"/>
          </w:tcPr>
          <w:p w14:paraId="29229702">
            <w:pPr>
              <w:keepNext w:val="0"/>
              <w:keepLines w:val="0"/>
              <w:pageBreakBefore w:val="0"/>
              <w:widowControl w:val="0"/>
              <w:kinsoku/>
              <w:wordWrap/>
              <w:overflowPunct/>
              <w:topLinePunct w:val="0"/>
              <w:bidi w:val="0"/>
              <w:adjustRightInd/>
              <w:spacing w:line="240" w:lineRule="auto"/>
              <w:ind w:right="0" w:rightChars="0"/>
              <w:jc w:val="center"/>
              <w:textAlignment w:val="auto"/>
              <w:rPr>
                <w:rFonts w:hint="eastAsia" w:ascii="仿宋" w:hAnsi="仿宋" w:eastAsia="仿宋" w:cs="仿宋"/>
                <w:kern w:val="2"/>
                <w:sz w:val="24"/>
                <w:szCs w:val="24"/>
                <w:highlight w:val="none"/>
                <w:vertAlign w:val="baseline"/>
                <w:lang w:val="zh-CN" w:eastAsia="zh-CN" w:bidi="zh-CN"/>
              </w:rPr>
            </w:pPr>
            <w:r>
              <w:rPr>
                <w:rFonts w:hint="eastAsia" w:ascii="仿宋" w:hAnsi="仿宋" w:eastAsia="仿宋" w:cs="仿宋"/>
                <w:kern w:val="2"/>
                <w:sz w:val="24"/>
                <w:szCs w:val="24"/>
                <w:highlight w:val="none"/>
                <w:vertAlign w:val="baseline"/>
                <w:lang w:val="zh-CN" w:eastAsia="zh-CN" w:bidi="zh-CN"/>
              </w:rPr>
              <w:t>拟派的团队人员</w:t>
            </w:r>
          </w:p>
        </w:tc>
        <w:tc>
          <w:tcPr>
            <w:tcW w:w="735" w:type="dxa"/>
            <w:vAlign w:val="center"/>
          </w:tcPr>
          <w:p w14:paraId="4CC7FF97">
            <w:pPr>
              <w:keepNext w:val="0"/>
              <w:keepLines w:val="0"/>
              <w:pageBreakBefore w:val="0"/>
              <w:widowControl w:val="0"/>
              <w:kinsoku/>
              <w:wordWrap/>
              <w:overflowPunct/>
              <w:topLinePunct w:val="0"/>
              <w:bidi w:val="0"/>
              <w:adjustRightInd/>
              <w:spacing w:line="240" w:lineRule="auto"/>
              <w:ind w:right="0" w:rightChars="0"/>
              <w:jc w:val="center"/>
              <w:textAlignment w:val="auto"/>
              <w:rPr>
                <w:rFonts w:hint="eastAsia" w:ascii="仿宋" w:hAnsi="仿宋" w:eastAsia="仿宋" w:cs="仿宋"/>
                <w:kern w:val="2"/>
                <w:sz w:val="24"/>
                <w:szCs w:val="24"/>
                <w:highlight w:val="none"/>
                <w:vertAlign w:val="baseline"/>
                <w:lang w:val="en-US" w:eastAsia="zh-CN" w:bidi="zh-CN"/>
              </w:rPr>
            </w:pPr>
            <w:r>
              <w:rPr>
                <w:rFonts w:hint="eastAsia" w:ascii="仿宋" w:hAnsi="仿宋" w:eastAsia="仿宋" w:cs="仿宋"/>
                <w:kern w:val="2"/>
                <w:sz w:val="24"/>
                <w:szCs w:val="24"/>
                <w:highlight w:val="none"/>
                <w:vertAlign w:val="baseline"/>
                <w:lang w:val="en-US" w:eastAsia="zh-CN" w:bidi="zh-CN"/>
              </w:rPr>
              <w:t>12</w:t>
            </w:r>
          </w:p>
        </w:tc>
        <w:tc>
          <w:tcPr>
            <w:tcW w:w="6769" w:type="dxa"/>
            <w:vAlign w:val="center"/>
          </w:tcPr>
          <w:p w14:paraId="199AF48C">
            <w:pPr>
              <w:keepNext w:val="0"/>
              <w:keepLines w:val="0"/>
              <w:pageBreakBefore w:val="0"/>
              <w:widowControl w:val="0"/>
              <w:kinsoku/>
              <w:wordWrap/>
              <w:overflowPunct/>
              <w:topLinePunct w:val="0"/>
              <w:bidi w:val="0"/>
              <w:adjustRightInd/>
              <w:spacing w:line="240" w:lineRule="auto"/>
              <w:ind w:right="0" w:rightChars="0"/>
              <w:jc w:val="left"/>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zh-CN" w:bidi="ar-SA"/>
              </w:rPr>
              <w:t>1、项目负责人（竣工决算负责人）具备注册会计师</w:t>
            </w:r>
            <w:r>
              <w:rPr>
                <w:rFonts w:hint="eastAsia" w:ascii="仿宋" w:hAnsi="仿宋" w:eastAsia="仿宋" w:cs="仿宋"/>
                <w:kern w:val="2"/>
                <w:sz w:val="24"/>
                <w:szCs w:val="24"/>
                <w:lang w:val="zh-CN" w:eastAsia="zh-CN" w:bidi="ar-SA"/>
              </w:rPr>
              <w:t>同时具备高级及以上职称的</w:t>
            </w:r>
            <w:r>
              <w:rPr>
                <w:rFonts w:hint="eastAsia" w:ascii="仿宋" w:hAnsi="仿宋" w:eastAsia="仿宋" w:cs="仿宋"/>
                <w:kern w:val="2"/>
                <w:sz w:val="24"/>
                <w:szCs w:val="24"/>
                <w:lang w:val="en-US" w:eastAsia="zh-CN" w:bidi="ar-SA"/>
              </w:rPr>
              <w:t>得3</w:t>
            </w:r>
            <w:r>
              <w:rPr>
                <w:rFonts w:hint="eastAsia" w:ascii="仿宋" w:hAnsi="仿宋" w:eastAsia="仿宋" w:cs="仿宋"/>
                <w:kern w:val="2"/>
                <w:sz w:val="24"/>
                <w:szCs w:val="24"/>
                <w:lang w:val="zh-CN" w:eastAsia="zh-CN" w:bidi="ar-SA"/>
              </w:rPr>
              <w:t>分，具备</w:t>
            </w:r>
            <w:r>
              <w:rPr>
                <w:rFonts w:hint="eastAsia" w:ascii="仿宋" w:hAnsi="仿宋" w:eastAsia="仿宋" w:cs="仿宋"/>
                <w:kern w:val="2"/>
                <w:sz w:val="24"/>
                <w:szCs w:val="24"/>
                <w:lang w:val="en-US" w:eastAsia="zh-CN" w:bidi="ar-SA"/>
              </w:rPr>
              <w:t>注册会计师</w:t>
            </w:r>
            <w:r>
              <w:rPr>
                <w:rFonts w:hint="eastAsia" w:ascii="仿宋" w:hAnsi="仿宋" w:eastAsia="仿宋" w:cs="仿宋"/>
                <w:kern w:val="2"/>
                <w:sz w:val="24"/>
                <w:szCs w:val="24"/>
                <w:lang w:val="zh-CN" w:eastAsia="zh-CN" w:bidi="ar-SA"/>
              </w:rPr>
              <w:t>同时具备</w:t>
            </w:r>
            <w:r>
              <w:rPr>
                <w:rFonts w:hint="eastAsia" w:ascii="仿宋" w:hAnsi="仿宋" w:eastAsia="仿宋" w:cs="仿宋"/>
                <w:kern w:val="2"/>
                <w:sz w:val="24"/>
                <w:szCs w:val="24"/>
                <w:lang w:val="en-US" w:eastAsia="zh-CN" w:bidi="ar-SA"/>
              </w:rPr>
              <w:t>中级</w:t>
            </w:r>
            <w:r>
              <w:rPr>
                <w:rFonts w:hint="eastAsia" w:ascii="仿宋" w:hAnsi="仿宋" w:eastAsia="仿宋" w:cs="仿宋"/>
                <w:kern w:val="2"/>
                <w:sz w:val="24"/>
                <w:szCs w:val="24"/>
                <w:lang w:val="zh-CN" w:eastAsia="zh-CN" w:bidi="ar-SA"/>
              </w:rPr>
              <w:t>职称的</w:t>
            </w:r>
            <w:r>
              <w:rPr>
                <w:rFonts w:hint="eastAsia" w:ascii="仿宋" w:hAnsi="仿宋" w:eastAsia="仿宋" w:cs="仿宋"/>
                <w:kern w:val="2"/>
                <w:sz w:val="24"/>
                <w:szCs w:val="24"/>
                <w:lang w:val="en-US" w:eastAsia="zh-CN" w:bidi="ar-SA"/>
              </w:rPr>
              <w:t>得2</w:t>
            </w:r>
            <w:r>
              <w:rPr>
                <w:rFonts w:hint="eastAsia" w:ascii="仿宋" w:hAnsi="仿宋" w:eastAsia="仿宋" w:cs="仿宋"/>
                <w:kern w:val="2"/>
                <w:sz w:val="24"/>
                <w:szCs w:val="24"/>
                <w:lang w:val="zh-CN" w:eastAsia="zh-CN" w:bidi="ar-SA"/>
              </w:rPr>
              <w:t>分</w:t>
            </w:r>
          </w:p>
          <w:p w14:paraId="16CA81FD">
            <w:pPr>
              <w:pStyle w:val="21"/>
              <w:keepNext w:val="0"/>
              <w:keepLines w:val="0"/>
              <w:pageBreakBefore w:val="0"/>
              <w:widowControl w:val="0"/>
              <w:numPr>
                <w:ilvl w:val="0"/>
                <w:numId w:val="0"/>
              </w:numPr>
              <w:kinsoku/>
              <w:wordWrap/>
              <w:overflowPunct/>
              <w:topLinePunct w:val="0"/>
              <w:bidi w:val="0"/>
              <w:adjustRightInd/>
              <w:spacing w:line="240" w:lineRule="auto"/>
              <w:ind w:right="0" w:righ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2、除项目负责人（竣工决算负责人）以外，每增加一名具备中级以上会（含中级）计师职称得1分，最高得3分。</w:t>
            </w:r>
          </w:p>
          <w:p w14:paraId="55CE631F">
            <w:pPr>
              <w:pStyle w:val="21"/>
              <w:keepNext w:val="0"/>
              <w:keepLines w:val="0"/>
              <w:pageBreakBefore w:val="0"/>
              <w:widowControl w:val="0"/>
              <w:numPr>
                <w:ilvl w:val="0"/>
                <w:numId w:val="0"/>
              </w:numPr>
              <w:kinsoku/>
              <w:wordWrap/>
              <w:overflowPunct/>
              <w:topLinePunct w:val="0"/>
              <w:bidi w:val="0"/>
              <w:adjustRightInd/>
              <w:spacing w:line="240" w:lineRule="auto"/>
              <w:ind w:left="0" w:leftChars="0" w:right="0" w:rightChars="0"/>
              <w:jc w:val="both"/>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zh-CN" w:bidi="ar-SA"/>
              </w:rPr>
              <w:t>3</w:t>
            </w: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造价咨询负责人</w:t>
            </w:r>
            <w:r>
              <w:rPr>
                <w:rFonts w:hint="eastAsia" w:ascii="仿宋" w:hAnsi="仿宋" w:eastAsia="仿宋" w:cs="仿宋"/>
                <w:kern w:val="2"/>
                <w:sz w:val="24"/>
                <w:szCs w:val="24"/>
                <w:lang w:val="zh-CN" w:eastAsia="zh-CN" w:bidi="ar-SA"/>
              </w:rPr>
              <w:t>具备注册</w:t>
            </w:r>
            <w:r>
              <w:rPr>
                <w:rFonts w:hint="eastAsia" w:ascii="仿宋" w:hAnsi="仿宋" w:eastAsia="仿宋" w:cs="仿宋"/>
                <w:kern w:val="2"/>
                <w:sz w:val="24"/>
                <w:szCs w:val="24"/>
                <w:lang w:val="en-US" w:eastAsia="zh-CN" w:bidi="ar-SA"/>
              </w:rPr>
              <w:t>造价</w:t>
            </w:r>
            <w:r>
              <w:rPr>
                <w:rFonts w:hint="eastAsia" w:ascii="仿宋" w:hAnsi="仿宋" w:eastAsia="仿宋" w:cs="仿宋"/>
                <w:kern w:val="2"/>
                <w:sz w:val="24"/>
                <w:szCs w:val="24"/>
                <w:lang w:val="zh-CN" w:eastAsia="zh-CN" w:bidi="ar-SA"/>
              </w:rPr>
              <w:t>师（</w:t>
            </w:r>
            <w:r>
              <w:rPr>
                <w:rFonts w:hint="eastAsia" w:ascii="仿宋" w:hAnsi="仿宋" w:eastAsia="仿宋" w:cs="仿宋"/>
                <w:kern w:val="2"/>
                <w:sz w:val="24"/>
                <w:szCs w:val="24"/>
                <w:lang w:val="en-US" w:eastAsia="zh-CN" w:bidi="ar-SA"/>
              </w:rPr>
              <w:t>建筑专业</w:t>
            </w:r>
            <w:r>
              <w:rPr>
                <w:rFonts w:hint="eastAsia" w:ascii="仿宋" w:hAnsi="仿宋" w:eastAsia="仿宋" w:cs="仿宋"/>
                <w:kern w:val="2"/>
                <w:sz w:val="24"/>
                <w:szCs w:val="24"/>
                <w:lang w:val="zh-CN" w:eastAsia="zh-CN" w:bidi="ar-SA"/>
              </w:rPr>
              <w:t>）同时具备高级及以上职称的</w:t>
            </w:r>
            <w:r>
              <w:rPr>
                <w:rFonts w:hint="eastAsia" w:ascii="仿宋" w:hAnsi="仿宋" w:eastAsia="仿宋" w:cs="仿宋"/>
                <w:kern w:val="2"/>
                <w:sz w:val="24"/>
                <w:szCs w:val="24"/>
                <w:lang w:val="en-US" w:eastAsia="zh-CN" w:bidi="ar-SA"/>
              </w:rPr>
              <w:t>得3</w:t>
            </w:r>
            <w:r>
              <w:rPr>
                <w:rFonts w:hint="eastAsia" w:ascii="仿宋" w:hAnsi="仿宋" w:eastAsia="仿宋" w:cs="仿宋"/>
                <w:kern w:val="2"/>
                <w:sz w:val="24"/>
                <w:szCs w:val="24"/>
                <w:lang w:val="zh-CN" w:eastAsia="zh-CN" w:bidi="ar-SA"/>
              </w:rPr>
              <w:t>分，具备注册</w:t>
            </w:r>
            <w:r>
              <w:rPr>
                <w:rFonts w:hint="eastAsia" w:ascii="仿宋" w:hAnsi="仿宋" w:eastAsia="仿宋" w:cs="仿宋"/>
                <w:kern w:val="2"/>
                <w:sz w:val="24"/>
                <w:szCs w:val="24"/>
                <w:lang w:val="en-US" w:eastAsia="zh-CN" w:bidi="ar-SA"/>
              </w:rPr>
              <w:t>造价</w:t>
            </w:r>
            <w:r>
              <w:rPr>
                <w:rFonts w:hint="eastAsia" w:ascii="仿宋" w:hAnsi="仿宋" w:eastAsia="仿宋" w:cs="仿宋"/>
                <w:kern w:val="2"/>
                <w:sz w:val="24"/>
                <w:szCs w:val="24"/>
                <w:lang w:val="zh-CN" w:eastAsia="zh-CN" w:bidi="ar-SA"/>
              </w:rPr>
              <w:t>师同时具备</w:t>
            </w:r>
            <w:r>
              <w:rPr>
                <w:rFonts w:hint="eastAsia" w:ascii="仿宋" w:hAnsi="仿宋" w:eastAsia="仿宋" w:cs="仿宋"/>
                <w:kern w:val="2"/>
                <w:sz w:val="24"/>
                <w:szCs w:val="24"/>
                <w:lang w:val="en-US" w:eastAsia="zh-CN" w:bidi="ar-SA"/>
              </w:rPr>
              <w:t>中级</w:t>
            </w:r>
            <w:r>
              <w:rPr>
                <w:rFonts w:hint="eastAsia" w:ascii="仿宋" w:hAnsi="仿宋" w:eastAsia="仿宋" w:cs="仿宋"/>
                <w:kern w:val="2"/>
                <w:sz w:val="24"/>
                <w:szCs w:val="24"/>
                <w:lang w:val="zh-CN" w:eastAsia="zh-CN" w:bidi="ar-SA"/>
              </w:rPr>
              <w:t>职称的</w:t>
            </w:r>
            <w:r>
              <w:rPr>
                <w:rFonts w:hint="eastAsia" w:ascii="仿宋" w:hAnsi="仿宋" w:eastAsia="仿宋" w:cs="仿宋"/>
                <w:kern w:val="2"/>
                <w:sz w:val="24"/>
                <w:szCs w:val="24"/>
                <w:lang w:val="en-US" w:eastAsia="zh-CN" w:bidi="ar-SA"/>
              </w:rPr>
              <w:t>得2</w:t>
            </w:r>
            <w:r>
              <w:rPr>
                <w:rFonts w:hint="eastAsia" w:ascii="仿宋" w:hAnsi="仿宋" w:eastAsia="仿宋" w:cs="仿宋"/>
                <w:kern w:val="2"/>
                <w:sz w:val="24"/>
                <w:szCs w:val="24"/>
                <w:lang w:val="zh-CN" w:eastAsia="zh-CN" w:bidi="ar-SA"/>
              </w:rPr>
              <w:t>分。</w:t>
            </w:r>
          </w:p>
          <w:p w14:paraId="0C7E033A">
            <w:pPr>
              <w:pStyle w:val="21"/>
              <w:keepNext w:val="0"/>
              <w:keepLines w:val="0"/>
              <w:pageBreakBefore w:val="0"/>
              <w:widowControl w:val="0"/>
              <w:numPr>
                <w:ilvl w:val="0"/>
                <w:numId w:val="0"/>
              </w:numPr>
              <w:kinsoku/>
              <w:wordWrap/>
              <w:overflowPunct/>
              <w:topLinePunct w:val="0"/>
              <w:bidi w:val="0"/>
              <w:adjustRightInd/>
              <w:spacing w:line="240" w:lineRule="auto"/>
              <w:ind w:right="0" w:righ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4、除造价咨询负责人以外，每增加一名一级注册造价工程师（建筑或安装专业），本单位注册，且在有效期内得1分，最高得3分。</w:t>
            </w:r>
          </w:p>
          <w:p w14:paraId="6C26E5BA">
            <w:pPr>
              <w:keepNext w:val="0"/>
              <w:keepLines w:val="0"/>
              <w:pageBreakBefore w:val="0"/>
              <w:widowControl w:val="0"/>
              <w:kinsoku/>
              <w:wordWrap/>
              <w:overflowPunct/>
              <w:topLinePunct w:val="0"/>
              <w:bidi w:val="0"/>
              <w:adjustRightInd/>
              <w:spacing w:line="240" w:lineRule="auto"/>
              <w:ind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注：1、须附项目团队人员的学历证、相关证书、身份证、劳务合同、近6个月任意1个月社保证明等证明材料复印件加盖公章。未提供相关证明材料或提供证明材料不全者不得分。</w:t>
            </w:r>
          </w:p>
          <w:p w14:paraId="55D2E861">
            <w:pPr>
              <w:keepNext w:val="0"/>
              <w:keepLines w:val="0"/>
              <w:pageBreakBefore w:val="0"/>
              <w:widowControl w:val="0"/>
              <w:numPr>
                <w:ilvl w:val="0"/>
                <w:numId w:val="0"/>
              </w:numPr>
              <w:kinsoku/>
              <w:wordWrap/>
              <w:overflowPunct/>
              <w:topLinePunct w:val="0"/>
              <w:bidi w:val="0"/>
              <w:adjustRightInd/>
              <w:spacing w:line="240" w:lineRule="auto"/>
              <w:ind w:right="0" w:rightChars="0"/>
              <w:jc w:val="left"/>
              <w:textAlignment w:val="auto"/>
              <w:rPr>
                <w:rFonts w:hint="eastAsia" w:ascii="仿宋" w:hAnsi="仿宋" w:eastAsia="仿宋" w:cs="仿宋"/>
                <w:kern w:val="2"/>
                <w:sz w:val="24"/>
                <w:szCs w:val="24"/>
                <w:highlight w:val="none"/>
                <w:vertAlign w:val="baseline"/>
                <w:lang w:val="zh-CN" w:eastAsia="zh-CN" w:bidi="zh-CN"/>
              </w:rPr>
            </w:pPr>
            <w:r>
              <w:rPr>
                <w:rFonts w:hint="eastAsia" w:ascii="仿宋" w:hAnsi="仿宋" w:eastAsia="仿宋" w:cs="仿宋"/>
                <w:kern w:val="2"/>
                <w:sz w:val="24"/>
                <w:szCs w:val="24"/>
                <w:vertAlign w:val="baseline"/>
                <w:lang w:val="zh-CN" w:eastAsia="zh-CN" w:bidi="zh-CN"/>
              </w:rPr>
              <w:t>2.</w:t>
            </w:r>
            <w:r>
              <w:rPr>
                <w:rFonts w:hint="eastAsia" w:ascii="仿宋" w:hAnsi="仿宋" w:eastAsia="仿宋" w:cs="仿宋"/>
                <w:kern w:val="2"/>
                <w:sz w:val="24"/>
                <w:szCs w:val="24"/>
                <w:highlight w:val="none"/>
                <w:vertAlign w:val="baseline"/>
                <w:lang w:val="zh-CN" w:eastAsia="zh-CN" w:bidi="zh-CN"/>
              </w:rPr>
              <w:t>以上人员不重复计分。</w:t>
            </w:r>
          </w:p>
          <w:p w14:paraId="3CD8512A">
            <w:pPr>
              <w:keepNext w:val="0"/>
              <w:keepLines w:val="0"/>
              <w:pageBreakBefore w:val="0"/>
              <w:widowControl w:val="0"/>
              <w:numPr>
                <w:numId w:val="0"/>
              </w:numPr>
              <w:kinsoku/>
              <w:wordWrap/>
              <w:overflowPunct/>
              <w:topLinePunct w:val="0"/>
              <w:bidi w:val="0"/>
              <w:adjustRightInd/>
              <w:spacing w:line="240" w:lineRule="auto"/>
              <w:ind w:right="0" w:rightChars="0"/>
              <w:jc w:val="left"/>
              <w:textAlignment w:val="auto"/>
              <w:rPr>
                <w:rFonts w:hint="default" w:ascii="仿宋" w:hAnsi="仿宋" w:eastAsia="仿宋" w:cs="仿宋"/>
                <w:kern w:val="2"/>
                <w:sz w:val="24"/>
                <w:szCs w:val="24"/>
                <w:highlight w:val="none"/>
                <w:vertAlign w:val="baseline"/>
                <w:lang w:val="en-US" w:eastAsia="zh-CN" w:bidi="zh-CN"/>
              </w:rPr>
            </w:pPr>
            <w:r>
              <w:rPr>
                <w:rFonts w:hint="eastAsia" w:ascii="仿宋" w:hAnsi="仿宋" w:eastAsia="仿宋" w:cs="仿宋"/>
                <w:kern w:val="2"/>
                <w:sz w:val="24"/>
                <w:szCs w:val="24"/>
                <w:highlight w:val="none"/>
                <w:vertAlign w:val="baseline"/>
                <w:lang w:val="en-US" w:eastAsia="zh-CN" w:bidi="zh-CN"/>
              </w:rPr>
              <w:t>3.项目负责人须为竣工决算负责人。</w:t>
            </w:r>
          </w:p>
        </w:tc>
      </w:tr>
      <w:tr w14:paraId="3F1D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3" w:type="dxa"/>
            <w:vMerge w:val="restart"/>
            <w:tcBorders>
              <w:right w:val="single" w:color="000000" w:sz="4" w:space="0"/>
            </w:tcBorders>
            <w:vAlign w:val="center"/>
          </w:tcPr>
          <w:p w14:paraId="55DF6BF6">
            <w:pPr>
              <w:pStyle w:val="21"/>
              <w:keepNext w:val="0"/>
              <w:keepLines w:val="0"/>
              <w:pageBreakBefore w:val="0"/>
              <w:widowControl w:val="0"/>
              <w:kinsoku/>
              <w:wordWrap/>
              <w:overflowPunct/>
              <w:topLinePunct w:val="0"/>
              <w:bidi w:val="0"/>
              <w:adjustRightInd/>
              <w:spacing w:line="240" w:lineRule="auto"/>
              <w:ind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技术部分 </w:t>
            </w:r>
          </w:p>
        </w:tc>
        <w:tc>
          <w:tcPr>
            <w:tcW w:w="1200" w:type="dxa"/>
            <w:tcBorders>
              <w:left w:val="single" w:color="000000" w:sz="4" w:space="0"/>
            </w:tcBorders>
            <w:shd w:val="clear" w:color="auto" w:fill="auto"/>
            <w:vAlign w:val="center"/>
          </w:tcPr>
          <w:p w14:paraId="0B95C9E7">
            <w:pPr>
              <w:pStyle w:val="21"/>
              <w:spacing w:line="240" w:lineRule="auto"/>
              <w:ind w:left="0" w:leftChars="0" w:right="0" w:rightChars="0"/>
              <w:jc w:val="center"/>
              <w:rPr>
                <w:rFonts w:hint="eastAsia" w:ascii="仿宋" w:hAnsi="仿宋" w:eastAsia="仿宋" w:cs="仿宋"/>
                <w:kern w:val="2"/>
                <w:sz w:val="24"/>
                <w:szCs w:val="24"/>
                <w:lang w:val="zh-CN" w:eastAsia="zh-CN" w:bidi="zh-CN"/>
              </w:rPr>
            </w:pPr>
            <w:r>
              <w:rPr>
                <w:rFonts w:hint="eastAsia" w:ascii="仿宋" w:hAnsi="仿宋" w:eastAsia="仿宋" w:cs="仿宋"/>
                <w:sz w:val="24"/>
                <w:szCs w:val="24"/>
              </w:rPr>
              <w:t>服务大纲</w:t>
            </w:r>
          </w:p>
        </w:tc>
        <w:tc>
          <w:tcPr>
            <w:tcW w:w="735" w:type="dxa"/>
            <w:shd w:val="clear" w:color="auto" w:fill="auto"/>
            <w:vAlign w:val="center"/>
          </w:tcPr>
          <w:p w14:paraId="51277EE8">
            <w:pPr>
              <w:pStyle w:val="21"/>
              <w:spacing w:line="240" w:lineRule="auto"/>
              <w:ind w:left="0" w:leftChars="0" w:right="0" w:rightChars="0"/>
              <w:jc w:val="center"/>
              <w:rPr>
                <w:rFonts w:hint="default" w:ascii="仿宋" w:hAnsi="仿宋" w:eastAsia="仿宋" w:cs="仿宋"/>
                <w:kern w:val="2"/>
                <w:sz w:val="24"/>
                <w:szCs w:val="24"/>
                <w:lang w:val="en-US" w:eastAsia="zh-CN" w:bidi="zh-CN"/>
              </w:rPr>
            </w:pPr>
            <w:r>
              <w:rPr>
                <w:rFonts w:hint="eastAsia" w:ascii="仿宋" w:hAnsi="仿宋" w:eastAsia="仿宋" w:cs="仿宋"/>
                <w:sz w:val="24"/>
                <w:szCs w:val="24"/>
                <w:lang w:val="en-US" w:eastAsia="zh-CN"/>
              </w:rPr>
              <w:t>16</w:t>
            </w:r>
          </w:p>
        </w:tc>
        <w:tc>
          <w:tcPr>
            <w:tcW w:w="6769" w:type="dxa"/>
            <w:shd w:val="clear" w:color="auto" w:fill="auto"/>
            <w:vAlign w:val="center"/>
          </w:tcPr>
          <w:p w14:paraId="654F82B2">
            <w:pPr>
              <w:pStyle w:val="21"/>
              <w:spacing w:line="240" w:lineRule="auto"/>
              <w:jc w:val="both"/>
              <w:rPr>
                <w:rFonts w:hint="eastAsia" w:ascii="仿宋" w:hAnsi="仿宋" w:eastAsia="仿宋" w:cs="仿宋"/>
                <w:sz w:val="24"/>
                <w:szCs w:val="24"/>
              </w:rPr>
            </w:pPr>
            <w:r>
              <w:rPr>
                <w:rFonts w:hint="eastAsia" w:ascii="仿宋" w:hAnsi="仿宋" w:eastAsia="仿宋" w:cs="仿宋"/>
                <w:sz w:val="24"/>
                <w:szCs w:val="24"/>
              </w:rPr>
              <w:t>服务大纲内容包含：①工作范围和任务；②控制的重点、难点分 析；③工作程序和计划安排；④合理化建议；上述内容全面完整，合理、可行性较强、且具有针对性的，得</w:t>
            </w:r>
            <w:r>
              <w:rPr>
                <w:rFonts w:hint="eastAsia" w:ascii="仿宋" w:hAnsi="仿宋" w:eastAsia="仿宋" w:cs="仿宋"/>
                <w:sz w:val="24"/>
                <w:szCs w:val="24"/>
                <w:lang w:val="en-US" w:eastAsia="zh-CN"/>
              </w:rPr>
              <w:t>16</w:t>
            </w:r>
            <w:r>
              <w:rPr>
                <w:rFonts w:hint="eastAsia" w:ascii="仿宋" w:hAnsi="仿宋" w:eastAsia="仿宋" w:cs="仿宋"/>
                <w:sz w:val="24"/>
                <w:szCs w:val="24"/>
              </w:rPr>
              <w:t>分；每缺一项内容，扣</w:t>
            </w:r>
            <w:r>
              <w:rPr>
                <w:rFonts w:hint="eastAsia" w:ascii="仿宋" w:hAnsi="仿宋" w:eastAsia="仿宋" w:cs="仿宋"/>
                <w:sz w:val="24"/>
                <w:szCs w:val="24"/>
                <w:lang w:val="en-US" w:eastAsia="zh-CN"/>
              </w:rPr>
              <w:t>4</w:t>
            </w:r>
            <w:r>
              <w:rPr>
                <w:rFonts w:hint="eastAsia" w:ascii="仿宋" w:hAnsi="仿宋" w:eastAsia="仿宋" w:cs="仿宋"/>
                <w:sz w:val="24"/>
                <w:szCs w:val="24"/>
              </w:rPr>
              <w:t>分；每项内容中每有一处缺陷扣1分，每项内容最多扣减</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14:paraId="3910B2A8">
            <w:pPr>
              <w:pStyle w:val="21"/>
              <w:spacing w:line="240" w:lineRule="auto"/>
              <w:ind w:left="0" w:leftChars="0" w:right="0" w:rightChars="0"/>
              <w:jc w:val="both"/>
              <w:rPr>
                <w:rFonts w:hint="eastAsia" w:ascii="仿宋" w:hAnsi="仿宋" w:eastAsia="仿宋" w:cs="仿宋"/>
                <w:kern w:val="2"/>
                <w:sz w:val="24"/>
                <w:szCs w:val="24"/>
                <w:lang w:val="zh-CN" w:eastAsia="zh-CN" w:bidi="zh-CN"/>
              </w:rPr>
            </w:pPr>
            <w:r>
              <w:rPr>
                <w:rFonts w:hint="eastAsia" w:ascii="仿宋" w:hAnsi="仿宋" w:eastAsia="仿宋" w:cs="仿宋"/>
                <w:sz w:val="24"/>
                <w:szCs w:val="24"/>
              </w:rPr>
              <w:t>（缺陷是指：</w:t>
            </w:r>
            <w:r>
              <w:rPr>
                <w:rFonts w:hint="eastAsia" w:ascii="仿宋" w:hAnsi="仿宋" w:eastAsia="仿宋"/>
                <w:sz w:val="24"/>
                <w:szCs w:val="24"/>
              </w:rPr>
              <w:t>①内容与实际情况不匹配、②不符合项目特点、③内容不完整或缺少 关键节点、④存在描述内容过于简略、⑤缺失不全、⑥前后矛盾、⑦表述不清晰、 ⑧凭空编造、⑨逻辑混淆错误、⑩涉及的规范及标准错误不可能实现的情形等任意一种情形。</w:t>
            </w:r>
            <w:r>
              <w:rPr>
                <w:rFonts w:hint="eastAsia" w:ascii="仿宋" w:hAnsi="仿宋" w:eastAsia="仿宋" w:cs="仿宋"/>
                <w:sz w:val="24"/>
                <w:szCs w:val="24"/>
              </w:rPr>
              <w:t>）</w:t>
            </w:r>
          </w:p>
        </w:tc>
      </w:tr>
      <w:tr w14:paraId="0919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3" w:type="dxa"/>
            <w:vMerge w:val="continue"/>
            <w:tcBorders>
              <w:right w:val="single" w:color="000000" w:sz="4" w:space="0"/>
            </w:tcBorders>
            <w:vAlign w:val="center"/>
          </w:tcPr>
          <w:p w14:paraId="0AD9B225">
            <w:pPr>
              <w:pStyle w:val="21"/>
              <w:keepNext w:val="0"/>
              <w:keepLines w:val="0"/>
              <w:pageBreakBefore w:val="0"/>
              <w:widowControl w:val="0"/>
              <w:kinsoku/>
              <w:wordWrap/>
              <w:overflowPunct/>
              <w:topLinePunct w:val="0"/>
              <w:bidi w:val="0"/>
              <w:adjustRightInd/>
              <w:spacing w:line="240" w:lineRule="auto"/>
              <w:ind w:right="0" w:rightChars="0"/>
              <w:jc w:val="center"/>
              <w:textAlignment w:val="auto"/>
              <w:rPr>
                <w:rFonts w:hint="eastAsia" w:ascii="仿宋" w:hAnsi="仿宋" w:eastAsia="仿宋" w:cs="仿宋"/>
                <w:sz w:val="24"/>
                <w:szCs w:val="24"/>
                <w:highlight w:val="none"/>
              </w:rPr>
            </w:pPr>
          </w:p>
        </w:tc>
        <w:tc>
          <w:tcPr>
            <w:tcW w:w="1200" w:type="dxa"/>
            <w:tcBorders>
              <w:left w:val="single" w:color="000000" w:sz="4" w:space="0"/>
            </w:tcBorders>
            <w:shd w:val="clear" w:color="auto" w:fill="auto"/>
            <w:vAlign w:val="center"/>
          </w:tcPr>
          <w:p w14:paraId="3DB76D88">
            <w:pPr>
              <w:pStyle w:val="27"/>
              <w:spacing w:line="240" w:lineRule="auto"/>
              <w:ind w:left="0" w:leftChars="0" w:right="0" w:rightChars="0"/>
              <w:jc w:val="center"/>
              <w:rPr>
                <w:rFonts w:hint="eastAsia" w:ascii="仿宋" w:hAnsi="仿宋" w:eastAsia="仿宋" w:cs="楷体"/>
                <w:kern w:val="0"/>
                <w:sz w:val="24"/>
                <w:szCs w:val="24"/>
                <w:lang w:val="en-US" w:eastAsia="zh-CN" w:bidi="ar"/>
              </w:rPr>
            </w:pPr>
            <w:r>
              <w:rPr>
                <w:rFonts w:hint="eastAsia" w:ascii="仿宋" w:hAnsi="仿宋" w:eastAsia="仿宋" w:cs="楷体"/>
                <w:sz w:val="24"/>
                <w:szCs w:val="24"/>
              </w:rPr>
              <w:t>实施方案</w:t>
            </w:r>
          </w:p>
        </w:tc>
        <w:tc>
          <w:tcPr>
            <w:tcW w:w="735" w:type="dxa"/>
            <w:shd w:val="clear" w:color="auto" w:fill="auto"/>
            <w:vAlign w:val="center"/>
          </w:tcPr>
          <w:p w14:paraId="12B6CAD2">
            <w:pPr>
              <w:pStyle w:val="27"/>
              <w:spacing w:beforeAutospacing="0" w:afterAutospacing="0" w:line="240" w:lineRule="auto"/>
              <w:ind w:left="0" w:leftChars="0" w:right="0" w:rightChars="0"/>
              <w:jc w:val="center"/>
              <w:rPr>
                <w:rFonts w:hint="eastAsia" w:ascii="仿宋" w:hAnsi="仿宋" w:eastAsia="仿宋" w:cs="楷体"/>
                <w:kern w:val="0"/>
                <w:sz w:val="24"/>
                <w:szCs w:val="24"/>
                <w:lang w:val="en-US" w:eastAsia="zh-CN" w:bidi="ar"/>
              </w:rPr>
            </w:pPr>
            <w:r>
              <w:rPr>
                <w:rFonts w:hint="eastAsia" w:ascii="仿宋" w:hAnsi="仿宋" w:eastAsia="仿宋" w:cs="楷体"/>
                <w:sz w:val="24"/>
                <w:szCs w:val="24"/>
              </w:rPr>
              <w:t>20</w:t>
            </w:r>
          </w:p>
        </w:tc>
        <w:tc>
          <w:tcPr>
            <w:tcW w:w="6769" w:type="dxa"/>
            <w:shd w:val="clear" w:color="auto" w:fill="auto"/>
            <w:vAlign w:val="top"/>
          </w:tcPr>
          <w:p w14:paraId="7DE7F108">
            <w:pPr>
              <w:pStyle w:val="21"/>
              <w:spacing w:line="240" w:lineRule="auto"/>
              <w:jc w:val="both"/>
              <w:rPr>
                <w:rFonts w:hint="eastAsia" w:ascii="仿宋" w:hAnsi="仿宋" w:eastAsia="仿宋" w:cs="仿宋"/>
                <w:sz w:val="24"/>
                <w:szCs w:val="24"/>
              </w:rPr>
            </w:pPr>
            <w:r>
              <w:rPr>
                <w:rFonts w:hint="eastAsia" w:ascii="仿宋" w:hAnsi="仿宋" w:eastAsia="仿宋"/>
                <w:sz w:val="24"/>
                <w:szCs w:val="24"/>
              </w:rPr>
              <w:t>实施方案内容包含：①实施人员分工及配置方案；②关键控制点 方案；③机构岗位分工及责任划分；④应急预案；</w:t>
            </w:r>
            <w:r>
              <w:rPr>
                <w:rFonts w:hint="eastAsia" w:ascii="仿宋" w:hAnsi="仿宋" w:eastAsia="仿宋" w:cs="仿宋"/>
                <w:sz w:val="24"/>
                <w:szCs w:val="24"/>
              </w:rPr>
              <w:t>上述内容全面完整，合理、可行性较强、且具有针对性的，得2</w:t>
            </w:r>
            <w:r>
              <w:rPr>
                <w:rFonts w:hint="eastAsia" w:ascii="仿宋" w:hAnsi="仿宋" w:eastAsia="仿宋" w:cs="仿宋"/>
                <w:sz w:val="24"/>
                <w:szCs w:val="24"/>
                <w:lang w:val="en-US"/>
              </w:rPr>
              <w:t>0</w:t>
            </w:r>
            <w:r>
              <w:rPr>
                <w:rFonts w:hint="eastAsia" w:ascii="仿宋" w:hAnsi="仿宋" w:eastAsia="仿宋" w:cs="仿宋"/>
                <w:sz w:val="24"/>
                <w:szCs w:val="24"/>
              </w:rPr>
              <w:t>分；每缺一项内容，扣5分；每项内容中每有一处缺陷扣1分，每项内容最多扣减5分。</w:t>
            </w:r>
          </w:p>
          <w:p w14:paraId="1529FEC9">
            <w:pPr>
              <w:widowControl/>
              <w:autoSpaceDE w:val="0"/>
              <w:autoSpaceDN w:val="0"/>
              <w:spacing w:line="240" w:lineRule="auto"/>
              <w:jc w:val="left"/>
              <w:rPr>
                <w:rFonts w:hint="eastAsia" w:ascii="仿宋" w:hAnsi="仿宋" w:eastAsia="仿宋" w:cs="楷体"/>
                <w:kern w:val="0"/>
                <w:sz w:val="24"/>
                <w:szCs w:val="24"/>
                <w:lang w:val="en-US" w:eastAsia="zh-CN" w:bidi="zh-CN"/>
              </w:rPr>
            </w:pPr>
            <w:r>
              <w:rPr>
                <w:rFonts w:hint="eastAsia" w:ascii="仿宋" w:hAnsi="仿宋" w:eastAsia="仿宋" w:cs="仿宋"/>
                <w:sz w:val="24"/>
                <w:szCs w:val="24"/>
              </w:rPr>
              <w:t>（缺陷是指：</w:t>
            </w:r>
            <w:r>
              <w:rPr>
                <w:rFonts w:hint="eastAsia" w:ascii="仿宋" w:hAnsi="仿宋" w:eastAsia="仿宋" w:cs="楷体"/>
                <w:kern w:val="0"/>
                <w:sz w:val="24"/>
                <w:szCs w:val="24"/>
                <w:lang w:val="zh-CN" w:bidi="zh-CN"/>
              </w:rPr>
              <w:t>①内容与实际情况不匹配、②不符合项目特点、③内容不完整或缺少 关键节点、④存在描述内容过于简略、⑤缺失不全、⑥前后矛盾、⑦表述不清晰、 ⑧凭空编造、⑨逻辑混淆错误、⑩涉及的规范及标准错误不可能实现的情形等任意一种情形。</w:t>
            </w:r>
            <w:r>
              <w:rPr>
                <w:rFonts w:hint="eastAsia" w:ascii="仿宋" w:hAnsi="仿宋" w:eastAsia="仿宋" w:cs="仿宋"/>
                <w:sz w:val="24"/>
                <w:szCs w:val="24"/>
              </w:rPr>
              <w:t>）</w:t>
            </w:r>
          </w:p>
        </w:tc>
      </w:tr>
      <w:tr w14:paraId="2576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3" w:type="dxa"/>
            <w:vMerge w:val="continue"/>
            <w:tcBorders>
              <w:right w:val="single" w:color="000000" w:sz="4" w:space="0"/>
            </w:tcBorders>
            <w:vAlign w:val="center"/>
          </w:tcPr>
          <w:p w14:paraId="538D884E">
            <w:pPr>
              <w:pStyle w:val="21"/>
              <w:keepNext w:val="0"/>
              <w:keepLines w:val="0"/>
              <w:pageBreakBefore w:val="0"/>
              <w:widowControl w:val="0"/>
              <w:kinsoku/>
              <w:wordWrap/>
              <w:overflowPunct/>
              <w:topLinePunct w:val="0"/>
              <w:bidi w:val="0"/>
              <w:adjustRightInd/>
              <w:spacing w:line="240" w:lineRule="auto"/>
              <w:ind w:right="0" w:rightChars="0"/>
              <w:jc w:val="center"/>
              <w:textAlignment w:val="auto"/>
              <w:rPr>
                <w:rFonts w:hint="eastAsia" w:ascii="仿宋" w:hAnsi="仿宋" w:eastAsia="仿宋" w:cs="仿宋"/>
                <w:sz w:val="24"/>
                <w:szCs w:val="24"/>
                <w:highlight w:val="none"/>
              </w:rPr>
            </w:pPr>
          </w:p>
        </w:tc>
        <w:tc>
          <w:tcPr>
            <w:tcW w:w="1200" w:type="dxa"/>
            <w:tcBorders>
              <w:left w:val="single" w:color="000000" w:sz="4" w:space="0"/>
            </w:tcBorders>
            <w:shd w:val="clear" w:color="auto" w:fill="auto"/>
            <w:vAlign w:val="center"/>
          </w:tcPr>
          <w:p w14:paraId="2BA51B39">
            <w:pPr>
              <w:pStyle w:val="27"/>
              <w:spacing w:line="240" w:lineRule="auto"/>
              <w:ind w:left="0" w:leftChars="0" w:right="0" w:rightChars="0"/>
              <w:jc w:val="center"/>
              <w:rPr>
                <w:rFonts w:hint="eastAsia" w:ascii="仿宋" w:hAnsi="仿宋" w:eastAsia="仿宋" w:cs="楷体"/>
                <w:kern w:val="0"/>
                <w:sz w:val="24"/>
                <w:szCs w:val="24"/>
                <w:lang w:val="zh-CN" w:eastAsia="zh-CN" w:bidi="ar"/>
              </w:rPr>
            </w:pPr>
            <w:r>
              <w:rPr>
                <w:rFonts w:hint="eastAsia" w:ascii="仿宋" w:hAnsi="仿宋" w:eastAsia="仿宋" w:cs="楷体"/>
                <w:sz w:val="24"/>
                <w:szCs w:val="24"/>
              </w:rPr>
              <w:t>项目进度计划安排</w:t>
            </w:r>
          </w:p>
        </w:tc>
        <w:tc>
          <w:tcPr>
            <w:tcW w:w="735" w:type="dxa"/>
            <w:shd w:val="clear" w:color="auto" w:fill="auto"/>
            <w:vAlign w:val="center"/>
          </w:tcPr>
          <w:p w14:paraId="5701F3EB">
            <w:pPr>
              <w:pStyle w:val="27"/>
              <w:spacing w:beforeAutospacing="0" w:afterAutospacing="0" w:line="240" w:lineRule="auto"/>
              <w:ind w:left="0" w:leftChars="0" w:right="0" w:rightChars="0"/>
              <w:jc w:val="center"/>
              <w:rPr>
                <w:rFonts w:hint="default" w:ascii="仿宋" w:hAnsi="仿宋" w:eastAsia="仿宋" w:cs="楷体"/>
                <w:kern w:val="0"/>
                <w:sz w:val="24"/>
                <w:szCs w:val="24"/>
                <w:lang w:val="en-US" w:eastAsia="zh-CN" w:bidi="ar"/>
              </w:rPr>
            </w:pPr>
            <w:r>
              <w:rPr>
                <w:rFonts w:hint="eastAsia" w:ascii="仿宋" w:hAnsi="仿宋" w:eastAsia="仿宋" w:cs="楷体"/>
                <w:sz w:val="24"/>
                <w:szCs w:val="24"/>
                <w:lang w:val="en-US" w:eastAsia="zh-CN"/>
              </w:rPr>
              <w:t>10</w:t>
            </w:r>
          </w:p>
        </w:tc>
        <w:tc>
          <w:tcPr>
            <w:tcW w:w="6769" w:type="dxa"/>
            <w:shd w:val="clear" w:color="auto" w:fill="auto"/>
            <w:vAlign w:val="top"/>
          </w:tcPr>
          <w:p w14:paraId="2D07CA90">
            <w:pPr>
              <w:pStyle w:val="21"/>
              <w:spacing w:line="240" w:lineRule="auto"/>
              <w:jc w:val="both"/>
              <w:rPr>
                <w:rFonts w:hint="eastAsia" w:ascii="仿宋" w:hAnsi="仿宋" w:eastAsia="仿宋" w:cs="仿宋"/>
                <w:sz w:val="24"/>
                <w:szCs w:val="24"/>
              </w:rPr>
            </w:pPr>
            <w:r>
              <w:rPr>
                <w:rFonts w:hint="eastAsia" w:ascii="仿宋" w:hAnsi="仿宋" w:eastAsia="仿宋"/>
                <w:sz w:val="24"/>
                <w:szCs w:val="24"/>
              </w:rPr>
              <w:t>项目进度计划安排内容包含：①进度计划与措施；②进度控制目 标及方案；</w:t>
            </w:r>
            <w:r>
              <w:rPr>
                <w:rFonts w:hint="eastAsia" w:ascii="仿宋" w:hAnsi="仿宋" w:eastAsia="仿宋" w:cs="仿宋"/>
                <w:sz w:val="24"/>
                <w:szCs w:val="24"/>
              </w:rPr>
              <w:t>上述内容全面完整，合理、可行性较强、且具有针对性的，得</w:t>
            </w:r>
            <w:r>
              <w:rPr>
                <w:rFonts w:hint="eastAsia" w:ascii="仿宋" w:hAnsi="仿宋" w:eastAsia="仿宋" w:cs="仿宋"/>
                <w:sz w:val="24"/>
                <w:szCs w:val="24"/>
                <w:lang w:val="en-US" w:eastAsia="zh-CN"/>
              </w:rPr>
              <w:t>10</w:t>
            </w:r>
            <w:r>
              <w:rPr>
                <w:rFonts w:hint="eastAsia" w:ascii="仿宋" w:hAnsi="仿宋" w:eastAsia="仿宋" w:cs="仿宋"/>
                <w:sz w:val="24"/>
                <w:szCs w:val="24"/>
              </w:rPr>
              <w:t>分；每缺一项内容，扣</w:t>
            </w:r>
            <w:r>
              <w:rPr>
                <w:rFonts w:hint="eastAsia" w:ascii="仿宋" w:hAnsi="仿宋" w:eastAsia="仿宋" w:cs="仿宋"/>
                <w:sz w:val="24"/>
                <w:szCs w:val="24"/>
                <w:lang w:val="en-US" w:eastAsia="zh-CN"/>
              </w:rPr>
              <w:t>5</w:t>
            </w:r>
            <w:r>
              <w:rPr>
                <w:rFonts w:hint="eastAsia" w:ascii="仿宋" w:hAnsi="仿宋" w:eastAsia="仿宋" w:cs="仿宋"/>
                <w:sz w:val="24"/>
                <w:szCs w:val="24"/>
              </w:rPr>
              <w:t>分；每项内容中每有一处缺陷扣1分，每项内容最多扣减</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14:paraId="2CA4F459">
            <w:pPr>
              <w:widowControl/>
              <w:autoSpaceDE w:val="0"/>
              <w:autoSpaceDN w:val="0"/>
              <w:spacing w:line="240" w:lineRule="auto"/>
              <w:jc w:val="left"/>
              <w:rPr>
                <w:rFonts w:hint="eastAsia" w:ascii="仿宋" w:hAnsi="仿宋" w:eastAsia="仿宋" w:cs="楷体"/>
                <w:kern w:val="0"/>
                <w:sz w:val="24"/>
                <w:szCs w:val="24"/>
                <w:lang w:val="zh-CN" w:eastAsia="zh-CN" w:bidi="zh-CN"/>
              </w:rPr>
            </w:pPr>
            <w:r>
              <w:rPr>
                <w:rFonts w:hint="eastAsia" w:ascii="仿宋" w:hAnsi="仿宋" w:eastAsia="仿宋" w:cs="仿宋"/>
                <w:sz w:val="24"/>
                <w:szCs w:val="24"/>
              </w:rPr>
              <w:t>（缺陷是指：</w:t>
            </w:r>
            <w:r>
              <w:rPr>
                <w:rFonts w:hint="eastAsia" w:ascii="仿宋" w:hAnsi="仿宋" w:eastAsia="仿宋" w:cs="楷体"/>
                <w:kern w:val="0"/>
                <w:sz w:val="24"/>
                <w:szCs w:val="24"/>
                <w:lang w:val="zh-CN" w:bidi="zh-CN"/>
              </w:rPr>
              <w:t>①内容与实际情况不匹配、②不符合项目特点、③内容不完整或缺少 关键节点、④存在描述内容过于简略、⑤缺失不全、⑥前后矛盾、⑦表述不清晰、 ⑧凭空编造、⑨逻辑混淆错误、⑩涉及的规范及标准错误不可能实现的情形等任意一种情形。</w:t>
            </w:r>
            <w:r>
              <w:rPr>
                <w:rFonts w:hint="eastAsia" w:ascii="仿宋" w:hAnsi="仿宋" w:eastAsia="仿宋" w:cs="仿宋"/>
                <w:sz w:val="24"/>
                <w:szCs w:val="24"/>
              </w:rPr>
              <w:t>）</w:t>
            </w:r>
          </w:p>
        </w:tc>
      </w:tr>
      <w:tr w14:paraId="5DE4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3" w:type="dxa"/>
            <w:vMerge w:val="continue"/>
            <w:tcBorders>
              <w:right w:val="single" w:color="000000" w:sz="4" w:space="0"/>
            </w:tcBorders>
            <w:vAlign w:val="center"/>
          </w:tcPr>
          <w:p w14:paraId="6188E969">
            <w:pPr>
              <w:pStyle w:val="21"/>
              <w:keepNext w:val="0"/>
              <w:keepLines w:val="0"/>
              <w:pageBreakBefore w:val="0"/>
              <w:widowControl w:val="0"/>
              <w:kinsoku/>
              <w:wordWrap/>
              <w:overflowPunct/>
              <w:topLinePunct w:val="0"/>
              <w:bidi w:val="0"/>
              <w:adjustRightInd/>
              <w:spacing w:line="240" w:lineRule="auto"/>
              <w:ind w:right="0" w:rightChars="0"/>
              <w:jc w:val="center"/>
              <w:textAlignment w:val="auto"/>
              <w:rPr>
                <w:rFonts w:hint="eastAsia" w:ascii="仿宋" w:hAnsi="仿宋" w:eastAsia="仿宋" w:cs="仿宋"/>
                <w:sz w:val="24"/>
                <w:szCs w:val="24"/>
                <w:highlight w:val="none"/>
              </w:rPr>
            </w:pPr>
          </w:p>
        </w:tc>
        <w:tc>
          <w:tcPr>
            <w:tcW w:w="1200" w:type="dxa"/>
            <w:tcBorders>
              <w:left w:val="single" w:color="000000" w:sz="4" w:space="0"/>
            </w:tcBorders>
            <w:shd w:val="clear" w:color="auto" w:fill="auto"/>
            <w:vAlign w:val="center"/>
          </w:tcPr>
          <w:p w14:paraId="6A2729DB">
            <w:pPr>
              <w:pStyle w:val="27"/>
              <w:spacing w:line="240" w:lineRule="auto"/>
              <w:ind w:left="0" w:leftChars="0" w:right="0" w:rightChars="0"/>
              <w:jc w:val="center"/>
              <w:rPr>
                <w:rFonts w:hint="eastAsia" w:ascii="仿宋" w:hAnsi="仿宋" w:eastAsia="仿宋" w:cs="楷体"/>
                <w:kern w:val="0"/>
                <w:sz w:val="24"/>
                <w:szCs w:val="24"/>
                <w:lang w:val="zh-CN" w:eastAsia="zh-CN" w:bidi="ar"/>
              </w:rPr>
            </w:pPr>
            <w:r>
              <w:rPr>
                <w:rFonts w:hint="eastAsia" w:ascii="仿宋" w:hAnsi="仿宋" w:eastAsia="仿宋" w:cs="楷体"/>
                <w:sz w:val="24"/>
                <w:szCs w:val="24"/>
              </w:rPr>
              <w:t>保障措施</w:t>
            </w:r>
          </w:p>
        </w:tc>
        <w:tc>
          <w:tcPr>
            <w:tcW w:w="735" w:type="dxa"/>
            <w:shd w:val="clear" w:color="auto" w:fill="auto"/>
            <w:vAlign w:val="center"/>
          </w:tcPr>
          <w:p w14:paraId="5CCCD661">
            <w:pPr>
              <w:pStyle w:val="27"/>
              <w:spacing w:beforeAutospacing="0" w:afterAutospacing="0" w:line="240" w:lineRule="auto"/>
              <w:ind w:left="0" w:leftChars="0" w:right="0" w:rightChars="0"/>
              <w:jc w:val="center"/>
              <w:rPr>
                <w:rFonts w:hint="eastAsia" w:ascii="仿宋" w:hAnsi="仿宋" w:eastAsia="仿宋" w:cs="楷体"/>
                <w:kern w:val="0"/>
                <w:sz w:val="24"/>
                <w:szCs w:val="24"/>
                <w:lang w:val="en-US" w:eastAsia="zh-CN" w:bidi="ar"/>
              </w:rPr>
            </w:pPr>
            <w:r>
              <w:rPr>
                <w:rFonts w:ascii="仿宋" w:hAnsi="仿宋" w:eastAsia="仿宋" w:cs="楷体"/>
                <w:sz w:val="24"/>
                <w:szCs w:val="24"/>
              </w:rPr>
              <w:t>20</w:t>
            </w:r>
          </w:p>
        </w:tc>
        <w:tc>
          <w:tcPr>
            <w:tcW w:w="6769" w:type="dxa"/>
            <w:shd w:val="clear" w:color="auto" w:fill="auto"/>
            <w:vAlign w:val="top"/>
          </w:tcPr>
          <w:p w14:paraId="6626A411">
            <w:pPr>
              <w:pStyle w:val="21"/>
              <w:spacing w:line="240" w:lineRule="auto"/>
              <w:jc w:val="both"/>
              <w:rPr>
                <w:rFonts w:hint="eastAsia" w:ascii="仿宋" w:hAnsi="仿宋" w:eastAsia="仿宋" w:cs="仿宋"/>
                <w:sz w:val="24"/>
                <w:szCs w:val="24"/>
              </w:rPr>
            </w:pPr>
            <w:r>
              <w:rPr>
                <w:rFonts w:hint="eastAsia" w:ascii="仿宋" w:hAnsi="仿宋" w:eastAsia="仿宋"/>
                <w:sz w:val="24"/>
                <w:szCs w:val="24"/>
              </w:rPr>
              <w:t>保障措施内容包含：①质量控制计划；②质量保障措施；③进度管控制度；④进度保障措施；⑤保密措施；</w:t>
            </w:r>
            <w:r>
              <w:rPr>
                <w:rFonts w:hint="eastAsia" w:ascii="仿宋" w:hAnsi="仿宋" w:eastAsia="仿宋" w:cs="仿宋"/>
                <w:sz w:val="24"/>
                <w:szCs w:val="24"/>
              </w:rPr>
              <w:t>上述内容全面完整，合理、可行性较强、且具有针对性的，得20分；每缺一项内容，扣4分</w:t>
            </w:r>
            <w:bookmarkStart w:id="334" w:name="_GoBack"/>
            <w:bookmarkEnd w:id="334"/>
            <w:r>
              <w:rPr>
                <w:rFonts w:hint="eastAsia" w:ascii="仿宋" w:hAnsi="仿宋" w:eastAsia="仿宋" w:cs="仿宋"/>
                <w:sz w:val="24"/>
                <w:szCs w:val="24"/>
              </w:rPr>
              <w:t>；每项内容中每有一处缺陷扣1分，每项内容最多扣减4分。</w:t>
            </w:r>
          </w:p>
          <w:p w14:paraId="43119CCA">
            <w:pPr>
              <w:widowControl/>
              <w:autoSpaceDE w:val="0"/>
              <w:autoSpaceDN w:val="0"/>
              <w:spacing w:line="240" w:lineRule="auto"/>
              <w:jc w:val="left"/>
              <w:rPr>
                <w:rFonts w:hint="eastAsia" w:ascii="仿宋" w:hAnsi="仿宋" w:eastAsia="仿宋" w:cs="楷体"/>
                <w:kern w:val="0"/>
                <w:sz w:val="24"/>
                <w:szCs w:val="24"/>
                <w:lang w:val="en-US" w:eastAsia="zh-CN" w:bidi="zh-CN"/>
              </w:rPr>
            </w:pPr>
            <w:r>
              <w:rPr>
                <w:rFonts w:hint="eastAsia" w:ascii="仿宋" w:hAnsi="仿宋" w:eastAsia="仿宋" w:cs="仿宋"/>
                <w:sz w:val="24"/>
                <w:szCs w:val="24"/>
              </w:rPr>
              <w:t>（缺陷是指：</w:t>
            </w:r>
            <w:r>
              <w:rPr>
                <w:rFonts w:hint="eastAsia" w:ascii="仿宋" w:hAnsi="仿宋" w:eastAsia="仿宋" w:cs="楷体"/>
                <w:kern w:val="0"/>
                <w:sz w:val="24"/>
                <w:szCs w:val="24"/>
                <w:lang w:val="zh-CN" w:bidi="zh-CN"/>
              </w:rPr>
              <w:t>①内容与实际情况不匹配、②不符合项目特点、③内容不完整或缺少 关键节点、④存在描述内容过于简略、⑤缺失不全、⑥前后矛盾、⑦表述不清晰、 ⑧凭空编造、⑨逻辑混淆错误、⑩涉及的规范及标准错误不可能实现的情形等任意一种情形。</w:t>
            </w:r>
            <w:r>
              <w:rPr>
                <w:rFonts w:hint="eastAsia" w:ascii="仿宋" w:hAnsi="仿宋" w:eastAsia="仿宋" w:cs="仿宋"/>
                <w:sz w:val="24"/>
                <w:szCs w:val="24"/>
              </w:rPr>
              <w:t>）</w:t>
            </w:r>
          </w:p>
        </w:tc>
      </w:tr>
    </w:tbl>
    <w:p w14:paraId="12A04B27">
      <w:pPr>
        <w:pStyle w:val="17"/>
        <w:rPr>
          <w:rFonts w:hint="eastAsia" w:ascii="仿宋" w:hAnsi="仿宋" w:eastAsia="仿宋" w:cs="仿宋"/>
          <w:highlight w:val="none"/>
          <w:lang w:val="en-US" w:eastAsia="zh-CN"/>
        </w:rPr>
      </w:pPr>
    </w:p>
    <w:p w14:paraId="11FE22F4">
      <w:pPr>
        <w:pStyle w:val="1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磋商小组每位成员独立对每个有效供应商的响应文件进行评价、打分；然后汇总每个供应商的得分，计算得分平均值，以平均值由高到低进行排序，按排序顺序推荐中标候选人。分值计算保留小数点后二位，第三位四舍五入。</w:t>
      </w:r>
    </w:p>
    <w:p w14:paraId="73C9D0F3">
      <w:pPr>
        <w:pStyle w:val="1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highlight w:val="none"/>
          <w:lang w:val="en-US" w:eastAsia="zh-CN"/>
        </w:rPr>
        <w:t>落实中小企业政府采购政策的价格调整：</w:t>
      </w:r>
    </w:p>
    <w:p w14:paraId="5FE91756">
      <w:pPr>
        <w:pStyle w:val="16"/>
        <w:keepNext w:val="0"/>
        <w:keepLines w:val="0"/>
        <w:pageBreakBefore w:val="0"/>
        <w:widowControl w:val="0"/>
        <w:numPr>
          <w:ilvl w:val="2"/>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中提交了《中小企业声明函》、《残疾人福利性单位声明函》或省级以上监狱管理局、戒毒管理局（含新疆生产建设兵团）出具的属于监狱企业的证明文件的供应商，其投标报价扣除</w:t>
      </w:r>
      <w:r>
        <w:rPr>
          <w:rFonts w:hint="eastAsia" w:ascii="仿宋" w:hAnsi="仿宋" w:eastAsia="仿宋" w:cs="仿宋"/>
          <w:sz w:val="24"/>
          <w:highlight w:val="none"/>
          <w:u w:val="single"/>
        </w:rPr>
        <w:t xml:space="preserve"> 10 % </w:t>
      </w:r>
      <w:r>
        <w:rPr>
          <w:rFonts w:hint="eastAsia" w:ascii="仿宋" w:hAnsi="仿宋" w:eastAsia="仿宋" w:cs="仿宋"/>
          <w:sz w:val="24"/>
          <w:highlight w:val="none"/>
        </w:rPr>
        <w:t>后参与评审。对于同时属于小微企业、监狱企业或残疾人福利性单位的，不重复进行投标报价扣除。</w:t>
      </w:r>
      <w:r>
        <w:rPr>
          <w:rFonts w:hint="eastAsia" w:ascii="仿宋" w:hAnsi="仿宋" w:eastAsia="仿宋" w:cs="仿宋"/>
          <w:sz w:val="24"/>
          <w:highlight w:val="none"/>
          <w:lang w:val="en-US" w:eastAsia="zh-CN"/>
        </w:rPr>
        <w:t>是否属于该类项目详见</w:t>
      </w:r>
      <w:r>
        <w:rPr>
          <w:rFonts w:hint="eastAsia" w:ascii="仿宋" w:hAnsi="仿宋" w:eastAsia="仿宋" w:cs="仿宋"/>
          <w:b/>
          <w:bCs/>
          <w:sz w:val="24"/>
          <w:highlight w:val="none"/>
          <w:u w:val="single"/>
          <w:lang w:val="en-US" w:eastAsia="zh-CN"/>
        </w:rPr>
        <w:t>供应商须知前附表</w:t>
      </w:r>
      <w:r>
        <w:rPr>
          <w:rFonts w:hint="eastAsia" w:ascii="仿宋" w:hAnsi="仿宋" w:eastAsia="仿宋" w:cs="仿宋"/>
          <w:b/>
          <w:bCs/>
          <w:sz w:val="24"/>
          <w:highlight w:val="none"/>
          <w:u w:val="none"/>
          <w:lang w:val="en-US" w:eastAsia="zh-CN"/>
        </w:rPr>
        <w:t>。</w:t>
      </w:r>
    </w:p>
    <w:p w14:paraId="4E15DD71">
      <w:pPr>
        <w:pStyle w:val="16"/>
        <w:keepNext w:val="0"/>
        <w:keepLines w:val="0"/>
        <w:pageBreakBefore w:val="0"/>
        <w:widowControl w:val="0"/>
        <w:numPr>
          <w:ilvl w:val="2"/>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仿宋" w:hAnsi="仿宋" w:eastAsia="仿宋" w:cs="仿宋"/>
          <w:sz w:val="24"/>
          <w:highlight w:val="none"/>
          <w:u w:val="single"/>
        </w:rPr>
        <w:t xml:space="preserve"> 4% </w:t>
      </w:r>
      <w:r>
        <w:rPr>
          <w:rFonts w:hint="eastAsia" w:ascii="仿宋" w:hAnsi="仿宋" w:eastAsia="仿宋" w:cs="仿宋"/>
          <w:sz w:val="24"/>
          <w:highlight w:val="none"/>
        </w:rPr>
        <w:t>的扣除，用扣除后的价格参加评审。</w:t>
      </w:r>
      <w:r>
        <w:rPr>
          <w:rFonts w:hint="eastAsia" w:ascii="仿宋" w:hAnsi="仿宋" w:eastAsia="仿宋" w:cs="仿宋"/>
          <w:sz w:val="24"/>
          <w:highlight w:val="none"/>
          <w:lang w:val="en-US" w:eastAsia="zh-CN"/>
        </w:rPr>
        <w:t>是否属于该类项目详见</w:t>
      </w:r>
      <w:r>
        <w:rPr>
          <w:rFonts w:hint="eastAsia" w:ascii="仿宋" w:hAnsi="仿宋" w:eastAsia="仿宋" w:cs="仿宋"/>
          <w:b/>
          <w:bCs/>
          <w:sz w:val="24"/>
          <w:highlight w:val="none"/>
          <w:u w:val="single"/>
          <w:lang w:val="en-US" w:eastAsia="zh-CN"/>
        </w:rPr>
        <w:t>供应商须知前附表</w:t>
      </w:r>
      <w:r>
        <w:rPr>
          <w:rFonts w:hint="eastAsia" w:ascii="仿宋" w:hAnsi="仿宋" w:eastAsia="仿宋" w:cs="仿宋"/>
          <w:b/>
          <w:bCs/>
          <w:sz w:val="24"/>
          <w:highlight w:val="none"/>
          <w:u w:val="none"/>
          <w:lang w:val="en-US" w:eastAsia="zh-CN"/>
        </w:rPr>
        <w:t>。</w:t>
      </w:r>
    </w:p>
    <w:p w14:paraId="55A92D60">
      <w:pPr>
        <w:pStyle w:val="16"/>
        <w:keepNext w:val="0"/>
        <w:keepLines w:val="0"/>
        <w:pageBreakBefore w:val="0"/>
        <w:widowControl w:val="0"/>
        <w:numPr>
          <w:ilvl w:val="2"/>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组成联合体或者接受分包的小微企业与联合体内其他企业、分包企业之间存在直接控股、管理关系的，不享受价格扣除优惠政策</w:t>
      </w:r>
      <w:r>
        <w:rPr>
          <w:rFonts w:hint="eastAsia" w:ascii="仿宋" w:hAnsi="仿宋" w:eastAsia="仿宋" w:cs="仿宋"/>
          <w:sz w:val="24"/>
          <w:highlight w:val="none"/>
          <w:lang w:eastAsia="zh-CN"/>
        </w:rPr>
        <w:t>。</w:t>
      </w:r>
    </w:p>
    <w:p w14:paraId="014783DA">
      <w:pPr>
        <w:pStyle w:val="16"/>
        <w:keepNext w:val="0"/>
        <w:keepLines w:val="0"/>
        <w:pageBreakBefore w:val="0"/>
        <w:widowControl w:val="0"/>
        <w:numPr>
          <w:ilvl w:val="2"/>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价格扣除比例对小型企业和微型企业同等对待，不作区分。</w:t>
      </w:r>
    </w:p>
    <w:p w14:paraId="7D59C589">
      <w:pPr>
        <w:pStyle w:val="16"/>
        <w:keepNext w:val="0"/>
        <w:keepLines w:val="0"/>
        <w:pageBreakBefore w:val="0"/>
        <w:widowControl w:val="0"/>
        <w:numPr>
          <w:ilvl w:val="2"/>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中小企业参加政府采购活动，应当按照</w:t>
      </w:r>
      <w:r>
        <w:rPr>
          <w:rFonts w:hint="eastAsia" w:ascii="仿宋" w:hAnsi="仿宋" w:eastAsia="仿宋" w:cs="仿宋"/>
          <w:sz w:val="24"/>
          <w:highlight w:val="none"/>
          <w:lang w:eastAsia="zh-CN"/>
        </w:rPr>
        <w:t>采购文件</w:t>
      </w:r>
      <w:r>
        <w:rPr>
          <w:rFonts w:hint="eastAsia" w:ascii="仿宋" w:hAnsi="仿宋" w:eastAsia="仿宋" w:cs="仿宋"/>
          <w:sz w:val="24"/>
          <w:highlight w:val="none"/>
        </w:rPr>
        <w:t>给定的格式出具《中小企业声明函》，否则不得享受相关中小企业扶持政策。</w:t>
      </w:r>
    </w:p>
    <w:p w14:paraId="76A34FB1">
      <w:pPr>
        <w:pStyle w:val="16"/>
        <w:keepNext w:val="0"/>
        <w:keepLines w:val="0"/>
        <w:pageBreakBefore w:val="0"/>
        <w:widowControl w:val="0"/>
        <w:numPr>
          <w:ilvl w:val="2"/>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监狱企业提供了由省级以上监狱管理局、戒毒管理局（含新疆生产建设兵团）出具的属于监狱企业的证明文件的，视同小微企业。</w:t>
      </w:r>
    </w:p>
    <w:p w14:paraId="023451EE">
      <w:pPr>
        <w:pStyle w:val="16"/>
        <w:keepNext w:val="0"/>
        <w:keepLines w:val="0"/>
        <w:pageBreakBefore w:val="0"/>
        <w:widowControl w:val="0"/>
        <w:numPr>
          <w:ilvl w:val="2"/>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残疾人福利性单位按</w:t>
      </w:r>
      <w:r>
        <w:rPr>
          <w:rFonts w:hint="eastAsia" w:ascii="仿宋" w:hAnsi="仿宋" w:eastAsia="仿宋" w:cs="仿宋"/>
          <w:sz w:val="24"/>
          <w:highlight w:val="none"/>
          <w:lang w:eastAsia="zh-CN"/>
        </w:rPr>
        <w:t>采购文件</w:t>
      </w:r>
      <w:r>
        <w:rPr>
          <w:rFonts w:hint="eastAsia" w:ascii="仿宋" w:hAnsi="仿宋" w:eastAsia="仿宋" w:cs="仿宋"/>
          <w:sz w:val="24"/>
          <w:highlight w:val="none"/>
        </w:rPr>
        <w:t>要求提供了《残疾人福利性单位声明函》（见附件）的，视同小微企业。</w:t>
      </w:r>
    </w:p>
    <w:p w14:paraId="416C4238">
      <w:pPr>
        <w:pStyle w:val="16"/>
        <w:keepNext w:val="0"/>
        <w:keepLines w:val="0"/>
        <w:pageBreakBefore w:val="0"/>
        <w:widowControl w:val="0"/>
        <w:numPr>
          <w:ilvl w:val="2"/>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若供应商同时属于小型或微型企业、监狱企业、残疾人福利性单位中的两种及以上，将不重复享受小微企业价格扣减的优惠政策。</w:t>
      </w:r>
    </w:p>
    <w:p w14:paraId="595E7F03">
      <w:pPr>
        <w:pStyle w:val="1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highlight w:val="none"/>
          <w:u w:val="single"/>
        </w:rPr>
      </w:pPr>
      <w:r>
        <w:rPr>
          <w:rFonts w:hint="eastAsia" w:ascii="仿宋" w:hAnsi="仿宋" w:eastAsia="仿宋" w:cs="仿宋"/>
          <w:highlight w:val="none"/>
          <w:lang w:val="en-US" w:eastAsia="zh-CN"/>
        </w:rPr>
        <w:t>供应商所投产品如被列入财政部与国家主管部门颁发的节能产品目录或环境标志产品目录或无线局域网产品目录，应提供相关证明，在评标时予以优先采购，具体优惠措施为：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highlight w:val="none"/>
          <w:u w:val="single"/>
          <w:lang w:val="en-US" w:eastAsia="zh-CN"/>
        </w:rPr>
        <w:t>综合得分相同时排名优先。</w:t>
      </w:r>
    </w:p>
    <w:p w14:paraId="243236DF">
      <w:pPr>
        <w:pStyle w:val="1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如采购人所采购产品为政府强制采购的节能产品，供应商所投产品的品牌及型号必须为清单中有效期内产品并提供证明文件，否则其投标将作为</w:t>
      </w:r>
      <w:r>
        <w:rPr>
          <w:rFonts w:hint="eastAsia" w:ascii="仿宋" w:hAnsi="仿宋" w:eastAsia="仿宋" w:cs="仿宋"/>
          <w:b/>
          <w:bCs/>
          <w:sz w:val="24"/>
          <w:highlight w:val="none"/>
          <w:lang w:eastAsia="zh-CN"/>
        </w:rPr>
        <w:t>无效响应</w:t>
      </w:r>
      <w:r>
        <w:rPr>
          <w:rFonts w:hint="eastAsia" w:ascii="仿宋" w:hAnsi="仿宋" w:eastAsia="仿宋" w:cs="仿宋"/>
          <w:sz w:val="24"/>
          <w:highlight w:val="none"/>
        </w:rPr>
        <w:t>被拒绝。</w:t>
      </w:r>
    </w:p>
    <w:p w14:paraId="07508898">
      <w:pPr>
        <w:pStyle w:val="1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供应商所投产品列入无线局域网产品清单，应提供相关证明，在评标时予以优先采购，具体优惠措施为：</w:t>
      </w:r>
      <w:r>
        <w:rPr>
          <w:rFonts w:hint="eastAsia" w:ascii="仿宋" w:hAnsi="仿宋" w:eastAsia="仿宋" w:cs="仿宋"/>
          <w:sz w:val="24"/>
          <w:highlight w:val="none"/>
          <w:u w:val="single"/>
        </w:rPr>
        <w:t>综合得分相同时排名优先 。</w:t>
      </w:r>
    </w:p>
    <w:p w14:paraId="221D5538">
      <w:pPr>
        <w:pStyle w:val="1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同品牌处理办法：</w:t>
      </w:r>
    </w:p>
    <w:p w14:paraId="17FABD3E">
      <w:pPr>
        <w:pStyle w:val="16"/>
        <w:keepNext w:val="0"/>
        <w:keepLines w:val="0"/>
        <w:pageBreakBefore w:val="0"/>
        <w:widowControl w:val="0"/>
        <w:numPr>
          <w:ilvl w:val="2"/>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如采用最低评标办法，则：</w:t>
      </w:r>
      <w:r>
        <w:rPr>
          <w:rFonts w:hint="eastAsia" w:ascii="仿宋" w:hAnsi="仿宋" w:eastAsia="仿宋" w:cs="仿宋"/>
          <w:sz w:val="24"/>
          <w:highlight w:val="none"/>
          <w:u w:val="single"/>
        </w:rPr>
        <w:t>提供相同品牌产品的不同供应商以其中通过资格审查、符合性审查且报价最低的参加评标；报价相同的，由</w:t>
      </w:r>
      <w:r>
        <w:rPr>
          <w:rFonts w:hint="eastAsia" w:ascii="仿宋" w:hAnsi="仿宋" w:eastAsia="仿宋" w:cs="仿宋"/>
          <w:sz w:val="24"/>
          <w:highlight w:val="none"/>
          <w:u w:val="single"/>
          <w:lang w:eastAsia="zh-CN"/>
        </w:rPr>
        <w:t>磋商小组</w:t>
      </w:r>
      <w:r>
        <w:rPr>
          <w:rFonts w:hint="eastAsia" w:ascii="仿宋" w:hAnsi="仿宋" w:eastAsia="仿宋" w:cs="仿宋"/>
          <w:sz w:val="24"/>
          <w:highlight w:val="none"/>
          <w:u w:val="single"/>
        </w:rPr>
        <w:t>采取随机抽取方式确定，其他同品牌供应商不作为中标候选人。</w:t>
      </w:r>
    </w:p>
    <w:p w14:paraId="08DA3A01">
      <w:pPr>
        <w:pStyle w:val="16"/>
        <w:keepNext w:val="0"/>
        <w:keepLines w:val="0"/>
        <w:pageBreakBefore w:val="0"/>
        <w:widowControl w:val="0"/>
        <w:numPr>
          <w:ilvl w:val="2"/>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如采用综合评标法，则：</w:t>
      </w:r>
      <w:r>
        <w:rPr>
          <w:rFonts w:hint="eastAsia" w:ascii="仿宋" w:hAnsi="仿宋" w:eastAsia="仿宋" w:cs="仿宋"/>
          <w:sz w:val="24"/>
          <w:highlight w:val="none"/>
          <w:u w:val="single"/>
        </w:rPr>
        <w:t>提供相同品牌产品且通过资格审查、符合性审查的不同供应商，按一家供应商计算，评审后得分最高的同品牌供应商获得中标人推荐资格；评审得分相同的，按投标报价最低的获得中标人推荐资格；评审得分和投标报价均相同的，按技术评审得分最高的获得中标人推荐资格，评审得分、投标报价和技术评审得分三项均相同的由</w:t>
      </w:r>
      <w:r>
        <w:rPr>
          <w:rFonts w:hint="eastAsia" w:ascii="仿宋" w:hAnsi="仿宋" w:eastAsia="仿宋" w:cs="仿宋"/>
          <w:sz w:val="24"/>
          <w:highlight w:val="none"/>
          <w:u w:val="single"/>
          <w:lang w:eastAsia="zh-CN"/>
        </w:rPr>
        <w:t>磋商小组</w:t>
      </w:r>
      <w:r>
        <w:rPr>
          <w:rFonts w:hint="eastAsia" w:ascii="仿宋" w:hAnsi="仿宋" w:eastAsia="仿宋" w:cs="仿宋"/>
          <w:sz w:val="24"/>
          <w:highlight w:val="none"/>
          <w:u w:val="single"/>
        </w:rPr>
        <w:t>采取随机抽取方式确定，其他同品牌供应商不作为中标候选人</w:t>
      </w:r>
      <w:r>
        <w:rPr>
          <w:rFonts w:hint="eastAsia" w:ascii="仿宋" w:hAnsi="仿宋" w:eastAsia="仿宋" w:cs="仿宋"/>
          <w:sz w:val="24"/>
          <w:highlight w:val="none"/>
        </w:rPr>
        <w:t>。</w:t>
      </w:r>
    </w:p>
    <w:p w14:paraId="18ED3B57">
      <w:pPr>
        <w:pStyle w:val="1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如一个分包内包含多种产品的，采购人或采购代理机构将在</w:t>
      </w:r>
      <w:r>
        <w:rPr>
          <w:rFonts w:hint="eastAsia" w:ascii="仿宋" w:hAnsi="仿宋" w:eastAsia="仿宋" w:cs="仿宋"/>
          <w:sz w:val="24"/>
          <w:highlight w:val="none"/>
          <w:u w:val="single"/>
        </w:rPr>
        <w:t>供应商须知前附表</w:t>
      </w:r>
      <w:r>
        <w:rPr>
          <w:rFonts w:hint="eastAsia" w:ascii="仿宋" w:hAnsi="仿宋" w:eastAsia="仿宋" w:cs="仿宋"/>
          <w:sz w:val="24"/>
          <w:highlight w:val="none"/>
        </w:rPr>
        <w:t>中载明核心产品，多家供应商提供的所有核心产品品牌均相同的，按第六章  评标程序、评标方法和评标标准第</w:t>
      </w:r>
      <w:r>
        <w:rPr>
          <w:rFonts w:hint="eastAsia" w:ascii="仿宋" w:hAnsi="仿宋" w:eastAsia="仿宋" w:cs="仿宋"/>
          <w:sz w:val="24"/>
          <w:highlight w:val="none"/>
          <w:lang w:val="en-US" w:eastAsia="zh-CN"/>
        </w:rPr>
        <w:t>9.7</w:t>
      </w:r>
      <w:r>
        <w:rPr>
          <w:rFonts w:hint="eastAsia" w:ascii="仿宋" w:hAnsi="仿宋" w:eastAsia="仿宋" w:cs="仿宋"/>
          <w:sz w:val="24"/>
          <w:highlight w:val="none"/>
        </w:rPr>
        <w:t xml:space="preserve">条规定处理。 </w:t>
      </w:r>
    </w:p>
    <w:p w14:paraId="7272B58E">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确定中标候选人名单</w:t>
      </w:r>
    </w:p>
    <w:p w14:paraId="7443042B">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分法时，评标结果按评审后得分由高到低顺序排列。评审得分最高的供应商为排名第一的成交候选人。综合评审得分相同的,最后报价最低优先，如最后报价相同则技术部分得分最高优先，最后报价相同且技术部分得分也相同的，由磋商小组现场采取随机抽取方式确定。</w:t>
      </w:r>
    </w:p>
    <w:p w14:paraId="7947E714">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磋商小组要对评分汇总情况进行复核，特别是对排名第一的、报价最低的、响应文件被认定为无效的情形进行重点复核。</w:t>
      </w:r>
    </w:p>
    <w:p w14:paraId="4B744361">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磋商小组将根据各供应商的评标排序，依次推荐本项目（各采购包）的成交候选人，起草并签署评标报告。本项目（各采购包）磋商小组共（各）推荐三名成交候选人。</w:t>
      </w:r>
    </w:p>
    <w:p w14:paraId="62FDB26D">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4DE46458">
      <w:pPr>
        <w:pStyle w:val="16"/>
        <w:numPr>
          <w:ilvl w:val="0"/>
          <w:numId w:val="5"/>
        </w:numPr>
        <w:bidi w:val="0"/>
        <w:jc w:val="center"/>
        <w:outlineLvl w:val="0"/>
        <w:rPr>
          <w:rFonts w:hint="eastAsia" w:ascii="仿宋" w:hAnsi="仿宋" w:eastAsia="仿宋" w:cs="仿宋"/>
          <w:b/>
          <w:bCs/>
          <w:sz w:val="32"/>
          <w:szCs w:val="32"/>
          <w:highlight w:val="none"/>
          <w:lang w:val="en-US" w:eastAsia="zh-CN"/>
        </w:rPr>
      </w:pPr>
      <w:bookmarkStart w:id="259" w:name="_Toc7801"/>
      <w:r>
        <w:rPr>
          <w:rFonts w:hint="eastAsia" w:ascii="仿宋" w:hAnsi="仿宋" w:eastAsia="仿宋" w:cs="仿宋"/>
          <w:b/>
          <w:bCs/>
          <w:sz w:val="32"/>
          <w:szCs w:val="32"/>
          <w:highlight w:val="none"/>
          <w:lang w:val="en-US" w:eastAsia="zh-CN"/>
        </w:rPr>
        <w:t>响应文件格式</w:t>
      </w:r>
      <w:bookmarkEnd w:id="259"/>
    </w:p>
    <w:p w14:paraId="56C05A70">
      <w:pPr>
        <w:pStyle w:val="16"/>
        <w:rPr>
          <w:rFonts w:hint="eastAsia" w:ascii="仿宋" w:hAnsi="仿宋" w:eastAsia="仿宋" w:cs="仿宋"/>
          <w:highlight w:val="none"/>
          <w:lang w:val="en-US" w:eastAsia="zh-CN"/>
        </w:rPr>
      </w:pPr>
    </w:p>
    <w:p w14:paraId="39DB9F4B">
      <w:pPr>
        <w:pStyle w:val="16"/>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供应商编制文件须知</w:t>
      </w:r>
    </w:p>
    <w:p w14:paraId="29E7D89F">
      <w:pPr>
        <w:numPr>
          <w:ilvl w:val="0"/>
          <w:numId w:val="15"/>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为保证评标工作的顺利进行，各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需参照如下的格式，认真进行投标文件的编写工作。需建立详细的目录。</w:t>
      </w:r>
    </w:p>
    <w:p w14:paraId="5D6ECB34">
      <w:pPr>
        <w:numPr>
          <w:ilvl w:val="0"/>
          <w:numId w:val="15"/>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提交文件中涉及商业机密的，应明确标明，采购人及最终用户将给予保密处理，否则视为公开资料。</w:t>
      </w:r>
    </w:p>
    <w:p w14:paraId="59B04E53">
      <w:pPr>
        <w:numPr>
          <w:ilvl w:val="0"/>
          <w:numId w:val="15"/>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全部声明和问题的回答及所附材料必须是真实的、准确的和完整的。</w:t>
      </w:r>
    </w:p>
    <w:p w14:paraId="5D107BE7">
      <w:pPr>
        <w:numPr>
          <w:ilvl w:val="0"/>
          <w:numId w:val="15"/>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本采购文件中所要求加盖的供应商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 </w:t>
      </w:r>
    </w:p>
    <w:p w14:paraId="3A45DF22">
      <w:pPr>
        <w:numPr>
          <w:ilvl w:val="0"/>
          <w:numId w:val="15"/>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“法定代表人（单位负责人）”指供应商营业执照或登记证书载明的“法定代表人”、“负责人”、“执行事务合伙人”、“投资人”等。 </w:t>
      </w:r>
    </w:p>
    <w:p w14:paraId="7526DE3E">
      <w:pPr>
        <w:numPr>
          <w:ilvl w:val="0"/>
          <w:numId w:val="15"/>
        </w:numPr>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以联合体参加的，除采购文件格式中要求外，采购文件要求的供应商盖章处应按加盖联合体协议中约定的联合体牵头人公章或所有联合体成员公章</w:t>
      </w:r>
    </w:p>
    <w:p w14:paraId="723F436C">
      <w:pPr>
        <w:pStyle w:val="16"/>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w:t>
      </w:r>
    </w:p>
    <w:p w14:paraId="2AE1274E">
      <w:pPr>
        <w:rPr>
          <w:rFonts w:hint="eastAsia" w:ascii="仿宋" w:hAnsi="仿宋" w:eastAsia="仿宋" w:cs="仿宋"/>
          <w:highlight w:val="none"/>
          <w:lang w:val="en-US" w:eastAsia="zh-CN"/>
        </w:rPr>
      </w:pPr>
    </w:p>
    <w:p w14:paraId="77425959">
      <w:pPr>
        <w:pStyle w:val="16"/>
        <w:rPr>
          <w:rFonts w:hint="eastAsia" w:ascii="仿宋" w:hAnsi="仿宋" w:eastAsia="仿宋" w:cs="仿宋"/>
          <w:highlight w:val="none"/>
          <w:lang w:val="en-US" w:eastAsia="zh-CN"/>
        </w:rPr>
      </w:pPr>
    </w:p>
    <w:p w14:paraId="353865E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291A7DDD">
      <w:pPr>
        <w:keepNext w:val="0"/>
        <w:keepLines w:val="0"/>
        <w:widowControl/>
        <w:suppressLineNumbers w:val="0"/>
        <w:jc w:val="left"/>
        <w:outlineLvl w:val="1"/>
        <w:rPr>
          <w:rFonts w:hint="eastAsia" w:ascii="仿宋" w:hAnsi="仿宋" w:eastAsia="仿宋" w:cs="仿宋"/>
          <w:b/>
          <w:bCs/>
          <w:color w:val="000000"/>
          <w:kern w:val="0"/>
          <w:sz w:val="24"/>
          <w:szCs w:val="24"/>
          <w:highlight w:val="none"/>
          <w:lang w:val="en-US" w:eastAsia="zh-CN" w:bidi="ar"/>
        </w:rPr>
      </w:pPr>
      <w:bookmarkStart w:id="260" w:name="_Toc24875"/>
      <w:bookmarkStart w:id="261" w:name="_Toc25630"/>
      <w:bookmarkStart w:id="262" w:name="_Toc3293"/>
      <w:r>
        <w:rPr>
          <w:rFonts w:hint="eastAsia" w:ascii="仿宋" w:hAnsi="仿宋" w:eastAsia="仿宋" w:cs="仿宋"/>
          <w:b/>
          <w:bCs/>
          <w:color w:val="000000"/>
          <w:kern w:val="0"/>
          <w:sz w:val="24"/>
          <w:szCs w:val="24"/>
          <w:highlight w:val="none"/>
          <w:lang w:val="en-US" w:eastAsia="zh-CN" w:bidi="ar"/>
        </w:rPr>
        <w:t>响应文件封面（参考格式）</w:t>
      </w:r>
      <w:bookmarkEnd w:id="260"/>
      <w:bookmarkEnd w:id="261"/>
      <w:bookmarkEnd w:id="262"/>
    </w:p>
    <w:p w14:paraId="64AC0BB6">
      <w:pPr>
        <w:keepNext w:val="0"/>
        <w:keepLines w:val="0"/>
        <w:widowControl/>
        <w:suppressLineNumbers w:val="0"/>
        <w:jc w:val="left"/>
        <w:rPr>
          <w:rFonts w:hint="eastAsia" w:ascii="仿宋" w:hAnsi="仿宋" w:eastAsia="仿宋" w:cs="仿宋"/>
          <w:b/>
          <w:bCs/>
          <w:color w:val="000000"/>
          <w:kern w:val="0"/>
          <w:sz w:val="84"/>
          <w:szCs w:val="84"/>
          <w:highlight w:val="none"/>
          <w:lang w:val="en-US" w:eastAsia="zh-CN" w:bidi="ar"/>
        </w:rPr>
      </w:pPr>
    </w:p>
    <w:p w14:paraId="4CDE51A5">
      <w:pPr>
        <w:pStyle w:val="29"/>
        <w:rPr>
          <w:rFonts w:hint="eastAsia" w:ascii="仿宋" w:hAnsi="仿宋" w:eastAsia="仿宋" w:cs="仿宋"/>
          <w:highlight w:val="none"/>
          <w:lang w:val="en-US" w:eastAsia="zh-CN"/>
        </w:rPr>
      </w:pPr>
    </w:p>
    <w:p w14:paraId="772F1618">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84"/>
          <w:szCs w:val="84"/>
          <w:highlight w:val="none"/>
          <w:lang w:val="en-US" w:eastAsia="zh-CN" w:bidi="ar"/>
        </w:rPr>
        <w:t>响应文件</w:t>
      </w:r>
    </w:p>
    <w:p w14:paraId="15B77873">
      <w:pPr>
        <w:keepNext w:val="0"/>
        <w:keepLines w:val="0"/>
        <w:widowControl/>
        <w:suppressLineNumbers w:val="0"/>
        <w:jc w:val="left"/>
        <w:rPr>
          <w:rFonts w:hint="eastAsia" w:ascii="仿宋" w:hAnsi="仿宋" w:eastAsia="仿宋" w:cs="仿宋"/>
          <w:b/>
          <w:bCs/>
          <w:color w:val="000000"/>
          <w:kern w:val="0"/>
          <w:sz w:val="52"/>
          <w:szCs w:val="52"/>
          <w:highlight w:val="none"/>
          <w:lang w:val="en-US" w:eastAsia="zh-CN" w:bidi="ar"/>
        </w:rPr>
      </w:pPr>
    </w:p>
    <w:p w14:paraId="6189AD51">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b/>
          <w:bCs/>
          <w:color w:val="000000"/>
          <w:kern w:val="0"/>
          <w:sz w:val="52"/>
          <w:szCs w:val="52"/>
          <w:highlight w:val="none"/>
          <w:lang w:val="en-US" w:eastAsia="zh-CN" w:bidi="ar"/>
        </w:rPr>
        <w:t xml:space="preserve"> </w:t>
      </w:r>
    </w:p>
    <w:p w14:paraId="1150608C">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7811FA04">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54B8AC2F">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17C1506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highlight w:val="none"/>
        </w:rPr>
      </w:pPr>
      <w:r>
        <w:rPr>
          <w:rFonts w:hint="eastAsia" w:ascii="仿宋" w:hAnsi="仿宋" w:eastAsia="仿宋" w:cs="仿宋"/>
          <w:b/>
          <w:bCs/>
          <w:color w:val="000000"/>
          <w:kern w:val="0"/>
          <w:sz w:val="31"/>
          <w:szCs w:val="31"/>
          <w:highlight w:val="none"/>
          <w:lang w:bidi="ar"/>
        </w:rPr>
        <w:t xml:space="preserve">项目名称: </w:t>
      </w:r>
    </w:p>
    <w:p w14:paraId="6B35F86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000000"/>
          <w:kern w:val="0"/>
          <w:sz w:val="31"/>
          <w:szCs w:val="31"/>
          <w:highlight w:val="none"/>
          <w:lang w:bidi="ar"/>
        </w:rPr>
      </w:pPr>
      <w:r>
        <w:rPr>
          <w:rFonts w:hint="eastAsia" w:ascii="仿宋" w:hAnsi="仿宋" w:eastAsia="仿宋" w:cs="仿宋"/>
          <w:b/>
          <w:bCs/>
          <w:color w:val="000000"/>
          <w:kern w:val="0"/>
          <w:sz w:val="31"/>
          <w:szCs w:val="31"/>
          <w:highlight w:val="none"/>
          <w:lang w:bidi="ar"/>
        </w:rPr>
        <w:t>项目编号：</w:t>
      </w:r>
    </w:p>
    <w:p w14:paraId="543905A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highlight w:val="none"/>
        </w:rPr>
      </w:pPr>
      <w:r>
        <w:rPr>
          <w:rFonts w:hint="eastAsia" w:ascii="仿宋" w:hAnsi="仿宋" w:eastAsia="仿宋" w:cs="仿宋"/>
          <w:b/>
          <w:bCs/>
          <w:color w:val="000000"/>
          <w:kern w:val="0"/>
          <w:sz w:val="31"/>
          <w:szCs w:val="31"/>
          <w:highlight w:val="none"/>
          <w:lang w:val="en-US" w:eastAsia="zh-CN" w:bidi="ar"/>
        </w:rPr>
        <w:t>标项(包)名称：</w:t>
      </w:r>
      <w:r>
        <w:rPr>
          <w:rFonts w:hint="eastAsia" w:ascii="仿宋" w:hAnsi="仿宋" w:eastAsia="仿宋" w:cs="仿宋"/>
          <w:b/>
          <w:bCs/>
          <w:color w:val="000000"/>
          <w:kern w:val="0"/>
          <w:sz w:val="31"/>
          <w:szCs w:val="31"/>
          <w:highlight w:val="none"/>
          <w:lang w:bidi="ar"/>
        </w:rPr>
        <w:t xml:space="preserve"> </w:t>
      </w:r>
      <w:r>
        <w:rPr>
          <w:rFonts w:hint="eastAsia" w:ascii="仿宋" w:hAnsi="仿宋" w:eastAsia="仿宋" w:cs="仿宋"/>
          <w:b/>
          <w:bCs/>
          <w:color w:val="000000"/>
          <w:kern w:val="0"/>
          <w:sz w:val="31"/>
          <w:szCs w:val="31"/>
          <w:highlight w:val="none"/>
          <w:lang w:val="en-US" w:eastAsia="zh-CN" w:bidi="ar"/>
        </w:rPr>
        <w:t xml:space="preserve"> </w:t>
      </w:r>
    </w:p>
    <w:p w14:paraId="4E38D7A7">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6E16431E">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146C7134">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1F23DF85">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供应商名称（电子印章）：</w:t>
      </w:r>
    </w:p>
    <w:p w14:paraId="0F5BAD7F">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法定代表人或其授权代表签字（或电子印章）：</w:t>
      </w:r>
    </w:p>
    <w:p w14:paraId="2867878D">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48044635">
      <w:pPr>
        <w:rPr>
          <w:rFonts w:hint="eastAsia" w:ascii="仿宋" w:hAnsi="仿宋" w:eastAsia="仿宋" w:cs="仿宋"/>
          <w:b/>
          <w:bCs/>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br w:type="page"/>
      </w:r>
    </w:p>
    <w:p w14:paraId="7B0DAA8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b/>
          <w:bCs/>
          <w:color w:val="000000"/>
          <w:kern w:val="0"/>
          <w:sz w:val="24"/>
          <w:szCs w:val="24"/>
          <w:highlight w:val="none"/>
          <w:lang w:val="en-US" w:eastAsia="zh-CN" w:bidi="ar"/>
        </w:rPr>
      </w:pPr>
      <w:bookmarkStart w:id="263" w:name="_Toc18358"/>
      <w:bookmarkStart w:id="264" w:name="_Toc5149"/>
      <w:r>
        <w:rPr>
          <w:rFonts w:hint="eastAsia" w:ascii="仿宋" w:hAnsi="仿宋" w:eastAsia="仿宋" w:cs="仿宋"/>
          <w:b/>
          <w:bCs/>
          <w:color w:val="000000"/>
          <w:kern w:val="0"/>
          <w:sz w:val="24"/>
          <w:szCs w:val="24"/>
          <w:highlight w:val="none"/>
          <w:lang w:val="en-US" w:eastAsia="zh-CN" w:bidi="ar"/>
        </w:rPr>
        <w:t>一、资格证明文件</w:t>
      </w:r>
      <w:bookmarkEnd w:id="263"/>
      <w:bookmarkEnd w:id="264"/>
    </w:p>
    <w:p w14:paraId="0E98B69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outlineLvl w:val="2"/>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 xml:space="preserve">1、满足《中华人民共和国政府采购法》第二十二条规定及法律法规的其他规定 </w:t>
      </w:r>
    </w:p>
    <w:p w14:paraId="559B129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lang w:val="en-US" w:eastAsia="zh-CN" w:bidi="ar"/>
        </w:rPr>
      </w:pPr>
    </w:p>
    <w:p w14:paraId="4F2BCB43">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outlineLvl w:val="3"/>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附件 1-1 法人或者其他组织的营业执照等证明文件或自然人的身份证明扫描件;</w:t>
      </w:r>
    </w:p>
    <w:p w14:paraId="72FF9ED2">
      <w:pPr>
        <w:pStyle w:val="14"/>
        <w:spacing w:line="374" w:lineRule="auto"/>
        <w:ind w:right="1145"/>
        <w:outlineLvl w:val="9"/>
        <w:rPr>
          <w:rFonts w:hint="eastAsia" w:ascii="仿宋" w:hAnsi="仿宋" w:eastAsia="仿宋" w:cs="仿宋"/>
          <w:sz w:val="21"/>
          <w:szCs w:val="21"/>
          <w:highlight w:val="none"/>
        </w:rPr>
      </w:pPr>
    </w:p>
    <w:p w14:paraId="48DBC007">
      <w:pPr>
        <w:pStyle w:val="14"/>
        <w:keepNext w:val="0"/>
        <w:keepLines w:val="0"/>
        <w:pageBreakBefore w:val="0"/>
        <w:widowControl w:val="0"/>
        <w:kinsoku/>
        <w:wordWrap/>
        <w:overflowPunct/>
        <w:topLinePunct w:val="0"/>
        <w:autoSpaceDE/>
        <w:autoSpaceDN/>
        <w:bidi w:val="0"/>
        <w:adjustRightInd/>
        <w:snapToGrid/>
        <w:spacing w:line="375" w:lineRule="auto"/>
        <w:ind w:right="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说明：1.提供有效的营业执照等证明文件</w:t>
      </w:r>
      <w:r>
        <w:rPr>
          <w:rFonts w:hint="eastAsia" w:ascii="仿宋" w:hAnsi="仿宋" w:eastAsia="仿宋" w:cs="仿宋"/>
          <w:sz w:val="24"/>
          <w:szCs w:val="24"/>
          <w:highlight w:val="none"/>
          <w:lang w:eastAsia="zh-CN"/>
        </w:rPr>
        <w:t>扫描件（</w:t>
      </w:r>
      <w:r>
        <w:rPr>
          <w:rFonts w:hint="eastAsia" w:ascii="仿宋" w:hAnsi="仿宋" w:eastAsia="仿宋" w:cs="仿宋"/>
          <w:sz w:val="24"/>
          <w:szCs w:val="24"/>
          <w:highlight w:val="none"/>
          <w:lang w:val="en-US" w:eastAsia="zh-CN"/>
        </w:rPr>
        <w:t>具体要求详见第六章资格审查要求</w:t>
      </w:r>
      <w:r>
        <w:rPr>
          <w:rFonts w:hint="eastAsia" w:ascii="仿宋" w:hAnsi="仿宋" w:eastAsia="仿宋" w:cs="仿宋"/>
          <w:sz w:val="24"/>
          <w:szCs w:val="24"/>
          <w:highlight w:val="none"/>
          <w:lang w:eastAsia="zh-CN"/>
        </w:rPr>
        <w:t>）</w:t>
      </w:r>
    </w:p>
    <w:p w14:paraId="39EC83B2">
      <w:pPr>
        <w:pStyle w:val="14"/>
        <w:spacing w:line="374" w:lineRule="auto"/>
        <w:ind w:right="1145" w:firstLine="720" w:firstLineChars="300"/>
        <w:outlineLvl w:val="9"/>
        <w:rPr>
          <w:rFonts w:hint="eastAsia" w:ascii="仿宋" w:hAnsi="仿宋" w:eastAsia="仿宋" w:cs="仿宋"/>
          <w:sz w:val="24"/>
          <w:szCs w:val="24"/>
          <w:highlight w:val="none"/>
        </w:rPr>
      </w:pPr>
      <w:bookmarkStart w:id="265" w:name="_Toc1278"/>
      <w:bookmarkStart w:id="266" w:name="_Toc27013"/>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为自然人的，应提供身份证明的</w:t>
      </w:r>
      <w:r>
        <w:rPr>
          <w:rFonts w:hint="eastAsia" w:ascii="仿宋" w:hAnsi="仿宋" w:eastAsia="仿宋" w:cs="仿宋"/>
          <w:sz w:val="24"/>
          <w:szCs w:val="24"/>
          <w:highlight w:val="none"/>
          <w:lang w:eastAsia="zh-CN"/>
        </w:rPr>
        <w:t>扫描件</w:t>
      </w:r>
      <w:r>
        <w:rPr>
          <w:rFonts w:hint="eastAsia" w:ascii="仿宋" w:hAnsi="仿宋" w:eastAsia="仿宋" w:cs="仿宋"/>
          <w:sz w:val="24"/>
          <w:szCs w:val="24"/>
          <w:highlight w:val="none"/>
        </w:rPr>
        <w:t>。</w:t>
      </w:r>
      <w:bookmarkEnd w:id="265"/>
      <w:bookmarkEnd w:id="266"/>
    </w:p>
    <w:p w14:paraId="0C0CE536">
      <w:pPr>
        <w:pStyle w:val="14"/>
        <w:tabs>
          <w:tab w:val="left" w:pos="1560"/>
          <w:tab w:val="left" w:pos="2040"/>
        </w:tabs>
        <w:spacing w:before="66"/>
        <w:ind w:firstLine="720" w:firstLineChars="300"/>
        <w:outlineLvl w:val="9"/>
        <w:rPr>
          <w:rFonts w:hint="eastAsia" w:ascii="仿宋" w:hAnsi="仿宋" w:eastAsia="仿宋" w:cs="仿宋"/>
          <w:sz w:val="24"/>
          <w:szCs w:val="24"/>
          <w:highlight w:val="none"/>
        </w:rPr>
      </w:pPr>
      <w:bookmarkStart w:id="267" w:name="_Toc3454"/>
      <w:bookmarkStart w:id="268" w:name="_Toc18314"/>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联合体投标应提供联合体各方满足以上要求的证明文件。</w:t>
      </w:r>
      <w:bookmarkEnd w:id="267"/>
      <w:bookmarkEnd w:id="268"/>
    </w:p>
    <w:p w14:paraId="60002037">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p>
    <w:p w14:paraId="7132E692">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p>
    <w:p w14:paraId="48D34D97">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18CCBF51">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 xml:space="preserve">附件 </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2</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eastAsia="zh-CN" w:bidi="ar"/>
        </w:rPr>
        <w:t>供应商</w:t>
      </w:r>
      <w:r>
        <w:rPr>
          <w:rFonts w:hint="eastAsia" w:ascii="仿宋" w:hAnsi="仿宋" w:eastAsia="仿宋" w:cs="仿宋"/>
          <w:color w:val="000000"/>
          <w:kern w:val="0"/>
          <w:sz w:val="24"/>
          <w:highlight w:val="none"/>
          <w:u w:val="none"/>
          <w:lang w:bidi="ar"/>
        </w:rPr>
        <w:t>具有良好的商业信誉和健全的财务会计制度的证明文件</w:t>
      </w:r>
    </w:p>
    <w:p w14:paraId="1AA1BC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383AB9C4">
      <w:pPr>
        <w:pStyle w:val="14"/>
        <w:keepNext w:val="0"/>
        <w:keepLines w:val="0"/>
        <w:pageBreakBefore w:val="0"/>
        <w:widowControl w:val="0"/>
        <w:kinsoku/>
        <w:wordWrap/>
        <w:overflowPunct/>
        <w:topLinePunct w:val="0"/>
        <w:autoSpaceDE/>
        <w:autoSpaceDN/>
        <w:bidi w:val="0"/>
        <w:adjustRightInd/>
        <w:snapToGrid/>
        <w:spacing w:line="375" w:lineRule="auto"/>
        <w:ind w:right="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1、证明文件</w:t>
      </w:r>
      <w:r>
        <w:rPr>
          <w:rFonts w:hint="eastAsia" w:ascii="仿宋" w:hAnsi="仿宋" w:eastAsia="仿宋" w:cs="仿宋"/>
          <w:sz w:val="24"/>
          <w:szCs w:val="24"/>
          <w:highlight w:val="none"/>
          <w:lang w:eastAsia="zh-CN"/>
        </w:rPr>
        <w:t>扫描件（</w:t>
      </w:r>
      <w:r>
        <w:rPr>
          <w:rFonts w:hint="eastAsia" w:ascii="仿宋" w:hAnsi="仿宋" w:eastAsia="仿宋" w:cs="仿宋"/>
          <w:sz w:val="24"/>
          <w:szCs w:val="24"/>
          <w:highlight w:val="none"/>
          <w:lang w:val="en-US" w:eastAsia="zh-CN"/>
        </w:rPr>
        <w:t>具体要求详见第六章资格审查要求</w:t>
      </w:r>
      <w:r>
        <w:rPr>
          <w:rFonts w:hint="eastAsia" w:ascii="仿宋" w:hAnsi="仿宋" w:eastAsia="仿宋" w:cs="仿宋"/>
          <w:sz w:val="24"/>
          <w:szCs w:val="24"/>
          <w:highlight w:val="none"/>
          <w:lang w:eastAsia="zh-CN"/>
        </w:rPr>
        <w:t>）</w:t>
      </w:r>
    </w:p>
    <w:p w14:paraId="67859D83">
      <w:pPr>
        <w:pStyle w:val="14"/>
        <w:spacing w:line="360" w:lineRule="auto"/>
        <w:ind w:right="56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、若提供的是</w:t>
      </w:r>
      <w:r>
        <w:rPr>
          <w:rFonts w:hint="eastAsia" w:ascii="仿宋" w:hAnsi="仿宋" w:eastAsia="仿宋" w:cs="仿宋"/>
          <w:sz w:val="24"/>
          <w:szCs w:val="24"/>
          <w:highlight w:val="none"/>
          <w:lang w:eastAsia="zh-CN"/>
        </w:rPr>
        <w:t>扫描件</w:t>
      </w:r>
      <w:r>
        <w:rPr>
          <w:rFonts w:hint="eastAsia" w:ascii="仿宋" w:hAnsi="仿宋" w:eastAsia="仿宋" w:cs="仿宋"/>
          <w:sz w:val="24"/>
          <w:szCs w:val="24"/>
          <w:highlight w:val="none"/>
        </w:rPr>
        <w:t>，采购人、采购代理机构保留审核原件的权利。</w:t>
      </w:r>
    </w:p>
    <w:p w14:paraId="64E59DE9">
      <w:pPr>
        <w:pStyle w:val="14"/>
        <w:spacing w:line="360" w:lineRule="auto"/>
        <w:ind w:right="56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如果是联合体投标，联合体各方均需提供上述证明</w:t>
      </w:r>
      <w:r>
        <w:rPr>
          <w:rFonts w:hint="eastAsia" w:ascii="仿宋" w:hAnsi="仿宋" w:eastAsia="仿宋" w:cs="仿宋"/>
          <w:sz w:val="24"/>
          <w:szCs w:val="24"/>
          <w:highlight w:val="none"/>
        </w:rPr>
        <w:t>。</w:t>
      </w:r>
    </w:p>
    <w:p w14:paraId="054750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p>
    <w:p w14:paraId="69B522B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br w:type="page"/>
      </w:r>
    </w:p>
    <w:p w14:paraId="6C1BA4CF">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附件</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3</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val="en-US" w:eastAsia="zh-CN" w:bidi="ar"/>
        </w:rPr>
        <w:t xml:space="preserve"> </w:t>
      </w:r>
      <w:r>
        <w:rPr>
          <w:rFonts w:hint="eastAsia" w:ascii="仿宋" w:hAnsi="仿宋" w:eastAsia="仿宋" w:cs="仿宋"/>
          <w:color w:val="000000"/>
          <w:kern w:val="0"/>
          <w:sz w:val="24"/>
          <w:highlight w:val="none"/>
          <w:u w:val="none"/>
          <w:lang w:eastAsia="zh-CN" w:bidi="ar"/>
        </w:rPr>
        <w:t>供应商</w:t>
      </w:r>
      <w:r>
        <w:rPr>
          <w:rFonts w:hint="eastAsia" w:ascii="仿宋" w:hAnsi="仿宋" w:eastAsia="仿宋" w:cs="仿宋"/>
          <w:color w:val="000000"/>
          <w:kern w:val="0"/>
          <w:sz w:val="24"/>
          <w:highlight w:val="none"/>
          <w:u w:val="none"/>
          <w:lang w:bidi="ar"/>
        </w:rPr>
        <w:t>缴纳税收的证明</w:t>
      </w:r>
    </w:p>
    <w:p w14:paraId="38B6EF8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bookmarkStart w:id="269" w:name="_Toc27172"/>
      <w:r>
        <w:rPr>
          <w:rFonts w:hint="eastAsia" w:ascii="仿宋" w:hAnsi="仿宋" w:eastAsia="仿宋" w:cs="仿宋"/>
          <w:color w:val="000000"/>
          <w:kern w:val="0"/>
          <w:sz w:val="24"/>
          <w:highlight w:val="none"/>
          <w:u w:val="none"/>
          <w:lang w:bidi="ar"/>
        </w:rPr>
        <w:t>说明：</w:t>
      </w:r>
    </w:p>
    <w:p w14:paraId="015C7DDD">
      <w:pPr>
        <w:pStyle w:val="14"/>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缴纳税收的证明</w:t>
      </w:r>
      <w:r>
        <w:rPr>
          <w:rFonts w:hint="eastAsia" w:ascii="仿宋" w:hAnsi="仿宋" w:eastAsia="仿宋" w:cs="仿宋"/>
          <w:sz w:val="24"/>
          <w:szCs w:val="24"/>
          <w:highlight w:val="none"/>
          <w:lang w:val="en-US" w:eastAsia="zh-CN"/>
        </w:rPr>
        <w:t>扫描件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具体要求详见第六章资格审查要求</w:t>
      </w:r>
      <w:r>
        <w:rPr>
          <w:rFonts w:hint="eastAsia" w:ascii="仿宋" w:hAnsi="仿宋" w:eastAsia="仿宋" w:cs="仿宋"/>
          <w:sz w:val="24"/>
          <w:szCs w:val="24"/>
          <w:highlight w:val="none"/>
          <w:lang w:eastAsia="zh-CN"/>
        </w:rPr>
        <w:t>）</w:t>
      </w:r>
    </w:p>
    <w:p w14:paraId="2902E81F">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w:t>
      </w:r>
      <w:r>
        <w:rPr>
          <w:rFonts w:hint="eastAsia" w:ascii="仿宋" w:hAnsi="仿宋" w:eastAsia="仿宋" w:cs="仿宋"/>
          <w:color w:val="000000"/>
          <w:kern w:val="0"/>
          <w:sz w:val="24"/>
          <w:highlight w:val="none"/>
          <w:u w:val="none"/>
          <w:lang w:eastAsia="zh-CN" w:bidi="ar"/>
        </w:rPr>
        <w:t>扫描件</w:t>
      </w:r>
      <w:r>
        <w:rPr>
          <w:rFonts w:hint="eastAsia" w:ascii="仿宋" w:hAnsi="仿宋" w:eastAsia="仿宋" w:cs="仿宋"/>
          <w:color w:val="000000"/>
          <w:kern w:val="0"/>
          <w:sz w:val="24"/>
          <w:highlight w:val="none"/>
          <w:u w:val="none"/>
          <w:lang w:bidi="ar"/>
        </w:rPr>
        <w:t>，采购人、采购代理机构保留审核原件的权利。</w:t>
      </w:r>
    </w:p>
    <w:p w14:paraId="5C94D280">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3、如果是联合体投标，联合体各方均需提供上述证明。</w:t>
      </w:r>
    </w:p>
    <w:p w14:paraId="23BF9710">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br w:type="page"/>
      </w:r>
      <w:bookmarkEnd w:id="269"/>
    </w:p>
    <w:p w14:paraId="35387C02">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附件</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4</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val="en-US" w:eastAsia="zh-CN" w:bidi="ar"/>
        </w:rPr>
        <w:t xml:space="preserve"> </w:t>
      </w:r>
      <w:r>
        <w:rPr>
          <w:rFonts w:hint="eastAsia" w:ascii="仿宋" w:hAnsi="仿宋" w:eastAsia="仿宋" w:cs="仿宋"/>
          <w:color w:val="000000"/>
          <w:kern w:val="0"/>
          <w:sz w:val="24"/>
          <w:highlight w:val="none"/>
          <w:u w:val="none"/>
          <w:lang w:eastAsia="zh-CN" w:bidi="ar"/>
        </w:rPr>
        <w:t>供应商</w:t>
      </w:r>
      <w:r>
        <w:rPr>
          <w:rFonts w:hint="eastAsia" w:ascii="仿宋" w:hAnsi="仿宋" w:eastAsia="仿宋" w:cs="仿宋"/>
          <w:color w:val="000000"/>
          <w:kern w:val="0"/>
          <w:sz w:val="24"/>
          <w:highlight w:val="none"/>
          <w:u w:val="none"/>
          <w:lang w:bidi="ar"/>
        </w:rPr>
        <w:t>为职工缴纳社会保险的证明</w:t>
      </w:r>
    </w:p>
    <w:p w14:paraId="0446524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33F69FAA">
      <w:pPr>
        <w:pStyle w:val="14"/>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000000"/>
          <w:kern w:val="0"/>
          <w:sz w:val="24"/>
          <w:highlight w:val="none"/>
          <w:u w:val="none"/>
          <w:lang w:bidi="ar"/>
        </w:rPr>
      </w:pPr>
      <w:bookmarkStart w:id="270" w:name="_Toc3006"/>
      <w:r>
        <w:rPr>
          <w:rFonts w:hint="eastAsia" w:ascii="仿宋" w:hAnsi="仿宋" w:eastAsia="仿宋" w:cs="仿宋"/>
          <w:color w:val="000000"/>
          <w:kern w:val="0"/>
          <w:sz w:val="24"/>
          <w:highlight w:val="none"/>
          <w:u w:val="none"/>
          <w:lang w:bidi="ar"/>
        </w:rPr>
        <w:t>1、</w:t>
      </w:r>
      <w:bookmarkEnd w:id="270"/>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为职工缴纳社会保险的</w:t>
      </w:r>
      <w:r>
        <w:rPr>
          <w:rFonts w:hint="eastAsia" w:ascii="仿宋" w:hAnsi="仿宋" w:eastAsia="仿宋" w:cs="仿宋"/>
          <w:sz w:val="24"/>
          <w:szCs w:val="24"/>
          <w:highlight w:val="none"/>
          <w:lang w:val="en-US" w:eastAsia="zh-CN"/>
        </w:rPr>
        <w:t>证明文件</w:t>
      </w:r>
      <w:r>
        <w:rPr>
          <w:rFonts w:hint="eastAsia" w:ascii="仿宋" w:hAnsi="仿宋" w:eastAsia="仿宋" w:cs="仿宋"/>
          <w:sz w:val="24"/>
          <w:szCs w:val="24"/>
          <w:highlight w:val="none"/>
          <w:lang w:eastAsia="zh-CN"/>
        </w:rPr>
        <w:t>扫描件（</w:t>
      </w:r>
      <w:r>
        <w:rPr>
          <w:rFonts w:hint="eastAsia" w:ascii="仿宋" w:hAnsi="仿宋" w:eastAsia="仿宋" w:cs="仿宋"/>
          <w:sz w:val="24"/>
          <w:szCs w:val="24"/>
          <w:highlight w:val="none"/>
          <w:lang w:val="en-US" w:eastAsia="zh-CN"/>
        </w:rPr>
        <w:t>具体要求详见第六章资格审查要求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32D09C40">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w:t>
      </w:r>
      <w:r>
        <w:rPr>
          <w:rFonts w:hint="eastAsia" w:ascii="仿宋" w:hAnsi="仿宋" w:eastAsia="仿宋" w:cs="仿宋"/>
          <w:color w:val="000000"/>
          <w:kern w:val="0"/>
          <w:sz w:val="24"/>
          <w:highlight w:val="none"/>
          <w:u w:val="none"/>
          <w:lang w:eastAsia="zh-CN" w:bidi="ar"/>
        </w:rPr>
        <w:t>扫描件</w:t>
      </w:r>
      <w:r>
        <w:rPr>
          <w:rFonts w:hint="eastAsia" w:ascii="仿宋" w:hAnsi="仿宋" w:eastAsia="仿宋" w:cs="仿宋"/>
          <w:color w:val="000000"/>
          <w:kern w:val="0"/>
          <w:sz w:val="24"/>
          <w:highlight w:val="none"/>
          <w:u w:val="none"/>
          <w:lang w:bidi="ar"/>
        </w:rPr>
        <w:t>，采购人、采购代理机构保留审核原件的权利。</w:t>
      </w:r>
    </w:p>
    <w:p w14:paraId="684AE180">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000000"/>
          <w:kern w:val="0"/>
          <w:sz w:val="24"/>
          <w:highlight w:val="none"/>
          <w:u w:val="none"/>
          <w:lang w:bidi="ar"/>
        </w:rPr>
      </w:pPr>
      <w:bookmarkStart w:id="271" w:name="_Toc28907"/>
      <w:r>
        <w:rPr>
          <w:rFonts w:hint="eastAsia" w:ascii="仿宋" w:hAnsi="仿宋" w:eastAsia="仿宋" w:cs="仿宋"/>
          <w:color w:val="000000"/>
          <w:kern w:val="0"/>
          <w:sz w:val="24"/>
          <w:highlight w:val="none"/>
          <w:u w:val="none"/>
          <w:lang w:bidi="ar"/>
        </w:rPr>
        <w:t>3、如果是联合体投标，联合体各方均需提供上述证明。</w:t>
      </w:r>
      <w:bookmarkEnd w:id="271"/>
    </w:p>
    <w:p w14:paraId="195D893D">
      <w:pPr>
        <w:rPr>
          <w:rFonts w:hint="eastAsia" w:ascii="仿宋" w:hAnsi="仿宋" w:eastAsia="仿宋" w:cs="仿宋"/>
          <w:color w:val="000000"/>
          <w:kern w:val="0"/>
          <w:sz w:val="24"/>
          <w:highlight w:val="none"/>
          <w:u w:val="none"/>
          <w:lang w:bidi="ar"/>
        </w:rPr>
      </w:pPr>
    </w:p>
    <w:p w14:paraId="70B3C118">
      <w:pPr>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br w:type="page"/>
      </w:r>
    </w:p>
    <w:p w14:paraId="33333EA1">
      <w:pPr>
        <w:outlineLvl w:val="3"/>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 xml:space="preserve">附件 </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5</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eastAsia="zh-CN" w:bidi="ar"/>
        </w:rPr>
        <w:t>供应商</w:t>
      </w:r>
      <w:r>
        <w:rPr>
          <w:rFonts w:hint="eastAsia" w:ascii="仿宋" w:hAnsi="仿宋" w:eastAsia="仿宋" w:cs="仿宋"/>
          <w:color w:val="000000"/>
          <w:kern w:val="0"/>
          <w:sz w:val="24"/>
          <w:highlight w:val="none"/>
          <w:u w:val="none"/>
          <w:lang w:bidi="ar"/>
        </w:rPr>
        <w:t>资格声明书</w:t>
      </w:r>
    </w:p>
    <w:p w14:paraId="0A4E7F4C">
      <w:pPr>
        <w:rPr>
          <w:rFonts w:hint="eastAsia" w:ascii="仿宋" w:hAnsi="仿宋" w:eastAsia="仿宋" w:cs="仿宋"/>
          <w:color w:val="000000"/>
          <w:kern w:val="0"/>
          <w:sz w:val="24"/>
          <w:highlight w:val="none"/>
          <w:u w:val="none"/>
          <w:lang w:bidi="ar"/>
        </w:rPr>
      </w:pPr>
    </w:p>
    <w:p w14:paraId="2C2D695B">
      <w:pPr>
        <w:keepNext w:val="0"/>
        <w:keepLines w:val="0"/>
        <w:widowControl/>
        <w:suppressLineNumbers w:val="0"/>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b w:val="0"/>
          <w:bCs w:val="0"/>
          <w:color w:val="000000"/>
          <w:kern w:val="0"/>
          <w:sz w:val="32"/>
          <w:szCs w:val="32"/>
          <w:highlight w:val="none"/>
          <w:lang w:val="en-US" w:eastAsia="zh-CN" w:bidi="ar"/>
        </w:rPr>
        <w:t>供应商资格声明书</w:t>
      </w:r>
    </w:p>
    <w:p w14:paraId="7557041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6DD649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在参与本次项目投标中，我单位承诺： </w:t>
      </w:r>
    </w:p>
    <w:p w14:paraId="6CB0146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一、具备《中华人民共和国政府采购法》第二十二条第一款和本项目规定的条件：</w:t>
      </w:r>
    </w:p>
    <w:p w14:paraId="55B6EAA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（1）具有独立承担民事责任的能力； </w:t>
      </w:r>
    </w:p>
    <w:p w14:paraId="2C3E1A3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（2）具有良好的商业信誉和健全的财务会计制度； </w:t>
      </w:r>
    </w:p>
    <w:p w14:paraId="047600E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（3）具有履行合同所必需的设备和专业技术能力； </w:t>
      </w:r>
    </w:p>
    <w:p w14:paraId="538A701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（4）有依法缴纳税收和社会保障资金的良好记录； </w:t>
      </w:r>
    </w:p>
    <w:p w14:paraId="49AB6AD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5BBA32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（6）法律、行政法规规定的其他条件；</w:t>
      </w:r>
    </w:p>
    <w:p w14:paraId="1A40445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（7）根据采购项目提出的特殊条件。</w:t>
      </w:r>
    </w:p>
    <w:p w14:paraId="492497B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53DEB19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三、参加本次招标采购活动，不存在与单位负责人为同一人或者存在直接控股、管理关系的其他供应商参与同一合同项下的政府采购活动的行为。</w:t>
      </w:r>
    </w:p>
    <w:p w14:paraId="1B824C4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四、参加本次招标采购活动，不存在和其他供应商在同一合同项下的采购项目中，同时委托同一个自然人、同一家庭的人员、同一单位的人员作为代理人的行为。</w:t>
      </w:r>
    </w:p>
    <w:p w14:paraId="43CA511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五、在行贿犯罪信息查询期限内，我单位及其现任法定代表人、主要负责人有（ ）没有（ ）行贿犯罪记录。</w:t>
      </w:r>
    </w:p>
    <w:p w14:paraId="1E67B0E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六、我单位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b/>
          <w:bCs/>
          <w:color w:val="auto"/>
          <w:kern w:val="0"/>
          <w:sz w:val="24"/>
          <w:szCs w:val="24"/>
          <w:highlight w:val="none"/>
          <w:u w:val="none"/>
          <w:lang w:val="en-US" w:eastAsia="zh-CN" w:bidi="ar"/>
        </w:rPr>
        <w:t>(填写“有”或“没有”)</w:t>
      </w:r>
      <w:r>
        <w:rPr>
          <w:rFonts w:hint="eastAsia" w:ascii="仿宋" w:hAnsi="仿宋" w:eastAsia="仿宋" w:cs="仿宋"/>
          <w:color w:val="auto"/>
          <w:kern w:val="0"/>
          <w:sz w:val="24"/>
          <w:szCs w:val="24"/>
          <w:highlight w:val="none"/>
          <w:lang w:val="en-US" w:eastAsia="zh-CN" w:bidi="ar"/>
        </w:rPr>
        <w:t>被列入失信被执行人、重大税收违法失信主体、政府采购严重违法失信行为记录名单（如投标人在参加政府采购活动前被禁止在一定期限内参加政府采购活动，期限届满的，可以参加政府采购活动），</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b/>
          <w:bCs/>
          <w:color w:val="auto"/>
          <w:kern w:val="0"/>
          <w:sz w:val="24"/>
          <w:szCs w:val="24"/>
          <w:highlight w:val="none"/>
          <w:u w:val="none"/>
          <w:lang w:val="en-US" w:eastAsia="zh-CN" w:bidi="ar"/>
        </w:rPr>
        <w:t>(填写“有”或“没有”)</w:t>
      </w:r>
      <w:r>
        <w:rPr>
          <w:rFonts w:hint="eastAsia" w:ascii="仿宋" w:hAnsi="仿宋" w:eastAsia="仿宋" w:cs="仿宋"/>
          <w:color w:val="auto"/>
          <w:kern w:val="0"/>
          <w:sz w:val="24"/>
          <w:szCs w:val="24"/>
          <w:highlight w:val="none"/>
          <w:lang w:val="en-US" w:eastAsia="zh-CN" w:bidi="ar"/>
        </w:rPr>
        <w:t>未依法缴纳税收和社会保障资金的不良记录，参加政府采购活动前三年内，在经营活动中</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b/>
          <w:bCs/>
          <w:color w:val="auto"/>
          <w:kern w:val="0"/>
          <w:sz w:val="24"/>
          <w:szCs w:val="24"/>
          <w:highlight w:val="none"/>
          <w:u w:val="none"/>
          <w:lang w:val="en-US" w:eastAsia="zh-CN" w:bidi="ar"/>
        </w:rPr>
        <w:t>(填写“有”或“没有”)</w:t>
      </w:r>
      <w:r>
        <w:rPr>
          <w:rFonts w:hint="eastAsia" w:ascii="仿宋" w:hAnsi="仿宋" w:eastAsia="仿宋" w:cs="仿宋"/>
          <w:color w:val="auto"/>
          <w:kern w:val="0"/>
          <w:sz w:val="24"/>
          <w:szCs w:val="24"/>
          <w:highlight w:val="none"/>
          <w:lang w:val="en-US" w:eastAsia="zh-CN" w:bidi="ar"/>
        </w:rPr>
        <w:t>重大违法记录（如投标人在参加政府采购活动前3年内因违法经营被禁止在一定期限内参加政府采购活动，期限届满的，可以参加政府采购活动）；</w:t>
      </w:r>
    </w:p>
    <w:p w14:paraId="28BADC5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七、我单位不属于政府采购法律、行政法规规定的公益一类事业单位、或使用事业编制且由财政拨款保障的群团组织（仅适用于政府购买服务项目）； </w:t>
      </w:r>
    </w:p>
    <w:p w14:paraId="7CD625F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八、我单位不存在为采购项目提供整体设计、规范编制或者项目管理、监理、检测等服务后，再参加该采购项目的其他采购活动的情形（单一来源采购项目除外）； </w:t>
      </w:r>
    </w:p>
    <w:p w14:paraId="5DD2A4E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九、与我单位存在“单位负责人为同一人或者存在直接控股、管理关系”的其他法人单位信息如下（如有，不论其是否参加同一合同项下的政府采购活动均须填写）：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4531"/>
      </w:tblGrid>
      <w:tr w14:paraId="09C7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noWrap w:val="0"/>
            <w:vAlign w:val="center"/>
          </w:tcPr>
          <w:p w14:paraId="6CF6EDE5">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序号</w:t>
            </w:r>
          </w:p>
        </w:tc>
        <w:tc>
          <w:tcPr>
            <w:tcW w:w="3798" w:type="dxa"/>
            <w:noWrap w:val="0"/>
            <w:vAlign w:val="center"/>
          </w:tcPr>
          <w:p w14:paraId="71DEEB97">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单位名称</w:t>
            </w:r>
          </w:p>
        </w:tc>
        <w:tc>
          <w:tcPr>
            <w:tcW w:w="4531" w:type="dxa"/>
            <w:noWrap w:val="0"/>
            <w:vAlign w:val="center"/>
          </w:tcPr>
          <w:p w14:paraId="3FBAF108">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相互关系</w:t>
            </w:r>
          </w:p>
        </w:tc>
      </w:tr>
      <w:tr w14:paraId="05A4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noWrap w:val="0"/>
            <w:vAlign w:val="center"/>
          </w:tcPr>
          <w:p w14:paraId="19652561">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w:t>
            </w:r>
          </w:p>
        </w:tc>
        <w:tc>
          <w:tcPr>
            <w:tcW w:w="3798" w:type="dxa"/>
            <w:noWrap w:val="0"/>
            <w:vAlign w:val="top"/>
          </w:tcPr>
          <w:p w14:paraId="278A5D4E">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4531" w:type="dxa"/>
            <w:noWrap w:val="0"/>
            <w:vAlign w:val="top"/>
          </w:tcPr>
          <w:p w14:paraId="363AF791">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2B45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noWrap w:val="0"/>
            <w:vAlign w:val="center"/>
          </w:tcPr>
          <w:p w14:paraId="7157E4D8">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2</w:t>
            </w:r>
          </w:p>
        </w:tc>
        <w:tc>
          <w:tcPr>
            <w:tcW w:w="3798" w:type="dxa"/>
            <w:noWrap w:val="0"/>
            <w:vAlign w:val="top"/>
          </w:tcPr>
          <w:p w14:paraId="1C53EF96">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4531" w:type="dxa"/>
            <w:noWrap w:val="0"/>
            <w:vAlign w:val="top"/>
          </w:tcPr>
          <w:p w14:paraId="3C1F1AA1">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408B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noWrap w:val="0"/>
            <w:vAlign w:val="center"/>
          </w:tcPr>
          <w:p w14:paraId="33386E19">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w:t>
            </w:r>
          </w:p>
        </w:tc>
        <w:tc>
          <w:tcPr>
            <w:tcW w:w="3798" w:type="dxa"/>
            <w:noWrap w:val="0"/>
            <w:vAlign w:val="top"/>
          </w:tcPr>
          <w:p w14:paraId="57D324F7">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4531" w:type="dxa"/>
            <w:noWrap w:val="0"/>
            <w:vAlign w:val="top"/>
          </w:tcPr>
          <w:p w14:paraId="3DCA5748">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bl>
    <w:p w14:paraId="3096923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本公司对上述承诺的内容事项真实性负责。如经查实上述承诺的内容事项存在虚假，我公司愿意接受以提供虚假材料谋取中标追究法律责任。 </w:t>
      </w:r>
    </w:p>
    <w:p w14:paraId="29CA744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E7BA2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98BA54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投标人名称：  </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（加盖公章）</w:t>
      </w:r>
    </w:p>
    <w:p w14:paraId="57B90D6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法定代表人或其授权代理人：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ab/>
      </w:r>
      <w:r>
        <w:rPr>
          <w:rFonts w:hint="eastAsia" w:ascii="仿宋" w:hAnsi="仿宋" w:eastAsia="仿宋" w:cs="仿宋"/>
          <w:color w:val="auto"/>
          <w:kern w:val="0"/>
          <w:sz w:val="24"/>
          <w:szCs w:val="24"/>
          <w:highlight w:val="none"/>
          <w:u w:val="single"/>
          <w:lang w:val="en-US" w:eastAsia="zh-CN" w:bidi="ar"/>
        </w:rPr>
        <w:t>（签字或印鉴）</w:t>
      </w:r>
      <w:r>
        <w:rPr>
          <w:rFonts w:hint="eastAsia" w:ascii="仿宋" w:hAnsi="仿宋" w:eastAsia="仿宋" w:cs="仿宋"/>
          <w:color w:val="auto"/>
          <w:kern w:val="0"/>
          <w:sz w:val="24"/>
          <w:szCs w:val="24"/>
          <w:highlight w:val="none"/>
          <w:lang w:val="en-US" w:eastAsia="zh-CN" w:bidi="ar"/>
        </w:rPr>
        <w:tab/>
      </w:r>
    </w:p>
    <w:p w14:paraId="1B6A784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5D6DCEA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560F2B65">
      <w:pPr>
        <w:rPr>
          <w:rFonts w:hint="eastAsia" w:ascii="仿宋" w:hAnsi="仿宋" w:eastAsia="仿宋" w:cs="仿宋"/>
          <w:color w:val="auto"/>
          <w:kern w:val="0"/>
          <w:sz w:val="24"/>
          <w:szCs w:val="24"/>
          <w:highlight w:val="none"/>
          <w:lang w:val="en-US" w:eastAsia="zh-CN" w:bidi="ar"/>
        </w:rPr>
      </w:pPr>
    </w:p>
    <w:p w14:paraId="2FB0AC43">
      <w:pPr>
        <w:spacing w:before="160" w:line="244" w:lineRule="auto"/>
        <w:ind w:right="994" w:rightChars="41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09F8DAC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1.自然人投标的签章或签字后上传。</w:t>
      </w:r>
    </w:p>
    <w:p w14:paraId="7ACFBD3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2.如果是联合体投标，联合体各方均需提供上述证明。</w:t>
      </w:r>
    </w:p>
    <w:p w14:paraId="1980D5E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3.单位负责人为同一人或者存在直接控股、管理关系的不同供应商，不得参加同一合同项下的政府采购活动。 </w:t>
      </w:r>
    </w:p>
    <w:p w14:paraId="2C35E45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4.本条所指单位负责人为同一人指单位法定代表人或者法律、行政法规规定代表单位行使职权的主要负责人。 </w:t>
      </w:r>
    </w:p>
    <w:p w14:paraId="78A1EDD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5.本条所指控股关系指单位或股东的控股关系。控股股东指: </w:t>
      </w:r>
    </w:p>
    <w:p w14:paraId="72FA73D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a.出资额占有限责任公司资本总额百分之五十以上或者其持有的股份占股份有限公司股本总额百分之五十以上的股东； </w:t>
      </w:r>
    </w:p>
    <w:p w14:paraId="20917F2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b.出资额或者持有股份的比例不足百分之五十，但其出资额或者持有的股份所享有的表决权已足以对股东会、股东大会的决议产生重大影响的股东。 </w:t>
      </w:r>
    </w:p>
    <w:p w14:paraId="7A20738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6.本条所指管理关系指不具有出资持股关系的其他单位之间存在的管理与被管理关系。 </w:t>
      </w:r>
    </w:p>
    <w:p w14:paraId="5551B70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7.本条所指的控股、管理关系仅限于直接控股、直接管理关系，不包括间接控股或管理关系。 </w:t>
      </w:r>
    </w:p>
    <w:p w14:paraId="7629AA02">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8.如无相关情况，请在相应栏填写“无”。</w:t>
      </w:r>
    </w:p>
    <w:p w14:paraId="5157ADE2">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9.投标人承诺不实的，依据《政府采购法》第七十七条“提供虚假材料谋取中标、成交的”有关规定予以处理。</w:t>
      </w:r>
    </w:p>
    <w:p w14:paraId="61509A8E">
      <w:pPr>
        <w:rPr>
          <w:rFonts w:hint="eastAsia" w:ascii="仿宋" w:hAnsi="仿宋" w:eastAsia="仿宋" w:cs="仿宋"/>
          <w:color w:val="000000"/>
          <w:kern w:val="0"/>
          <w:sz w:val="24"/>
          <w:szCs w:val="24"/>
          <w:highlight w:val="none"/>
          <w:lang w:val="en-US" w:eastAsia="zh-CN" w:bidi="ar"/>
        </w:rPr>
      </w:pPr>
    </w:p>
    <w:p w14:paraId="5F5FC706">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1916877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2"/>
        <w:rPr>
          <w:rFonts w:hint="eastAsia" w:ascii="仿宋" w:hAnsi="仿宋" w:eastAsia="仿宋" w:cs="仿宋"/>
          <w:b/>
          <w:bCs/>
          <w:sz w:val="24"/>
          <w:szCs w:val="24"/>
          <w:highlight w:val="none"/>
        </w:rPr>
      </w:pPr>
      <w:bookmarkStart w:id="272" w:name="_Toc21978"/>
      <w:r>
        <w:rPr>
          <w:rFonts w:hint="eastAsia" w:ascii="仿宋" w:hAnsi="仿宋" w:eastAsia="仿宋" w:cs="仿宋"/>
          <w:b/>
          <w:bCs/>
          <w:color w:val="000000"/>
          <w:kern w:val="0"/>
          <w:sz w:val="24"/>
          <w:szCs w:val="24"/>
          <w:highlight w:val="none"/>
          <w:lang w:val="en-US" w:eastAsia="zh-CN" w:bidi="ar"/>
        </w:rPr>
        <w:t>2、落实政府采购政策需满足的资格要求（如有）</w:t>
      </w:r>
      <w:bookmarkEnd w:id="272"/>
      <w:r>
        <w:rPr>
          <w:rFonts w:hint="eastAsia" w:ascii="仿宋" w:hAnsi="仿宋" w:eastAsia="仿宋" w:cs="仿宋"/>
          <w:b/>
          <w:bCs/>
          <w:color w:val="000000"/>
          <w:kern w:val="0"/>
          <w:sz w:val="24"/>
          <w:szCs w:val="24"/>
          <w:highlight w:val="none"/>
          <w:lang w:val="en-US" w:eastAsia="zh-CN" w:bidi="ar"/>
        </w:rPr>
        <w:t xml:space="preserve"> </w:t>
      </w:r>
    </w:p>
    <w:p w14:paraId="67297F7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3"/>
        <w:rPr>
          <w:rFonts w:hint="eastAsia" w:ascii="仿宋" w:hAnsi="仿宋" w:eastAsia="仿宋" w:cs="仿宋"/>
          <w:b/>
          <w:bCs/>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2-1 中小企业声明函 </w:t>
      </w:r>
    </w:p>
    <w:p w14:paraId="1C55DD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2-1 中小企业声明函</w:t>
      </w:r>
      <w:r>
        <w:rPr>
          <w:rFonts w:hint="eastAsia" w:ascii="仿宋" w:hAnsi="仿宋" w:eastAsia="仿宋" w:cs="仿宋"/>
          <w:color w:val="auto"/>
          <w:kern w:val="0"/>
          <w:sz w:val="24"/>
          <w:szCs w:val="24"/>
          <w:highlight w:val="none"/>
          <w:lang w:val="en-US" w:eastAsia="zh-CN" w:bidi="ar"/>
        </w:rPr>
        <w:t xml:space="preserve"> </w:t>
      </w:r>
    </w:p>
    <w:p w14:paraId="7DAC2BF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3547987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1.如本项目（包）不专门面向中小企业预留采购份额，资格证明文件部分无需提供《中小企业声明函》。 如在“商务、技术文件中提供”提供《中小企业声明函》享受相关政策，不享受相关政策的供应商无需提供。</w:t>
      </w:r>
    </w:p>
    <w:p w14:paraId="0ACFBC28">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2.如本项目（包）专门面向中小/小微企业采购，须提供《中小企业声明函》或《残疾人福利性单位声明函》，或提供由省级以上监狱管理局、戒毒管理局（含 新疆生产建设兵团）出具的属于监狱企业的证明文件。《中小企业声明函》或《残疾人福利性单位声明函》格式不得修改，否则不得享受相关中小企业扶持政策。</w:t>
      </w:r>
      <w:r>
        <w:rPr>
          <w:rFonts w:hint="eastAsia" w:ascii="仿宋" w:hAnsi="仿宋" w:eastAsia="仿宋" w:cs="仿宋"/>
          <w:b/>
          <w:bCs/>
          <w:color w:val="auto"/>
          <w:kern w:val="0"/>
          <w:sz w:val="24"/>
          <w:szCs w:val="24"/>
          <w:highlight w:val="none"/>
          <w:lang w:val="en-US" w:eastAsia="zh-CN" w:bidi="ar"/>
        </w:rPr>
        <w:t xml:space="preserve">供应商根据项目属性，从本采购文件投标文件格式“中小企业声明函（货物）”、“中小企业声明函（工程、服务）”选择一种申明函格式。 </w:t>
      </w:r>
    </w:p>
    <w:p w14:paraId="41D7B29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 </w:t>
      </w:r>
    </w:p>
    <w:p w14:paraId="697FEBF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4.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 </w:t>
      </w:r>
    </w:p>
    <w:p w14:paraId="2CCEE914">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5.中小企业声明函填写注意事项 </w:t>
      </w:r>
    </w:p>
    <w:p w14:paraId="2BA01384">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1）中小企业参加政府采购活动，应当出具此格式文件。《中小企业声明函》由参加政府采购活动的供应商出具。联合体投标的，《中小企业声明函》由牵头人出具。 </w:t>
      </w:r>
    </w:p>
    <w:p w14:paraId="5CB6FDC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7334E9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2E06F8B7">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6.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26EF55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p>
    <w:p w14:paraId="103AB427">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23559847">
      <w:pPr>
        <w:rPr>
          <w:rFonts w:hint="eastAsia" w:ascii="仿宋" w:hAnsi="仿宋" w:eastAsia="仿宋" w:cs="仿宋"/>
          <w:b w:val="0"/>
          <w:bCs w:val="0"/>
          <w:color w:val="000000"/>
          <w:kern w:val="0"/>
          <w:sz w:val="24"/>
          <w:szCs w:val="24"/>
          <w:highlight w:val="none"/>
          <w:lang w:val="en-US" w:eastAsia="zh-CN" w:bidi="ar"/>
        </w:rPr>
      </w:pPr>
    </w:p>
    <w:p w14:paraId="6A22DDD9">
      <w:pPr>
        <w:pStyle w:val="2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32"/>
          <w:szCs w:val="32"/>
          <w:highlight w:val="none"/>
          <w:lang w:val="en-US" w:eastAsia="zh-CN"/>
        </w:rPr>
      </w:pPr>
      <w:r>
        <w:rPr>
          <w:rStyle w:val="33"/>
          <w:rFonts w:hint="eastAsia" w:ascii="仿宋" w:hAnsi="仿宋" w:eastAsia="仿宋" w:cs="仿宋"/>
          <w:i w:val="0"/>
          <w:iCs w:val="0"/>
          <w:caps w:val="0"/>
          <w:color w:val="auto"/>
          <w:spacing w:val="0"/>
          <w:sz w:val="32"/>
          <w:szCs w:val="32"/>
          <w:highlight w:val="none"/>
        </w:rPr>
        <w:t>中小企业声明函</w:t>
      </w:r>
      <w:r>
        <w:rPr>
          <w:rStyle w:val="33"/>
          <w:rFonts w:hint="eastAsia" w:ascii="仿宋" w:hAnsi="仿宋" w:eastAsia="仿宋" w:cs="仿宋"/>
          <w:i w:val="0"/>
          <w:iCs w:val="0"/>
          <w:caps w:val="0"/>
          <w:color w:val="auto"/>
          <w:spacing w:val="0"/>
          <w:sz w:val="32"/>
          <w:szCs w:val="32"/>
          <w:highlight w:val="none"/>
          <w:lang w:eastAsia="zh-CN"/>
        </w:rPr>
        <w:t>（</w:t>
      </w:r>
      <w:r>
        <w:rPr>
          <w:rStyle w:val="33"/>
          <w:rFonts w:hint="eastAsia" w:ascii="仿宋" w:hAnsi="仿宋" w:eastAsia="仿宋" w:cs="仿宋"/>
          <w:i w:val="0"/>
          <w:iCs w:val="0"/>
          <w:caps w:val="0"/>
          <w:color w:val="auto"/>
          <w:spacing w:val="0"/>
          <w:sz w:val="32"/>
          <w:szCs w:val="32"/>
          <w:highlight w:val="none"/>
        </w:rPr>
        <w:t>货物</w:t>
      </w:r>
      <w:r>
        <w:rPr>
          <w:rStyle w:val="33"/>
          <w:rFonts w:hint="eastAsia" w:ascii="仿宋" w:hAnsi="仿宋" w:eastAsia="仿宋" w:cs="仿宋"/>
          <w:i w:val="0"/>
          <w:iCs w:val="0"/>
          <w:caps w:val="0"/>
          <w:color w:val="auto"/>
          <w:spacing w:val="0"/>
          <w:sz w:val="32"/>
          <w:szCs w:val="32"/>
          <w:highlight w:val="none"/>
          <w:lang w:eastAsia="zh-CN"/>
        </w:rPr>
        <w:t>）</w:t>
      </w:r>
    </w:p>
    <w:p w14:paraId="2144D564">
      <w:pPr>
        <w:pStyle w:val="2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w:t>
      </w:r>
    </w:p>
    <w:p w14:paraId="46551F11">
      <w:pPr>
        <w:pStyle w:val="2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本公司（联合体）郑重声明，根据《政府采购促进中小企业发展管理办法》（财库〔2020〕[2020]46号）的规定，本公司（联合体）参加</w:t>
      </w:r>
      <w:r>
        <w:rPr>
          <w:rFonts w:hint="eastAsia" w:ascii="仿宋" w:hAnsi="仿宋" w:eastAsia="仿宋" w:cs="仿宋"/>
          <w:i/>
          <w:iCs/>
          <w:caps w:val="0"/>
          <w:color w:val="auto"/>
          <w:spacing w:val="0"/>
          <w:sz w:val="24"/>
          <w:szCs w:val="24"/>
          <w:highlight w:val="none"/>
          <w:u w:val="single"/>
        </w:rPr>
        <w:t>（单位名称）</w:t>
      </w:r>
      <w:r>
        <w:rPr>
          <w:rFonts w:hint="eastAsia" w:ascii="仿宋" w:hAnsi="仿宋" w:eastAsia="仿宋" w:cs="仿宋"/>
          <w:i w:val="0"/>
          <w:iCs w:val="0"/>
          <w:caps w:val="0"/>
          <w:color w:val="auto"/>
          <w:spacing w:val="0"/>
          <w:sz w:val="24"/>
          <w:szCs w:val="24"/>
          <w:highlight w:val="none"/>
        </w:rPr>
        <w:t>的</w:t>
      </w:r>
      <w:r>
        <w:rPr>
          <w:rFonts w:hint="eastAsia" w:ascii="仿宋" w:hAnsi="仿宋" w:eastAsia="仿宋" w:cs="仿宋"/>
          <w:i/>
          <w:iCs/>
          <w:caps w:val="0"/>
          <w:color w:val="auto"/>
          <w:spacing w:val="0"/>
          <w:sz w:val="24"/>
          <w:szCs w:val="24"/>
          <w:highlight w:val="none"/>
          <w:u w:val="single"/>
        </w:rPr>
        <w:t>（项目名称）</w:t>
      </w:r>
      <w:r>
        <w:rPr>
          <w:rFonts w:hint="eastAsia" w:ascii="仿宋" w:hAnsi="仿宋" w:eastAsia="仿宋" w:cs="仿宋"/>
          <w:i w:val="0"/>
          <w:iCs w:val="0"/>
          <w:caps w:val="0"/>
          <w:color w:val="auto"/>
          <w:spacing w:val="0"/>
          <w:sz w:val="24"/>
          <w:szCs w:val="24"/>
          <w:highlight w:val="none"/>
        </w:rPr>
        <w:t>采购活动，提供的货物全部由符合政策要求的中小企业制造。相关企业（含联合体中的中小企业、签订分包意向协议的中小企业）的具体情况如下：</w:t>
      </w:r>
    </w:p>
    <w:p w14:paraId="4E09A3CB">
      <w:pPr>
        <w:pStyle w:val="2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w:t>
      </w:r>
      <w:r>
        <w:rPr>
          <w:rFonts w:hint="eastAsia" w:ascii="仿宋" w:hAnsi="仿宋" w:eastAsia="仿宋" w:cs="仿宋"/>
          <w:i/>
          <w:iCs/>
          <w:color w:val="000000"/>
          <w:kern w:val="0"/>
          <w:sz w:val="24"/>
          <w:szCs w:val="24"/>
          <w:highlight w:val="none"/>
          <w:u w:val="single"/>
          <w:lang w:val="en-US" w:eastAsia="zh-CN" w:bidi="ar"/>
        </w:rPr>
        <w:t>采购文件</w:t>
      </w:r>
      <w:r>
        <w:rPr>
          <w:rFonts w:hint="eastAsia" w:ascii="仿宋" w:hAnsi="仿宋" w:eastAsia="仿宋" w:cs="仿宋"/>
          <w:b/>
          <w:bCs/>
          <w:i/>
          <w:iCs/>
          <w:color w:val="000000"/>
          <w:kern w:val="0"/>
          <w:sz w:val="24"/>
          <w:szCs w:val="24"/>
          <w:highlight w:val="none"/>
          <w:u w:val="single"/>
          <w:lang w:val="en-US" w:eastAsia="zh-CN" w:bidi="ar"/>
        </w:rPr>
        <w:t>（供应商须知前附表）</w:t>
      </w:r>
      <w:r>
        <w:rPr>
          <w:rFonts w:hint="eastAsia" w:ascii="仿宋" w:hAnsi="仿宋" w:eastAsia="仿宋" w:cs="仿宋"/>
          <w:i/>
          <w:iCs/>
          <w:color w:val="000000"/>
          <w:kern w:val="0"/>
          <w:sz w:val="24"/>
          <w:szCs w:val="24"/>
          <w:highlight w:val="none"/>
          <w:u w:val="single"/>
          <w:lang w:val="en-US" w:eastAsia="zh-CN" w:bidi="ar"/>
        </w:rPr>
        <w:t>中明确的所属行业</w:t>
      </w:r>
      <w:r>
        <w:rPr>
          <w:rFonts w:hint="eastAsia" w:ascii="仿宋" w:hAnsi="仿宋" w:eastAsia="仿宋" w:cs="仿宋"/>
          <w:i/>
          <w:iCs/>
          <w:caps w:val="0"/>
          <w:color w:val="auto"/>
          <w:spacing w:val="0"/>
          <w:sz w:val="24"/>
          <w:szCs w:val="24"/>
          <w:highlight w:val="none"/>
          <w:u w:val="single"/>
        </w:rPr>
        <w:t>）</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15A79DB8">
      <w:pPr>
        <w:pStyle w:val="2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w:t>
      </w:r>
      <w:r>
        <w:rPr>
          <w:rFonts w:hint="eastAsia" w:ascii="仿宋" w:hAnsi="仿宋" w:eastAsia="仿宋" w:cs="仿宋"/>
          <w:i/>
          <w:iCs/>
          <w:color w:val="000000"/>
          <w:kern w:val="0"/>
          <w:sz w:val="24"/>
          <w:szCs w:val="24"/>
          <w:highlight w:val="none"/>
          <w:u w:val="single"/>
          <w:lang w:val="en-US" w:eastAsia="zh-CN" w:bidi="ar"/>
        </w:rPr>
        <w:t>采购文件</w:t>
      </w:r>
      <w:r>
        <w:rPr>
          <w:rFonts w:hint="eastAsia" w:ascii="仿宋" w:hAnsi="仿宋" w:eastAsia="仿宋" w:cs="仿宋"/>
          <w:b/>
          <w:bCs/>
          <w:i/>
          <w:iCs/>
          <w:color w:val="000000"/>
          <w:kern w:val="0"/>
          <w:sz w:val="24"/>
          <w:szCs w:val="24"/>
          <w:highlight w:val="none"/>
          <w:u w:val="single"/>
          <w:lang w:val="en-US" w:eastAsia="zh-CN" w:bidi="ar"/>
        </w:rPr>
        <w:t>（供应商须知前附表）</w:t>
      </w:r>
      <w:r>
        <w:rPr>
          <w:rFonts w:hint="eastAsia" w:ascii="仿宋" w:hAnsi="仿宋" w:eastAsia="仿宋" w:cs="仿宋"/>
          <w:i/>
          <w:iCs/>
          <w:color w:val="000000"/>
          <w:kern w:val="0"/>
          <w:sz w:val="24"/>
          <w:szCs w:val="24"/>
          <w:highlight w:val="none"/>
          <w:u w:val="single"/>
          <w:lang w:val="en-US" w:eastAsia="zh-CN" w:bidi="ar"/>
        </w:rPr>
        <w:t>中明确的所属行业</w:t>
      </w:r>
      <w:r>
        <w:rPr>
          <w:rFonts w:hint="eastAsia" w:ascii="仿宋" w:hAnsi="仿宋" w:eastAsia="仿宋" w:cs="仿宋"/>
          <w:i/>
          <w:iCs/>
          <w:caps w:val="0"/>
          <w:color w:val="auto"/>
          <w:spacing w:val="0"/>
          <w:sz w:val="24"/>
          <w:szCs w:val="24"/>
          <w:highlight w:val="none"/>
          <w:u w:val="single"/>
        </w:rPr>
        <w:t>）</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6BB18585">
      <w:pPr>
        <w:pStyle w:val="2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w:t>
      </w:r>
    </w:p>
    <w:p w14:paraId="572DE212">
      <w:pPr>
        <w:pStyle w:val="2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以上企业，不属于大企业的分支机构，不存在控股股东为大企业的情形，也不存在与大企业的负责人为同一人的情形。</w:t>
      </w:r>
    </w:p>
    <w:p w14:paraId="51D15224">
      <w:pPr>
        <w:pStyle w:val="2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本企业对上述声明内容的真实性负责。如有虚假，将依法承担相应责任。</w:t>
      </w:r>
    </w:p>
    <w:p w14:paraId="5ED0CFD2">
      <w:pPr>
        <w:pStyle w:val="2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w:t>
      </w:r>
    </w:p>
    <w:p w14:paraId="6E62F035">
      <w:pPr>
        <w:pStyle w:val="2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w:t>
      </w:r>
      <w:r>
        <w:rPr>
          <w:rFonts w:hint="eastAsia" w:ascii="仿宋" w:hAnsi="仿宋" w:eastAsia="仿宋" w:cs="仿宋"/>
          <w:color w:val="auto"/>
          <w:sz w:val="24"/>
          <w:highlight w:val="none"/>
          <w:lang w:val="en-US" w:eastAsia="zh-CN"/>
        </w:rPr>
        <w:t>盖章</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3D00954B">
      <w:pPr>
        <w:pStyle w:val="2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7"/>
          <w:szCs w:val="27"/>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58B52A16">
      <w:pPr>
        <w:rPr>
          <w:rFonts w:hint="eastAsia" w:ascii="仿宋" w:hAnsi="仿宋" w:eastAsia="仿宋" w:cs="仿宋"/>
          <w:b w:val="0"/>
          <w:bCs w:val="0"/>
          <w:color w:val="auto"/>
          <w:kern w:val="0"/>
          <w:sz w:val="21"/>
          <w:szCs w:val="21"/>
          <w:highlight w:val="none"/>
          <w:lang w:val="en-US" w:eastAsia="zh-CN" w:bidi="ar"/>
        </w:rPr>
      </w:pPr>
    </w:p>
    <w:p w14:paraId="764928AB">
      <w:pPr>
        <w:rPr>
          <w:rFonts w:hint="eastAsia" w:ascii="仿宋" w:hAnsi="仿宋" w:eastAsia="仿宋" w:cs="仿宋"/>
          <w:b w:val="0"/>
          <w:bCs w:val="0"/>
          <w:color w:val="auto"/>
          <w:kern w:val="0"/>
          <w:sz w:val="21"/>
          <w:szCs w:val="21"/>
          <w:highlight w:val="none"/>
          <w:lang w:val="en-US" w:eastAsia="zh-CN" w:bidi="ar"/>
        </w:rPr>
      </w:pPr>
    </w:p>
    <w:p w14:paraId="38C7C686">
      <w:pPr>
        <w:rPr>
          <w:rFonts w:hint="eastAsia" w:ascii="仿宋" w:hAnsi="仿宋" w:eastAsia="仿宋" w:cs="仿宋"/>
          <w:b w:val="0"/>
          <w:bCs w:val="0"/>
          <w:color w:val="auto"/>
          <w:kern w:val="0"/>
          <w:sz w:val="21"/>
          <w:szCs w:val="21"/>
          <w:highlight w:val="none"/>
          <w:lang w:val="en-US" w:eastAsia="zh-CN" w:bidi="ar"/>
        </w:rPr>
      </w:pPr>
    </w:p>
    <w:p w14:paraId="2B37B0C2">
      <w:pPr>
        <w:rPr>
          <w:rFonts w:hint="eastAsia" w:ascii="仿宋" w:hAnsi="仿宋" w:eastAsia="仿宋" w:cs="仿宋"/>
          <w:b w:val="0"/>
          <w:bCs w:val="0"/>
          <w:color w:val="auto"/>
          <w:kern w:val="0"/>
          <w:sz w:val="21"/>
          <w:szCs w:val="21"/>
          <w:highlight w:val="none"/>
          <w:lang w:val="en-US" w:eastAsia="zh-CN" w:bidi="ar"/>
        </w:rPr>
      </w:pPr>
    </w:p>
    <w:p w14:paraId="6008802D">
      <w:pPr>
        <w:rPr>
          <w:rFonts w:hint="eastAsia" w:ascii="仿宋" w:hAnsi="仿宋" w:eastAsia="仿宋" w:cs="仿宋"/>
          <w:b w:val="0"/>
          <w:bCs w:val="0"/>
          <w:color w:val="auto"/>
          <w:kern w:val="0"/>
          <w:sz w:val="21"/>
          <w:szCs w:val="21"/>
          <w:highlight w:val="none"/>
          <w:lang w:val="en-US" w:eastAsia="zh-CN" w:bidi="ar"/>
        </w:rPr>
      </w:pPr>
    </w:p>
    <w:p w14:paraId="0EC42A29">
      <w:pPr>
        <w:rPr>
          <w:rFonts w:hint="eastAsia" w:ascii="仿宋" w:hAnsi="仿宋" w:eastAsia="仿宋" w:cs="仿宋"/>
          <w:b w:val="0"/>
          <w:bCs w:val="0"/>
          <w:color w:val="auto"/>
          <w:kern w:val="0"/>
          <w:sz w:val="21"/>
          <w:szCs w:val="21"/>
          <w:highlight w:val="none"/>
          <w:lang w:val="en-US" w:eastAsia="zh-CN" w:bidi="ar"/>
        </w:rPr>
      </w:pPr>
    </w:p>
    <w:p w14:paraId="04781352">
      <w:pPr>
        <w:rPr>
          <w:rFonts w:hint="eastAsia" w:ascii="仿宋" w:hAnsi="仿宋" w:eastAsia="仿宋" w:cs="仿宋"/>
          <w:b w:val="0"/>
          <w:bCs w:val="0"/>
          <w:color w:val="auto"/>
          <w:kern w:val="0"/>
          <w:sz w:val="21"/>
          <w:szCs w:val="21"/>
          <w:highlight w:val="none"/>
          <w:lang w:val="en-US" w:eastAsia="zh-CN" w:bidi="ar"/>
        </w:rPr>
      </w:pPr>
    </w:p>
    <w:p w14:paraId="7E891154">
      <w:pP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从业人员、营业收入、资产总额填报上一年度数据，无上一年度数据的新成立企业可不填报。</w:t>
      </w:r>
    </w:p>
    <w:p w14:paraId="1CF67420">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68D107B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lang w:val="en-US" w:eastAsia="zh-CN" w:bidi="ar"/>
        </w:rPr>
        <w:t>中小企业声明函（工程、服务）</w:t>
      </w:r>
    </w:p>
    <w:p w14:paraId="0278563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33AD3D2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本公司（联合体）郑重声明，根据《政府采购促进中小企业发展管理办法》 </w:t>
      </w:r>
    </w:p>
    <w:p w14:paraId="2B01CA3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（财库﹝2020﹞46号）的规定，本公司（联合体）参加</w:t>
      </w:r>
      <w:r>
        <w:rPr>
          <w:rFonts w:hint="eastAsia" w:ascii="仿宋" w:hAnsi="仿宋" w:eastAsia="仿宋" w:cs="仿宋"/>
          <w:i/>
          <w:iCs/>
          <w:color w:val="000000"/>
          <w:kern w:val="0"/>
          <w:sz w:val="24"/>
          <w:szCs w:val="24"/>
          <w:highlight w:val="none"/>
          <w:u w:val="single"/>
          <w:lang w:val="en-US" w:eastAsia="zh-CN" w:bidi="ar"/>
        </w:rPr>
        <w:t>（单位名称）</w:t>
      </w:r>
      <w:r>
        <w:rPr>
          <w:rFonts w:hint="eastAsia" w:ascii="仿宋" w:hAnsi="仿宋" w:eastAsia="仿宋" w:cs="仿宋"/>
          <w:color w:val="000000"/>
          <w:kern w:val="0"/>
          <w:sz w:val="24"/>
          <w:szCs w:val="24"/>
          <w:highlight w:val="none"/>
          <w:lang w:val="en-US" w:eastAsia="zh-CN" w:bidi="ar"/>
        </w:rPr>
        <w:t>的</w:t>
      </w:r>
      <w:r>
        <w:rPr>
          <w:rFonts w:hint="eastAsia" w:ascii="仿宋" w:hAnsi="仿宋" w:eastAsia="仿宋" w:cs="仿宋"/>
          <w:i/>
          <w:iCs/>
          <w:color w:val="000000"/>
          <w:kern w:val="0"/>
          <w:sz w:val="24"/>
          <w:szCs w:val="24"/>
          <w:highlight w:val="none"/>
          <w:u w:val="single"/>
          <w:lang w:val="en-US" w:eastAsia="zh-CN" w:bidi="ar"/>
        </w:rPr>
        <w:t>（项目名称）</w:t>
      </w:r>
      <w:r>
        <w:rPr>
          <w:rFonts w:hint="eastAsia" w:ascii="仿宋" w:hAnsi="仿宋" w:eastAsia="仿宋" w:cs="仿宋"/>
          <w:color w:val="000000"/>
          <w:kern w:val="0"/>
          <w:sz w:val="24"/>
          <w:szCs w:val="24"/>
          <w:highlight w:val="none"/>
          <w:lang w:val="en-US" w:eastAsia="zh-CN" w:bidi="ar"/>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E02356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 </w:t>
      </w:r>
      <w:r>
        <w:rPr>
          <w:rFonts w:hint="eastAsia" w:ascii="仿宋" w:hAnsi="仿宋" w:eastAsia="仿宋" w:cs="仿宋"/>
          <w:i/>
          <w:iCs/>
          <w:color w:val="000000"/>
          <w:kern w:val="0"/>
          <w:sz w:val="24"/>
          <w:szCs w:val="24"/>
          <w:highlight w:val="none"/>
          <w:u w:val="single"/>
          <w:lang w:val="en-US" w:eastAsia="zh-CN" w:bidi="ar"/>
        </w:rPr>
        <w:t>（标的名称）</w:t>
      </w:r>
      <w:r>
        <w:rPr>
          <w:rFonts w:hint="eastAsia" w:ascii="仿宋" w:hAnsi="仿宋" w:eastAsia="仿宋" w:cs="仿宋"/>
          <w:color w:val="000000"/>
          <w:kern w:val="0"/>
          <w:sz w:val="24"/>
          <w:szCs w:val="24"/>
          <w:highlight w:val="none"/>
          <w:lang w:val="en-US" w:eastAsia="zh-CN" w:bidi="ar"/>
        </w:rPr>
        <w:t>，属于</w:t>
      </w:r>
      <w:r>
        <w:rPr>
          <w:rFonts w:hint="eastAsia" w:ascii="仿宋" w:hAnsi="仿宋" w:eastAsia="仿宋" w:cs="仿宋"/>
          <w:i/>
          <w:iCs/>
          <w:color w:val="000000"/>
          <w:kern w:val="0"/>
          <w:sz w:val="24"/>
          <w:szCs w:val="24"/>
          <w:highlight w:val="none"/>
          <w:u w:val="single"/>
          <w:lang w:val="en-US" w:eastAsia="zh-CN" w:bidi="ar"/>
        </w:rPr>
        <w:t>（采购文件</w:t>
      </w:r>
      <w:r>
        <w:rPr>
          <w:rFonts w:hint="eastAsia" w:ascii="仿宋" w:hAnsi="仿宋" w:eastAsia="仿宋" w:cs="仿宋"/>
          <w:b/>
          <w:bCs/>
          <w:i/>
          <w:iCs/>
          <w:color w:val="000000"/>
          <w:kern w:val="0"/>
          <w:sz w:val="24"/>
          <w:szCs w:val="24"/>
          <w:highlight w:val="none"/>
          <w:u w:val="single"/>
          <w:lang w:val="en-US" w:eastAsia="zh-CN" w:bidi="ar"/>
        </w:rPr>
        <w:t>（供应商须知前附表）</w:t>
      </w:r>
      <w:r>
        <w:rPr>
          <w:rFonts w:hint="eastAsia" w:ascii="仿宋" w:hAnsi="仿宋" w:eastAsia="仿宋" w:cs="仿宋"/>
          <w:i/>
          <w:iCs/>
          <w:color w:val="000000"/>
          <w:kern w:val="0"/>
          <w:sz w:val="24"/>
          <w:szCs w:val="24"/>
          <w:highlight w:val="none"/>
          <w:u w:val="single"/>
          <w:lang w:val="en-US" w:eastAsia="zh-CN" w:bidi="ar"/>
        </w:rPr>
        <w:t>中明确的所属行业）</w:t>
      </w:r>
      <w:r>
        <w:rPr>
          <w:rFonts w:hint="eastAsia" w:ascii="仿宋" w:hAnsi="仿宋" w:eastAsia="仿宋" w:cs="仿宋"/>
          <w:color w:val="000000"/>
          <w:kern w:val="0"/>
          <w:sz w:val="24"/>
          <w:szCs w:val="24"/>
          <w:highlight w:val="none"/>
          <w:lang w:val="en-US" w:eastAsia="zh-CN" w:bidi="ar"/>
        </w:rPr>
        <w:t>；承建（承接）企业 为</w:t>
      </w:r>
      <w:r>
        <w:rPr>
          <w:rFonts w:hint="eastAsia" w:ascii="仿宋" w:hAnsi="仿宋" w:eastAsia="仿宋" w:cs="仿宋"/>
          <w:i/>
          <w:iCs/>
          <w:color w:val="000000"/>
          <w:kern w:val="0"/>
          <w:sz w:val="24"/>
          <w:szCs w:val="24"/>
          <w:highlight w:val="none"/>
          <w:u w:val="single"/>
          <w:lang w:val="en-US" w:eastAsia="zh-CN" w:bidi="ar"/>
        </w:rPr>
        <w:t>（企业名称）</w:t>
      </w:r>
      <w:r>
        <w:rPr>
          <w:rFonts w:hint="eastAsia" w:ascii="仿宋" w:hAnsi="仿宋" w:eastAsia="仿宋" w:cs="仿宋"/>
          <w:color w:val="000000"/>
          <w:kern w:val="0"/>
          <w:sz w:val="24"/>
          <w:szCs w:val="24"/>
          <w:highlight w:val="none"/>
          <w:lang w:val="en-US" w:eastAsia="zh-CN" w:bidi="ar"/>
        </w:rPr>
        <w:t>，从业人员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人，营业收入为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万元，资产总额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为万元，属于</w:t>
      </w:r>
      <w:r>
        <w:rPr>
          <w:rFonts w:hint="eastAsia" w:ascii="仿宋" w:hAnsi="仿宋" w:eastAsia="仿宋" w:cs="仿宋"/>
          <w:i/>
          <w:iCs/>
          <w:color w:val="000000"/>
          <w:kern w:val="0"/>
          <w:sz w:val="24"/>
          <w:szCs w:val="24"/>
          <w:highlight w:val="none"/>
          <w:u w:val="single"/>
          <w:lang w:val="en-US" w:eastAsia="zh-CN" w:bidi="ar"/>
        </w:rPr>
        <w:t>（中型企业、小型企业、微型企业）</w:t>
      </w:r>
      <w:r>
        <w:rPr>
          <w:rFonts w:hint="eastAsia" w:ascii="仿宋" w:hAnsi="仿宋" w:eastAsia="仿宋" w:cs="仿宋"/>
          <w:color w:val="000000"/>
          <w:kern w:val="0"/>
          <w:sz w:val="24"/>
          <w:szCs w:val="24"/>
          <w:highlight w:val="none"/>
          <w:lang w:val="en-US" w:eastAsia="zh-CN" w:bidi="ar"/>
        </w:rPr>
        <w:t xml:space="preserve">； </w:t>
      </w:r>
    </w:p>
    <w:p w14:paraId="28EE7A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 </w:t>
      </w:r>
      <w:r>
        <w:rPr>
          <w:rFonts w:hint="eastAsia" w:ascii="仿宋" w:hAnsi="仿宋" w:eastAsia="仿宋" w:cs="仿宋"/>
          <w:i/>
          <w:iCs/>
          <w:color w:val="000000"/>
          <w:kern w:val="0"/>
          <w:sz w:val="24"/>
          <w:szCs w:val="24"/>
          <w:highlight w:val="none"/>
          <w:u w:val="single"/>
          <w:lang w:val="en-US" w:eastAsia="zh-CN" w:bidi="ar"/>
        </w:rPr>
        <w:t>（标的名称）</w:t>
      </w:r>
      <w:r>
        <w:rPr>
          <w:rFonts w:hint="eastAsia" w:ascii="仿宋" w:hAnsi="仿宋" w:eastAsia="仿宋" w:cs="仿宋"/>
          <w:color w:val="000000"/>
          <w:kern w:val="0"/>
          <w:sz w:val="24"/>
          <w:szCs w:val="24"/>
          <w:highlight w:val="none"/>
          <w:lang w:val="en-US" w:eastAsia="zh-CN" w:bidi="ar"/>
        </w:rPr>
        <w:t>，属于</w:t>
      </w:r>
      <w:r>
        <w:rPr>
          <w:rFonts w:hint="eastAsia" w:ascii="仿宋" w:hAnsi="仿宋" w:eastAsia="仿宋" w:cs="仿宋"/>
          <w:i/>
          <w:iCs/>
          <w:color w:val="000000"/>
          <w:kern w:val="0"/>
          <w:sz w:val="24"/>
          <w:szCs w:val="24"/>
          <w:highlight w:val="none"/>
          <w:u w:val="single"/>
          <w:lang w:val="en-US" w:eastAsia="zh-CN" w:bidi="ar"/>
        </w:rPr>
        <w:t>（采购文件</w:t>
      </w:r>
      <w:r>
        <w:rPr>
          <w:rFonts w:hint="eastAsia" w:ascii="仿宋" w:hAnsi="仿宋" w:eastAsia="仿宋" w:cs="仿宋"/>
          <w:b/>
          <w:bCs/>
          <w:i/>
          <w:iCs/>
          <w:color w:val="000000"/>
          <w:kern w:val="0"/>
          <w:sz w:val="24"/>
          <w:szCs w:val="24"/>
          <w:highlight w:val="none"/>
          <w:u w:val="single"/>
          <w:lang w:val="en-US" w:eastAsia="zh-CN" w:bidi="ar"/>
        </w:rPr>
        <w:t>（供应商须知前附表）</w:t>
      </w:r>
      <w:r>
        <w:rPr>
          <w:rFonts w:hint="eastAsia" w:ascii="仿宋" w:hAnsi="仿宋" w:eastAsia="仿宋" w:cs="仿宋"/>
          <w:i/>
          <w:iCs/>
          <w:color w:val="000000"/>
          <w:kern w:val="0"/>
          <w:sz w:val="24"/>
          <w:szCs w:val="24"/>
          <w:highlight w:val="none"/>
          <w:u w:val="single"/>
          <w:lang w:val="en-US" w:eastAsia="zh-CN" w:bidi="ar"/>
        </w:rPr>
        <w:t>中明确的所属行业）</w:t>
      </w:r>
      <w:r>
        <w:rPr>
          <w:rFonts w:hint="eastAsia" w:ascii="仿宋" w:hAnsi="仿宋" w:eastAsia="仿宋" w:cs="仿宋"/>
          <w:color w:val="000000"/>
          <w:kern w:val="0"/>
          <w:sz w:val="24"/>
          <w:szCs w:val="24"/>
          <w:highlight w:val="none"/>
          <w:lang w:val="en-US" w:eastAsia="zh-CN" w:bidi="ar"/>
        </w:rPr>
        <w:t>；承建（承接）企业为</w:t>
      </w:r>
      <w:r>
        <w:rPr>
          <w:rFonts w:hint="eastAsia" w:ascii="仿宋" w:hAnsi="仿宋" w:eastAsia="仿宋" w:cs="仿宋"/>
          <w:i/>
          <w:iCs/>
          <w:color w:val="000000"/>
          <w:kern w:val="0"/>
          <w:sz w:val="24"/>
          <w:szCs w:val="24"/>
          <w:highlight w:val="none"/>
          <w:u w:val="single"/>
          <w:lang w:val="en-US" w:eastAsia="zh-CN" w:bidi="ar"/>
        </w:rPr>
        <w:t>（企业名称）</w:t>
      </w:r>
      <w:r>
        <w:rPr>
          <w:rFonts w:hint="eastAsia" w:ascii="仿宋" w:hAnsi="仿宋" w:eastAsia="仿宋" w:cs="仿宋"/>
          <w:color w:val="000000"/>
          <w:kern w:val="0"/>
          <w:sz w:val="24"/>
          <w:szCs w:val="24"/>
          <w:highlight w:val="none"/>
          <w:lang w:val="en-US" w:eastAsia="zh-CN" w:bidi="ar"/>
        </w:rPr>
        <w:t>，从业人员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人，营业收入为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万元，资产总额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为万元，属于</w:t>
      </w:r>
      <w:r>
        <w:rPr>
          <w:rFonts w:hint="eastAsia" w:ascii="仿宋" w:hAnsi="仿宋" w:eastAsia="仿宋" w:cs="仿宋"/>
          <w:i/>
          <w:iCs/>
          <w:color w:val="000000"/>
          <w:kern w:val="0"/>
          <w:sz w:val="24"/>
          <w:szCs w:val="24"/>
          <w:highlight w:val="none"/>
          <w:u w:val="single"/>
          <w:lang w:val="en-US" w:eastAsia="zh-CN" w:bidi="ar"/>
        </w:rPr>
        <w:t>（中型企业、小型企业、微型企业）</w:t>
      </w:r>
      <w:r>
        <w:rPr>
          <w:rFonts w:hint="eastAsia" w:ascii="仿宋" w:hAnsi="仿宋" w:eastAsia="仿宋" w:cs="仿宋"/>
          <w:color w:val="000000"/>
          <w:kern w:val="0"/>
          <w:sz w:val="24"/>
          <w:szCs w:val="24"/>
          <w:highlight w:val="none"/>
          <w:lang w:val="en-US" w:eastAsia="zh-CN" w:bidi="ar"/>
        </w:rPr>
        <w:t xml:space="preserve">；； </w:t>
      </w:r>
    </w:p>
    <w:p w14:paraId="3BE2A6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w:t>
      </w:r>
    </w:p>
    <w:p w14:paraId="11BA1C2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以上企业，不属于大企业的分支机构，不存在控股股东为大企业的情形， </w:t>
      </w:r>
    </w:p>
    <w:p w14:paraId="1AF0422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也不存在与大企业的负责人为同一人的情形。 </w:t>
      </w:r>
    </w:p>
    <w:p w14:paraId="2C8869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本企业对上述声明内容的真实性负责。如有虚假，将依法承担相应责任。</w:t>
      </w:r>
    </w:p>
    <w:p w14:paraId="67996822">
      <w:pPr>
        <w:pStyle w:val="2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 </w:t>
      </w:r>
    </w:p>
    <w:p w14:paraId="62AE51B5">
      <w:pPr>
        <w:pStyle w:val="2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24"/>
          <w:szCs w:val="24"/>
          <w:highlight w:val="none"/>
          <w:u w:val="singl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             </w:t>
      </w:r>
      <w:r>
        <w:rPr>
          <w:rFonts w:hint="eastAsia" w:ascii="仿宋" w:hAnsi="仿宋" w:eastAsia="仿宋" w:cs="仿宋"/>
          <w:i w:val="0"/>
          <w:iCs w:val="0"/>
          <w:caps w:val="0"/>
          <w:color w:val="000000"/>
          <w:spacing w:val="0"/>
          <w:sz w:val="24"/>
          <w:szCs w:val="24"/>
          <w:highlight w:val="none"/>
        </w:rPr>
        <w:t>企业名称（</w:t>
      </w:r>
      <w:r>
        <w:rPr>
          <w:rFonts w:hint="eastAsia" w:ascii="仿宋" w:hAnsi="仿宋" w:eastAsia="仿宋" w:cs="仿宋"/>
          <w:sz w:val="24"/>
          <w:highlight w:val="none"/>
          <w:lang w:val="en-US" w:eastAsia="zh-CN"/>
        </w:rPr>
        <w:t>电子印章</w:t>
      </w:r>
      <w:r>
        <w:rPr>
          <w:rFonts w:hint="eastAsia" w:ascii="仿宋" w:hAnsi="仿宋" w:eastAsia="仿宋" w:cs="仿宋"/>
          <w:i w:val="0"/>
          <w:iCs w:val="0"/>
          <w:caps w:val="0"/>
          <w:color w:val="000000"/>
          <w:spacing w:val="0"/>
          <w:sz w:val="24"/>
          <w:szCs w:val="24"/>
          <w:highlight w:val="none"/>
        </w:rPr>
        <w:t>）：</w:t>
      </w:r>
      <w:r>
        <w:rPr>
          <w:rFonts w:hint="eastAsia" w:ascii="仿宋" w:hAnsi="仿宋" w:eastAsia="仿宋" w:cs="仿宋"/>
          <w:i w:val="0"/>
          <w:iCs w:val="0"/>
          <w:caps w:val="0"/>
          <w:color w:val="000000"/>
          <w:spacing w:val="0"/>
          <w:sz w:val="24"/>
          <w:szCs w:val="24"/>
          <w:highlight w:val="none"/>
          <w:u w:val="single"/>
          <w:lang w:val="en-US" w:eastAsia="zh-CN"/>
        </w:rPr>
        <w:t xml:space="preserve">          </w:t>
      </w:r>
    </w:p>
    <w:p w14:paraId="38D71C48">
      <w:pPr>
        <w:pStyle w:val="2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000000"/>
          <w:spacing w:val="0"/>
          <w:sz w:val="27"/>
          <w:szCs w:val="27"/>
          <w:highlight w:val="none"/>
          <w:u w:val="single"/>
          <w:lang w:val="en-US" w:eastAsia="zh-CN"/>
        </w:rPr>
      </w:pPr>
      <w:r>
        <w:rPr>
          <w:rFonts w:hint="eastAsia" w:ascii="仿宋" w:hAnsi="仿宋" w:eastAsia="仿宋" w:cs="仿宋"/>
          <w:i w:val="0"/>
          <w:iCs w:val="0"/>
          <w:caps w:val="0"/>
          <w:color w:val="000000"/>
          <w:spacing w:val="0"/>
          <w:sz w:val="24"/>
          <w:szCs w:val="24"/>
          <w:highlight w:val="none"/>
        </w:rPr>
        <w:t>日期：</w:t>
      </w:r>
      <w:r>
        <w:rPr>
          <w:rFonts w:hint="eastAsia" w:ascii="仿宋" w:hAnsi="仿宋" w:eastAsia="仿宋" w:cs="仿宋"/>
          <w:i w:val="0"/>
          <w:iCs w:val="0"/>
          <w:caps w:val="0"/>
          <w:color w:val="000000"/>
          <w:spacing w:val="0"/>
          <w:sz w:val="24"/>
          <w:szCs w:val="24"/>
          <w:highlight w:val="none"/>
          <w:u w:val="single"/>
          <w:lang w:val="en-US" w:eastAsia="zh-CN"/>
        </w:rPr>
        <w:t xml:space="preserve">         </w:t>
      </w:r>
    </w:p>
    <w:p w14:paraId="1CA98650">
      <w:pPr>
        <w:rPr>
          <w:rFonts w:hint="eastAsia" w:ascii="仿宋" w:hAnsi="仿宋" w:eastAsia="仿宋" w:cs="仿宋"/>
          <w:b w:val="0"/>
          <w:bCs w:val="0"/>
          <w:color w:val="000000"/>
          <w:kern w:val="0"/>
          <w:sz w:val="21"/>
          <w:szCs w:val="21"/>
          <w:highlight w:val="none"/>
          <w:lang w:val="en-US" w:eastAsia="zh-CN" w:bidi="ar"/>
        </w:rPr>
      </w:pPr>
    </w:p>
    <w:p w14:paraId="33B3CBD2">
      <w:pPr>
        <w:rPr>
          <w:rFonts w:hint="eastAsia" w:ascii="仿宋" w:hAnsi="仿宋" w:eastAsia="仿宋" w:cs="仿宋"/>
          <w:b w:val="0"/>
          <w:bCs w:val="0"/>
          <w:color w:val="000000"/>
          <w:kern w:val="0"/>
          <w:sz w:val="21"/>
          <w:szCs w:val="21"/>
          <w:highlight w:val="none"/>
          <w:lang w:val="en-US" w:eastAsia="zh-CN" w:bidi="ar"/>
        </w:rPr>
      </w:pPr>
    </w:p>
    <w:p w14:paraId="1C6E56B4">
      <w:pPr>
        <w:rPr>
          <w:rFonts w:hint="eastAsia" w:ascii="仿宋" w:hAnsi="仿宋" w:eastAsia="仿宋" w:cs="仿宋"/>
          <w:b w:val="0"/>
          <w:bCs w:val="0"/>
          <w:color w:val="000000"/>
          <w:kern w:val="0"/>
          <w:sz w:val="21"/>
          <w:szCs w:val="21"/>
          <w:highlight w:val="none"/>
          <w:lang w:val="en-US" w:eastAsia="zh-CN" w:bidi="ar"/>
        </w:rPr>
      </w:pPr>
    </w:p>
    <w:p w14:paraId="46943E6A">
      <w:pPr>
        <w:rPr>
          <w:rFonts w:hint="eastAsia" w:ascii="仿宋" w:hAnsi="仿宋" w:eastAsia="仿宋" w:cs="仿宋"/>
          <w:b w:val="0"/>
          <w:bCs w:val="0"/>
          <w:color w:val="000000"/>
          <w:kern w:val="0"/>
          <w:sz w:val="21"/>
          <w:szCs w:val="21"/>
          <w:highlight w:val="none"/>
          <w:lang w:val="en-US" w:eastAsia="zh-CN" w:bidi="ar"/>
        </w:rPr>
      </w:pPr>
    </w:p>
    <w:p w14:paraId="3C756AB4">
      <w:pPr>
        <w:rPr>
          <w:rFonts w:hint="eastAsia" w:ascii="仿宋" w:hAnsi="仿宋" w:eastAsia="仿宋" w:cs="仿宋"/>
          <w:b w:val="0"/>
          <w:bCs w:val="0"/>
          <w:color w:val="000000"/>
          <w:kern w:val="0"/>
          <w:sz w:val="21"/>
          <w:szCs w:val="21"/>
          <w:highlight w:val="none"/>
          <w:lang w:val="en-US" w:eastAsia="zh-CN" w:bidi="ar"/>
        </w:rPr>
      </w:pPr>
    </w:p>
    <w:p w14:paraId="6272B3BD">
      <w:pPr>
        <w:rPr>
          <w:rFonts w:hint="eastAsia" w:ascii="仿宋" w:hAnsi="仿宋" w:eastAsia="仿宋" w:cs="仿宋"/>
          <w:b w:val="0"/>
          <w:bCs w:val="0"/>
          <w:color w:val="000000"/>
          <w:kern w:val="0"/>
          <w:sz w:val="21"/>
          <w:szCs w:val="21"/>
          <w:highlight w:val="none"/>
          <w:lang w:val="en-US" w:eastAsia="zh-CN" w:bidi="ar"/>
        </w:rPr>
      </w:pPr>
    </w:p>
    <w:p w14:paraId="02AF3D5C">
      <w:pPr>
        <w:rPr>
          <w:rFonts w:hint="eastAsia" w:ascii="仿宋" w:hAnsi="仿宋" w:eastAsia="仿宋" w:cs="仿宋"/>
          <w:b w:val="0"/>
          <w:bCs w:val="0"/>
          <w:color w:val="000000"/>
          <w:kern w:val="0"/>
          <w:sz w:val="21"/>
          <w:szCs w:val="21"/>
          <w:highlight w:val="none"/>
          <w:lang w:val="en-US" w:eastAsia="zh-CN" w:bidi="ar"/>
        </w:rPr>
      </w:pPr>
    </w:p>
    <w:p w14:paraId="07F65B33">
      <w:pPr>
        <w:rPr>
          <w:rFonts w:hint="eastAsia" w:ascii="仿宋" w:hAnsi="仿宋" w:eastAsia="仿宋" w:cs="仿宋"/>
          <w:b w:val="0"/>
          <w:bCs w:val="0"/>
          <w:color w:val="000000"/>
          <w:kern w:val="0"/>
          <w:sz w:val="21"/>
          <w:szCs w:val="21"/>
          <w:highlight w:val="none"/>
          <w:lang w:val="en-US" w:eastAsia="zh-CN" w:bidi="ar"/>
        </w:rPr>
      </w:pPr>
      <w:r>
        <w:rPr>
          <w:rFonts w:hint="eastAsia" w:ascii="仿宋" w:hAnsi="仿宋" w:eastAsia="仿宋" w:cs="仿宋"/>
          <w:b w:val="0"/>
          <w:bCs w:val="0"/>
          <w:color w:val="000000"/>
          <w:kern w:val="0"/>
          <w:sz w:val="21"/>
          <w:szCs w:val="21"/>
          <w:highlight w:val="none"/>
          <w:lang w:val="en-US" w:eastAsia="zh-CN" w:bidi="ar"/>
        </w:rPr>
        <w:t>从业人员、营业收入、资产总额填报上一年度数据，无上一年度数据的新成立企业可不填报。</w:t>
      </w:r>
    </w:p>
    <w:p w14:paraId="205A7257">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4678DB9C">
      <w:pPr>
        <w:keepNext w:val="0"/>
        <w:keepLines w:val="0"/>
        <w:widowControl/>
        <w:suppressLineNumbers w:val="0"/>
        <w:jc w:val="center"/>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残疾人福利性单位声明函格式</w:t>
      </w:r>
    </w:p>
    <w:p w14:paraId="13641A60">
      <w:pPr>
        <w:keepNext w:val="0"/>
        <w:keepLines w:val="0"/>
        <w:widowControl/>
        <w:suppressLineNumbers w:val="0"/>
        <w:jc w:val="center"/>
        <w:rPr>
          <w:rFonts w:hint="eastAsia" w:ascii="仿宋" w:hAnsi="仿宋" w:eastAsia="仿宋" w:cs="仿宋"/>
          <w:b/>
          <w:bCs/>
          <w:color w:val="000000"/>
          <w:kern w:val="0"/>
          <w:sz w:val="32"/>
          <w:szCs w:val="32"/>
          <w:highlight w:val="none"/>
          <w:lang w:val="en-US" w:eastAsia="zh-CN" w:bidi="ar"/>
        </w:rPr>
      </w:pPr>
    </w:p>
    <w:p w14:paraId="729EEC9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000000"/>
          <w:kern w:val="0"/>
          <w:sz w:val="24"/>
          <w:szCs w:val="24"/>
          <w:highlight w:val="none"/>
          <w:lang w:val="en-US" w:eastAsia="zh-CN" w:bidi="ar"/>
        </w:rPr>
        <w:t>（请进行勾选）</w:t>
      </w:r>
      <w:r>
        <w:rPr>
          <w:rFonts w:hint="eastAsia" w:ascii="仿宋" w:hAnsi="仿宋" w:eastAsia="仿宋" w:cs="仿宋"/>
          <w:color w:val="000000"/>
          <w:kern w:val="0"/>
          <w:sz w:val="24"/>
          <w:szCs w:val="24"/>
          <w:highlight w:val="none"/>
          <w:lang w:val="en-US" w:eastAsia="zh-CN" w:bidi="ar"/>
        </w:rPr>
        <w:t xml:space="preserve">： </w:t>
      </w:r>
    </w:p>
    <w:p w14:paraId="181FACD5">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□不属于符合条件的残疾人福利性单位。 </w:t>
      </w:r>
    </w:p>
    <w:p w14:paraId="79FDA0A8">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□属于符合条件的残疾人福利性单位，</w:t>
      </w:r>
      <w:r>
        <w:rPr>
          <w:rFonts w:hint="eastAsia" w:ascii="仿宋" w:hAnsi="仿宋" w:eastAsia="仿宋" w:cs="仿宋"/>
          <w:color w:val="000000"/>
          <w:kern w:val="0"/>
          <w:sz w:val="24"/>
          <w:szCs w:val="24"/>
          <w:highlight w:val="none"/>
          <w:lang w:val="en-US" w:eastAsia="zh-CN" w:bidi="ar"/>
        </w:rPr>
        <w:t>且本单位参加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单位的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0BEB603E">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本单位对上述声明的真实性负责。如有虚假，将依法承担相应责任。 </w:t>
      </w:r>
    </w:p>
    <w:p w14:paraId="6EEB4A3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5C6438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695E77B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单位名称（电子印章）：</w:t>
      </w:r>
    </w:p>
    <w:p w14:paraId="2CDDF6C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日期：</w:t>
      </w:r>
    </w:p>
    <w:p w14:paraId="13EE3BAA">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CBAD961">
      <w:pPr>
        <w:spacing w:line="360" w:lineRule="auto"/>
        <w:jc w:val="left"/>
        <w:outlineLvl w:val="3"/>
        <w:rPr>
          <w:rFonts w:hint="eastAsia" w:ascii="仿宋" w:hAnsi="仿宋" w:eastAsia="仿宋" w:cs="仿宋"/>
          <w:b/>
          <w:szCs w:val="21"/>
          <w:highlight w:val="none"/>
          <w:u w:val="none"/>
          <w:lang w:val="en-US" w:eastAsia="zh-CN"/>
        </w:rPr>
      </w:pPr>
      <w:r>
        <w:rPr>
          <w:rStyle w:val="48"/>
          <w:rFonts w:hint="eastAsia" w:ascii="仿宋" w:hAnsi="仿宋" w:eastAsia="仿宋" w:cs="仿宋"/>
          <w:sz w:val="28"/>
          <w:szCs w:val="28"/>
          <w:highlight w:val="none"/>
          <w:u w:val="none"/>
          <w:lang w:val="en-US" w:eastAsia="zh-CN"/>
        </w:rPr>
        <w:t>2-2</w:t>
      </w:r>
      <w:r>
        <w:rPr>
          <w:rStyle w:val="48"/>
          <w:rFonts w:hint="eastAsia" w:ascii="仿宋" w:hAnsi="仿宋" w:eastAsia="仿宋" w:cs="仿宋"/>
          <w:sz w:val="28"/>
          <w:szCs w:val="28"/>
          <w:highlight w:val="none"/>
          <w:u w:val="none"/>
          <w:lang w:val="en-US"/>
        </w:rPr>
        <w:t>联合体协议</w:t>
      </w:r>
    </w:p>
    <w:p w14:paraId="7240DA72">
      <w:pPr>
        <w:spacing w:line="360" w:lineRule="auto"/>
        <w:jc w:val="center"/>
        <w:rPr>
          <w:rFonts w:hint="eastAsia" w:ascii="仿宋" w:hAnsi="仿宋" w:eastAsia="仿宋" w:cs="仿宋"/>
          <w:b/>
          <w:sz w:val="24"/>
          <w:szCs w:val="21"/>
          <w:highlight w:val="none"/>
        </w:rPr>
      </w:pPr>
      <w:r>
        <w:rPr>
          <w:rFonts w:hint="eastAsia" w:ascii="仿宋" w:hAnsi="仿宋" w:eastAsia="仿宋" w:cs="仿宋"/>
          <w:b/>
          <w:sz w:val="32"/>
          <w:szCs w:val="32"/>
          <w:highlight w:val="none"/>
        </w:rPr>
        <w:t>联合体协议</w:t>
      </w:r>
      <w:r>
        <w:rPr>
          <w:rFonts w:hint="eastAsia" w:ascii="仿宋" w:hAnsi="仿宋" w:eastAsia="仿宋" w:cs="仿宋"/>
          <w:b/>
          <w:sz w:val="32"/>
          <w:szCs w:val="32"/>
          <w:highlight w:val="none"/>
          <w:lang w:eastAsia="zh-CN"/>
        </w:rPr>
        <w:t>（如有）</w:t>
      </w:r>
      <w:r>
        <w:rPr>
          <w:rFonts w:hint="eastAsia" w:ascii="仿宋" w:hAnsi="仿宋" w:eastAsia="仿宋" w:cs="仿宋"/>
          <w:b/>
          <w:bCs/>
          <w:sz w:val="32"/>
          <w:szCs w:val="32"/>
          <w:highlight w:val="none"/>
        </w:rPr>
        <w:t xml:space="preserve"> </w:t>
      </w:r>
    </w:p>
    <w:p w14:paraId="0564B80D">
      <w:pPr>
        <w:adjustRightInd w:val="0"/>
        <w:snapToGrid w:val="0"/>
        <w:spacing w:before="156" w:beforeLines="50"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采购代理机构）：</w:t>
      </w:r>
    </w:p>
    <w:p w14:paraId="225E455F">
      <w:pPr>
        <w:adjustRightInd w:val="0"/>
        <w:snapToGrid w:val="0"/>
        <w:spacing w:before="156" w:beforeLines="50"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经研究，我们决定自愿组成联合体共同申请参加</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（项目名称</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lang w:val="en-US" w:eastAsia="zh-CN"/>
        </w:rPr>
        <w:t>项目编号</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lang w:val="en-US" w:eastAsia="zh-CN"/>
        </w:rPr>
        <w:t>标项（包）名称</w:t>
      </w:r>
      <w:r>
        <w:rPr>
          <w:rFonts w:hint="eastAsia" w:ascii="仿宋" w:hAnsi="仿宋" w:eastAsia="仿宋" w:cs="仿宋"/>
          <w:sz w:val="21"/>
          <w:szCs w:val="21"/>
          <w:highlight w:val="none"/>
        </w:rPr>
        <w:t>）项目的磋商。现就联合体事宜订立如下协议：</w:t>
      </w:r>
    </w:p>
    <w:p w14:paraId="7DEBF728">
      <w:pPr>
        <w:adjustRightInd w:val="0"/>
        <w:snapToGrid w:val="0"/>
        <w:spacing w:before="156" w:beforeLines="50" w:line="360" w:lineRule="auto"/>
        <w:ind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一、联合体基本信息：</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（各方公司名称、地址、注册资金、营业执照、法定代表人姓名）。</w:t>
      </w:r>
    </w:p>
    <w:p w14:paraId="6119B3A7">
      <w:pPr>
        <w:adjustRightInd w:val="0"/>
        <w:snapToGrid w:val="0"/>
        <w:spacing w:before="156" w:beforeLines="50"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二、</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（某成员单位名称）为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（联合体名称）牵头人。</w:t>
      </w:r>
    </w:p>
    <w:p w14:paraId="20A91336">
      <w:pPr>
        <w:adjustRightInd w:val="0"/>
        <w:snapToGrid w:val="0"/>
        <w:spacing w:before="156" w:beforeLines="50"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三、联合体牵头人合法代表联合体各成员负责本项目响应文件编制活动，代表联合体提交和接收相关的资料、信息及指示，并处理与磋商和成交有关的一切事务；联合体成交后，联合体牵头人负责合同订立和合同实施阶段的主办、组织和协调工作。</w:t>
      </w:r>
    </w:p>
    <w:p w14:paraId="4C6057CD">
      <w:pPr>
        <w:adjustRightInd w:val="0"/>
        <w:snapToGrid w:val="0"/>
        <w:spacing w:before="156" w:beforeLines="50"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四．联合体将严格按照</w:t>
      </w:r>
      <w:r>
        <w:rPr>
          <w:rFonts w:hint="eastAsia" w:ascii="仿宋" w:hAnsi="仿宋" w:eastAsia="仿宋" w:cs="仿宋"/>
          <w:sz w:val="21"/>
          <w:szCs w:val="21"/>
          <w:highlight w:val="none"/>
          <w:lang w:eastAsia="zh-CN"/>
        </w:rPr>
        <w:t>采购文件</w:t>
      </w:r>
      <w:r>
        <w:rPr>
          <w:rFonts w:hint="eastAsia" w:ascii="仿宋" w:hAnsi="仿宋" w:eastAsia="仿宋" w:cs="仿宋"/>
          <w:sz w:val="21"/>
          <w:szCs w:val="21"/>
          <w:highlight w:val="none"/>
        </w:rPr>
        <w:t>的各项要求，递交响应文件，参加磋商，履行成交义务和成交后的合同，并向采购人承担连带责任。</w:t>
      </w:r>
    </w:p>
    <w:p w14:paraId="553717D9">
      <w:pPr>
        <w:adjustRightInd w:val="0"/>
        <w:snapToGrid w:val="0"/>
        <w:spacing w:before="156" w:beforeLines="50" w:line="360" w:lineRule="auto"/>
        <w:ind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五、联合体各成员单位内部的职责分工如下：</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。按照本条上述分工，联合体成员单位各自所承担的合同工作量比例如下：</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14:paraId="4BDDB078">
      <w:pPr>
        <w:adjustRightInd w:val="0"/>
        <w:snapToGrid w:val="0"/>
        <w:spacing w:before="156" w:beforeLines="50"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六、本协议书自签署之日起生效，合同履行完毕后自动失效。</w:t>
      </w:r>
    </w:p>
    <w:p w14:paraId="07A1EB3E">
      <w:pPr>
        <w:adjustRightInd w:val="0"/>
        <w:snapToGrid w:val="0"/>
        <w:spacing w:before="156" w:beforeLines="50"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七、本协议书一式</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份，联合体成员和采购人各执一份。</w:t>
      </w:r>
      <w:r>
        <w:rPr>
          <w:rFonts w:hint="eastAsia" w:ascii="仿宋" w:hAnsi="仿宋" w:eastAsia="仿宋" w:cs="仿宋"/>
          <w:sz w:val="21"/>
          <w:szCs w:val="21"/>
          <w:highlight w:val="none"/>
        </w:rPr>
        <w:tab/>
      </w:r>
    </w:p>
    <w:p w14:paraId="483C95A4">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牵头人名称（</w:t>
      </w:r>
      <w:r>
        <w:rPr>
          <w:rFonts w:hint="eastAsia" w:ascii="仿宋" w:hAnsi="仿宋" w:eastAsia="仿宋" w:cs="仿宋"/>
          <w:sz w:val="21"/>
          <w:szCs w:val="21"/>
          <w:highlight w:val="none"/>
          <w:lang w:val="en-US" w:eastAsia="zh-CN"/>
        </w:rPr>
        <w:t>电子印章</w:t>
      </w:r>
      <w:r>
        <w:rPr>
          <w:rFonts w:hint="eastAsia" w:ascii="仿宋" w:hAnsi="仿宋" w:eastAsia="仿宋" w:cs="仿宋"/>
          <w:sz w:val="21"/>
          <w:szCs w:val="21"/>
          <w:highlight w:val="none"/>
        </w:rPr>
        <w:t>）：</w:t>
      </w:r>
    </w:p>
    <w:p w14:paraId="100A5FA1">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法定代表人或其授权代表（签字</w:t>
      </w:r>
      <w:r>
        <w:rPr>
          <w:rFonts w:hint="eastAsia" w:ascii="仿宋" w:hAnsi="仿宋" w:eastAsia="仿宋" w:cs="仿宋"/>
          <w:sz w:val="21"/>
          <w:szCs w:val="21"/>
          <w:highlight w:val="none"/>
          <w:lang w:val="en-US" w:eastAsia="zh-CN"/>
        </w:rPr>
        <w:t>或电子印章</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p>
    <w:p w14:paraId="0BEDA2C3">
      <w:pPr>
        <w:adjustRightInd w:val="0"/>
        <w:snapToGrid w:val="0"/>
        <w:spacing w:line="360" w:lineRule="auto"/>
        <w:ind w:firstLine="1785" w:firstLineChars="850"/>
        <w:rPr>
          <w:rFonts w:hint="eastAsia" w:ascii="仿宋" w:hAnsi="仿宋" w:eastAsia="仿宋" w:cs="仿宋"/>
          <w:sz w:val="21"/>
          <w:szCs w:val="21"/>
          <w:highlight w:val="none"/>
        </w:rPr>
      </w:pPr>
    </w:p>
    <w:p w14:paraId="378A81FD">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成员二名称（单位章）：</w:t>
      </w:r>
    </w:p>
    <w:p w14:paraId="036559E9">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法定代表人或其授权代表（签字）：</w:t>
      </w:r>
      <w:r>
        <w:rPr>
          <w:rFonts w:hint="eastAsia" w:ascii="仿宋" w:hAnsi="仿宋" w:eastAsia="仿宋" w:cs="仿宋"/>
          <w:sz w:val="21"/>
          <w:szCs w:val="21"/>
          <w:highlight w:val="none"/>
          <w:u w:val="single"/>
        </w:rPr>
        <w:t xml:space="preserve">                      </w:t>
      </w:r>
    </w:p>
    <w:p w14:paraId="65024A83">
      <w:pPr>
        <w:spacing w:line="360" w:lineRule="auto"/>
        <w:rPr>
          <w:rFonts w:hint="eastAsia" w:ascii="仿宋" w:hAnsi="仿宋" w:eastAsia="仿宋" w:cs="仿宋"/>
          <w:sz w:val="21"/>
          <w:szCs w:val="21"/>
          <w:highlight w:val="none"/>
        </w:rPr>
      </w:pPr>
    </w:p>
    <w:p w14:paraId="7C6BFDBA">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年        月        日  </w:t>
      </w:r>
    </w:p>
    <w:p w14:paraId="47190913">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备注：本协议书由授权代表签字的，应附法定代表人签字的授权委托书。</w:t>
      </w:r>
    </w:p>
    <w:p w14:paraId="25E13CE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3"/>
        <w:rPr>
          <w:rFonts w:hint="eastAsia" w:ascii="仿宋" w:hAnsi="仿宋" w:eastAsia="仿宋" w:cs="仿宋"/>
          <w:sz w:val="24"/>
          <w:szCs w:val="24"/>
          <w:highlight w:val="none"/>
        </w:rPr>
      </w:pPr>
      <w:r>
        <w:rPr>
          <w:rFonts w:hint="eastAsia" w:ascii="仿宋" w:hAnsi="仿宋" w:eastAsia="仿宋" w:cs="仿宋"/>
          <w:b/>
          <w:sz w:val="21"/>
          <w:szCs w:val="21"/>
          <w:highlight w:val="none"/>
        </w:rPr>
        <w:br w:type="page"/>
      </w:r>
      <w:r>
        <w:rPr>
          <w:rFonts w:hint="eastAsia" w:ascii="仿宋" w:hAnsi="仿宋" w:eastAsia="仿宋" w:cs="仿宋"/>
          <w:b/>
          <w:bCs/>
          <w:color w:val="000000"/>
          <w:kern w:val="0"/>
          <w:sz w:val="24"/>
          <w:szCs w:val="24"/>
          <w:highlight w:val="none"/>
          <w:lang w:val="en-US" w:eastAsia="zh-CN" w:bidi="ar"/>
        </w:rPr>
        <w:t xml:space="preserve">2-3 拟分包情况说明及分包意向协议 </w:t>
      </w:r>
      <w:r>
        <w:rPr>
          <w:rStyle w:val="48"/>
          <w:rFonts w:hint="eastAsia" w:ascii="仿宋" w:hAnsi="仿宋" w:eastAsia="仿宋" w:cs="仿宋"/>
          <w:sz w:val="24"/>
          <w:szCs w:val="24"/>
          <w:highlight w:val="none"/>
          <w:u w:val="none"/>
          <w:lang w:val="en-US" w:eastAsia="zh-CN"/>
        </w:rPr>
        <w:t>（本项目不需提供）</w:t>
      </w:r>
    </w:p>
    <w:p w14:paraId="44567E4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1A46A86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拟分包情况说明</w:t>
      </w:r>
    </w:p>
    <w:p w14:paraId="394B27F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4F9E26D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（采购人或采购代理机构）</w:t>
      </w:r>
      <w:r>
        <w:rPr>
          <w:rFonts w:hint="eastAsia" w:ascii="仿宋" w:hAnsi="仿宋" w:eastAsia="仿宋" w:cs="仿宋"/>
          <w:color w:val="000000"/>
          <w:kern w:val="0"/>
          <w:sz w:val="24"/>
          <w:szCs w:val="24"/>
          <w:highlight w:val="none"/>
          <w:lang w:val="en-US" w:eastAsia="zh-CN" w:bidi="ar"/>
        </w:rPr>
        <w:t xml:space="preserve"> </w:t>
      </w:r>
    </w:p>
    <w:p w14:paraId="2B685B6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我单位参加贵单位组织采购的项目编号为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的</w:t>
      </w:r>
      <w:r>
        <w:rPr>
          <w:rFonts w:hint="eastAsia" w:ascii="仿宋" w:hAnsi="仿宋" w:eastAsia="仿宋" w:cs="仿宋"/>
          <w:color w:val="000000"/>
          <w:kern w:val="0"/>
          <w:sz w:val="24"/>
          <w:szCs w:val="24"/>
          <w:highlight w:val="none"/>
          <w:u w:val="single"/>
          <w:lang w:val="en-US" w:eastAsia="zh-CN" w:bidi="ar"/>
        </w:rPr>
        <w:t xml:space="preserve"> （填写采购项目名称）  </w:t>
      </w:r>
      <w:r>
        <w:rPr>
          <w:rFonts w:hint="eastAsia" w:ascii="仿宋" w:hAnsi="仿宋" w:eastAsia="仿宋" w:cs="仿宋"/>
          <w:color w:val="000000"/>
          <w:kern w:val="0"/>
          <w:sz w:val="24"/>
          <w:szCs w:val="24"/>
          <w:highlight w:val="none"/>
          <w:lang w:val="en-US" w:eastAsia="zh-CN" w:bidi="ar"/>
        </w:rPr>
        <w:t>项目中</w:t>
      </w:r>
      <w:r>
        <w:rPr>
          <w:rFonts w:hint="eastAsia" w:ascii="仿宋" w:hAnsi="仿宋" w:eastAsia="仿宋" w:cs="仿宋"/>
          <w:color w:val="000000"/>
          <w:kern w:val="0"/>
          <w:sz w:val="24"/>
          <w:szCs w:val="24"/>
          <w:highlight w:val="none"/>
          <w:u w:val="single"/>
          <w:lang w:val="en-US" w:eastAsia="zh-CN" w:bidi="ar"/>
        </w:rPr>
        <w:t xml:space="preserve"> （填写标项(包)名称） </w:t>
      </w:r>
      <w:r>
        <w:rPr>
          <w:rFonts w:hint="eastAsia" w:ascii="仿宋" w:hAnsi="仿宋" w:eastAsia="仿宋" w:cs="仿宋"/>
          <w:color w:val="000000"/>
          <w:kern w:val="0"/>
          <w:sz w:val="24"/>
          <w:szCs w:val="24"/>
          <w:highlight w:val="none"/>
          <w:lang w:val="en-US" w:eastAsia="zh-CN" w:bidi="ar"/>
        </w:rPr>
        <w:t xml:space="preserve">的投标。拟签订分包合同的单位情况如下表所示，我单位承诺一旦在该项目中获得采购合同将按下表所列情况进行分包，同时承诺分包承担主体不再次分包。 </w:t>
      </w:r>
    </w:p>
    <w:tbl>
      <w:tblPr>
        <w:tblStyle w:val="31"/>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094"/>
        <w:gridCol w:w="1394"/>
        <w:gridCol w:w="794"/>
        <w:gridCol w:w="1165"/>
        <w:gridCol w:w="1482"/>
        <w:gridCol w:w="1359"/>
        <w:gridCol w:w="1359"/>
      </w:tblGrid>
      <w:tr w14:paraId="609D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14E3745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序号</w:t>
            </w:r>
          </w:p>
        </w:tc>
        <w:tc>
          <w:tcPr>
            <w:tcW w:w="1094" w:type="dxa"/>
            <w:vAlign w:val="center"/>
          </w:tcPr>
          <w:p w14:paraId="3798573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分包承担</w:t>
            </w:r>
          </w:p>
          <w:p w14:paraId="6D774A7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主体名称</w:t>
            </w:r>
          </w:p>
        </w:tc>
        <w:tc>
          <w:tcPr>
            <w:tcW w:w="1394" w:type="dxa"/>
            <w:vAlign w:val="center"/>
          </w:tcPr>
          <w:p w14:paraId="68841B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分包承担</w:t>
            </w:r>
          </w:p>
          <w:p w14:paraId="521B79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主体类型</w:t>
            </w:r>
          </w:p>
          <w:p w14:paraId="3A44F9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（勾选）</w:t>
            </w:r>
          </w:p>
        </w:tc>
        <w:tc>
          <w:tcPr>
            <w:tcW w:w="794" w:type="dxa"/>
            <w:vAlign w:val="center"/>
          </w:tcPr>
          <w:p w14:paraId="74CC80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资质等级</w:t>
            </w:r>
          </w:p>
        </w:tc>
        <w:tc>
          <w:tcPr>
            <w:tcW w:w="1165" w:type="dxa"/>
            <w:vAlign w:val="center"/>
          </w:tcPr>
          <w:p w14:paraId="430A65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拟分包</w:t>
            </w:r>
          </w:p>
          <w:p w14:paraId="650DF1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合同内容</w:t>
            </w:r>
          </w:p>
        </w:tc>
        <w:tc>
          <w:tcPr>
            <w:tcW w:w="1482" w:type="dxa"/>
            <w:vAlign w:val="center"/>
          </w:tcPr>
          <w:p w14:paraId="2BE8B1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拟分包</w:t>
            </w:r>
          </w:p>
          <w:p w14:paraId="0B396B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合同金额</w:t>
            </w:r>
          </w:p>
          <w:p w14:paraId="089CCA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（人民币元）</w:t>
            </w:r>
          </w:p>
        </w:tc>
        <w:tc>
          <w:tcPr>
            <w:tcW w:w="1359" w:type="dxa"/>
            <w:vAlign w:val="center"/>
          </w:tcPr>
          <w:p w14:paraId="7BA806C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占该采购包</w:t>
            </w:r>
            <w:r>
              <w:rPr>
                <w:rFonts w:hint="eastAsia" w:ascii="仿宋" w:hAnsi="仿宋" w:eastAsia="仿宋" w:cs="仿宋"/>
                <w:b/>
                <w:bCs/>
                <w:color w:val="000000"/>
                <w:kern w:val="0"/>
                <w:sz w:val="21"/>
                <w:szCs w:val="21"/>
                <w:highlight w:val="none"/>
                <w:lang w:val="en-US" w:eastAsia="zh-CN" w:bidi="ar"/>
              </w:rPr>
              <w:t>合同总金额的</w:t>
            </w:r>
            <w:r>
              <w:rPr>
                <w:rFonts w:hint="eastAsia" w:ascii="仿宋" w:hAnsi="仿宋" w:eastAsia="仿宋" w:cs="仿宋"/>
                <w:color w:val="000000"/>
                <w:kern w:val="0"/>
                <w:sz w:val="21"/>
                <w:szCs w:val="21"/>
                <w:highlight w:val="none"/>
                <w:lang w:val="en-US" w:eastAsia="zh-CN" w:bidi="ar"/>
              </w:rPr>
              <w:t>比例（%）</w:t>
            </w:r>
          </w:p>
        </w:tc>
        <w:tc>
          <w:tcPr>
            <w:tcW w:w="1359" w:type="dxa"/>
            <w:vAlign w:val="center"/>
          </w:tcPr>
          <w:p w14:paraId="3FC2422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占该采购包</w:t>
            </w:r>
            <w:r>
              <w:rPr>
                <w:rFonts w:hint="eastAsia" w:ascii="仿宋" w:hAnsi="仿宋" w:eastAsia="仿宋" w:cs="仿宋"/>
                <w:b/>
                <w:bCs/>
                <w:color w:val="000000"/>
                <w:kern w:val="0"/>
                <w:sz w:val="21"/>
                <w:szCs w:val="21"/>
                <w:highlight w:val="none"/>
                <w:lang w:val="en-US" w:eastAsia="zh-CN" w:bidi="ar"/>
              </w:rPr>
              <w:t>预算金额的</w:t>
            </w:r>
            <w:r>
              <w:rPr>
                <w:rFonts w:hint="eastAsia" w:ascii="仿宋" w:hAnsi="仿宋" w:eastAsia="仿宋" w:cs="仿宋"/>
                <w:color w:val="000000"/>
                <w:kern w:val="0"/>
                <w:sz w:val="21"/>
                <w:szCs w:val="21"/>
                <w:highlight w:val="none"/>
                <w:lang w:val="en-US" w:eastAsia="zh-CN" w:bidi="ar"/>
              </w:rPr>
              <w:t>比例（%）</w:t>
            </w:r>
          </w:p>
        </w:tc>
      </w:tr>
      <w:tr w14:paraId="1699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1D4686B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1</w:t>
            </w:r>
          </w:p>
        </w:tc>
        <w:tc>
          <w:tcPr>
            <w:tcW w:w="1094" w:type="dxa"/>
            <w:vAlign w:val="center"/>
          </w:tcPr>
          <w:p w14:paraId="751EF55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94" w:type="dxa"/>
            <w:vAlign w:val="center"/>
          </w:tcPr>
          <w:p w14:paraId="6D706F42">
            <w:pPr>
              <w:keepNext w:val="0"/>
              <w:keepLines w:val="0"/>
              <w:widowControl/>
              <w:suppressLineNumbers w:val="0"/>
              <w:jc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□中型企业</w:t>
            </w:r>
          </w:p>
          <w:p w14:paraId="4E2C85D0">
            <w:pPr>
              <w:keepNext w:val="0"/>
              <w:keepLines w:val="0"/>
              <w:widowControl/>
              <w:suppressLineNumbers w:val="0"/>
              <w:jc w:val="center"/>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□小微企业</w:t>
            </w:r>
          </w:p>
        </w:tc>
        <w:tc>
          <w:tcPr>
            <w:tcW w:w="794" w:type="dxa"/>
            <w:vAlign w:val="center"/>
          </w:tcPr>
          <w:p w14:paraId="6058669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65" w:type="dxa"/>
            <w:vAlign w:val="center"/>
          </w:tcPr>
          <w:p w14:paraId="7CA9977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82" w:type="dxa"/>
            <w:vAlign w:val="center"/>
          </w:tcPr>
          <w:p w14:paraId="05D9823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07AC1A1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548F7DA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6D35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0B2675F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2</w:t>
            </w:r>
          </w:p>
        </w:tc>
        <w:tc>
          <w:tcPr>
            <w:tcW w:w="1094" w:type="dxa"/>
            <w:vAlign w:val="center"/>
          </w:tcPr>
          <w:p w14:paraId="1DF88AA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94" w:type="dxa"/>
            <w:vAlign w:val="center"/>
          </w:tcPr>
          <w:p w14:paraId="3A08BD3F">
            <w:pPr>
              <w:keepNext w:val="0"/>
              <w:keepLines w:val="0"/>
              <w:widowControl/>
              <w:suppressLineNumbers w:val="0"/>
              <w:jc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□中型企业</w:t>
            </w:r>
          </w:p>
          <w:p w14:paraId="455A35E8">
            <w:pPr>
              <w:keepNext w:val="0"/>
              <w:keepLines w:val="0"/>
              <w:widowControl/>
              <w:suppressLineNumbers w:val="0"/>
              <w:jc w:val="center"/>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□小微企业</w:t>
            </w:r>
          </w:p>
        </w:tc>
        <w:tc>
          <w:tcPr>
            <w:tcW w:w="794" w:type="dxa"/>
            <w:vAlign w:val="center"/>
          </w:tcPr>
          <w:p w14:paraId="39E06C4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65" w:type="dxa"/>
            <w:vAlign w:val="center"/>
          </w:tcPr>
          <w:p w14:paraId="2C0592D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82" w:type="dxa"/>
            <w:vAlign w:val="center"/>
          </w:tcPr>
          <w:p w14:paraId="14ECD3D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554204A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443564B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710D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73" w:type="dxa"/>
            <w:vAlign w:val="center"/>
          </w:tcPr>
          <w:p w14:paraId="1D3BD03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w:t>
            </w:r>
          </w:p>
        </w:tc>
        <w:tc>
          <w:tcPr>
            <w:tcW w:w="1094" w:type="dxa"/>
            <w:vAlign w:val="center"/>
          </w:tcPr>
          <w:p w14:paraId="34830B1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94" w:type="dxa"/>
            <w:vAlign w:val="center"/>
          </w:tcPr>
          <w:p w14:paraId="44CDD2E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794" w:type="dxa"/>
            <w:vAlign w:val="center"/>
          </w:tcPr>
          <w:p w14:paraId="48A5CEB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65" w:type="dxa"/>
            <w:vAlign w:val="center"/>
          </w:tcPr>
          <w:p w14:paraId="2C83080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82" w:type="dxa"/>
            <w:vAlign w:val="center"/>
          </w:tcPr>
          <w:p w14:paraId="4D7A394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63C8547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7402BA7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68D3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32EB425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中型企业合计</w:t>
            </w:r>
          </w:p>
        </w:tc>
        <w:tc>
          <w:tcPr>
            <w:tcW w:w="1482" w:type="dxa"/>
            <w:vAlign w:val="center"/>
          </w:tcPr>
          <w:p w14:paraId="33CE941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5DB196F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789BC5F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318A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6432BF6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小微企业合计</w:t>
            </w:r>
          </w:p>
        </w:tc>
        <w:tc>
          <w:tcPr>
            <w:tcW w:w="1482" w:type="dxa"/>
            <w:vAlign w:val="center"/>
          </w:tcPr>
          <w:p w14:paraId="04BF00E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4DBCD37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021FDB2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60B4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0D13817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中小微企业总计</w:t>
            </w:r>
          </w:p>
        </w:tc>
        <w:tc>
          <w:tcPr>
            <w:tcW w:w="1482" w:type="dxa"/>
            <w:vAlign w:val="center"/>
          </w:tcPr>
          <w:p w14:paraId="7129675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5112F3C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13A41BE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bl>
    <w:p w14:paraId="43DEA5A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u w:val="single"/>
          <w:lang w:val="en-US"/>
        </w:rPr>
      </w:pPr>
      <w:r>
        <w:rPr>
          <w:rFonts w:hint="eastAsia" w:ascii="仿宋" w:hAnsi="仿宋" w:eastAsia="仿宋" w:cs="仿宋"/>
          <w:color w:val="000000"/>
          <w:kern w:val="0"/>
          <w:sz w:val="24"/>
          <w:szCs w:val="24"/>
          <w:highlight w:val="none"/>
          <w:lang w:val="en-US" w:eastAsia="zh-CN" w:bidi="ar"/>
        </w:rPr>
        <w:t>供应商名称（</w:t>
      </w:r>
      <w:r>
        <w:rPr>
          <w:rFonts w:hint="eastAsia" w:ascii="仿宋" w:hAnsi="仿宋" w:eastAsia="仿宋" w:cs="仿宋"/>
          <w:sz w:val="24"/>
          <w:highlight w:val="none"/>
          <w:lang w:val="en-US" w:eastAsia="zh-CN"/>
        </w:rPr>
        <w:t>电子印章</w:t>
      </w: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000000"/>
          <w:kern w:val="0"/>
          <w:sz w:val="24"/>
          <w:szCs w:val="24"/>
          <w:highlight w:val="none"/>
          <w:u w:val="single"/>
          <w:lang w:val="en-US" w:eastAsia="zh-CN" w:bidi="ar"/>
        </w:rPr>
        <w:t xml:space="preserve">               </w:t>
      </w:r>
    </w:p>
    <w:p w14:paraId="23F2B93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7C1CEC9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说明： </w:t>
      </w:r>
    </w:p>
    <w:p w14:paraId="1B37D4BC">
      <w:pPr>
        <w:keepNext w:val="0"/>
        <w:keepLines w:val="0"/>
        <w:pageBreakBefore w:val="0"/>
        <w:widowControl/>
        <w:numPr>
          <w:ilvl w:val="0"/>
          <w:numId w:val="16"/>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本表仅在供应商“为落实政府采购政策”而向中小企业分包时填写。</w:t>
      </w:r>
    </w:p>
    <w:p w14:paraId="292C70E2">
      <w:pPr>
        <w:keepNext w:val="0"/>
        <w:keepLines w:val="0"/>
        <w:pageBreakBefore w:val="0"/>
        <w:widowControl/>
        <w:numPr>
          <w:ilvl w:val="0"/>
          <w:numId w:val="16"/>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如本采购文件《供应商须知前附表》载明本项目分包承担主体应具备的相应资质条件，则供应商须在本表中列明分包承担主体的资质等级，并后附资质证书扫描件加盖供应商公章，否则</w:t>
      </w:r>
      <w:r>
        <w:rPr>
          <w:rFonts w:hint="eastAsia" w:ascii="仿宋" w:hAnsi="仿宋" w:eastAsia="仿宋" w:cs="仿宋"/>
          <w:b/>
          <w:bCs/>
          <w:color w:val="000000"/>
          <w:kern w:val="0"/>
          <w:sz w:val="24"/>
          <w:szCs w:val="24"/>
          <w:highlight w:val="none"/>
          <w:lang w:val="en-US" w:eastAsia="zh-CN" w:bidi="ar"/>
        </w:rPr>
        <w:t>响应无效</w:t>
      </w:r>
      <w:r>
        <w:rPr>
          <w:rFonts w:hint="eastAsia" w:ascii="仿宋" w:hAnsi="仿宋" w:eastAsia="仿宋" w:cs="仿宋"/>
          <w:color w:val="000000"/>
          <w:kern w:val="0"/>
          <w:sz w:val="24"/>
          <w:szCs w:val="24"/>
          <w:highlight w:val="none"/>
          <w:lang w:val="en-US" w:eastAsia="zh-CN" w:bidi="ar"/>
        </w:rPr>
        <w:t xml:space="preserve">。 </w:t>
      </w:r>
    </w:p>
    <w:p w14:paraId="106379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（3）供应商与上述拟分包承担主体签署的《分包意向协议》后附。</w:t>
      </w:r>
    </w:p>
    <w:p w14:paraId="1B294BAE">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035B7D3C">
      <w:pPr>
        <w:keepNext w:val="0"/>
        <w:keepLines w:val="0"/>
        <w:widowControl/>
        <w:suppressLineNumbers w:val="0"/>
        <w:jc w:val="left"/>
        <w:rPr>
          <w:rFonts w:hint="eastAsia" w:ascii="仿宋" w:hAnsi="仿宋" w:eastAsia="仿宋" w:cs="仿宋"/>
          <w:b w:val="0"/>
          <w:bCs w:val="0"/>
          <w:sz w:val="24"/>
          <w:szCs w:val="24"/>
          <w:highlight w:val="none"/>
        </w:rPr>
      </w:pPr>
      <w:r>
        <w:rPr>
          <w:rFonts w:hint="eastAsia" w:ascii="仿宋" w:hAnsi="仿宋" w:eastAsia="仿宋" w:cs="仿宋"/>
          <w:b w:val="0"/>
          <w:bCs w:val="0"/>
          <w:color w:val="000000"/>
          <w:kern w:val="0"/>
          <w:sz w:val="24"/>
          <w:szCs w:val="24"/>
          <w:highlight w:val="none"/>
          <w:lang w:val="en-US" w:eastAsia="zh-CN" w:bidi="ar"/>
        </w:rPr>
        <w:t xml:space="preserve">附：分包意向协议（参考格式） </w:t>
      </w:r>
    </w:p>
    <w:p w14:paraId="3F82D5B8">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50E39CA2">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4C56B14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u w:val="single"/>
          <w:lang w:val="en-US" w:eastAsia="zh-CN" w:bidi="ar"/>
        </w:rPr>
      </w:pPr>
      <w:r>
        <w:rPr>
          <w:rFonts w:hint="eastAsia" w:ascii="仿宋" w:hAnsi="仿宋" w:eastAsia="仿宋" w:cs="仿宋"/>
          <w:color w:val="000000"/>
          <w:kern w:val="0"/>
          <w:sz w:val="24"/>
          <w:szCs w:val="24"/>
          <w:highlight w:val="none"/>
          <w:lang w:val="en-US" w:eastAsia="zh-CN" w:bidi="ar"/>
        </w:rPr>
        <w:t>甲方（供应商）：</w:t>
      </w:r>
      <w:r>
        <w:rPr>
          <w:rFonts w:hint="eastAsia" w:ascii="仿宋" w:hAnsi="仿宋" w:eastAsia="仿宋" w:cs="仿宋"/>
          <w:color w:val="000000"/>
          <w:kern w:val="0"/>
          <w:sz w:val="24"/>
          <w:szCs w:val="24"/>
          <w:highlight w:val="none"/>
          <w:u w:val="single"/>
          <w:lang w:val="en-US" w:eastAsia="zh-CN" w:bidi="ar"/>
        </w:rPr>
        <w:t xml:space="preserve">                 </w:t>
      </w:r>
    </w:p>
    <w:p w14:paraId="656ABF3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乙方（拟分包单位）：</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30D3377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甲方承诺，一旦在</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（采购项目名称）、</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（项目编号)、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（标项(包)名称）</w:t>
      </w:r>
      <w:r>
        <w:rPr>
          <w:rFonts w:hint="eastAsia" w:ascii="仿宋" w:hAnsi="仿宋" w:eastAsia="仿宋" w:cs="仿宋"/>
          <w:color w:val="000000"/>
          <w:kern w:val="0"/>
          <w:sz w:val="24"/>
          <w:szCs w:val="24"/>
          <w:highlight w:val="none"/>
          <w:lang w:val="en-US" w:eastAsia="zh-CN" w:bidi="ar"/>
        </w:rPr>
        <w:t xml:space="preserve">招标采购项目中获得采购合同，将按照下述约定将合同项下部分内容分包给乙方： </w:t>
      </w:r>
    </w:p>
    <w:p w14:paraId="51327C5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4"/>
          <w:szCs w:val="24"/>
          <w:highlight w:val="none"/>
        </w:rPr>
      </w:pPr>
      <w:bookmarkStart w:id="273" w:name="_Toc22054"/>
      <w:r>
        <w:rPr>
          <w:rFonts w:hint="eastAsia" w:ascii="仿宋" w:hAnsi="仿宋" w:eastAsia="仿宋" w:cs="仿宋"/>
          <w:color w:val="000000"/>
          <w:kern w:val="0"/>
          <w:sz w:val="24"/>
          <w:szCs w:val="24"/>
          <w:highlight w:val="none"/>
          <w:lang w:val="en-US" w:eastAsia="zh-CN" w:bidi="ar"/>
        </w:rPr>
        <w:t>1.分包内容：</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w:t>
      </w:r>
      <w:bookmarkEnd w:id="273"/>
      <w:r>
        <w:rPr>
          <w:rFonts w:hint="eastAsia" w:ascii="仿宋" w:hAnsi="仿宋" w:eastAsia="仿宋" w:cs="仿宋"/>
          <w:color w:val="000000"/>
          <w:kern w:val="0"/>
          <w:sz w:val="24"/>
          <w:szCs w:val="24"/>
          <w:highlight w:val="none"/>
          <w:lang w:val="en-US" w:eastAsia="zh-CN" w:bidi="ar"/>
        </w:rPr>
        <w:t xml:space="preserve"> </w:t>
      </w:r>
    </w:p>
    <w:p w14:paraId="5389A64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2.分包金额：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，该金额占该采购包预算总金额的比例为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%，该金额占该采购包合同总金额的比例为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05FF29F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乙方承诺将在上述情况下与甲方签订分包合同。 </w:t>
      </w:r>
    </w:p>
    <w:p w14:paraId="2720E5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本协议自各方盖章之日起生效，如甲方未在该项目（采购包）中标，本协议自动终止。 </w:t>
      </w:r>
    </w:p>
    <w:p w14:paraId="75DFDD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16D5F2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甲方（</w:t>
      </w:r>
      <w:r>
        <w:rPr>
          <w:rFonts w:hint="eastAsia" w:ascii="仿宋" w:hAnsi="仿宋" w:eastAsia="仿宋" w:cs="仿宋"/>
          <w:sz w:val="24"/>
          <w:highlight w:val="none"/>
          <w:lang w:val="en-US" w:eastAsia="zh-CN"/>
        </w:rPr>
        <w:t>电子印章</w:t>
      </w: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乙方（盖章）：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381AB29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日期： </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61B44C8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5C82C5B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说明：供应商须与所有拟分包单位分别签订《分包意向协议》，每单位签订一份，并在响应文件中提交全部协议原件，否则</w:t>
      </w:r>
      <w:r>
        <w:rPr>
          <w:rFonts w:hint="eastAsia" w:ascii="仿宋" w:hAnsi="仿宋" w:eastAsia="仿宋" w:cs="仿宋"/>
          <w:b/>
          <w:bCs/>
          <w:color w:val="000000"/>
          <w:kern w:val="0"/>
          <w:sz w:val="24"/>
          <w:szCs w:val="24"/>
          <w:highlight w:val="none"/>
          <w:lang w:val="en-US" w:eastAsia="zh-CN" w:bidi="ar"/>
        </w:rPr>
        <w:t>响应无效</w:t>
      </w:r>
      <w:r>
        <w:rPr>
          <w:rFonts w:hint="eastAsia" w:ascii="仿宋" w:hAnsi="仿宋" w:eastAsia="仿宋" w:cs="仿宋"/>
          <w:color w:val="000000"/>
          <w:kern w:val="0"/>
          <w:sz w:val="24"/>
          <w:szCs w:val="24"/>
          <w:highlight w:val="none"/>
          <w:lang w:val="en-US" w:eastAsia="zh-CN" w:bidi="ar"/>
        </w:rPr>
        <w:t>。</w:t>
      </w:r>
    </w:p>
    <w:p w14:paraId="09E6F031">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6895E44">
      <w:pPr>
        <w:keepNext w:val="0"/>
        <w:keepLines w:val="0"/>
        <w:widowControl/>
        <w:suppressLineNumbers w:val="0"/>
        <w:jc w:val="left"/>
        <w:outlineLvl w:val="3"/>
        <w:rPr>
          <w:rFonts w:hint="eastAsia" w:ascii="仿宋" w:hAnsi="仿宋" w:eastAsia="仿宋" w:cs="仿宋"/>
          <w:b/>
          <w:bCs/>
          <w:sz w:val="24"/>
          <w:szCs w:val="24"/>
          <w:highlight w:val="none"/>
        </w:rPr>
      </w:pPr>
      <w:r>
        <w:rPr>
          <w:rFonts w:hint="eastAsia" w:ascii="仿宋" w:hAnsi="仿宋" w:eastAsia="仿宋" w:cs="仿宋"/>
          <w:b/>
          <w:bCs/>
          <w:color w:val="000000"/>
          <w:kern w:val="0"/>
          <w:sz w:val="24"/>
          <w:szCs w:val="24"/>
          <w:highlight w:val="none"/>
          <w:lang w:val="en-US" w:eastAsia="zh-CN" w:bidi="ar"/>
        </w:rPr>
        <w:t>2-4 其它落实政府采购政策的资格要求（如有）</w:t>
      </w:r>
    </w:p>
    <w:p w14:paraId="2D40F1E9">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本项目无</w:t>
      </w:r>
    </w:p>
    <w:p w14:paraId="062E866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72FF9F1A">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9F9B649">
      <w:pPr>
        <w:keepNext w:val="0"/>
        <w:keepLines w:val="0"/>
        <w:widowControl/>
        <w:suppressLineNumbers w:val="0"/>
        <w:jc w:val="left"/>
        <w:outlineLvl w:val="2"/>
        <w:rPr>
          <w:rFonts w:hint="eastAsia" w:ascii="仿宋" w:hAnsi="仿宋" w:eastAsia="仿宋" w:cs="仿宋"/>
          <w:b/>
          <w:bCs/>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3、本项目的特定资格要求（如有） </w:t>
      </w:r>
    </w:p>
    <w:p w14:paraId="4CD43A5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26C9A0E5">
      <w:pP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特定资格要求</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证明文件</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加盖本单位公章（联合体投标：加盖联合体牵头方公章或所有联合体成员公章。）。</w:t>
      </w:r>
      <w:r>
        <w:rPr>
          <w:rFonts w:hint="eastAsia" w:ascii="仿宋" w:hAnsi="仿宋" w:eastAsia="仿宋" w:cs="仿宋"/>
          <w:color w:val="000000"/>
          <w:kern w:val="0"/>
          <w:sz w:val="24"/>
          <w:szCs w:val="24"/>
          <w:highlight w:val="none"/>
          <w:lang w:val="en-US" w:eastAsia="zh-CN" w:bidi="ar"/>
        </w:rPr>
        <w:br w:type="page"/>
      </w:r>
    </w:p>
    <w:p w14:paraId="1102C293">
      <w:pPr>
        <w:numPr>
          <w:ilvl w:val="0"/>
          <w:numId w:val="0"/>
        </w:numPr>
        <w:ind w:leftChars="0"/>
        <w:outlineLvl w:val="2"/>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4、其他资格要求</w:t>
      </w:r>
    </w:p>
    <w:p w14:paraId="195EF721">
      <w:pPr>
        <w:numPr>
          <w:ilvl w:val="0"/>
          <w:numId w:val="0"/>
        </w:numPr>
        <w:ind w:leftChars="0" w:firstLine="240" w:firstLineChars="100"/>
        <w:outlineLvl w:val="9"/>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详见供应商须知前附表1.3.3</w:t>
      </w:r>
    </w:p>
    <w:p w14:paraId="16EA312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2547621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7F4A4E5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5A5AB64C">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3A314AD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000000"/>
          <w:kern w:val="0"/>
          <w:sz w:val="24"/>
          <w:szCs w:val="24"/>
          <w:highlight w:val="none"/>
          <w:lang w:val="en-US" w:eastAsia="zh-CN" w:bidi="ar"/>
        </w:rPr>
      </w:pPr>
      <w:bookmarkStart w:id="274" w:name="_Toc20168"/>
      <w:bookmarkStart w:id="275" w:name="_Toc11606"/>
      <w:r>
        <w:rPr>
          <w:rFonts w:hint="eastAsia" w:ascii="仿宋" w:hAnsi="仿宋" w:eastAsia="仿宋" w:cs="仿宋"/>
          <w:b/>
          <w:bCs/>
          <w:color w:val="000000"/>
          <w:kern w:val="0"/>
          <w:sz w:val="24"/>
          <w:szCs w:val="24"/>
          <w:highlight w:val="none"/>
          <w:lang w:val="en-US" w:eastAsia="zh-CN" w:bidi="ar"/>
        </w:rPr>
        <w:t>二、报价文件</w:t>
      </w:r>
      <w:bookmarkEnd w:id="274"/>
      <w:bookmarkEnd w:id="275"/>
    </w:p>
    <w:p w14:paraId="5D44D912">
      <w:pPr>
        <w:outlineLvl w:val="2"/>
        <w:rPr>
          <w:rFonts w:hint="eastAsia" w:ascii="仿宋" w:hAnsi="仿宋" w:eastAsia="仿宋" w:cs="仿宋"/>
          <w:b/>
          <w:bCs/>
          <w:sz w:val="24"/>
          <w:szCs w:val="24"/>
          <w:highlight w:val="none"/>
          <w:lang w:val="en-US" w:eastAsia="zh-CN"/>
        </w:rPr>
      </w:pPr>
      <w:bookmarkStart w:id="276" w:name="_Toc26817"/>
      <w:r>
        <w:rPr>
          <w:rFonts w:hint="eastAsia" w:ascii="仿宋" w:hAnsi="仿宋" w:eastAsia="仿宋" w:cs="仿宋"/>
          <w:b/>
          <w:bCs/>
          <w:sz w:val="24"/>
          <w:szCs w:val="24"/>
          <w:highlight w:val="none"/>
          <w:lang w:val="en-US" w:eastAsia="zh-CN"/>
        </w:rPr>
        <w:t>5、报价一览表</w:t>
      </w:r>
      <w:bookmarkEnd w:id="276"/>
    </w:p>
    <w:p w14:paraId="7953CF61">
      <w:pPr>
        <w:rPr>
          <w:rFonts w:hint="eastAsia" w:ascii="仿宋" w:hAnsi="仿宋" w:eastAsia="仿宋" w:cs="仿宋"/>
          <w:highlight w:val="none"/>
          <w:lang w:val="en-US" w:eastAsia="zh-CN"/>
        </w:rPr>
      </w:pPr>
    </w:p>
    <w:p w14:paraId="544C93FF">
      <w:pPr>
        <w:jc w:val="center"/>
        <w:rPr>
          <w:rFonts w:hint="eastAsia" w:ascii="仿宋" w:hAnsi="仿宋" w:eastAsia="仿宋" w:cs="仿宋"/>
          <w:highlight w:val="none"/>
          <w:lang w:val="en-US" w:eastAsia="zh-CN"/>
        </w:rPr>
      </w:pPr>
      <w:r>
        <w:rPr>
          <w:rFonts w:hint="eastAsia" w:ascii="仿宋" w:hAnsi="仿宋" w:eastAsia="仿宋" w:cs="仿宋"/>
          <w:b/>
          <w:bCs/>
          <w:sz w:val="32"/>
          <w:szCs w:val="32"/>
          <w:highlight w:val="none"/>
          <w:lang w:val="en-US" w:eastAsia="zh-CN"/>
        </w:rPr>
        <w:t>首次报价表</w:t>
      </w:r>
    </w:p>
    <w:p w14:paraId="204C3662">
      <w:pPr>
        <w:rPr>
          <w:rFonts w:hint="eastAsia" w:ascii="仿宋" w:hAnsi="仿宋" w:eastAsia="仿宋" w:cs="仿宋"/>
          <w:highlight w:val="none"/>
          <w:lang w:val="en-US" w:eastAsia="zh-CN"/>
        </w:rPr>
      </w:pPr>
    </w:p>
    <w:p w14:paraId="5271F578">
      <w:pPr>
        <w:rPr>
          <w:rFonts w:hint="eastAsia" w:ascii="仿宋" w:hAnsi="仿宋" w:eastAsia="仿宋" w:cs="仿宋"/>
          <w:highlight w:val="none"/>
          <w:u w:val="single"/>
          <w:lang w:val="en-US" w:eastAsia="zh-CN"/>
        </w:rPr>
      </w:pPr>
      <w:r>
        <w:rPr>
          <w:rFonts w:hint="eastAsia" w:ascii="仿宋" w:hAnsi="仿宋" w:eastAsia="仿宋" w:cs="仿宋"/>
          <w:highlight w:val="none"/>
          <w:u w:val="none"/>
          <w:lang w:val="en-US" w:eastAsia="zh-CN"/>
        </w:rPr>
        <w:t>项目名称：</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none"/>
          <w:lang w:val="en-US" w:eastAsia="zh-CN"/>
        </w:rPr>
        <w:t>项目编号：</w:t>
      </w:r>
      <w:r>
        <w:rPr>
          <w:rFonts w:hint="eastAsia" w:ascii="仿宋" w:hAnsi="仿宋" w:eastAsia="仿宋" w:cs="仿宋"/>
          <w:highlight w:val="none"/>
          <w:u w:val="single"/>
          <w:lang w:val="en-US" w:eastAsia="zh-CN"/>
        </w:rPr>
        <w:t xml:space="preserve">              </w:t>
      </w:r>
    </w:p>
    <w:p w14:paraId="4FEA318A">
      <w:pPr>
        <w:rPr>
          <w:rFonts w:hint="eastAsia" w:ascii="仿宋" w:hAnsi="仿宋" w:eastAsia="仿宋" w:cs="仿宋"/>
          <w:highlight w:val="none"/>
          <w:u w:val="single"/>
          <w:lang w:val="en-US" w:eastAsia="zh-CN"/>
        </w:rPr>
      </w:pPr>
      <w:r>
        <w:rPr>
          <w:rFonts w:hint="eastAsia" w:ascii="仿宋" w:hAnsi="仿宋" w:eastAsia="仿宋" w:cs="仿宋"/>
          <w:highlight w:val="none"/>
          <w:u w:val="none"/>
          <w:lang w:val="en-US" w:eastAsia="zh-CN"/>
        </w:rPr>
        <w:t>标项(包)名称：</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none"/>
          <w:lang w:val="en-US" w:eastAsia="zh-CN"/>
        </w:rPr>
        <w:t>报价单位：人民币元</w:t>
      </w:r>
    </w:p>
    <w:tbl>
      <w:tblPr>
        <w:tblStyle w:val="30"/>
        <w:tblpPr w:leftFromText="180" w:rightFromText="180" w:vertAnchor="text" w:horzAnchor="page" w:tblpX="1707" w:tblpY="344"/>
        <w:tblOverlap w:val="never"/>
        <w:tblW w:w="9075" w:type="dxa"/>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149"/>
        <w:gridCol w:w="6926"/>
      </w:tblGrid>
      <w:tr w14:paraId="4839FA2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76" w:hRule="atLeast"/>
        </w:trPr>
        <w:tc>
          <w:tcPr>
            <w:tcW w:w="2149" w:type="dxa"/>
            <w:tcBorders>
              <w:bottom w:val="single" w:color="000000" w:sz="6" w:space="0"/>
              <w:right w:val="single" w:color="000000" w:sz="6" w:space="0"/>
            </w:tcBorders>
            <w:vAlign w:val="top"/>
          </w:tcPr>
          <w:p w14:paraId="0D69FD83">
            <w:pPr>
              <w:pStyle w:val="43"/>
              <w:spacing w:before="142"/>
              <w:ind w:left="92" w:leftChars="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rPr>
              <w:t>总价：</w:t>
            </w:r>
          </w:p>
        </w:tc>
        <w:tc>
          <w:tcPr>
            <w:tcW w:w="6926" w:type="dxa"/>
            <w:tcBorders>
              <w:left w:val="single" w:color="000000" w:sz="6" w:space="0"/>
              <w:bottom w:val="single" w:color="000000" w:sz="6" w:space="0"/>
            </w:tcBorders>
            <w:vAlign w:val="top"/>
          </w:tcPr>
          <w:p w14:paraId="0EF3A3FE">
            <w:pPr>
              <w:pStyle w:val="43"/>
              <w:tabs>
                <w:tab w:val="left" w:pos="1837"/>
                <w:tab w:val="left" w:pos="2313"/>
                <w:tab w:val="left" w:pos="4040"/>
              </w:tabs>
              <w:spacing w:before="142"/>
              <w:ind w:left="107" w:leftChars="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大写</w:t>
            </w:r>
            <w:r>
              <w:rPr>
                <w:rFonts w:hint="eastAsia" w:ascii="仿宋" w:hAnsi="仿宋" w:eastAsia="仿宋" w:cs="仿宋"/>
                <w:spacing w:val="-3"/>
                <w:sz w:val="21"/>
                <w:szCs w:val="21"/>
                <w:highlight w:val="none"/>
              </w:rPr>
              <w:t>：</w:t>
            </w:r>
            <w:r>
              <w:rPr>
                <w:rFonts w:hint="eastAsia" w:ascii="仿宋" w:hAnsi="仿宋" w:eastAsia="仿宋" w:cs="仿宋"/>
                <w:spacing w:val="-3"/>
                <w:sz w:val="21"/>
                <w:szCs w:val="21"/>
                <w:highlight w:val="none"/>
                <w:u w:val="single"/>
              </w:rPr>
              <w:t xml:space="preserve"> </w:t>
            </w:r>
            <w:r>
              <w:rPr>
                <w:rFonts w:hint="eastAsia" w:ascii="仿宋" w:hAnsi="仿宋" w:eastAsia="仿宋" w:cs="仿宋"/>
                <w:spacing w:val="-3"/>
                <w:sz w:val="21"/>
                <w:szCs w:val="21"/>
                <w:highlight w:val="none"/>
                <w:u w:val="single"/>
              </w:rPr>
              <w:tab/>
            </w:r>
            <w:r>
              <w:rPr>
                <w:rFonts w:hint="eastAsia" w:ascii="仿宋" w:hAnsi="仿宋" w:eastAsia="仿宋" w:cs="仿宋"/>
                <w:spacing w:val="-3"/>
                <w:sz w:val="21"/>
                <w:szCs w:val="21"/>
                <w:highlight w:val="none"/>
              </w:rPr>
              <w:tab/>
            </w:r>
            <w:r>
              <w:rPr>
                <w:rFonts w:hint="eastAsia" w:ascii="仿宋" w:hAnsi="仿宋" w:eastAsia="仿宋" w:cs="仿宋"/>
                <w:spacing w:val="-3"/>
                <w:sz w:val="21"/>
                <w:szCs w:val="21"/>
                <w:highlight w:val="none"/>
              </w:rPr>
              <w:t>小</w:t>
            </w:r>
            <w:r>
              <w:rPr>
                <w:rFonts w:hint="eastAsia" w:ascii="仿宋" w:hAnsi="仿宋" w:eastAsia="仿宋" w:cs="仿宋"/>
                <w:spacing w:val="-1"/>
                <w:sz w:val="21"/>
                <w:szCs w:val="21"/>
                <w:highlight w:val="none"/>
              </w:rPr>
              <w:t>写</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none"/>
                <w:lang w:val="en-US" w:eastAsia="zh-CN"/>
              </w:rPr>
              <w:t>元</w:t>
            </w:r>
          </w:p>
        </w:tc>
      </w:tr>
      <w:tr w14:paraId="359D4937">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76" w:hRule="atLeast"/>
        </w:trPr>
        <w:tc>
          <w:tcPr>
            <w:tcW w:w="2149" w:type="dxa"/>
            <w:tcBorders>
              <w:bottom w:val="single" w:color="000000" w:sz="6" w:space="0"/>
              <w:right w:val="single" w:color="000000" w:sz="6" w:space="0"/>
            </w:tcBorders>
            <w:vAlign w:val="top"/>
          </w:tcPr>
          <w:p w14:paraId="0BE6E581">
            <w:pPr>
              <w:pStyle w:val="43"/>
              <w:spacing w:before="142"/>
              <w:ind w:left="92" w:lef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项目负责人</w:t>
            </w:r>
          </w:p>
        </w:tc>
        <w:tc>
          <w:tcPr>
            <w:tcW w:w="6926" w:type="dxa"/>
            <w:tcBorders>
              <w:left w:val="single" w:color="000000" w:sz="6" w:space="0"/>
              <w:bottom w:val="single" w:color="000000" w:sz="6" w:space="0"/>
            </w:tcBorders>
            <w:vAlign w:val="top"/>
          </w:tcPr>
          <w:p w14:paraId="20BA88AA">
            <w:pPr>
              <w:pStyle w:val="43"/>
              <w:tabs>
                <w:tab w:val="left" w:pos="1837"/>
                <w:tab w:val="left" w:pos="2313"/>
                <w:tab w:val="left" w:pos="4040"/>
              </w:tabs>
              <w:spacing w:before="142"/>
              <w:ind w:left="107" w:leftChars="0"/>
              <w:rPr>
                <w:rFonts w:hint="eastAsia" w:ascii="仿宋" w:hAnsi="仿宋" w:eastAsia="仿宋" w:cs="仿宋"/>
                <w:sz w:val="21"/>
                <w:szCs w:val="21"/>
                <w:highlight w:val="none"/>
              </w:rPr>
            </w:pPr>
          </w:p>
        </w:tc>
      </w:tr>
      <w:tr w14:paraId="38FD411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55" w:hRule="atLeast"/>
        </w:trPr>
        <w:tc>
          <w:tcPr>
            <w:tcW w:w="2149" w:type="dxa"/>
            <w:tcBorders>
              <w:top w:val="single" w:color="000000" w:sz="6" w:space="0"/>
              <w:bottom w:val="single" w:color="000000" w:sz="6" w:space="0"/>
              <w:right w:val="single" w:color="000000" w:sz="6" w:space="0"/>
            </w:tcBorders>
            <w:vAlign w:val="top"/>
          </w:tcPr>
          <w:p w14:paraId="49DB5DC5">
            <w:pPr>
              <w:pStyle w:val="43"/>
              <w:spacing w:before="142"/>
              <w:ind w:left="92" w:leftChars="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合同履行期限</w:t>
            </w:r>
          </w:p>
        </w:tc>
        <w:tc>
          <w:tcPr>
            <w:tcW w:w="6926" w:type="dxa"/>
            <w:tcBorders>
              <w:top w:val="single" w:color="000000" w:sz="6" w:space="0"/>
              <w:left w:val="single" w:color="000000" w:sz="6" w:space="0"/>
              <w:bottom w:val="single" w:color="000000" w:sz="6" w:space="0"/>
            </w:tcBorders>
            <w:vAlign w:val="top"/>
          </w:tcPr>
          <w:p w14:paraId="7630FF11">
            <w:pPr>
              <w:pStyle w:val="43"/>
              <w:tabs>
                <w:tab w:val="left" w:pos="1837"/>
                <w:tab w:val="left" w:pos="2313"/>
                <w:tab w:val="left" w:pos="4040"/>
              </w:tabs>
              <w:spacing w:before="142"/>
              <w:rPr>
                <w:rFonts w:hint="eastAsia" w:ascii="仿宋" w:hAnsi="仿宋" w:eastAsia="仿宋" w:cs="仿宋"/>
                <w:kern w:val="2"/>
                <w:sz w:val="21"/>
                <w:szCs w:val="21"/>
                <w:highlight w:val="none"/>
                <w:lang w:val="en-US" w:eastAsia="zh-CN" w:bidi="ar-SA"/>
              </w:rPr>
            </w:pPr>
          </w:p>
        </w:tc>
      </w:tr>
      <w:tr w14:paraId="4D93C934">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149" w:type="dxa"/>
            <w:tcBorders>
              <w:top w:val="single" w:color="000000" w:sz="6" w:space="0"/>
              <w:right w:val="single" w:color="000000" w:sz="6" w:space="0"/>
            </w:tcBorders>
          </w:tcPr>
          <w:p w14:paraId="455E8DB0">
            <w:pPr>
              <w:pStyle w:val="43"/>
              <w:spacing w:before="142"/>
              <w:ind w:left="92"/>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备注：</w:t>
            </w:r>
          </w:p>
        </w:tc>
        <w:tc>
          <w:tcPr>
            <w:tcW w:w="6926" w:type="dxa"/>
            <w:tcBorders>
              <w:top w:val="single" w:color="000000" w:sz="6" w:space="0"/>
              <w:left w:val="single" w:color="000000" w:sz="6" w:space="0"/>
            </w:tcBorders>
          </w:tcPr>
          <w:p w14:paraId="4CA118DC">
            <w:pPr>
              <w:pStyle w:val="43"/>
              <w:tabs>
                <w:tab w:val="left" w:pos="1837"/>
                <w:tab w:val="left" w:pos="2313"/>
                <w:tab w:val="left" w:pos="4040"/>
              </w:tabs>
              <w:spacing w:before="142"/>
              <w:ind w:left="107"/>
              <w:rPr>
                <w:rFonts w:hint="eastAsia" w:ascii="仿宋" w:hAnsi="仿宋" w:eastAsia="仿宋" w:cs="仿宋"/>
                <w:sz w:val="21"/>
                <w:szCs w:val="21"/>
                <w:highlight w:val="none"/>
              </w:rPr>
            </w:pPr>
          </w:p>
        </w:tc>
      </w:tr>
    </w:tbl>
    <w:p w14:paraId="70493892">
      <w:pPr>
        <w:widowControl w:val="0"/>
        <w:spacing w:line="360" w:lineRule="auto"/>
        <w:ind w:firstLine="210" w:firstLineChars="100"/>
        <w:jc w:val="both"/>
        <w:rPr>
          <w:rFonts w:hint="eastAsia" w:ascii="仿宋" w:hAnsi="仿宋" w:eastAsia="仿宋" w:cs="仿宋"/>
          <w:kern w:val="2"/>
          <w:sz w:val="21"/>
          <w:szCs w:val="24"/>
          <w:highlight w:val="none"/>
          <w:lang w:val="en-US" w:eastAsia="zh-CN" w:bidi="zh-CN"/>
        </w:rPr>
      </w:pPr>
      <w:r>
        <w:rPr>
          <w:rFonts w:hint="eastAsia" w:ascii="仿宋" w:hAnsi="仿宋" w:eastAsia="仿宋" w:cs="仿宋"/>
          <w:kern w:val="2"/>
          <w:sz w:val="21"/>
          <w:szCs w:val="24"/>
          <w:highlight w:val="none"/>
          <w:lang w:val="en-US" w:eastAsia="zh-CN" w:bidi="zh-CN"/>
        </w:rPr>
        <w:t>注：1.此表中，每包的响应报价应和《报价明细表》中的总价相一致。</w:t>
      </w:r>
    </w:p>
    <w:p w14:paraId="374F9A0B">
      <w:pPr>
        <w:widowControl w:val="0"/>
        <w:spacing w:line="360" w:lineRule="auto"/>
        <w:ind w:firstLine="210" w:firstLineChars="100"/>
        <w:jc w:val="both"/>
        <w:outlineLvl w:val="9"/>
        <w:rPr>
          <w:rFonts w:hint="eastAsia" w:ascii="仿宋" w:hAnsi="仿宋" w:eastAsia="仿宋" w:cs="仿宋"/>
          <w:kern w:val="2"/>
          <w:sz w:val="21"/>
          <w:szCs w:val="24"/>
          <w:highlight w:val="none"/>
          <w:lang w:val="en-US" w:eastAsia="zh-CN" w:bidi="zh-CN"/>
        </w:rPr>
      </w:pPr>
      <w:bookmarkStart w:id="277" w:name="_Toc28372"/>
      <w:r>
        <w:rPr>
          <w:rFonts w:hint="eastAsia" w:ascii="仿宋" w:hAnsi="仿宋" w:eastAsia="仿宋" w:cs="仿宋"/>
          <w:kern w:val="2"/>
          <w:sz w:val="21"/>
          <w:szCs w:val="24"/>
          <w:highlight w:val="none"/>
          <w:lang w:val="en-US" w:eastAsia="zh-CN" w:bidi="zh-CN"/>
        </w:rPr>
        <w:t>2.本表必须按包分别填写。</w:t>
      </w:r>
      <w:bookmarkEnd w:id="277"/>
    </w:p>
    <w:p w14:paraId="2513660C">
      <w:pPr>
        <w:widowControl w:val="0"/>
        <w:spacing w:line="360" w:lineRule="auto"/>
        <w:ind w:firstLine="210" w:firstLineChars="100"/>
        <w:jc w:val="both"/>
        <w:rPr>
          <w:rFonts w:hint="eastAsia" w:ascii="仿宋" w:hAnsi="仿宋" w:eastAsia="仿宋" w:cs="仿宋"/>
          <w:kern w:val="2"/>
          <w:sz w:val="21"/>
          <w:szCs w:val="24"/>
          <w:highlight w:val="none"/>
          <w:lang w:val="en-US" w:eastAsia="zh-CN" w:bidi="zh-CN"/>
        </w:rPr>
      </w:pPr>
      <w:r>
        <w:rPr>
          <w:rFonts w:hint="eastAsia" w:ascii="仿宋" w:hAnsi="仿宋" w:eastAsia="仿宋" w:cs="仿宋"/>
          <w:kern w:val="2"/>
          <w:sz w:val="21"/>
          <w:szCs w:val="24"/>
          <w:highlight w:val="none"/>
          <w:lang w:val="en-US" w:eastAsia="zh-CN" w:bidi="zh-CN"/>
        </w:rPr>
        <w:t>3.首次报价不作为价格评审的依据。</w:t>
      </w:r>
    </w:p>
    <w:p w14:paraId="152AC072">
      <w:pPr>
        <w:widowControl w:val="0"/>
        <w:spacing w:line="360" w:lineRule="auto"/>
        <w:ind w:firstLine="210" w:firstLineChars="100"/>
        <w:jc w:val="both"/>
        <w:rPr>
          <w:rFonts w:hint="eastAsia" w:ascii="仿宋" w:hAnsi="仿宋" w:eastAsia="仿宋" w:cs="仿宋"/>
          <w:kern w:val="2"/>
          <w:sz w:val="21"/>
          <w:szCs w:val="24"/>
          <w:highlight w:val="none"/>
          <w:lang w:val="en-US" w:eastAsia="zh-CN" w:bidi="zh-CN"/>
        </w:rPr>
      </w:pPr>
    </w:p>
    <w:p w14:paraId="0E246908">
      <w:pPr>
        <w:widowControl w:val="0"/>
        <w:spacing w:line="360" w:lineRule="auto"/>
        <w:ind w:firstLine="210" w:firstLineChars="100"/>
        <w:jc w:val="both"/>
        <w:rPr>
          <w:rFonts w:hint="eastAsia" w:ascii="仿宋" w:hAnsi="仿宋" w:eastAsia="仿宋" w:cs="仿宋"/>
          <w:kern w:val="2"/>
          <w:sz w:val="21"/>
          <w:szCs w:val="24"/>
          <w:highlight w:val="none"/>
          <w:lang w:val="en-US" w:eastAsia="zh-CN" w:bidi="zh-CN"/>
        </w:rPr>
      </w:pPr>
    </w:p>
    <w:p w14:paraId="3E693CEC">
      <w:pPr>
        <w:widowControl w:val="0"/>
        <w:spacing w:line="360" w:lineRule="auto"/>
        <w:ind w:firstLine="240" w:firstLineChars="100"/>
        <w:jc w:val="both"/>
        <w:rPr>
          <w:rFonts w:hint="eastAsia" w:ascii="仿宋" w:hAnsi="仿宋" w:eastAsia="仿宋" w:cs="仿宋"/>
          <w:kern w:val="2"/>
          <w:sz w:val="24"/>
          <w:szCs w:val="24"/>
          <w:highlight w:val="none"/>
          <w:u w:val="single"/>
          <w:lang w:val="en-US" w:eastAsia="zh-CN" w:bidi="zh-CN"/>
        </w:rPr>
      </w:pPr>
      <w:r>
        <w:rPr>
          <w:rFonts w:hint="eastAsia" w:ascii="仿宋" w:hAnsi="仿宋" w:eastAsia="仿宋" w:cs="仿宋"/>
          <w:kern w:val="2"/>
          <w:sz w:val="24"/>
          <w:szCs w:val="24"/>
          <w:highlight w:val="none"/>
          <w:lang w:val="en-US" w:eastAsia="zh-CN" w:bidi="zh-CN"/>
        </w:rPr>
        <w:t>供应商名称（</w:t>
      </w:r>
      <w:r>
        <w:rPr>
          <w:rFonts w:hint="eastAsia" w:ascii="仿宋" w:hAnsi="仿宋" w:eastAsia="仿宋" w:cs="仿宋"/>
          <w:sz w:val="24"/>
          <w:highlight w:val="none"/>
          <w:lang w:val="en-US" w:eastAsia="zh-CN"/>
        </w:rPr>
        <w:t>电子印章</w:t>
      </w:r>
      <w:r>
        <w:rPr>
          <w:rFonts w:hint="eastAsia" w:ascii="仿宋" w:hAnsi="仿宋" w:eastAsia="仿宋" w:cs="仿宋"/>
          <w:kern w:val="2"/>
          <w:sz w:val="24"/>
          <w:szCs w:val="24"/>
          <w:highlight w:val="none"/>
          <w:lang w:val="en-US" w:eastAsia="zh-CN" w:bidi="zh-CN"/>
        </w:rPr>
        <w:t xml:space="preserve">）： </w:t>
      </w:r>
      <w:r>
        <w:rPr>
          <w:rFonts w:hint="eastAsia" w:ascii="仿宋" w:hAnsi="仿宋" w:eastAsia="仿宋" w:cs="仿宋"/>
          <w:kern w:val="2"/>
          <w:sz w:val="24"/>
          <w:szCs w:val="24"/>
          <w:highlight w:val="none"/>
          <w:u w:val="single"/>
          <w:lang w:val="en-US" w:eastAsia="zh-CN" w:bidi="zh-CN"/>
        </w:rPr>
        <w:t xml:space="preserve">                </w:t>
      </w:r>
    </w:p>
    <w:p w14:paraId="684ECD14">
      <w:pPr>
        <w:widowControl w:val="0"/>
        <w:spacing w:line="360" w:lineRule="auto"/>
        <w:ind w:firstLine="240" w:firstLineChars="100"/>
        <w:jc w:val="both"/>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日期：</w:t>
      </w:r>
      <w:r>
        <w:rPr>
          <w:rFonts w:hint="eastAsia" w:ascii="仿宋" w:hAnsi="仿宋" w:eastAsia="仿宋" w:cs="仿宋"/>
          <w:kern w:val="2"/>
          <w:sz w:val="24"/>
          <w:szCs w:val="24"/>
          <w:highlight w:val="none"/>
          <w:u w:val="single"/>
          <w:lang w:val="en-US" w:eastAsia="zh-CN" w:bidi="zh-CN"/>
        </w:rPr>
        <w:t xml:space="preserve">     年    月    日</w:t>
      </w:r>
    </w:p>
    <w:p w14:paraId="789513C5">
      <w:pPr>
        <w:pStyle w:val="17"/>
        <w:rPr>
          <w:rFonts w:hint="eastAsia" w:ascii="仿宋" w:hAnsi="仿宋" w:eastAsia="仿宋" w:cs="仿宋"/>
          <w:highlight w:val="none"/>
          <w:lang w:val="en-US" w:eastAsia="zh-CN"/>
        </w:rPr>
      </w:pPr>
    </w:p>
    <w:p w14:paraId="7EFEB99A">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60BCC307">
      <w:pPr>
        <w:pStyle w:val="29"/>
        <w:ind w:left="0" w:leftChars="0" w:firstLine="0" w:firstLineChars="0"/>
        <w:outlineLvl w:val="2"/>
        <w:rPr>
          <w:rFonts w:hint="eastAsia" w:ascii="仿宋" w:hAnsi="仿宋" w:eastAsia="仿宋" w:cs="仿宋"/>
          <w:b/>
          <w:bCs/>
          <w:sz w:val="24"/>
          <w:szCs w:val="24"/>
          <w:highlight w:val="none"/>
          <w:lang w:val="en-US" w:eastAsia="zh-CN"/>
        </w:rPr>
      </w:pPr>
      <w:bookmarkStart w:id="278" w:name="_Toc32732"/>
      <w:r>
        <w:rPr>
          <w:rFonts w:hint="eastAsia" w:ascii="仿宋" w:hAnsi="仿宋" w:eastAsia="仿宋" w:cs="仿宋"/>
          <w:b/>
          <w:bCs/>
          <w:sz w:val="24"/>
          <w:szCs w:val="24"/>
          <w:highlight w:val="none"/>
          <w:lang w:val="en-US" w:eastAsia="zh-CN"/>
        </w:rPr>
        <w:t>6、</w:t>
      </w:r>
      <w:bookmarkEnd w:id="278"/>
      <w:r>
        <w:rPr>
          <w:rFonts w:hint="eastAsia" w:ascii="仿宋" w:hAnsi="仿宋" w:eastAsia="仿宋" w:cs="仿宋"/>
          <w:b/>
          <w:bCs/>
          <w:sz w:val="24"/>
          <w:szCs w:val="24"/>
          <w:highlight w:val="none"/>
          <w:lang w:val="en-US" w:eastAsia="zh-CN"/>
        </w:rPr>
        <w:t>报价明细表</w:t>
      </w:r>
    </w:p>
    <w:p w14:paraId="63CCCC46">
      <w:pPr>
        <w:pStyle w:val="29"/>
        <w:ind w:left="0" w:leftChars="0" w:firstLine="0" w:firstLineChars="0"/>
        <w:jc w:val="center"/>
        <w:rPr>
          <w:rFonts w:hint="eastAsia" w:ascii="仿宋" w:hAnsi="仿宋" w:eastAsia="仿宋" w:cs="仿宋"/>
          <w:highlight w:val="none"/>
          <w:lang w:val="en-US" w:eastAsia="zh-CN"/>
        </w:rPr>
      </w:pPr>
      <w:r>
        <w:rPr>
          <w:rFonts w:hint="eastAsia" w:ascii="仿宋" w:hAnsi="仿宋" w:eastAsia="仿宋" w:cs="仿宋"/>
          <w:b/>
          <w:bCs/>
          <w:sz w:val="32"/>
          <w:szCs w:val="32"/>
          <w:highlight w:val="none"/>
          <w:lang w:val="en-US" w:eastAsia="zh-CN"/>
        </w:rPr>
        <w:t>报价明细表</w:t>
      </w:r>
    </w:p>
    <w:p w14:paraId="47EE2C71">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项目编号：</w:t>
      </w:r>
      <w:r>
        <w:rPr>
          <w:rFonts w:hint="eastAsia" w:ascii="仿宋" w:hAnsi="仿宋" w:eastAsia="仿宋" w:cs="仿宋"/>
          <w:color w:val="auto"/>
          <w:highlight w:val="none"/>
          <w:u w:val="single"/>
          <w:lang w:val="en-US" w:eastAsia="zh-CN"/>
        </w:rPr>
        <w:t xml:space="preserve">              </w:t>
      </w:r>
    </w:p>
    <w:p w14:paraId="50B9DC9E">
      <w:pPr>
        <w:rPr>
          <w:rFonts w:hint="eastAsia" w:ascii="仿宋" w:hAnsi="仿宋" w:eastAsia="仿宋" w:cs="仿宋"/>
          <w:color w:val="auto"/>
          <w:highlight w:val="none"/>
          <w:u w:val="none"/>
          <w:lang w:val="en-US" w:eastAsia="zh-CN"/>
        </w:rPr>
      </w:pPr>
    </w:p>
    <w:p w14:paraId="61A1D0D8">
      <w:pPr>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报价单位：人民币元</w:t>
      </w:r>
    </w:p>
    <w:p w14:paraId="4A300908">
      <w:pPr>
        <w:rPr>
          <w:rFonts w:hint="eastAsia" w:ascii="仿宋" w:hAnsi="仿宋" w:eastAsia="仿宋" w:cs="仿宋"/>
          <w:color w:val="auto"/>
          <w:highlight w:val="none"/>
          <w:u w:val="none"/>
          <w:lang w:val="en-US" w:eastAsia="zh-CN"/>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72"/>
        <w:gridCol w:w="1323"/>
        <w:gridCol w:w="559"/>
        <w:gridCol w:w="940"/>
        <w:gridCol w:w="940"/>
        <w:gridCol w:w="784"/>
        <w:gridCol w:w="1011"/>
        <w:gridCol w:w="962"/>
        <w:gridCol w:w="919"/>
        <w:gridCol w:w="919"/>
      </w:tblGrid>
      <w:tr w14:paraId="18D8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26" w:type="dxa"/>
            <w:vAlign w:val="center"/>
          </w:tcPr>
          <w:p w14:paraId="59BF6372">
            <w:pPr>
              <w:pStyle w:val="16"/>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1072" w:type="dxa"/>
            <w:vAlign w:val="center"/>
          </w:tcPr>
          <w:p w14:paraId="21F211BE">
            <w:pPr>
              <w:pStyle w:val="16"/>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货物（或服务）标的名称</w:t>
            </w:r>
          </w:p>
        </w:tc>
        <w:tc>
          <w:tcPr>
            <w:tcW w:w="1323" w:type="dxa"/>
            <w:vAlign w:val="center"/>
          </w:tcPr>
          <w:p w14:paraId="45D6F8F7">
            <w:pPr>
              <w:pStyle w:val="16"/>
              <w:ind w:left="0" w:leftChars="0" w:firstLine="0" w:firstLine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货物生产厂家（或服务承接方）</w:t>
            </w:r>
          </w:p>
        </w:tc>
        <w:tc>
          <w:tcPr>
            <w:tcW w:w="559" w:type="dxa"/>
            <w:vAlign w:val="center"/>
          </w:tcPr>
          <w:p w14:paraId="1C6FBDEC">
            <w:pPr>
              <w:pStyle w:val="16"/>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品牌</w:t>
            </w:r>
          </w:p>
        </w:tc>
        <w:tc>
          <w:tcPr>
            <w:tcW w:w="940" w:type="dxa"/>
            <w:vAlign w:val="center"/>
          </w:tcPr>
          <w:p w14:paraId="0C760C7A">
            <w:pPr>
              <w:pStyle w:val="16"/>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型号</w:t>
            </w:r>
          </w:p>
        </w:tc>
        <w:tc>
          <w:tcPr>
            <w:tcW w:w="940" w:type="dxa"/>
            <w:vAlign w:val="center"/>
          </w:tcPr>
          <w:p w14:paraId="1E5962E2">
            <w:pPr>
              <w:pStyle w:val="16"/>
              <w:ind w:left="0" w:leftChars="0" w:firstLine="0" w:firstLine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规格</w:t>
            </w:r>
          </w:p>
        </w:tc>
        <w:tc>
          <w:tcPr>
            <w:tcW w:w="784" w:type="dxa"/>
            <w:vAlign w:val="center"/>
          </w:tcPr>
          <w:p w14:paraId="609D887C">
            <w:pPr>
              <w:pStyle w:val="16"/>
              <w:ind w:left="0" w:leftChars="0" w:firstLine="0" w:firstLine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单位</w:t>
            </w:r>
          </w:p>
        </w:tc>
        <w:tc>
          <w:tcPr>
            <w:tcW w:w="1011" w:type="dxa"/>
            <w:vAlign w:val="center"/>
          </w:tcPr>
          <w:p w14:paraId="61BB3600">
            <w:pPr>
              <w:pStyle w:val="16"/>
              <w:ind w:left="0" w:leftChars="0" w:firstLine="0" w:firstLine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数量</w:t>
            </w:r>
          </w:p>
        </w:tc>
        <w:tc>
          <w:tcPr>
            <w:tcW w:w="962" w:type="dxa"/>
            <w:vAlign w:val="center"/>
          </w:tcPr>
          <w:p w14:paraId="1ED702C4">
            <w:pPr>
              <w:pStyle w:val="16"/>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单价（元）</w:t>
            </w:r>
          </w:p>
        </w:tc>
        <w:tc>
          <w:tcPr>
            <w:tcW w:w="919" w:type="dxa"/>
            <w:vAlign w:val="center"/>
          </w:tcPr>
          <w:p w14:paraId="12764B2E">
            <w:pPr>
              <w:pStyle w:val="16"/>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合计（元）</w:t>
            </w:r>
          </w:p>
        </w:tc>
        <w:tc>
          <w:tcPr>
            <w:tcW w:w="919" w:type="dxa"/>
            <w:vAlign w:val="center"/>
          </w:tcPr>
          <w:p w14:paraId="5DA9912E">
            <w:pPr>
              <w:pStyle w:val="16"/>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备注/说明</w:t>
            </w:r>
          </w:p>
        </w:tc>
      </w:tr>
      <w:tr w14:paraId="0604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F206E8F">
            <w:pPr>
              <w:pStyle w:val="16"/>
              <w:jc w:val="center"/>
              <w:rPr>
                <w:rFonts w:hint="eastAsia" w:ascii="仿宋" w:hAnsi="仿宋" w:eastAsia="仿宋" w:cs="仿宋"/>
                <w:color w:val="auto"/>
                <w:sz w:val="21"/>
                <w:szCs w:val="21"/>
                <w:highlight w:val="none"/>
                <w:vertAlign w:val="baseline"/>
                <w:lang w:val="en-US" w:eastAsia="zh-CN"/>
              </w:rPr>
            </w:pPr>
          </w:p>
        </w:tc>
        <w:tc>
          <w:tcPr>
            <w:tcW w:w="1072" w:type="dxa"/>
            <w:vAlign w:val="center"/>
          </w:tcPr>
          <w:p w14:paraId="6DA70AF6">
            <w:pPr>
              <w:pStyle w:val="16"/>
              <w:jc w:val="center"/>
              <w:rPr>
                <w:rFonts w:hint="eastAsia" w:ascii="仿宋" w:hAnsi="仿宋" w:eastAsia="仿宋" w:cs="仿宋"/>
                <w:color w:val="auto"/>
                <w:sz w:val="21"/>
                <w:szCs w:val="21"/>
                <w:highlight w:val="none"/>
                <w:vertAlign w:val="baseline"/>
                <w:lang w:val="en-US" w:eastAsia="zh-CN"/>
              </w:rPr>
            </w:pPr>
          </w:p>
        </w:tc>
        <w:tc>
          <w:tcPr>
            <w:tcW w:w="1323" w:type="dxa"/>
            <w:vAlign w:val="center"/>
          </w:tcPr>
          <w:p w14:paraId="204504EA">
            <w:pPr>
              <w:pStyle w:val="16"/>
              <w:jc w:val="center"/>
              <w:rPr>
                <w:rFonts w:hint="eastAsia" w:ascii="仿宋" w:hAnsi="仿宋" w:eastAsia="仿宋" w:cs="仿宋"/>
                <w:color w:val="auto"/>
                <w:sz w:val="21"/>
                <w:szCs w:val="21"/>
                <w:highlight w:val="none"/>
                <w:vertAlign w:val="baseline"/>
                <w:lang w:val="en-US" w:eastAsia="zh-CN"/>
              </w:rPr>
            </w:pPr>
          </w:p>
        </w:tc>
        <w:tc>
          <w:tcPr>
            <w:tcW w:w="559" w:type="dxa"/>
            <w:vAlign w:val="center"/>
          </w:tcPr>
          <w:p w14:paraId="26F0DA14">
            <w:pPr>
              <w:pStyle w:val="16"/>
              <w:jc w:val="center"/>
              <w:rPr>
                <w:rFonts w:hint="eastAsia" w:ascii="仿宋" w:hAnsi="仿宋" w:eastAsia="仿宋" w:cs="仿宋"/>
                <w:color w:val="auto"/>
                <w:sz w:val="21"/>
                <w:szCs w:val="21"/>
                <w:highlight w:val="none"/>
                <w:vertAlign w:val="baseline"/>
                <w:lang w:val="en-US" w:eastAsia="zh-CN"/>
              </w:rPr>
            </w:pPr>
          </w:p>
        </w:tc>
        <w:tc>
          <w:tcPr>
            <w:tcW w:w="940" w:type="dxa"/>
            <w:vAlign w:val="center"/>
          </w:tcPr>
          <w:p w14:paraId="6C821B6C">
            <w:pPr>
              <w:pStyle w:val="16"/>
              <w:jc w:val="center"/>
              <w:rPr>
                <w:rFonts w:hint="eastAsia" w:ascii="仿宋" w:hAnsi="仿宋" w:eastAsia="仿宋" w:cs="仿宋"/>
                <w:color w:val="auto"/>
                <w:sz w:val="21"/>
                <w:szCs w:val="21"/>
                <w:highlight w:val="none"/>
                <w:vertAlign w:val="baseline"/>
                <w:lang w:val="en-US" w:eastAsia="zh-CN"/>
              </w:rPr>
            </w:pPr>
          </w:p>
        </w:tc>
        <w:tc>
          <w:tcPr>
            <w:tcW w:w="940" w:type="dxa"/>
            <w:vAlign w:val="center"/>
          </w:tcPr>
          <w:p w14:paraId="0F4E972C">
            <w:pPr>
              <w:pStyle w:val="16"/>
              <w:jc w:val="center"/>
              <w:rPr>
                <w:rFonts w:hint="eastAsia" w:ascii="仿宋" w:hAnsi="仿宋" w:eastAsia="仿宋" w:cs="仿宋"/>
                <w:color w:val="auto"/>
                <w:sz w:val="21"/>
                <w:szCs w:val="21"/>
                <w:highlight w:val="none"/>
                <w:vertAlign w:val="baseline"/>
                <w:lang w:val="en-US" w:eastAsia="zh-CN"/>
              </w:rPr>
            </w:pPr>
          </w:p>
        </w:tc>
        <w:tc>
          <w:tcPr>
            <w:tcW w:w="784" w:type="dxa"/>
            <w:vAlign w:val="center"/>
          </w:tcPr>
          <w:p w14:paraId="472F51AA">
            <w:pPr>
              <w:pStyle w:val="16"/>
              <w:jc w:val="center"/>
              <w:rPr>
                <w:rFonts w:hint="eastAsia" w:ascii="仿宋" w:hAnsi="仿宋" w:eastAsia="仿宋" w:cs="仿宋"/>
                <w:color w:val="auto"/>
                <w:sz w:val="21"/>
                <w:szCs w:val="21"/>
                <w:highlight w:val="none"/>
                <w:vertAlign w:val="baseline"/>
                <w:lang w:val="en-US" w:eastAsia="zh-CN"/>
              </w:rPr>
            </w:pPr>
          </w:p>
        </w:tc>
        <w:tc>
          <w:tcPr>
            <w:tcW w:w="1011" w:type="dxa"/>
            <w:vAlign w:val="center"/>
          </w:tcPr>
          <w:p w14:paraId="7B2CD5FB">
            <w:pPr>
              <w:pStyle w:val="16"/>
              <w:jc w:val="center"/>
              <w:rPr>
                <w:rFonts w:hint="eastAsia" w:ascii="仿宋" w:hAnsi="仿宋" w:eastAsia="仿宋" w:cs="仿宋"/>
                <w:color w:val="auto"/>
                <w:sz w:val="21"/>
                <w:szCs w:val="21"/>
                <w:highlight w:val="none"/>
                <w:vertAlign w:val="baseline"/>
                <w:lang w:val="en-US" w:eastAsia="zh-CN"/>
              </w:rPr>
            </w:pPr>
          </w:p>
        </w:tc>
        <w:tc>
          <w:tcPr>
            <w:tcW w:w="962" w:type="dxa"/>
            <w:vAlign w:val="center"/>
          </w:tcPr>
          <w:p w14:paraId="3EBC4659">
            <w:pPr>
              <w:pStyle w:val="16"/>
              <w:jc w:val="center"/>
              <w:rPr>
                <w:rFonts w:hint="eastAsia" w:ascii="仿宋" w:hAnsi="仿宋" w:eastAsia="仿宋" w:cs="仿宋"/>
                <w:color w:val="auto"/>
                <w:sz w:val="21"/>
                <w:szCs w:val="21"/>
                <w:highlight w:val="none"/>
                <w:vertAlign w:val="baseline"/>
                <w:lang w:val="en-US" w:eastAsia="zh-CN"/>
              </w:rPr>
            </w:pPr>
          </w:p>
        </w:tc>
        <w:tc>
          <w:tcPr>
            <w:tcW w:w="919" w:type="dxa"/>
            <w:vAlign w:val="center"/>
          </w:tcPr>
          <w:p w14:paraId="5B1FC3CF">
            <w:pPr>
              <w:pStyle w:val="16"/>
              <w:jc w:val="center"/>
              <w:rPr>
                <w:rFonts w:hint="eastAsia" w:ascii="仿宋" w:hAnsi="仿宋" w:eastAsia="仿宋" w:cs="仿宋"/>
                <w:color w:val="auto"/>
                <w:sz w:val="21"/>
                <w:szCs w:val="21"/>
                <w:highlight w:val="none"/>
                <w:vertAlign w:val="baseline"/>
                <w:lang w:val="en-US" w:eastAsia="zh-CN"/>
              </w:rPr>
            </w:pPr>
          </w:p>
        </w:tc>
        <w:tc>
          <w:tcPr>
            <w:tcW w:w="919" w:type="dxa"/>
            <w:vAlign w:val="center"/>
          </w:tcPr>
          <w:p w14:paraId="6C28E406">
            <w:pPr>
              <w:pStyle w:val="16"/>
              <w:jc w:val="center"/>
              <w:rPr>
                <w:rFonts w:hint="eastAsia" w:ascii="仿宋" w:hAnsi="仿宋" w:eastAsia="仿宋" w:cs="仿宋"/>
                <w:color w:val="auto"/>
                <w:sz w:val="21"/>
                <w:szCs w:val="21"/>
                <w:highlight w:val="none"/>
                <w:vertAlign w:val="baseline"/>
                <w:lang w:val="en-US" w:eastAsia="zh-CN"/>
              </w:rPr>
            </w:pPr>
          </w:p>
        </w:tc>
      </w:tr>
      <w:tr w14:paraId="73EE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02D4507">
            <w:pPr>
              <w:pStyle w:val="16"/>
              <w:jc w:val="center"/>
              <w:rPr>
                <w:rFonts w:hint="eastAsia" w:ascii="仿宋" w:hAnsi="仿宋" w:eastAsia="仿宋" w:cs="仿宋"/>
                <w:color w:val="auto"/>
                <w:sz w:val="21"/>
                <w:szCs w:val="21"/>
                <w:highlight w:val="none"/>
                <w:vertAlign w:val="baseline"/>
                <w:lang w:val="en-US" w:eastAsia="zh-CN"/>
              </w:rPr>
            </w:pPr>
          </w:p>
        </w:tc>
        <w:tc>
          <w:tcPr>
            <w:tcW w:w="1072" w:type="dxa"/>
            <w:vAlign w:val="center"/>
          </w:tcPr>
          <w:p w14:paraId="06D4B042">
            <w:pPr>
              <w:pStyle w:val="16"/>
              <w:jc w:val="center"/>
              <w:rPr>
                <w:rFonts w:hint="eastAsia" w:ascii="仿宋" w:hAnsi="仿宋" w:eastAsia="仿宋" w:cs="仿宋"/>
                <w:color w:val="auto"/>
                <w:sz w:val="21"/>
                <w:szCs w:val="21"/>
                <w:highlight w:val="none"/>
                <w:vertAlign w:val="baseline"/>
                <w:lang w:val="en-US" w:eastAsia="zh-CN"/>
              </w:rPr>
            </w:pPr>
          </w:p>
        </w:tc>
        <w:tc>
          <w:tcPr>
            <w:tcW w:w="1323" w:type="dxa"/>
            <w:vAlign w:val="center"/>
          </w:tcPr>
          <w:p w14:paraId="737D8632">
            <w:pPr>
              <w:pStyle w:val="16"/>
              <w:jc w:val="center"/>
              <w:rPr>
                <w:rFonts w:hint="eastAsia" w:ascii="仿宋" w:hAnsi="仿宋" w:eastAsia="仿宋" w:cs="仿宋"/>
                <w:color w:val="auto"/>
                <w:sz w:val="21"/>
                <w:szCs w:val="21"/>
                <w:highlight w:val="none"/>
                <w:vertAlign w:val="baseline"/>
                <w:lang w:val="en-US" w:eastAsia="zh-CN"/>
              </w:rPr>
            </w:pPr>
          </w:p>
        </w:tc>
        <w:tc>
          <w:tcPr>
            <w:tcW w:w="559" w:type="dxa"/>
            <w:vAlign w:val="center"/>
          </w:tcPr>
          <w:p w14:paraId="40D2A6CD">
            <w:pPr>
              <w:pStyle w:val="16"/>
              <w:jc w:val="center"/>
              <w:rPr>
                <w:rFonts w:hint="eastAsia" w:ascii="仿宋" w:hAnsi="仿宋" w:eastAsia="仿宋" w:cs="仿宋"/>
                <w:color w:val="auto"/>
                <w:sz w:val="21"/>
                <w:szCs w:val="21"/>
                <w:highlight w:val="none"/>
                <w:vertAlign w:val="baseline"/>
                <w:lang w:val="en-US" w:eastAsia="zh-CN"/>
              </w:rPr>
            </w:pPr>
          </w:p>
        </w:tc>
        <w:tc>
          <w:tcPr>
            <w:tcW w:w="940" w:type="dxa"/>
            <w:vAlign w:val="center"/>
          </w:tcPr>
          <w:p w14:paraId="07BD6E5B">
            <w:pPr>
              <w:pStyle w:val="16"/>
              <w:jc w:val="center"/>
              <w:rPr>
                <w:rFonts w:hint="eastAsia" w:ascii="仿宋" w:hAnsi="仿宋" w:eastAsia="仿宋" w:cs="仿宋"/>
                <w:color w:val="auto"/>
                <w:sz w:val="21"/>
                <w:szCs w:val="21"/>
                <w:highlight w:val="none"/>
                <w:vertAlign w:val="baseline"/>
                <w:lang w:val="en-US" w:eastAsia="zh-CN"/>
              </w:rPr>
            </w:pPr>
          </w:p>
        </w:tc>
        <w:tc>
          <w:tcPr>
            <w:tcW w:w="940" w:type="dxa"/>
            <w:vAlign w:val="center"/>
          </w:tcPr>
          <w:p w14:paraId="39CF98A6">
            <w:pPr>
              <w:pStyle w:val="16"/>
              <w:jc w:val="center"/>
              <w:rPr>
                <w:rFonts w:hint="eastAsia" w:ascii="仿宋" w:hAnsi="仿宋" w:eastAsia="仿宋" w:cs="仿宋"/>
                <w:color w:val="auto"/>
                <w:sz w:val="21"/>
                <w:szCs w:val="21"/>
                <w:highlight w:val="none"/>
                <w:vertAlign w:val="baseline"/>
                <w:lang w:val="en-US" w:eastAsia="zh-CN"/>
              </w:rPr>
            </w:pPr>
          </w:p>
        </w:tc>
        <w:tc>
          <w:tcPr>
            <w:tcW w:w="784" w:type="dxa"/>
            <w:vAlign w:val="center"/>
          </w:tcPr>
          <w:p w14:paraId="52DCE5DB">
            <w:pPr>
              <w:pStyle w:val="16"/>
              <w:jc w:val="center"/>
              <w:rPr>
                <w:rFonts w:hint="eastAsia" w:ascii="仿宋" w:hAnsi="仿宋" w:eastAsia="仿宋" w:cs="仿宋"/>
                <w:color w:val="auto"/>
                <w:sz w:val="21"/>
                <w:szCs w:val="21"/>
                <w:highlight w:val="none"/>
                <w:vertAlign w:val="baseline"/>
                <w:lang w:val="en-US" w:eastAsia="zh-CN"/>
              </w:rPr>
            </w:pPr>
          </w:p>
        </w:tc>
        <w:tc>
          <w:tcPr>
            <w:tcW w:w="1011" w:type="dxa"/>
            <w:vAlign w:val="center"/>
          </w:tcPr>
          <w:p w14:paraId="640439E8">
            <w:pPr>
              <w:pStyle w:val="16"/>
              <w:jc w:val="center"/>
              <w:rPr>
                <w:rFonts w:hint="eastAsia" w:ascii="仿宋" w:hAnsi="仿宋" w:eastAsia="仿宋" w:cs="仿宋"/>
                <w:color w:val="auto"/>
                <w:sz w:val="21"/>
                <w:szCs w:val="21"/>
                <w:highlight w:val="none"/>
                <w:vertAlign w:val="baseline"/>
                <w:lang w:val="en-US" w:eastAsia="zh-CN"/>
              </w:rPr>
            </w:pPr>
          </w:p>
        </w:tc>
        <w:tc>
          <w:tcPr>
            <w:tcW w:w="962" w:type="dxa"/>
            <w:vAlign w:val="center"/>
          </w:tcPr>
          <w:p w14:paraId="2A8D6B83">
            <w:pPr>
              <w:pStyle w:val="16"/>
              <w:jc w:val="center"/>
              <w:rPr>
                <w:rFonts w:hint="eastAsia" w:ascii="仿宋" w:hAnsi="仿宋" w:eastAsia="仿宋" w:cs="仿宋"/>
                <w:color w:val="auto"/>
                <w:sz w:val="21"/>
                <w:szCs w:val="21"/>
                <w:highlight w:val="none"/>
                <w:vertAlign w:val="baseline"/>
                <w:lang w:val="en-US" w:eastAsia="zh-CN"/>
              </w:rPr>
            </w:pPr>
          </w:p>
        </w:tc>
        <w:tc>
          <w:tcPr>
            <w:tcW w:w="919" w:type="dxa"/>
            <w:vAlign w:val="center"/>
          </w:tcPr>
          <w:p w14:paraId="7D37DCB6">
            <w:pPr>
              <w:pStyle w:val="16"/>
              <w:jc w:val="center"/>
              <w:rPr>
                <w:rFonts w:hint="eastAsia" w:ascii="仿宋" w:hAnsi="仿宋" w:eastAsia="仿宋" w:cs="仿宋"/>
                <w:color w:val="auto"/>
                <w:sz w:val="21"/>
                <w:szCs w:val="21"/>
                <w:highlight w:val="none"/>
                <w:vertAlign w:val="baseline"/>
                <w:lang w:val="en-US" w:eastAsia="zh-CN"/>
              </w:rPr>
            </w:pPr>
          </w:p>
        </w:tc>
        <w:tc>
          <w:tcPr>
            <w:tcW w:w="919" w:type="dxa"/>
            <w:vAlign w:val="center"/>
          </w:tcPr>
          <w:p w14:paraId="799B22DD">
            <w:pPr>
              <w:pStyle w:val="16"/>
              <w:jc w:val="center"/>
              <w:rPr>
                <w:rFonts w:hint="eastAsia" w:ascii="仿宋" w:hAnsi="仿宋" w:eastAsia="仿宋" w:cs="仿宋"/>
                <w:color w:val="auto"/>
                <w:sz w:val="21"/>
                <w:szCs w:val="21"/>
                <w:highlight w:val="none"/>
                <w:vertAlign w:val="baseline"/>
                <w:lang w:val="en-US" w:eastAsia="zh-CN"/>
              </w:rPr>
            </w:pPr>
          </w:p>
        </w:tc>
      </w:tr>
      <w:tr w14:paraId="114D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20F6751">
            <w:pPr>
              <w:pStyle w:val="16"/>
              <w:jc w:val="center"/>
              <w:rPr>
                <w:rFonts w:hint="eastAsia" w:ascii="仿宋" w:hAnsi="仿宋" w:eastAsia="仿宋" w:cs="仿宋"/>
                <w:color w:val="auto"/>
                <w:sz w:val="21"/>
                <w:szCs w:val="21"/>
                <w:highlight w:val="none"/>
                <w:vertAlign w:val="baseline"/>
                <w:lang w:val="en-US" w:eastAsia="zh-CN"/>
              </w:rPr>
            </w:pPr>
          </w:p>
        </w:tc>
        <w:tc>
          <w:tcPr>
            <w:tcW w:w="1072" w:type="dxa"/>
            <w:vAlign w:val="center"/>
          </w:tcPr>
          <w:p w14:paraId="04B3B766">
            <w:pPr>
              <w:pStyle w:val="16"/>
              <w:jc w:val="center"/>
              <w:rPr>
                <w:rFonts w:hint="eastAsia" w:ascii="仿宋" w:hAnsi="仿宋" w:eastAsia="仿宋" w:cs="仿宋"/>
                <w:color w:val="auto"/>
                <w:sz w:val="21"/>
                <w:szCs w:val="21"/>
                <w:highlight w:val="none"/>
                <w:vertAlign w:val="baseline"/>
                <w:lang w:val="en-US" w:eastAsia="zh-CN"/>
              </w:rPr>
            </w:pPr>
          </w:p>
        </w:tc>
        <w:tc>
          <w:tcPr>
            <w:tcW w:w="1323" w:type="dxa"/>
            <w:vAlign w:val="center"/>
          </w:tcPr>
          <w:p w14:paraId="1FBFA2FC">
            <w:pPr>
              <w:pStyle w:val="16"/>
              <w:jc w:val="center"/>
              <w:rPr>
                <w:rFonts w:hint="eastAsia" w:ascii="仿宋" w:hAnsi="仿宋" w:eastAsia="仿宋" w:cs="仿宋"/>
                <w:color w:val="auto"/>
                <w:sz w:val="21"/>
                <w:szCs w:val="21"/>
                <w:highlight w:val="none"/>
                <w:vertAlign w:val="baseline"/>
                <w:lang w:val="en-US" w:eastAsia="zh-CN"/>
              </w:rPr>
            </w:pPr>
          </w:p>
        </w:tc>
        <w:tc>
          <w:tcPr>
            <w:tcW w:w="559" w:type="dxa"/>
            <w:vAlign w:val="center"/>
          </w:tcPr>
          <w:p w14:paraId="13B2D581">
            <w:pPr>
              <w:pStyle w:val="16"/>
              <w:jc w:val="center"/>
              <w:rPr>
                <w:rFonts w:hint="eastAsia" w:ascii="仿宋" w:hAnsi="仿宋" w:eastAsia="仿宋" w:cs="仿宋"/>
                <w:color w:val="auto"/>
                <w:sz w:val="21"/>
                <w:szCs w:val="21"/>
                <w:highlight w:val="none"/>
                <w:vertAlign w:val="baseline"/>
                <w:lang w:val="en-US" w:eastAsia="zh-CN"/>
              </w:rPr>
            </w:pPr>
          </w:p>
        </w:tc>
        <w:tc>
          <w:tcPr>
            <w:tcW w:w="940" w:type="dxa"/>
            <w:vAlign w:val="center"/>
          </w:tcPr>
          <w:p w14:paraId="4FB05802">
            <w:pPr>
              <w:pStyle w:val="16"/>
              <w:jc w:val="center"/>
              <w:rPr>
                <w:rFonts w:hint="eastAsia" w:ascii="仿宋" w:hAnsi="仿宋" w:eastAsia="仿宋" w:cs="仿宋"/>
                <w:color w:val="auto"/>
                <w:sz w:val="21"/>
                <w:szCs w:val="21"/>
                <w:highlight w:val="none"/>
                <w:vertAlign w:val="baseline"/>
                <w:lang w:val="en-US" w:eastAsia="zh-CN"/>
              </w:rPr>
            </w:pPr>
          </w:p>
        </w:tc>
        <w:tc>
          <w:tcPr>
            <w:tcW w:w="940" w:type="dxa"/>
            <w:vAlign w:val="center"/>
          </w:tcPr>
          <w:p w14:paraId="4D585E6D">
            <w:pPr>
              <w:pStyle w:val="16"/>
              <w:jc w:val="center"/>
              <w:rPr>
                <w:rFonts w:hint="eastAsia" w:ascii="仿宋" w:hAnsi="仿宋" w:eastAsia="仿宋" w:cs="仿宋"/>
                <w:color w:val="auto"/>
                <w:sz w:val="21"/>
                <w:szCs w:val="21"/>
                <w:highlight w:val="none"/>
                <w:vertAlign w:val="baseline"/>
                <w:lang w:val="en-US" w:eastAsia="zh-CN"/>
              </w:rPr>
            </w:pPr>
          </w:p>
        </w:tc>
        <w:tc>
          <w:tcPr>
            <w:tcW w:w="784" w:type="dxa"/>
            <w:vAlign w:val="center"/>
          </w:tcPr>
          <w:p w14:paraId="4B12E43F">
            <w:pPr>
              <w:pStyle w:val="16"/>
              <w:jc w:val="center"/>
              <w:rPr>
                <w:rFonts w:hint="eastAsia" w:ascii="仿宋" w:hAnsi="仿宋" w:eastAsia="仿宋" w:cs="仿宋"/>
                <w:color w:val="auto"/>
                <w:sz w:val="21"/>
                <w:szCs w:val="21"/>
                <w:highlight w:val="none"/>
                <w:vertAlign w:val="baseline"/>
                <w:lang w:val="en-US" w:eastAsia="zh-CN"/>
              </w:rPr>
            </w:pPr>
          </w:p>
        </w:tc>
        <w:tc>
          <w:tcPr>
            <w:tcW w:w="1011" w:type="dxa"/>
            <w:vAlign w:val="center"/>
          </w:tcPr>
          <w:p w14:paraId="1010AF53">
            <w:pPr>
              <w:pStyle w:val="16"/>
              <w:jc w:val="center"/>
              <w:rPr>
                <w:rFonts w:hint="eastAsia" w:ascii="仿宋" w:hAnsi="仿宋" w:eastAsia="仿宋" w:cs="仿宋"/>
                <w:color w:val="auto"/>
                <w:sz w:val="21"/>
                <w:szCs w:val="21"/>
                <w:highlight w:val="none"/>
                <w:vertAlign w:val="baseline"/>
                <w:lang w:val="en-US" w:eastAsia="zh-CN"/>
              </w:rPr>
            </w:pPr>
          </w:p>
        </w:tc>
        <w:tc>
          <w:tcPr>
            <w:tcW w:w="962" w:type="dxa"/>
            <w:vAlign w:val="center"/>
          </w:tcPr>
          <w:p w14:paraId="0F595AB6">
            <w:pPr>
              <w:pStyle w:val="16"/>
              <w:jc w:val="center"/>
              <w:rPr>
                <w:rFonts w:hint="eastAsia" w:ascii="仿宋" w:hAnsi="仿宋" w:eastAsia="仿宋" w:cs="仿宋"/>
                <w:color w:val="auto"/>
                <w:sz w:val="21"/>
                <w:szCs w:val="21"/>
                <w:highlight w:val="none"/>
                <w:vertAlign w:val="baseline"/>
                <w:lang w:val="en-US" w:eastAsia="zh-CN"/>
              </w:rPr>
            </w:pPr>
          </w:p>
        </w:tc>
        <w:tc>
          <w:tcPr>
            <w:tcW w:w="919" w:type="dxa"/>
            <w:vAlign w:val="center"/>
          </w:tcPr>
          <w:p w14:paraId="6CC22D46">
            <w:pPr>
              <w:pStyle w:val="16"/>
              <w:jc w:val="center"/>
              <w:rPr>
                <w:rFonts w:hint="eastAsia" w:ascii="仿宋" w:hAnsi="仿宋" w:eastAsia="仿宋" w:cs="仿宋"/>
                <w:color w:val="auto"/>
                <w:sz w:val="21"/>
                <w:szCs w:val="21"/>
                <w:highlight w:val="none"/>
                <w:vertAlign w:val="baseline"/>
                <w:lang w:val="en-US" w:eastAsia="zh-CN"/>
              </w:rPr>
            </w:pPr>
          </w:p>
        </w:tc>
        <w:tc>
          <w:tcPr>
            <w:tcW w:w="919" w:type="dxa"/>
            <w:vAlign w:val="center"/>
          </w:tcPr>
          <w:p w14:paraId="7DA457EE">
            <w:pPr>
              <w:pStyle w:val="16"/>
              <w:jc w:val="center"/>
              <w:rPr>
                <w:rFonts w:hint="eastAsia" w:ascii="仿宋" w:hAnsi="仿宋" w:eastAsia="仿宋" w:cs="仿宋"/>
                <w:color w:val="auto"/>
                <w:sz w:val="21"/>
                <w:szCs w:val="21"/>
                <w:highlight w:val="none"/>
                <w:vertAlign w:val="baseline"/>
                <w:lang w:val="en-US" w:eastAsia="zh-CN"/>
              </w:rPr>
            </w:pPr>
          </w:p>
        </w:tc>
      </w:tr>
      <w:tr w14:paraId="0224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5486B2C">
            <w:pPr>
              <w:pStyle w:val="16"/>
              <w:jc w:val="center"/>
              <w:rPr>
                <w:rFonts w:hint="eastAsia" w:ascii="仿宋" w:hAnsi="仿宋" w:eastAsia="仿宋" w:cs="仿宋"/>
                <w:color w:val="auto"/>
                <w:sz w:val="21"/>
                <w:szCs w:val="21"/>
                <w:highlight w:val="none"/>
                <w:vertAlign w:val="baseline"/>
                <w:lang w:val="en-US" w:eastAsia="zh-CN"/>
              </w:rPr>
            </w:pPr>
          </w:p>
        </w:tc>
        <w:tc>
          <w:tcPr>
            <w:tcW w:w="1072" w:type="dxa"/>
            <w:vAlign w:val="center"/>
          </w:tcPr>
          <w:p w14:paraId="19F7E31A">
            <w:pPr>
              <w:pStyle w:val="16"/>
              <w:jc w:val="center"/>
              <w:rPr>
                <w:rFonts w:hint="eastAsia" w:ascii="仿宋" w:hAnsi="仿宋" w:eastAsia="仿宋" w:cs="仿宋"/>
                <w:color w:val="auto"/>
                <w:sz w:val="21"/>
                <w:szCs w:val="21"/>
                <w:highlight w:val="none"/>
                <w:vertAlign w:val="baseline"/>
                <w:lang w:val="en-US" w:eastAsia="zh-CN"/>
              </w:rPr>
            </w:pPr>
          </w:p>
        </w:tc>
        <w:tc>
          <w:tcPr>
            <w:tcW w:w="1323" w:type="dxa"/>
            <w:vAlign w:val="center"/>
          </w:tcPr>
          <w:p w14:paraId="62F44DE4">
            <w:pPr>
              <w:pStyle w:val="16"/>
              <w:jc w:val="center"/>
              <w:rPr>
                <w:rFonts w:hint="eastAsia" w:ascii="仿宋" w:hAnsi="仿宋" w:eastAsia="仿宋" w:cs="仿宋"/>
                <w:color w:val="auto"/>
                <w:sz w:val="21"/>
                <w:szCs w:val="21"/>
                <w:highlight w:val="none"/>
                <w:vertAlign w:val="baseline"/>
                <w:lang w:val="en-US" w:eastAsia="zh-CN"/>
              </w:rPr>
            </w:pPr>
          </w:p>
        </w:tc>
        <w:tc>
          <w:tcPr>
            <w:tcW w:w="559" w:type="dxa"/>
            <w:vAlign w:val="center"/>
          </w:tcPr>
          <w:p w14:paraId="0D1285BF">
            <w:pPr>
              <w:pStyle w:val="16"/>
              <w:jc w:val="center"/>
              <w:rPr>
                <w:rFonts w:hint="eastAsia" w:ascii="仿宋" w:hAnsi="仿宋" w:eastAsia="仿宋" w:cs="仿宋"/>
                <w:color w:val="auto"/>
                <w:sz w:val="21"/>
                <w:szCs w:val="21"/>
                <w:highlight w:val="none"/>
                <w:vertAlign w:val="baseline"/>
                <w:lang w:val="en-US" w:eastAsia="zh-CN"/>
              </w:rPr>
            </w:pPr>
          </w:p>
        </w:tc>
        <w:tc>
          <w:tcPr>
            <w:tcW w:w="940" w:type="dxa"/>
            <w:vAlign w:val="center"/>
          </w:tcPr>
          <w:p w14:paraId="13486C68">
            <w:pPr>
              <w:pStyle w:val="16"/>
              <w:jc w:val="center"/>
              <w:rPr>
                <w:rFonts w:hint="eastAsia" w:ascii="仿宋" w:hAnsi="仿宋" w:eastAsia="仿宋" w:cs="仿宋"/>
                <w:color w:val="auto"/>
                <w:sz w:val="21"/>
                <w:szCs w:val="21"/>
                <w:highlight w:val="none"/>
                <w:vertAlign w:val="baseline"/>
                <w:lang w:val="en-US" w:eastAsia="zh-CN"/>
              </w:rPr>
            </w:pPr>
          </w:p>
        </w:tc>
        <w:tc>
          <w:tcPr>
            <w:tcW w:w="940" w:type="dxa"/>
            <w:vAlign w:val="center"/>
          </w:tcPr>
          <w:p w14:paraId="3D327203">
            <w:pPr>
              <w:pStyle w:val="16"/>
              <w:jc w:val="center"/>
              <w:rPr>
                <w:rFonts w:hint="eastAsia" w:ascii="仿宋" w:hAnsi="仿宋" w:eastAsia="仿宋" w:cs="仿宋"/>
                <w:color w:val="auto"/>
                <w:sz w:val="21"/>
                <w:szCs w:val="21"/>
                <w:highlight w:val="none"/>
                <w:vertAlign w:val="baseline"/>
                <w:lang w:val="en-US" w:eastAsia="zh-CN"/>
              </w:rPr>
            </w:pPr>
          </w:p>
        </w:tc>
        <w:tc>
          <w:tcPr>
            <w:tcW w:w="784" w:type="dxa"/>
            <w:vAlign w:val="center"/>
          </w:tcPr>
          <w:p w14:paraId="1D0E1826">
            <w:pPr>
              <w:pStyle w:val="16"/>
              <w:jc w:val="center"/>
              <w:rPr>
                <w:rFonts w:hint="eastAsia" w:ascii="仿宋" w:hAnsi="仿宋" w:eastAsia="仿宋" w:cs="仿宋"/>
                <w:color w:val="auto"/>
                <w:sz w:val="21"/>
                <w:szCs w:val="21"/>
                <w:highlight w:val="none"/>
                <w:vertAlign w:val="baseline"/>
                <w:lang w:val="en-US" w:eastAsia="zh-CN"/>
              </w:rPr>
            </w:pPr>
          </w:p>
        </w:tc>
        <w:tc>
          <w:tcPr>
            <w:tcW w:w="1011" w:type="dxa"/>
            <w:vAlign w:val="center"/>
          </w:tcPr>
          <w:p w14:paraId="7E0D6298">
            <w:pPr>
              <w:pStyle w:val="16"/>
              <w:jc w:val="center"/>
              <w:rPr>
                <w:rFonts w:hint="eastAsia" w:ascii="仿宋" w:hAnsi="仿宋" w:eastAsia="仿宋" w:cs="仿宋"/>
                <w:color w:val="auto"/>
                <w:sz w:val="21"/>
                <w:szCs w:val="21"/>
                <w:highlight w:val="none"/>
                <w:vertAlign w:val="baseline"/>
                <w:lang w:val="en-US" w:eastAsia="zh-CN"/>
              </w:rPr>
            </w:pPr>
          </w:p>
        </w:tc>
        <w:tc>
          <w:tcPr>
            <w:tcW w:w="962" w:type="dxa"/>
            <w:vAlign w:val="center"/>
          </w:tcPr>
          <w:p w14:paraId="00A0EEFD">
            <w:pPr>
              <w:pStyle w:val="16"/>
              <w:jc w:val="center"/>
              <w:rPr>
                <w:rFonts w:hint="eastAsia" w:ascii="仿宋" w:hAnsi="仿宋" w:eastAsia="仿宋" w:cs="仿宋"/>
                <w:color w:val="auto"/>
                <w:sz w:val="21"/>
                <w:szCs w:val="21"/>
                <w:highlight w:val="none"/>
                <w:vertAlign w:val="baseline"/>
                <w:lang w:val="en-US" w:eastAsia="zh-CN"/>
              </w:rPr>
            </w:pPr>
          </w:p>
        </w:tc>
        <w:tc>
          <w:tcPr>
            <w:tcW w:w="919" w:type="dxa"/>
            <w:vAlign w:val="center"/>
          </w:tcPr>
          <w:p w14:paraId="458F2EDF">
            <w:pPr>
              <w:pStyle w:val="16"/>
              <w:jc w:val="center"/>
              <w:rPr>
                <w:rFonts w:hint="eastAsia" w:ascii="仿宋" w:hAnsi="仿宋" w:eastAsia="仿宋" w:cs="仿宋"/>
                <w:color w:val="auto"/>
                <w:sz w:val="21"/>
                <w:szCs w:val="21"/>
                <w:highlight w:val="none"/>
                <w:vertAlign w:val="baseline"/>
                <w:lang w:val="en-US" w:eastAsia="zh-CN"/>
              </w:rPr>
            </w:pPr>
          </w:p>
        </w:tc>
        <w:tc>
          <w:tcPr>
            <w:tcW w:w="919" w:type="dxa"/>
            <w:vAlign w:val="center"/>
          </w:tcPr>
          <w:p w14:paraId="2B6F0196">
            <w:pPr>
              <w:pStyle w:val="16"/>
              <w:jc w:val="center"/>
              <w:rPr>
                <w:rFonts w:hint="eastAsia" w:ascii="仿宋" w:hAnsi="仿宋" w:eastAsia="仿宋" w:cs="仿宋"/>
                <w:color w:val="auto"/>
                <w:sz w:val="21"/>
                <w:szCs w:val="21"/>
                <w:highlight w:val="none"/>
                <w:vertAlign w:val="baseline"/>
                <w:lang w:val="en-US" w:eastAsia="zh-CN"/>
              </w:rPr>
            </w:pPr>
          </w:p>
        </w:tc>
      </w:tr>
      <w:tr w14:paraId="7F0A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7" w:type="dxa"/>
            <w:gridSpan w:val="9"/>
            <w:vAlign w:val="center"/>
          </w:tcPr>
          <w:p w14:paraId="6E9C5964">
            <w:pPr>
              <w:pStyle w:val="16"/>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投标总价</w:t>
            </w:r>
          </w:p>
        </w:tc>
        <w:tc>
          <w:tcPr>
            <w:tcW w:w="919" w:type="dxa"/>
            <w:vAlign w:val="center"/>
          </w:tcPr>
          <w:p w14:paraId="09D3CFB5">
            <w:pPr>
              <w:pStyle w:val="16"/>
              <w:jc w:val="center"/>
              <w:rPr>
                <w:rFonts w:hint="eastAsia" w:ascii="仿宋" w:hAnsi="仿宋" w:eastAsia="仿宋" w:cs="仿宋"/>
                <w:color w:val="auto"/>
                <w:sz w:val="21"/>
                <w:szCs w:val="21"/>
                <w:highlight w:val="none"/>
                <w:vertAlign w:val="baseline"/>
                <w:lang w:val="en-US" w:eastAsia="zh-CN"/>
              </w:rPr>
            </w:pPr>
          </w:p>
        </w:tc>
        <w:tc>
          <w:tcPr>
            <w:tcW w:w="919" w:type="dxa"/>
            <w:vAlign w:val="center"/>
          </w:tcPr>
          <w:p w14:paraId="693676EA">
            <w:pPr>
              <w:pStyle w:val="16"/>
              <w:jc w:val="center"/>
              <w:rPr>
                <w:rFonts w:hint="eastAsia" w:ascii="仿宋" w:hAnsi="仿宋" w:eastAsia="仿宋" w:cs="仿宋"/>
                <w:color w:val="auto"/>
                <w:sz w:val="21"/>
                <w:szCs w:val="21"/>
                <w:highlight w:val="none"/>
                <w:vertAlign w:val="baseline"/>
                <w:lang w:val="en-US" w:eastAsia="zh-CN"/>
              </w:rPr>
            </w:pPr>
          </w:p>
        </w:tc>
      </w:tr>
    </w:tbl>
    <w:p w14:paraId="6B06C0CE">
      <w:pPr>
        <w:pStyle w:val="16"/>
        <w:ind w:left="0" w:leftChars="0" w:firstLine="0" w:firstLineChars="0"/>
        <w:rPr>
          <w:rFonts w:hint="eastAsia" w:ascii="仿宋" w:hAnsi="仿宋" w:eastAsia="仿宋" w:cs="仿宋"/>
          <w:color w:val="auto"/>
          <w:highlight w:val="none"/>
          <w:lang w:val="en-US" w:eastAsia="zh-CN"/>
        </w:rPr>
      </w:pPr>
    </w:p>
    <w:p w14:paraId="0389E59C">
      <w:pPr>
        <w:pStyle w:val="17"/>
        <w:rPr>
          <w:rFonts w:hint="eastAsia" w:ascii="仿宋" w:hAnsi="仿宋" w:eastAsia="仿宋" w:cs="仿宋"/>
          <w:color w:val="auto"/>
          <w:highlight w:val="none"/>
          <w:lang w:val="en-US" w:eastAsia="zh-CN"/>
        </w:rPr>
      </w:pPr>
    </w:p>
    <w:p w14:paraId="578ABC55">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w:t>
      </w:r>
    </w:p>
    <w:p w14:paraId="4182BDE5">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2.如果不提供投标报价明细表将视为没有实质性响应招标文件。</w:t>
      </w:r>
    </w:p>
    <w:p w14:paraId="2F800378">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52EF16BE">
      <w:pPr>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表格中第二列填写货物名称时、第三列对应填写货物生产商；第二列填写服务名称时、第三列对应填写服务承接方。货物类采购项目除采购需求明确要求填写货物伴随服务外，无需填写货物伴随服务的服务名称、服务承接方，此费用包含在货物单价中。</w:t>
      </w:r>
      <w:r>
        <w:rPr>
          <w:rFonts w:hint="eastAsia" w:ascii="仿宋" w:hAnsi="仿宋" w:eastAsia="仿宋" w:cs="仿宋"/>
          <w:b/>
          <w:bCs/>
          <w:color w:val="auto"/>
          <w:sz w:val="24"/>
          <w:szCs w:val="24"/>
          <w:highlight w:val="none"/>
          <w:lang w:val="en-US" w:eastAsia="zh-CN"/>
        </w:rPr>
        <w:t>服务类项目“品牌”“型号”“规格”无需填写。</w:t>
      </w:r>
    </w:p>
    <w:p w14:paraId="69E6ECB0">
      <w:pPr>
        <w:spacing w:line="360" w:lineRule="auto"/>
        <w:rPr>
          <w:rFonts w:hint="eastAsia" w:ascii="仿宋" w:hAnsi="仿宋" w:eastAsia="仿宋" w:cs="仿宋"/>
          <w:color w:val="auto"/>
          <w:sz w:val="24"/>
          <w:szCs w:val="24"/>
          <w:highlight w:val="none"/>
          <w:lang w:val="en-US" w:eastAsia="zh-CN"/>
        </w:rPr>
      </w:pPr>
    </w:p>
    <w:p w14:paraId="2437AEBF">
      <w:pPr>
        <w:spacing w:line="360" w:lineRule="auto"/>
        <w:rPr>
          <w:rFonts w:hint="eastAsia" w:ascii="仿宋" w:hAnsi="仿宋" w:eastAsia="仿宋" w:cs="仿宋"/>
          <w:color w:val="auto"/>
          <w:sz w:val="24"/>
          <w:szCs w:val="24"/>
          <w:highlight w:val="none"/>
          <w:lang w:val="en-US" w:eastAsia="zh-CN"/>
        </w:rPr>
      </w:pPr>
    </w:p>
    <w:p w14:paraId="2968058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）：____________</w:t>
      </w:r>
    </w:p>
    <w:p w14:paraId="56821019">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1A16BE04">
      <w:pPr>
        <w:rPr>
          <w:rFonts w:hint="eastAsia" w:ascii="仿宋" w:hAnsi="仿宋" w:eastAsia="仿宋" w:cs="仿宋"/>
          <w:b/>
          <w:bCs/>
          <w:sz w:val="24"/>
          <w:szCs w:val="24"/>
          <w:highlight w:val="none"/>
          <w:lang w:val="en-US" w:eastAsia="zh-CN"/>
        </w:rPr>
      </w:pPr>
      <w:bookmarkStart w:id="279" w:name="_Toc24571"/>
      <w:bookmarkStart w:id="280" w:name="_Toc27376"/>
      <w:r>
        <w:rPr>
          <w:rFonts w:hint="eastAsia" w:ascii="仿宋" w:hAnsi="仿宋" w:eastAsia="仿宋" w:cs="仿宋"/>
          <w:b/>
          <w:bCs/>
          <w:sz w:val="24"/>
          <w:szCs w:val="24"/>
          <w:highlight w:val="none"/>
          <w:lang w:val="en-US" w:eastAsia="zh-CN"/>
        </w:rPr>
        <w:br w:type="page"/>
      </w:r>
    </w:p>
    <w:p w14:paraId="400DF94C">
      <w:pPr>
        <w:pStyle w:val="17"/>
        <w:ind w:left="0" w:leftChars="0" w:firstLine="0" w:firstLineChars="0"/>
        <w:jc w:val="left"/>
        <w:outlineLvl w:val="1"/>
        <w:rPr>
          <w:rFonts w:hint="eastAsia" w:ascii="仿宋" w:hAnsi="仿宋" w:eastAsia="仿宋" w:cs="仿宋"/>
          <w:b/>
          <w:bCs/>
          <w:sz w:val="24"/>
          <w:szCs w:val="24"/>
          <w:highlight w:val="none"/>
          <w:lang w:val="en-US" w:eastAsia="zh-CN"/>
        </w:rPr>
      </w:pPr>
      <w:bookmarkStart w:id="281" w:name="_Toc30128"/>
      <w:r>
        <w:rPr>
          <w:rFonts w:hint="eastAsia" w:ascii="仿宋" w:hAnsi="仿宋" w:eastAsia="仿宋" w:cs="仿宋"/>
          <w:b/>
          <w:bCs/>
          <w:sz w:val="24"/>
          <w:szCs w:val="24"/>
          <w:highlight w:val="none"/>
          <w:lang w:val="en-US" w:eastAsia="zh-CN"/>
        </w:rPr>
        <w:t>三、商务技术文件</w:t>
      </w:r>
      <w:bookmarkEnd w:id="279"/>
      <w:bookmarkEnd w:id="281"/>
    </w:p>
    <w:bookmarkEnd w:id="280"/>
    <w:p w14:paraId="552190F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2"/>
        <w:rPr>
          <w:rFonts w:hint="eastAsia" w:ascii="仿宋" w:hAnsi="仿宋" w:eastAsia="仿宋" w:cs="仿宋"/>
          <w:b/>
          <w:bCs/>
          <w:highlight w:val="none"/>
        </w:rPr>
      </w:pPr>
      <w:bookmarkStart w:id="282" w:name="_Toc26890"/>
      <w:r>
        <w:rPr>
          <w:rFonts w:hint="eastAsia" w:ascii="仿宋" w:hAnsi="仿宋" w:eastAsia="仿宋" w:cs="仿宋"/>
          <w:b/>
          <w:bCs/>
          <w:color w:val="000000"/>
          <w:kern w:val="0"/>
          <w:sz w:val="24"/>
          <w:szCs w:val="24"/>
          <w:highlight w:val="none"/>
          <w:lang w:val="en-US" w:eastAsia="zh-CN" w:bidi="ar"/>
        </w:rPr>
        <w:t xml:space="preserve">7、投标书 </w:t>
      </w:r>
    </w:p>
    <w:p w14:paraId="3F16525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65437B7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highlight w:val="none"/>
          <w:lang w:val="en-US"/>
        </w:rPr>
      </w:pPr>
      <w:r>
        <w:rPr>
          <w:rFonts w:hint="eastAsia" w:ascii="仿宋" w:hAnsi="仿宋" w:eastAsia="仿宋" w:cs="仿宋"/>
          <w:b/>
          <w:bCs/>
          <w:color w:val="000000"/>
          <w:kern w:val="0"/>
          <w:sz w:val="32"/>
          <w:szCs w:val="32"/>
          <w:highlight w:val="none"/>
          <w:lang w:val="en-US" w:eastAsia="zh-CN" w:bidi="ar"/>
        </w:rPr>
        <w:t>投标书</w:t>
      </w:r>
    </w:p>
    <w:p w14:paraId="4EB0836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0733C71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（采购人或采购代理机构）</w:t>
      </w:r>
      <w:r>
        <w:rPr>
          <w:rFonts w:hint="eastAsia" w:ascii="仿宋" w:hAnsi="仿宋" w:eastAsia="仿宋" w:cs="仿宋"/>
          <w:color w:val="000000"/>
          <w:kern w:val="0"/>
          <w:sz w:val="24"/>
          <w:szCs w:val="24"/>
          <w:highlight w:val="none"/>
          <w:lang w:val="en-US" w:eastAsia="zh-CN" w:bidi="ar"/>
        </w:rPr>
        <w:t xml:space="preserve"> </w:t>
      </w:r>
    </w:p>
    <w:p w14:paraId="0559D8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我方参加你方就</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（采购项目名称）、</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（项目编号)、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（标项(包)名称）</w:t>
      </w:r>
      <w:r>
        <w:rPr>
          <w:rFonts w:hint="eastAsia" w:ascii="仿宋" w:hAnsi="仿宋" w:eastAsia="仿宋" w:cs="仿宋"/>
          <w:color w:val="000000"/>
          <w:kern w:val="0"/>
          <w:sz w:val="24"/>
          <w:szCs w:val="24"/>
          <w:highlight w:val="none"/>
          <w:lang w:val="en-US" w:eastAsia="zh-CN" w:bidi="ar"/>
        </w:rPr>
        <w:t xml:space="preserve">组织的采购活动，并对此项目进行投标响应。 </w:t>
      </w:r>
    </w:p>
    <w:p w14:paraId="60CB28A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4"/>
          <w:szCs w:val="24"/>
          <w:highlight w:val="none"/>
        </w:rPr>
      </w:pPr>
      <w:bookmarkStart w:id="283" w:name="_Toc31541"/>
      <w:r>
        <w:rPr>
          <w:rFonts w:hint="eastAsia" w:ascii="仿宋" w:hAnsi="仿宋" w:eastAsia="仿宋" w:cs="仿宋"/>
          <w:color w:val="000000"/>
          <w:kern w:val="0"/>
          <w:sz w:val="24"/>
          <w:szCs w:val="24"/>
          <w:highlight w:val="none"/>
          <w:lang w:val="en-US" w:eastAsia="zh-CN" w:bidi="ar"/>
        </w:rPr>
        <w:t>1. 我方已详细审查全部采购文件，自愿参与投标响应并承诺如下：</w:t>
      </w:r>
      <w:bookmarkEnd w:id="283"/>
      <w:r>
        <w:rPr>
          <w:rFonts w:hint="eastAsia" w:ascii="仿宋" w:hAnsi="仿宋" w:eastAsia="仿宋" w:cs="仿宋"/>
          <w:color w:val="000000"/>
          <w:kern w:val="0"/>
          <w:sz w:val="24"/>
          <w:szCs w:val="24"/>
          <w:highlight w:val="none"/>
          <w:lang w:val="en-US" w:eastAsia="zh-CN" w:bidi="ar"/>
        </w:rPr>
        <w:t xml:space="preserve"> </w:t>
      </w:r>
    </w:p>
    <w:p w14:paraId="12ABA27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（1）本响应有效期为自提交响应文件的截止之日起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个日历日。 </w:t>
      </w:r>
    </w:p>
    <w:p w14:paraId="0101CE2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（2）除合同条款及采购需求偏离表列出的偏离外，我方响应采购文件的全部要求。 </w:t>
      </w:r>
    </w:p>
    <w:p w14:paraId="053BFFC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（3）我方已提供的全部文件资料是真实、准确的，并对此承担一切法律后果。 </w:t>
      </w:r>
    </w:p>
    <w:p w14:paraId="0191609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（4）如我方成交，我方将在法律规定的期限内与你方签订合同，按照采购文件要求提交履约保证金，并在合同约定的期限内完成合同规定的全部义务。 </w:t>
      </w:r>
    </w:p>
    <w:p w14:paraId="0E6D111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4"/>
          <w:szCs w:val="24"/>
          <w:highlight w:val="none"/>
        </w:rPr>
      </w:pPr>
      <w:bookmarkStart w:id="284" w:name="_Toc30568"/>
      <w:r>
        <w:rPr>
          <w:rFonts w:hint="eastAsia" w:ascii="仿宋" w:hAnsi="仿宋" w:eastAsia="仿宋" w:cs="仿宋"/>
          <w:color w:val="000000"/>
          <w:kern w:val="0"/>
          <w:sz w:val="24"/>
          <w:szCs w:val="24"/>
          <w:highlight w:val="none"/>
          <w:lang w:val="en-US" w:eastAsia="zh-CN" w:bidi="ar"/>
        </w:rPr>
        <w:t>2. 其他补充条款（如有）：</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w:t>
      </w:r>
      <w:bookmarkEnd w:id="284"/>
      <w:r>
        <w:rPr>
          <w:rFonts w:hint="eastAsia" w:ascii="仿宋" w:hAnsi="仿宋" w:eastAsia="仿宋" w:cs="仿宋"/>
          <w:color w:val="000000"/>
          <w:kern w:val="0"/>
          <w:sz w:val="24"/>
          <w:szCs w:val="24"/>
          <w:highlight w:val="none"/>
          <w:lang w:val="en-US" w:eastAsia="zh-CN" w:bidi="ar"/>
        </w:rPr>
        <w:t xml:space="preserve"> </w:t>
      </w:r>
    </w:p>
    <w:p w14:paraId="41A0126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与本投标有关的一切正式往来信函请寄： </w:t>
      </w:r>
    </w:p>
    <w:p w14:paraId="50C11BE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地址</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传真</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3DEED51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电话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电子函件</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18FBD45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42CB582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供应商名称（</w:t>
      </w:r>
      <w:r>
        <w:rPr>
          <w:rFonts w:hint="eastAsia" w:ascii="仿宋" w:hAnsi="仿宋" w:eastAsia="仿宋" w:cs="仿宋"/>
          <w:sz w:val="24"/>
          <w:highlight w:val="none"/>
          <w:lang w:val="en-US" w:eastAsia="zh-CN"/>
        </w:rPr>
        <w:t>电子印章</w:t>
      </w:r>
      <w:r>
        <w:rPr>
          <w:rFonts w:hint="eastAsia" w:ascii="仿宋" w:hAnsi="仿宋" w:eastAsia="仿宋" w:cs="仿宋"/>
          <w:color w:val="000000"/>
          <w:kern w:val="0"/>
          <w:sz w:val="24"/>
          <w:szCs w:val="24"/>
          <w:highlight w:val="none"/>
          <w:lang w:val="en-US" w:eastAsia="zh-CN" w:bidi="ar"/>
        </w:rPr>
        <w:t xml:space="preserve">） </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3B7477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315C4CA3">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006E416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2"/>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8、授权委托书</w:t>
      </w:r>
      <w:bookmarkEnd w:id="282"/>
      <w:r>
        <w:rPr>
          <w:rFonts w:hint="eastAsia" w:ascii="仿宋" w:hAnsi="仿宋" w:eastAsia="仿宋" w:cs="仿宋"/>
          <w:color w:val="000000"/>
          <w:kern w:val="0"/>
          <w:sz w:val="24"/>
          <w:szCs w:val="24"/>
          <w:highlight w:val="none"/>
          <w:lang w:val="en-US" w:eastAsia="zh-CN" w:bidi="ar"/>
        </w:rPr>
        <w:t xml:space="preserve"> </w:t>
      </w:r>
    </w:p>
    <w:p w14:paraId="253EB183">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kern w:val="0"/>
          <w:sz w:val="32"/>
          <w:szCs w:val="32"/>
          <w:highlight w:val="none"/>
          <w:lang w:val="en-US" w:eastAsia="zh-CN" w:bidi="ar"/>
        </w:rPr>
      </w:pPr>
    </w:p>
    <w:p w14:paraId="775CA99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授权委托书</w:t>
      </w:r>
    </w:p>
    <w:p w14:paraId="0B47ADD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本人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（姓名）系</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（供应商名称）的法定代表人（单位负责人），现委托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000000"/>
          <w:kern w:val="0"/>
          <w:sz w:val="24"/>
          <w:szCs w:val="24"/>
          <w:highlight w:val="none"/>
          <w:u w:val="single"/>
          <w:lang w:val="en-US" w:eastAsia="zh-CN" w:bidi="ar"/>
        </w:rPr>
        <w:t xml:space="preserve">           （项目名称）</w:t>
      </w:r>
      <w:r>
        <w:rPr>
          <w:rFonts w:hint="eastAsia" w:ascii="仿宋" w:hAnsi="仿宋" w:eastAsia="仿宋" w:cs="仿宋"/>
          <w:color w:val="000000"/>
          <w:kern w:val="0"/>
          <w:sz w:val="24"/>
          <w:szCs w:val="24"/>
          <w:highlight w:val="none"/>
          <w:lang w:val="en-US" w:eastAsia="zh-CN" w:bidi="ar"/>
        </w:rPr>
        <w:t xml:space="preserve">响应文件和处理有关事宜，其法律后果由我方承担。 </w:t>
      </w:r>
    </w:p>
    <w:p w14:paraId="5B90B8C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委托期限：自本授权委托书签署之日起至响应有效期届满之日止。 </w:t>
      </w:r>
    </w:p>
    <w:p w14:paraId="1BF35E7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代理人无转委托权。 </w:t>
      </w:r>
    </w:p>
    <w:p w14:paraId="5CCF456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62E27A2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供应商名称（</w:t>
      </w:r>
      <w:r>
        <w:rPr>
          <w:rFonts w:hint="eastAsia" w:ascii="仿宋" w:hAnsi="仿宋" w:eastAsia="仿宋" w:cs="仿宋"/>
          <w:sz w:val="24"/>
          <w:highlight w:val="none"/>
          <w:lang w:val="en-US" w:eastAsia="zh-CN"/>
        </w:rPr>
        <w:t>电子印章</w:t>
      </w: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1C9420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法定代表人（单位负责人）（签字或</w:t>
      </w:r>
      <w:r>
        <w:rPr>
          <w:rFonts w:hint="eastAsia" w:ascii="仿宋" w:hAnsi="仿宋" w:eastAsia="仿宋" w:cs="仿宋"/>
          <w:sz w:val="24"/>
          <w:highlight w:val="none"/>
          <w:lang w:val="en-US" w:eastAsia="zh-CN"/>
        </w:rPr>
        <w:t>电子印章</w:t>
      </w: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D113C4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委托代理人（签字/签章）：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35AB64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5310FB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379D8A6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D31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312B69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c>
          <w:tcPr>
            <w:tcW w:w="4261" w:type="dxa"/>
          </w:tcPr>
          <w:p w14:paraId="5F57092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r>
    </w:tbl>
    <w:p w14:paraId="36CC5AF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委托代理人有效期内的身份证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4AE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1A4BAB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c>
          <w:tcPr>
            <w:tcW w:w="4261" w:type="dxa"/>
          </w:tcPr>
          <w:p w14:paraId="564D933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r>
    </w:tbl>
    <w:p w14:paraId="438B62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说明：1.若供应商为事业单位或其他组织或分支机构（仅当采购文件注明允许分支机构投标的），则法定代表人（单位负责人）处的签署人可为单位负责人。 </w:t>
      </w:r>
    </w:p>
    <w:p w14:paraId="0DD3B5F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2.若响应文件中签字之处均为法定代表人（单位负责人）本人签署，则可不提供本《授权委托书》，但须提供《法定代表人（单位负责人）身份证明》。 </w:t>
      </w:r>
    </w:p>
    <w:p w14:paraId="68DAC48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4"/>
          <w:szCs w:val="24"/>
          <w:highlight w:val="none"/>
        </w:rPr>
      </w:pPr>
      <w:bookmarkStart w:id="285" w:name="_Toc24165"/>
      <w:r>
        <w:rPr>
          <w:rFonts w:hint="eastAsia" w:ascii="仿宋" w:hAnsi="仿宋" w:eastAsia="仿宋" w:cs="仿宋"/>
          <w:color w:val="000000"/>
          <w:kern w:val="0"/>
          <w:sz w:val="24"/>
          <w:szCs w:val="24"/>
          <w:highlight w:val="none"/>
          <w:lang w:val="en-US" w:eastAsia="zh-CN" w:bidi="ar"/>
        </w:rPr>
        <w:t>3.供应商为自然人的情形，可不提供本《授权委托书》。</w:t>
      </w:r>
      <w:bookmarkEnd w:id="285"/>
    </w:p>
    <w:p w14:paraId="1A994A54">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19EF098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lang w:val="en-US" w:eastAsia="zh-CN" w:bidi="ar"/>
        </w:rPr>
        <w:t>附：法定代表人（单位负责人）身份证明</w:t>
      </w:r>
    </w:p>
    <w:p w14:paraId="64E7F6C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6503867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 xml:space="preserve">（采购人或采购代理机构） </w:t>
      </w:r>
    </w:p>
    <w:p w14:paraId="0C3E7BD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兹证明， </w:t>
      </w:r>
    </w:p>
    <w:p w14:paraId="1F3B99B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kern w:val="0"/>
          <w:sz w:val="24"/>
          <w:szCs w:val="24"/>
          <w:highlight w:val="none"/>
          <w:u w:val="single"/>
          <w:lang w:val="en-US" w:eastAsia="zh-CN" w:bidi="ar"/>
        </w:rPr>
      </w:pPr>
      <w:r>
        <w:rPr>
          <w:rFonts w:hint="eastAsia" w:ascii="仿宋" w:hAnsi="仿宋" w:eastAsia="仿宋" w:cs="仿宋"/>
          <w:color w:val="000000"/>
          <w:kern w:val="0"/>
          <w:sz w:val="24"/>
          <w:szCs w:val="24"/>
          <w:highlight w:val="none"/>
          <w:lang w:val="en-US" w:eastAsia="zh-CN" w:bidi="ar"/>
        </w:rPr>
        <w:t>姓名：</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性别：</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年龄：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职务：</w:t>
      </w:r>
      <w:r>
        <w:rPr>
          <w:rFonts w:hint="eastAsia" w:ascii="仿宋" w:hAnsi="仿宋" w:eastAsia="仿宋" w:cs="仿宋"/>
          <w:color w:val="000000"/>
          <w:kern w:val="0"/>
          <w:sz w:val="24"/>
          <w:szCs w:val="24"/>
          <w:highlight w:val="none"/>
          <w:u w:val="single"/>
          <w:lang w:val="en-US" w:eastAsia="zh-CN" w:bidi="ar"/>
        </w:rPr>
        <w:t xml:space="preserve">     </w:t>
      </w:r>
    </w:p>
    <w:p w14:paraId="48354A1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系</w:t>
      </w:r>
      <w:r>
        <w:rPr>
          <w:rFonts w:hint="eastAsia" w:ascii="仿宋" w:hAnsi="仿宋" w:eastAsia="仿宋" w:cs="仿宋"/>
          <w:color w:val="000000"/>
          <w:kern w:val="0"/>
          <w:sz w:val="24"/>
          <w:szCs w:val="24"/>
          <w:highlight w:val="none"/>
          <w:u w:val="single"/>
          <w:lang w:val="en-US" w:eastAsia="zh-CN" w:bidi="ar"/>
        </w:rPr>
        <w:t xml:space="preserve">       （供应商名称）</w:t>
      </w:r>
      <w:r>
        <w:rPr>
          <w:rFonts w:hint="eastAsia" w:ascii="仿宋" w:hAnsi="仿宋" w:eastAsia="仿宋" w:cs="仿宋"/>
          <w:color w:val="000000"/>
          <w:kern w:val="0"/>
          <w:sz w:val="24"/>
          <w:szCs w:val="24"/>
          <w:highlight w:val="none"/>
          <w:lang w:val="en-US" w:eastAsia="zh-CN" w:bidi="ar"/>
        </w:rPr>
        <w:t xml:space="preserve">的法定代表人（单位负责人）。 </w:t>
      </w:r>
    </w:p>
    <w:p w14:paraId="0297728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1DF190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23BD469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附：法定代表人（单位负责人）有效期内的身份证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5EE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4AAD41C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4261" w:type="dxa"/>
          </w:tcPr>
          <w:p w14:paraId="53AFAD3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bl>
    <w:p w14:paraId="5EFC853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1E2A1F9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3A4181F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供应商名称（</w:t>
      </w:r>
      <w:r>
        <w:rPr>
          <w:rFonts w:hint="eastAsia" w:ascii="仿宋" w:hAnsi="仿宋" w:eastAsia="仿宋" w:cs="仿宋"/>
          <w:sz w:val="24"/>
          <w:highlight w:val="none"/>
          <w:lang w:val="en-US" w:eastAsia="zh-CN"/>
        </w:rPr>
        <w:t>电子印章</w:t>
      </w: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40362B3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法定代表人（单位负责人）（签字或</w:t>
      </w:r>
      <w:r>
        <w:rPr>
          <w:rFonts w:hint="eastAsia" w:ascii="仿宋" w:hAnsi="仿宋" w:eastAsia="仿宋" w:cs="仿宋"/>
          <w:sz w:val="24"/>
          <w:highlight w:val="none"/>
          <w:lang w:val="en-US" w:eastAsia="zh-CN"/>
        </w:rPr>
        <w:t>电子印章</w:t>
      </w: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670E754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0A630EF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77D6E9E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7420DD60">
      <w:pPr>
        <w:keepNext w:val="0"/>
        <w:keepLines w:val="0"/>
        <w:widowControl/>
        <w:suppressLineNumbers w:val="0"/>
        <w:jc w:val="left"/>
        <w:outlineLvl w:val="2"/>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9、磋商保证金凭证/交款单据电子件</w:t>
      </w:r>
    </w:p>
    <w:p w14:paraId="71FF24DD">
      <w:pPr>
        <w:rPr>
          <w:rFonts w:hint="eastAsia" w:ascii="仿宋" w:hAnsi="仿宋" w:eastAsia="仿宋" w:cs="仿宋"/>
          <w:highlight w:val="none"/>
        </w:rPr>
      </w:pPr>
      <w:r>
        <w:rPr>
          <w:rFonts w:hint="eastAsia" w:ascii="仿宋" w:hAnsi="仿宋" w:eastAsia="仿宋" w:cs="仿宋"/>
          <w:highlight w:val="none"/>
        </w:rPr>
        <w:br w:type="page"/>
      </w:r>
    </w:p>
    <w:p w14:paraId="2123F04B">
      <w:pPr>
        <w:pStyle w:val="17"/>
        <w:ind w:left="0" w:leftChars="0" w:firstLine="0" w:firstLineChars="0"/>
        <w:jc w:val="left"/>
        <w:outlineLvl w:val="2"/>
        <w:rPr>
          <w:rFonts w:hint="eastAsia" w:ascii="仿宋" w:hAnsi="仿宋" w:eastAsia="仿宋" w:cs="仿宋"/>
          <w:color w:val="auto"/>
          <w:sz w:val="32"/>
          <w:szCs w:val="32"/>
          <w:highlight w:val="none"/>
          <w:lang w:val="en-US" w:eastAsia="zh-CN"/>
        </w:rPr>
      </w:pPr>
      <w:bookmarkStart w:id="286" w:name="_Toc6119"/>
      <w:r>
        <w:rPr>
          <w:rFonts w:hint="eastAsia" w:ascii="仿宋" w:hAnsi="仿宋" w:eastAsia="仿宋" w:cs="仿宋"/>
          <w:b/>
          <w:bCs/>
          <w:color w:val="auto"/>
          <w:sz w:val="24"/>
          <w:szCs w:val="24"/>
          <w:highlight w:val="none"/>
          <w:lang w:val="en-US" w:eastAsia="zh-CN"/>
        </w:rPr>
        <w:t>10、合同条款偏离表</w:t>
      </w:r>
      <w:bookmarkEnd w:id="286"/>
    </w:p>
    <w:p w14:paraId="23E2F951">
      <w:pPr>
        <w:pStyle w:val="17"/>
        <w:ind w:left="0" w:leftChars="0" w:firstLine="0" w:firstLineChars="0"/>
        <w:jc w:val="center"/>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合同条款偏离表</w:t>
      </w:r>
    </w:p>
    <w:p w14:paraId="7D64C2B3">
      <w:pPr>
        <w:rPr>
          <w:rFonts w:hint="eastAsia" w:ascii="仿宋" w:hAnsi="仿宋" w:eastAsia="仿宋" w:cs="仿宋"/>
          <w:color w:val="auto"/>
          <w:highlight w:val="none"/>
          <w:lang w:val="en-US" w:eastAsia="zh-CN"/>
        </w:rPr>
      </w:pPr>
    </w:p>
    <w:p w14:paraId="5CE18EF5">
      <w:pPr>
        <w:pStyle w:val="17"/>
        <w:ind w:left="0" w:leftChars="0" w:firstLine="0" w:firstLineChars="0"/>
        <w:jc w:val="left"/>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项目编号</w:t>
      </w:r>
      <w:r>
        <w:rPr>
          <w:rFonts w:hint="eastAsia" w:ascii="仿宋" w:hAnsi="仿宋" w:eastAsia="仿宋" w:cs="仿宋"/>
          <w:color w:val="auto"/>
          <w:highlight w:val="none"/>
          <w:u w:val="single"/>
          <w:lang w:val="en-US" w:eastAsia="zh-CN"/>
        </w:rPr>
        <w:t xml:space="preserve">                        </w:t>
      </w:r>
    </w:p>
    <w:p w14:paraId="172CD3C2">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5F94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6904DEBC">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对本项目合同条款的偏离情况（请进行勾选）：</w:t>
            </w:r>
          </w:p>
          <w:p w14:paraId="6B6C08E3">
            <w:pPr>
              <w:keepNext w:val="0"/>
              <w:keepLines w:val="0"/>
              <w:widowControl/>
              <w:suppressLineNumbers w:val="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无偏离</w:t>
            </w:r>
            <w:r>
              <w:rPr>
                <w:rFonts w:hint="eastAsia" w:ascii="仿宋" w:hAnsi="仿宋" w:eastAsia="仿宋" w:cs="仿宋"/>
                <w:color w:val="auto"/>
                <w:sz w:val="24"/>
                <w:szCs w:val="24"/>
                <w:highlight w:val="none"/>
                <w:vertAlign w:val="baseline"/>
                <w:lang w:val="en-US" w:eastAsia="zh-CN"/>
              </w:rPr>
              <w:t>（如无偏离，仅勾选无偏离即可</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sz w:val="24"/>
                <w:szCs w:val="24"/>
                <w:highlight w:val="none"/>
                <w:vertAlign w:val="baseline"/>
                <w:lang w:val="en-US" w:eastAsia="zh-CN"/>
              </w:rPr>
              <w:t xml:space="preserve">无偏离即为对合同条款中的所有要求， </w:t>
            </w:r>
          </w:p>
          <w:p w14:paraId="51623202">
            <w:pPr>
              <w:keepNext w:val="0"/>
              <w:keepLines w:val="0"/>
              <w:widowControl/>
              <w:suppressLineNumbers w:val="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均视作供应商已对之理解和响应。）</w:t>
            </w:r>
          </w:p>
          <w:p w14:paraId="40C37085">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有偏离</w:t>
            </w:r>
            <w:r>
              <w:rPr>
                <w:rFonts w:hint="eastAsia" w:ascii="仿宋" w:hAnsi="仿宋" w:eastAsia="仿宋" w:cs="仿宋"/>
                <w:color w:val="auto"/>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1B49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76BECFD">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1" w:type="dxa"/>
            <w:vAlign w:val="center"/>
          </w:tcPr>
          <w:p w14:paraId="3BA78FC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w:t>
            </w:r>
          </w:p>
          <w:p w14:paraId="089BF365">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条目号</w:t>
            </w:r>
          </w:p>
          <w:p w14:paraId="3E1F5C9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（页码）</w:t>
            </w:r>
          </w:p>
        </w:tc>
        <w:tc>
          <w:tcPr>
            <w:tcW w:w="1901" w:type="dxa"/>
            <w:vAlign w:val="center"/>
          </w:tcPr>
          <w:p w14:paraId="0DA37C0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753" w:type="dxa"/>
            <w:vAlign w:val="center"/>
          </w:tcPr>
          <w:p w14:paraId="63ED4101">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投标文件内容</w:t>
            </w:r>
          </w:p>
        </w:tc>
        <w:tc>
          <w:tcPr>
            <w:tcW w:w="1561" w:type="dxa"/>
            <w:vAlign w:val="center"/>
          </w:tcPr>
          <w:p w14:paraId="501286C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052" w:type="dxa"/>
            <w:vAlign w:val="center"/>
          </w:tcPr>
          <w:p w14:paraId="3661F001">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675C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1BB9A3BE">
            <w:pPr>
              <w:rPr>
                <w:rFonts w:hint="eastAsia" w:ascii="仿宋" w:hAnsi="仿宋" w:eastAsia="仿宋" w:cs="仿宋"/>
                <w:color w:val="auto"/>
                <w:sz w:val="24"/>
                <w:szCs w:val="24"/>
                <w:highlight w:val="none"/>
                <w:vertAlign w:val="baseline"/>
                <w:lang w:val="en-US" w:eastAsia="zh-CN"/>
              </w:rPr>
            </w:pPr>
          </w:p>
        </w:tc>
        <w:tc>
          <w:tcPr>
            <w:tcW w:w="1421" w:type="dxa"/>
          </w:tcPr>
          <w:p w14:paraId="3DF1541E">
            <w:pPr>
              <w:rPr>
                <w:rFonts w:hint="eastAsia" w:ascii="仿宋" w:hAnsi="仿宋" w:eastAsia="仿宋" w:cs="仿宋"/>
                <w:color w:val="auto"/>
                <w:sz w:val="24"/>
                <w:szCs w:val="24"/>
                <w:highlight w:val="none"/>
                <w:vertAlign w:val="baseline"/>
                <w:lang w:val="en-US" w:eastAsia="zh-CN"/>
              </w:rPr>
            </w:pPr>
          </w:p>
        </w:tc>
        <w:tc>
          <w:tcPr>
            <w:tcW w:w="1901" w:type="dxa"/>
          </w:tcPr>
          <w:p w14:paraId="187B1733">
            <w:pPr>
              <w:rPr>
                <w:rFonts w:hint="eastAsia" w:ascii="仿宋" w:hAnsi="仿宋" w:eastAsia="仿宋" w:cs="仿宋"/>
                <w:color w:val="auto"/>
                <w:sz w:val="24"/>
                <w:szCs w:val="24"/>
                <w:highlight w:val="none"/>
                <w:vertAlign w:val="baseline"/>
                <w:lang w:val="en-US" w:eastAsia="zh-CN"/>
              </w:rPr>
            </w:pPr>
          </w:p>
        </w:tc>
        <w:tc>
          <w:tcPr>
            <w:tcW w:w="1753" w:type="dxa"/>
          </w:tcPr>
          <w:p w14:paraId="7F4C3B84">
            <w:pPr>
              <w:rPr>
                <w:rFonts w:hint="eastAsia" w:ascii="仿宋" w:hAnsi="仿宋" w:eastAsia="仿宋" w:cs="仿宋"/>
                <w:color w:val="auto"/>
                <w:sz w:val="24"/>
                <w:szCs w:val="24"/>
                <w:highlight w:val="none"/>
                <w:vertAlign w:val="baseline"/>
                <w:lang w:val="en-US" w:eastAsia="zh-CN"/>
              </w:rPr>
            </w:pPr>
          </w:p>
        </w:tc>
        <w:tc>
          <w:tcPr>
            <w:tcW w:w="1561" w:type="dxa"/>
          </w:tcPr>
          <w:p w14:paraId="75D5E495">
            <w:pPr>
              <w:rPr>
                <w:rFonts w:hint="eastAsia" w:ascii="仿宋" w:hAnsi="仿宋" w:eastAsia="仿宋" w:cs="仿宋"/>
                <w:color w:val="auto"/>
                <w:sz w:val="24"/>
                <w:szCs w:val="24"/>
                <w:highlight w:val="none"/>
                <w:vertAlign w:val="baseline"/>
                <w:lang w:val="en-US" w:eastAsia="zh-CN"/>
              </w:rPr>
            </w:pPr>
          </w:p>
        </w:tc>
        <w:tc>
          <w:tcPr>
            <w:tcW w:w="1052" w:type="dxa"/>
          </w:tcPr>
          <w:p w14:paraId="051BDE1C">
            <w:pPr>
              <w:rPr>
                <w:rFonts w:hint="eastAsia" w:ascii="仿宋" w:hAnsi="仿宋" w:eastAsia="仿宋" w:cs="仿宋"/>
                <w:color w:val="auto"/>
                <w:sz w:val="24"/>
                <w:szCs w:val="24"/>
                <w:highlight w:val="none"/>
                <w:vertAlign w:val="baseline"/>
                <w:lang w:val="en-US" w:eastAsia="zh-CN"/>
              </w:rPr>
            </w:pPr>
          </w:p>
        </w:tc>
      </w:tr>
      <w:tr w14:paraId="2A60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75DE93F4">
            <w:pPr>
              <w:rPr>
                <w:rFonts w:hint="eastAsia" w:ascii="仿宋" w:hAnsi="仿宋" w:eastAsia="仿宋" w:cs="仿宋"/>
                <w:color w:val="auto"/>
                <w:sz w:val="24"/>
                <w:szCs w:val="24"/>
                <w:highlight w:val="none"/>
                <w:vertAlign w:val="baseline"/>
                <w:lang w:val="en-US" w:eastAsia="zh-CN"/>
              </w:rPr>
            </w:pPr>
          </w:p>
        </w:tc>
        <w:tc>
          <w:tcPr>
            <w:tcW w:w="1421" w:type="dxa"/>
          </w:tcPr>
          <w:p w14:paraId="45955BB6">
            <w:pPr>
              <w:rPr>
                <w:rFonts w:hint="eastAsia" w:ascii="仿宋" w:hAnsi="仿宋" w:eastAsia="仿宋" w:cs="仿宋"/>
                <w:color w:val="auto"/>
                <w:sz w:val="24"/>
                <w:szCs w:val="24"/>
                <w:highlight w:val="none"/>
                <w:vertAlign w:val="baseline"/>
                <w:lang w:val="en-US" w:eastAsia="zh-CN"/>
              </w:rPr>
            </w:pPr>
          </w:p>
        </w:tc>
        <w:tc>
          <w:tcPr>
            <w:tcW w:w="1901" w:type="dxa"/>
          </w:tcPr>
          <w:p w14:paraId="14359C04">
            <w:pPr>
              <w:rPr>
                <w:rFonts w:hint="eastAsia" w:ascii="仿宋" w:hAnsi="仿宋" w:eastAsia="仿宋" w:cs="仿宋"/>
                <w:color w:val="auto"/>
                <w:sz w:val="24"/>
                <w:szCs w:val="24"/>
                <w:highlight w:val="none"/>
                <w:vertAlign w:val="baseline"/>
                <w:lang w:val="en-US" w:eastAsia="zh-CN"/>
              </w:rPr>
            </w:pPr>
          </w:p>
        </w:tc>
        <w:tc>
          <w:tcPr>
            <w:tcW w:w="1753" w:type="dxa"/>
          </w:tcPr>
          <w:p w14:paraId="48D999F5">
            <w:pPr>
              <w:rPr>
                <w:rFonts w:hint="eastAsia" w:ascii="仿宋" w:hAnsi="仿宋" w:eastAsia="仿宋" w:cs="仿宋"/>
                <w:color w:val="auto"/>
                <w:sz w:val="24"/>
                <w:szCs w:val="24"/>
                <w:highlight w:val="none"/>
                <w:vertAlign w:val="baseline"/>
                <w:lang w:val="en-US" w:eastAsia="zh-CN"/>
              </w:rPr>
            </w:pPr>
          </w:p>
        </w:tc>
        <w:tc>
          <w:tcPr>
            <w:tcW w:w="1561" w:type="dxa"/>
          </w:tcPr>
          <w:p w14:paraId="67C79EA9">
            <w:pPr>
              <w:rPr>
                <w:rFonts w:hint="eastAsia" w:ascii="仿宋" w:hAnsi="仿宋" w:eastAsia="仿宋" w:cs="仿宋"/>
                <w:color w:val="auto"/>
                <w:sz w:val="24"/>
                <w:szCs w:val="24"/>
                <w:highlight w:val="none"/>
                <w:vertAlign w:val="baseline"/>
                <w:lang w:val="en-US" w:eastAsia="zh-CN"/>
              </w:rPr>
            </w:pPr>
          </w:p>
        </w:tc>
        <w:tc>
          <w:tcPr>
            <w:tcW w:w="1052" w:type="dxa"/>
          </w:tcPr>
          <w:p w14:paraId="23664EE1">
            <w:pPr>
              <w:rPr>
                <w:rFonts w:hint="eastAsia" w:ascii="仿宋" w:hAnsi="仿宋" w:eastAsia="仿宋" w:cs="仿宋"/>
                <w:color w:val="auto"/>
                <w:sz w:val="24"/>
                <w:szCs w:val="24"/>
                <w:highlight w:val="none"/>
                <w:vertAlign w:val="baseline"/>
                <w:lang w:val="en-US" w:eastAsia="zh-CN"/>
              </w:rPr>
            </w:pPr>
          </w:p>
        </w:tc>
      </w:tr>
      <w:tr w14:paraId="499C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3F7943DD">
            <w:pPr>
              <w:rPr>
                <w:rFonts w:hint="eastAsia" w:ascii="仿宋" w:hAnsi="仿宋" w:eastAsia="仿宋" w:cs="仿宋"/>
                <w:color w:val="auto"/>
                <w:sz w:val="24"/>
                <w:szCs w:val="24"/>
                <w:highlight w:val="none"/>
                <w:vertAlign w:val="baseline"/>
                <w:lang w:val="en-US" w:eastAsia="zh-CN"/>
              </w:rPr>
            </w:pPr>
          </w:p>
        </w:tc>
        <w:tc>
          <w:tcPr>
            <w:tcW w:w="1421" w:type="dxa"/>
          </w:tcPr>
          <w:p w14:paraId="5B69781E">
            <w:pPr>
              <w:rPr>
                <w:rFonts w:hint="eastAsia" w:ascii="仿宋" w:hAnsi="仿宋" w:eastAsia="仿宋" w:cs="仿宋"/>
                <w:color w:val="auto"/>
                <w:sz w:val="24"/>
                <w:szCs w:val="24"/>
                <w:highlight w:val="none"/>
                <w:vertAlign w:val="baseline"/>
                <w:lang w:val="en-US" w:eastAsia="zh-CN"/>
              </w:rPr>
            </w:pPr>
          </w:p>
        </w:tc>
        <w:tc>
          <w:tcPr>
            <w:tcW w:w="1901" w:type="dxa"/>
          </w:tcPr>
          <w:p w14:paraId="1D33B5AF">
            <w:pPr>
              <w:rPr>
                <w:rFonts w:hint="eastAsia" w:ascii="仿宋" w:hAnsi="仿宋" w:eastAsia="仿宋" w:cs="仿宋"/>
                <w:color w:val="auto"/>
                <w:sz w:val="24"/>
                <w:szCs w:val="24"/>
                <w:highlight w:val="none"/>
                <w:vertAlign w:val="baseline"/>
                <w:lang w:val="en-US" w:eastAsia="zh-CN"/>
              </w:rPr>
            </w:pPr>
          </w:p>
        </w:tc>
        <w:tc>
          <w:tcPr>
            <w:tcW w:w="1753" w:type="dxa"/>
          </w:tcPr>
          <w:p w14:paraId="5CFC706C">
            <w:pPr>
              <w:rPr>
                <w:rFonts w:hint="eastAsia" w:ascii="仿宋" w:hAnsi="仿宋" w:eastAsia="仿宋" w:cs="仿宋"/>
                <w:color w:val="auto"/>
                <w:sz w:val="24"/>
                <w:szCs w:val="24"/>
                <w:highlight w:val="none"/>
                <w:vertAlign w:val="baseline"/>
                <w:lang w:val="en-US" w:eastAsia="zh-CN"/>
              </w:rPr>
            </w:pPr>
          </w:p>
        </w:tc>
        <w:tc>
          <w:tcPr>
            <w:tcW w:w="1561" w:type="dxa"/>
          </w:tcPr>
          <w:p w14:paraId="5148A8A1">
            <w:pPr>
              <w:rPr>
                <w:rFonts w:hint="eastAsia" w:ascii="仿宋" w:hAnsi="仿宋" w:eastAsia="仿宋" w:cs="仿宋"/>
                <w:color w:val="auto"/>
                <w:sz w:val="24"/>
                <w:szCs w:val="24"/>
                <w:highlight w:val="none"/>
                <w:vertAlign w:val="baseline"/>
                <w:lang w:val="en-US" w:eastAsia="zh-CN"/>
              </w:rPr>
            </w:pPr>
          </w:p>
        </w:tc>
        <w:tc>
          <w:tcPr>
            <w:tcW w:w="1052" w:type="dxa"/>
          </w:tcPr>
          <w:p w14:paraId="4DA8323F">
            <w:pPr>
              <w:rPr>
                <w:rFonts w:hint="eastAsia" w:ascii="仿宋" w:hAnsi="仿宋" w:eastAsia="仿宋" w:cs="仿宋"/>
                <w:color w:val="auto"/>
                <w:sz w:val="24"/>
                <w:szCs w:val="24"/>
                <w:highlight w:val="none"/>
                <w:vertAlign w:val="baseline"/>
                <w:lang w:val="en-US" w:eastAsia="zh-CN"/>
              </w:rPr>
            </w:pPr>
          </w:p>
        </w:tc>
      </w:tr>
      <w:tr w14:paraId="3B3B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27ED1598">
            <w:pPr>
              <w:rPr>
                <w:rFonts w:hint="eastAsia" w:ascii="仿宋" w:hAnsi="仿宋" w:eastAsia="仿宋" w:cs="仿宋"/>
                <w:color w:val="auto"/>
                <w:sz w:val="24"/>
                <w:szCs w:val="24"/>
                <w:highlight w:val="none"/>
                <w:vertAlign w:val="baseline"/>
                <w:lang w:val="en-US" w:eastAsia="zh-CN"/>
              </w:rPr>
            </w:pPr>
          </w:p>
        </w:tc>
        <w:tc>
          <w:tcPr>
            <w:tcW w:w="1421" w:type="dxa"/>
          </w:tcPr>
          <w:p w14:paraId="06B5254A">
            <w:pPr>
              <w:rPr>
                <w:rFonts w:hint="eastAsia" w:ascii="仿宋" w:hAnsi="仿宋" w:eastAsia="仿宋" w:cs="仿宋"/>
                <w:color w:val="auto"/>
                <w:sz w:val="24"/>
                <w:szCs w:val="24"/>
                <w:highlight w:val="none"/>
                <w:vertAlign w:val="baseline"/>
                <w:lang w:val="en-US" w:eastAsia="zh-CN"/>
              </w:rPr>
            </w:pPr>
          </w:p>
        </w:tc>
        <w:tc>
          <w:tcPr>
            <w:tcW w:w="1901" w:type="dxa"/>
          </w:tcPr>
          <w:p w14:paraId="748D7152">
            <w:pPr>
              <w:rPr>
                <w:rFonts w:hint="eastAsia" w:ascii="仿宋" w:hAnsi="仿宋" w:eastAsia="仿宋" w:cs="仿宋"/>
                <w:color w:val="auto"/>
                <w:sz w:val="24"/>
                <w:szCs w:val="24"/>
                <w:highlight w:val="none"/>
                <w:vertAlign w:val="baseline"/>
                <w:lang w:val="en-US" w:eastAsia="zh-CN"/>
              </w:rPr>
            </w:pPr>
          </w:p>
        </w:tc>
        <w:tc>
          <w:tcPr>
            <w:tcW w:w="1753" w:type="dxa"/>
          </w:tcPr>
          <w:p w14:paraId="6685DAC3">
            <w:pPr>
              <w:rPr>
                <w:rFonts w:hint="eastAsia" w:ascii="仿宋" w:hAnsi="仿宋" w:eastAsia="仿宋" w:cs="仿宋"/>
                <w:color w:val="auto"/>
                <w:sz w:val="24"/>
                <w:szCs w:val="24"/>
                <w:highlight w:val="none"/>
                <w:vertAlign w:val="baseline"/>
                <w:lang w:val="en-US" w:eastAsia="zh-CN"/>
              </w:rPr>
            </w:pPr>
          </w:p>
        </w:tc>
        <w:tc>
          <w:tcPr>
            <w:tcW w:w="1561" w:type="dxa"/>
          </w:tcPr>
          <w:p w14:paraId="5F4A7D95">
            <w:pPr>
              <w:rPr>
                <w:rFonts w:hint="eastAsia" w:ascii="仿宋" w:hAnsi="仿宋" w:eastAsia="仿宋" w:cs="仿宋"/>
                <w:color w:val="auto"/>
                <w:sz w:val="24"/>
                <w:szCs w:val="24"/>
                <w:highlight w:val="none"/>
                <w:vertAlign w:val="baseline"/>
                <w:lang w:val="en-US" w:eastAsia="zh-CN"/>
              </w:rPr>
            </w:pPr>
          </w:p>
        </w:tc>
        <w:tc>
          <w:tcPr>
            <w:tcW w:w="1052" w:type="dxa"/>
          </w:tcPr>
          <w:p w14:paraId="0F8163A7">
            <w:pPr>
              <w:rPr>
                <w:rFonts w:hint="eastAsia" w:ascii="仿宋" w:hAnsi="仿宋" w:eastAsia="仿宋" w:cs="仿宋"/>
                <w:color w:val="auto"/>
                <w:sz w:val="24"/>
                <w:szCs w:val="24"/>
                <w:highlight w:val="none"/>
                <w:vertAlign w:val="baseline"/>
                <w:lang w:val="en-US" w:eastAsia="zh-CN"/>
              </w:rPr>
            </w:pPr>
          </w:p>
        </w:tc>
      </w:tr>
      <w:tr w14:paraId="7AD1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05B22934">
            <w:pPr>
              <w:rPr>
                <w:rFonts w:hint="eastAsia" w:ascii="仿宋" w:hAnsi="仿宋" w:eastAsia="仿宋" w:cs="仿宋"/>
                <w:color w:val="auto"/>
                <w:sz w:val="24"/>
                <w:szCs w:val="24"/>
                <w:highlight w:val="none"/>
                <w:vertAlign w:val="baseline"/>
                <w:lang w:val="en-US" w:eastAsia="zh-CN"/>
              </w:rPr>
            </w:pPr>
          </w:p>
        </w:tc>
        <w:tc>
          <w:tcPr>
            <w:tcW w:w="1421" w:type="dxa"/>
          </w:tcPr>
          <w:p w14:paraId="7943DEA4">
            <w:pPr>
              <w:rPr>
                <w:rFonts w:hint="eastAsia" w:ascii="仿宋" w:hAnsi="仿宋" w:eastAsia="仿宋" w:cs="仿宋"/>
                <w:color w:val="auto"/>
                <w:sz w:val="24"/>
                <w:szCs w:val="24"/>
                <w:highlight w:val="none"/>
                <w:vertAlign w:val="baseline"/>
                <w:lang w:val="en-US" w:eastAsia="zh-CN"/>
              </w:rPr>
            </w:pPr>
          </w:p>
        </w:tc>
        <w:tc>
          <w:tcPr>
            <w:tcW w:w="1901" w:type="dxa"/>
          </w:tcPr>
          <w:p w14:paraId="31DD6279">
            <w:pPr>
              <w:rPr>
                <w:rFonts w:hint="eastAsia" w:ascii="仿宋" w:hAnsi="仿宋" w:eastAsia="仿宋" w:cs="仿宋"/>
                <w:color w:val="auto"/>
                <w:sz w:val="24"/>
                <w:szCs w:val="24"/>
                <w:highlight w:val="none"/>
                <w:vertAlign w:val="baseline"/>
                <w:lang w:val="en-US" w:eastAsia="zh-CN"/>
              </w:rPr>
            </w:pPr>
          </w:p>
        </w:tc>
        <w:tc>
          <w:tcPr>
            <w:tcW w:w="1753" w:type="dxa"/>
          </w:tcPr>
          <w:p w14:paraId="227BA9A4">
            <w:pPr>
              <w:rPr>
                <w:rFonts w:hint="eastAsia" w:ascii="仿宋" w:hAnsi="仿宋" w:eastAsia="仿宋" w:cs="仿宋"/>
                <w:color w:val="auto"/>
                <w:sz w:val="24"/>
                <w:szCs w:val="24"/>
                <w:highlight w:val="none"/>
                <w:vertAlign w:val="baseline"/>
                <w:lang w:val="en-US" w:eastAsia="zh-CN"/>
              </w:rPr>
            </w:pPr>
          </w:p>
        </w:tc>
        <w:tc>
          <w:tcPr>
            <w:tcW w:w="1561" w:type="dxa"/>
          </w:tcPr>
          <w:p w14:paraId="480BDD4D">
            <w:pPr>
              <w:rPr>
                <w:rFonts w:hint="eastAsia" w:ascii="仿宋" w:hAnsi="仿宋" w:eastAsia="仿宋" w:cs="仿宋"/>
                <w:color w:val="auto"/>
                <w:sz w:val="24"/>
                <w:szCs w:val="24"/>
                <w:highlight w:val="none"/>
                <w:vertAlign w:val="baseline"/>
                <w:lang w:val="en-US" w:eastAsia="zh-CN"/>
              </w:rPr>
            </w:pPr>
          </w:p>
        </w:tc>
        <w:tc>
          <w:tcPr>
            <w:tcW w:w="1052" w:type="dxa"/>
          </w:tcPr>
          <w:p w14:paraId="4E38C906">
            <w:pPr>
              <w:rPr>
                <w:rFonts w:hint="eastAsia" w:ascii="仿宋" w:hAnsi="仿宋" w:eastAsia="仿宋" w:cs="仿宋"/>
                <w:color w:val="auto"/>
                <w:sz w:val="24"/>
                <w:szCs w:val="24"/>
                <w:highlight w:val="none"/>
                <w:vertAlign w:val="baseline"/>
                <w:lang w:val="en-US" w:eastAsia="zh-CN"/>
              </w:rPr>
            </w:pPr>
          </w:p>
        </w:tc>
      </w:tr>
    </w:tbl>
    <w:p w14:paraId="3DF586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78D7EC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对合同条款中的所有要求，除本表所列明的所有偏离外，均视作供应商已对之理解和响应。</w:t>
      </w:r>
    </w:p>
    <w:p w14:paraId="57879F11">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4"/>
          <w:szCs w:val="24"/>
          <w:highlight w:val="none"/>
          <w:lang w:val="en-US" w:eastAsia="zh-CN"/>
        </w:rPr>
      </w:pPr>
      <w:bookmarkStart w:id="287" w:name="_Toc6441"/>
      <w:r>
        <w:rPr>
          <w:rFonts w:hint="eastAsia" w:ascii="仿宋" w:hAnsi="仿宋" w:eastAsia="仿宋" w:cs="仿宋"/>
          <w:color w:val="auto"/>
          <w:sz w:val="24"/>
          <w:szCs w:val="24"/>
          <w:highlight w:val="none"/>
          <w:lang w:val="en-US" w:eastAsia="zh-CN"/>
        </w:rPr>
        <w:t>2. “偏离情况”列应据实填写“正偏离”或“负偏离”。</w:t>
      </w:r>
      <w:bookmarkEnd w:id="287"/>
    </w:p>
    <w:p w14:paraId="7AB2C0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54946D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6C41F3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 xml:space="preserve">）： </w:t>
      </w:r>
    </w:p>
    <w:p w14:paraId="569F34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    年   月   日</w:t>
      </w:r>
    </w:p>
    <w:p w14:paraId="21B702DC">
      <w:pPr>
        <w:pStyle w:val="29"/>
        <w:rPr>
          <w:rFonts w:hint="eastAsia" w:ascii="仿宋" w:hAnsi="仿宋" w:eastAsia="仿宋" w:cs="仿宋"/>
          <w:color w:val="auto"/>
          <w:sz w:val="24"/>
          <w:szCs w:val="24"/>
          <w:highlight w:val="none"/>
          <w:lang w:val="en-US" w:eastAsia="zh-CN"/>
        </w:rPr>
      </w:pPr>
    </w:p>
    <w:p w14:paraId="591B9E3D">
      <w:pPr>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br w:type="page"/>
      </w:r>
    </w:p>
    <w:p w14:paraId="06967701">
      <w:pPr>
        <w:pStyle w:val="17"/>
        <w:ind w:left="0" w:leftChars="0" w:firstLine="0" w:firstLineChars="0"/>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11、采购需求偏离表</w:t>
      </w:r>
    </w:p>
    <w:p w14:paraId="41D5757D">
      <w:pPr>
        <w:pStyle w:val="17"/>
        <w:ind w:left="0" w:leftChars="0" w:firstLine="0" w:firstLineChars="0"/>
        <w:rPr>
          <w:rFonts w:hint="eastAsia" w:ascii="仿宋" w:hAnsi="仿宋" w:eastAsia="仿宋" w:cs="仿宋"/>
          <w:color w:val="auto"/>
          <w:sz w:val="24"/>
          <w:szCs w:val="24"/>
          <w:highlight w:val="none"/>
          <w:lang w:val="en-US" w:eastAsia="zh-CN"/>
        </w:rPr>
      </w:pPr>
    </w:p>
    <w:p w14:paraId="31762417">
      <w:pPr>
        <w:pStyle w:val="17"/>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采购需求偏离表</w:t>
      </w:r>
    </w:p>
    <w:p w14:paraId="13D0F15A">
      <w:pPr>
        <w:pStyle w:val="17"/>
        <w:ind w:left="0" w:leftChars="0" w:firstLine="0" w:firstLineChars="0"/>
        <w:rPr>
          <w:rFonts w:hint="eastAsia" w:ascii="仿宋" w:hAnsi="仿宋" w:eastAsia="仿宋" w:cs="仿宋"/>
          <w:color w:val="auto"/>
          <w:sz w:val="24"/>
          <w:szCs w:val="24"/>
          <w:highlight w:val="none"/>
          <w:lang w:val="en-US" w:eastAsia="zh-CN"/>
        </w:rPr>
      </w:pPr>
    </w:p>
    <w:p w14:paraId="4CBBACF3">
      <w:pPr>
        <w:pStyle w:val="17"/>
        <w:ind w:left="0" w:leftChars="0" w:firstLine="0" w:firstLineChars="0"/>
        <w:jc w:val="left"/>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项目编号</w:t>
      </w:r>
      <w:r>
        <w:rPr>
          <w:rFonts w:hint="eastAsia" w:ascii="仿宋" w:hAnsi="仿宋" w:eastAsia="仿宋" w:cs="仿宋"/>
          <w:color w:val="auto"/>
          <w:highlight w:val="none"/>
          <w:u w:val="single"/>
          <w:lang w:val="en-US" w:eastAsia="zh-CN"/>
        </w:rPr>
        <w:t xml:space="preserve">                        </w:t>
      </w:r>
    </w:p>
    <w:p w14:paraId="46F66138">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w:t>
      </w:r>
    </w:p>
    <w:p w14:paraId="5A10A380">
      <w:pPr>
        <w:pStyle w:val="17"/>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2727"/>
      </w:tblGrid>
      <w:tr w14:paraId="2900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6E2C4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2" w:type="dxa"/>
            <w:vAlign w:val="center"/>
          </w:tcPr>
          <w:p w14:paraId="1AF5D0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招标文件条</w:t>
            </w:r>
          </w:p>
          <w:p w14:paraId="30AEBE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目号(页码)</w:t>
            </w:r>
          </w:p>
        </w:tc>
        <w:tc>
          <w:tcPr>
            <w:tcW w:w="1805" w:type="dxa"/>
            <w:vAlign w:val="center"/>
          </w:tcPr>
          <w:p w14:paraId="64F11B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672" w:type="dxa"/>
            <w:vAlign w:val="center"/>
          </w:tcPr>
          <w:p w14:paraId="1E82A1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投标响应内容</w:t>
            </w:r>
          </w:p>
        </w:tc>
        <w:tc>
          <w:tcPr>
            <w:tcW w:w="1421" w:type="dxa"/>
            <w:vAlign w:val="center"/>
          </w:tcPr>
          <w:p w14:paraId="3C2BF2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2727" w:type="dxa"/>
            <w:vAlign w:val="center"/>
          </w:tcPr>
          <w:p w14:paraId="398219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7DA8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BE2A9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4449754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41CA01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7E6A8F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60E97E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2727" w:type="dxa"/>
          </w:tcPr>
          <w:p w14:paraId="52FA58E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5232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04B7B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2C9AA7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076962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F7E74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6987E7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2727" w:type="dxa"/>
          </w:tcPr>
          <w:p w14:paraId="7FCE62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582C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CEBD3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61DF86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27158DB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0DB02A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89DC3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2727" w:type="dxa"/>
          </w:tcPr>
          <w:p w14:paraId="03756E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10EC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8F2DA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7FC622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FECF2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5C1C5E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BF30B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2727" w:type="dxa"/>
          </w:tcPr>
          <w:p w14:paraId="524A0E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3ECC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38F7A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73A1CA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3BC0829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061720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42A22E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2727" w:type="dxa"/>
          </w:tcPr>
          <w:p w14:paraId="01F6E5E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0B15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B3D39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00ABB55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56675D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62CFA9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759B3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2727" w:type="dxa"/>
          </w:tcPr>
          <w:p w14:paraId="478395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11D3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5C2BE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1591D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547132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0F29E0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3646C3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2727" w:type="dxa"/>
          </w:tcPr>
          <w:p w14:paraId="1906EF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bl>
    <w:p w14:paraId="471934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73C7AF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 供应商应对招标文件第五章采购需求的内容给予逐条响应，以投标产品和服务所能达到的内容予以填写，有具体参数的应填写具体参数。 </w:t>
      </w:r>
    </w:p>
    <w:p w14:paraId="051846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2.在本表中未对招标文件第五章采购需求的内容给予逐条响应的视为没有实质上响应招标文件的要求，</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color w:val="auto"/>
          <w:sz w:val="24"/>
          <w:szCs w:val="24"/>
          <w:highlight w:val="none"/>
          <w:lang w:val="en-US" w:eastAsia="zh-CN"/>
        </w:rPr>
        <w:t>。 此表中仅标注“全部满足”、“全部响应”等，无法体现供应商实质性响应的；或无任何文字说明，内容为空白的，其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color w:val="auto"/>
          <w:sz w:val="24"/>
          <w:szCs w:val="24"/>
          <w:highlight w:val="none"/>
          <w:lang w:val="en-US" w:eastAsia="zh-CN"/>
        </w:rPr>
        <w:t>。</w:t>
      </w:r>
    </w:p>
    <w:p w14:paraId="6B5022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 供应商应按照招标文件第五章采购需求中要求提供投标产品技术支持资料（或证明材料），并在采购需求响应及偏离表中给予文件名称、所处投标文件页码或位置等必要说明</w:t>
      </w:r>
    </w:p>
    <w:p w14:paraId="0679A13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4.“偏离情况”列应据实填写“正偏离”、“负偏离”或“无偏离”。</w:t>
      </w:r>
    </w:p>
    <w:p w14:paraId="466593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 ____________</w:t>
      </w:r>
    </w:p>
    <w:p w14:paraId="12E1DA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7E66868F">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40ADA7AC">
      <w:pPr>
        <w:widowControl w:val="0"/>
        <w:spacing w:line="360" w:lineRule="auto"/>
        <w:ind w:left="0" w:leftChars="0" w:firstLine="0" w:firstLineChars="0"/>
        <w:jc w:val="both"/>
        <w:outlineLvl w:val="2"/>
        <w:rPr>
          <w:rFonts w:hint="eastAsia" w:ascii="仿宋" w:hAnsi="仿宋" w:eastAsia="仿宋" w:cs="仿宋"/>
          <w:b/>
          <w:bCs/>
          <w:kern w:val="2"/>
          <w:sz w:val="24"/>
          <w:szCs w:val="24"/>
          <w:highlight w:val="none"/>
          <w:lang w:val="en-US" w:eastAsia="zh-CN" w:bidi="zh-CN"/>
        </w:rPr>
      </w:pPr>
      <w:r>
        <w:rPr>
          <w:rFonts w:hint="eastAsia" w:ascii="仿宋" w:hAnsi="仿宋" w:eastAsia="仿宋" w:cs="仿宋"/>
          <w:b/>
          <w:bCs/>
          <w:kern w:val="2"/>
          <w:sz w:val="24"/>
          <w:szCs w:val="24"/>
          <w:highlight w:val="none"/>
          <w:lang w:val="en-US" w:eastAsia="zh-CN" w:bidi="zh-CN"/>
        </w:rPr>
        <w:t>12、采购文件要求提供或供应商认为应附的商务技术文件</w:t>
      </w:r>
    </w:p>
    <w:p w14:paraId="506BB8B3">
      <w:pPr>
        <w:pStyle w:val="46"/>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供应商应根据采购文件的规定自行编写， 详细叙述拟提供产品/服务情况。</w:t>
      </w:r>
    </w:p>
    <w:p w14:paraId="7F3143BC">
      <w:pPr>
        <w:pStyle w:val="17"/>
        <w:ind w:left="0" w:leftChars="0"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73E1072A">
      <w:pPr>
        <w:keepNext/>
        <w:keepLines/>
        <w:widowControl w:val="0"/>
        <w:spacing w:before="0" w:after="260" w:line="240" w:lineRule="atLeast"/>
        <w:jc w:val="both"/>
        <w:outlineLvl w:val="2"/>
        <w:rPr>
          <w:rFonts w:hint="eastAsia" w:ascii="仿宋" w:hAnsi="仿宋" w:eastAsia="仿宋" w:cs="仿宋"/>
          <w:b/>
          <w:bCs/>
          <w:kern w:val="2"/>
          <w:sz w:val="24"/>
          <w:szCs w:val="32"/>
          <w:highlight w:val="none"/>
          <w:lang w:val="en-US" w:eastAsia="zh-CN" w:bidi="ar-SA"/>
        </w:rPr>
      </w:pPr>
      <w:bookmarkStart w:id="288" w:name="_Toc480942355"/>
      <w:bookmarkStart w:id="289" w:name="_Ref467988543"/>
      <w:bookmarkStart w:id="290" w:name="_Toc216582819"/>
      <w:bookmarkStart w:id="291" w:name="_Toc520356224"/>
      <w:bookmarkStart w:id="292" w:name="_Toc21320"/>
      <w:bookmarkStart w:id="293" w:name="_Toc17143"/>
      <w:bookmarkStart w:id="294" w:name="_Toc15963"/>
      <w:bookmarkStart w:id="295" w:name="_Toc21379"/>
      <w:bookmarkStart w:id="296" w:name="_Toc20238"/>
      <w:bookmarkStart w:id="297" w:name="_Toc507399535"/>
      <w:bookmarkStart w:id="298" w:name="_Toc4183"/>
      <w:bookmarkStart w:id="299" w:name="_Toc9592"/>
      <w:bookmarkStart w:id="300" w:name="_Toc8281"/>
      <w:bookmarkStart w:id="301" w:name="_Toc3420"/>
      <w:r>
        <w:rPr>
          <w:rFonts w:hint="eastAsia" w:ascii="仿宋" w:hAnsi="仿宋" w:eastAsia="仿宋" w:cs="仿宋"/>
          <w:b/>
          <w:bCs/>
          <w:kern w:val="2"/>
          <w:sz w:val="24"/>
          <w:szCs w:val="32"/>
          <w:highlight w:val="none"/>
          <w:lang w:val="en-US" w:eastAsia="zh-CN" w:bidi="ar-SA"/>
        </w:rPr>
        <w:t>13</w:t>
      </w:r>
      <w:bookmarkEnd w:id="288"/>
      <w:bookmarkEnd w:id="289"/>
      <w:bookmarkEnd w:id="290"/>
      <w:bookmarkEnd w:id="291"/>
      <w:bookmarkStart w:id="302" w:name="_Hlt520350918"/>
      <w:bookmarkEnd w:id="302"/>
      <w:bookmarkStart w:id="303" w:name="_Hlt520273973"/>
      <w:bookmarkEnd w:id="303"/>
      <w:bookmarkStart w:id="304" w:name="_Hlt520343000"/>
      <w:bookmarkEnd w:id="304"/>
      <w:bookmarkStart w:id="305" w:name="_Hlt520343392"/>
      <w:bookmarkEnd w:id="305"/>
      <w:bookmarkStart w:id="306" w:name="_Hlt520273711"/>
      <w:bookmarkEnd w:id="306"/>
      <w:bookmarkStart w:id="307" w:name="_Hlt520271212"/>
      <w:bookmarkEnd w:id="307"/>
      <w:bookmarkStart w:id="308" w:name="_Hlt520274065"/>
      <w:bookmarkEnd w:id="308"/>
      <w:bookmarkStart w:id="309" w:name="_Hlt520274911"/>
      <w:bookmarkEnd w:id="309"/>
      <w:bookmarkStart w:id="310" w:name="_Hlt520274407"/>
      <w:bookmarkEnd w:id="310"/>
      <w:bookmarkStart w:id="311" w:name="_Hlt520350957"/>
      <w:bookmarkEnd w:id="311"/>
      <w:bookmarkStart w:id="312" w:name="_Hlt520274393"/>
      <w:bookmarkEnd w:id="312"/>
      <w:bookmarkStart w:id="313" w:name="_Toc216513801"/>
      <w:bookmarkStart w:id="314" w:name="_Toc216582821"/>
      <w:r>
        <w:rPr>
          <w:rFonts w:hint="eastAsia" w:ascii="仿宋" w:hAnsi="仿宋" w:eastAsia="仿宋" w:cs="仿宋"/>
          <w:b/>
          <w:bCs/>
          <w:kern w:val="2"/>
          <w:sz w:val="24"/>
          <w:szCs w:val="32"/>
          <w:highlight w:val="none"/>
          <w:lang w:val="en-US" w:eastAsia="zh-CN" w:bidi="ar-SA"/>
        </w:rPr>
        <w:t>、中标服务费承诺书</w:t>
      </w:r>
      <w:bookmarkEnd w:id="292"/>
      <w:bookmarkEnd w:id="293"/>
      <w:bookmarkEnd w:id="294"/>
      <w:bookmarkEnd w:id="295"/>
      <w:bookmarkEnd w:id="296"/>
      <w:bookmarkEnd w:id="297"/>
      <w:bookmarkEnd w:id="298"/>
      <w:bookmarkEnd w:id="299"/>
    </w:p>
    <w:p w14:paraId="3A8330D3">
      <w:pPr>
        <w:spacing w:line="240" w:lineRule="atLeast"/>
        <w:ind w:left="1157" w:leftChars="257" w:hanging="540"/>
        <w:rPr>
          <w:rFonts w:hint="eastAsia" w:ascii="仿宋" w:hAnsi="仿宋" w:eastAsia="仿宋" w:cs="仿宋"/>
          <w:b/>
          <w:sz w:val="24"/>
          <w:highlight w:val="none"/>
        </w:rPr>
      </w:pPr>
    </w:p>
    <w:p w14:paraId="7FBA9F17">
      <w:pPr>
        <w:spacing w:line="240" w:lineRule="atLeast"/>
        <w:ind w:left="1157" w:leftChars="257" w:hanging="540"/>
        <w:jc w:val="center"/>
        <w:rPr>
          <w:rFonts w:hint="eastAsia" w:ascii="仿宋" w:hAnsi="仿宋" w:eastAsia="仿宋" w:cs="仿宋"/>
          <w:b/>
          <w:bCs/>
          <w:sz w:val="24"/>
          <w:highlight w:val="none"/>
        </w:rPr>
      </w:pPr>
      <w:r>
        <w:rPr>
          <w:rFonts w:hint="eastAsia" w:ascii="仿宋" w:hAnsi="仿宋" w:eastAsia="仿宋" w:cs="仿宋"/>
          <w:b/>
          <w:bCs/>
          <w:sz w:val="24"/>
          <w:highlight w:val="none"/>
        </w:rPr>
        <w:t>中标服务费承诺书</w:t>
      </w:r>
    </w:p>
    <w:p w14:paraId="63A40D84">
      <w:pPr>
        <w:spacing w:line="440" w:lineRule="exact"/>
        <w:ind w:left="1080" w:hanging="1080"/>
        <w:rPr>
          <w:rFonts w:hint="eastAsia" w:ascii="仿宋" w:hAnsi="仿宋" w:eastAsia="仿宋" w:cs="仿宋"/>
          <w:sz w:val="24"/>
          <w:highlight w:val="none"/>
        </w:rPr>
      </w:pPr>
    </w:p>
    <w:p w14:paraId="67D21F1A">
      <w:pPr>
        <w:spacing w:line="360" w:lineRule="auto"/>
        <w:ind w:left="1080" w:hanging="1080"/>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致：</w:t>
      </w:r>
      <w:r>
        <w:rPr>
          <w:rFonts w:hint="eastAsia" w:ascii="仿宋" w:hAnsi="仿宋" w:eastAsia="仿宋" w:cs="仿宋"/>
          <w:sz w:val="24"/>
          <w:highlight w:val="none"/>
          <w:lang w:val="en-US" w:eastAsia="zh-CN"/>
        </w:rPr>
        <w:t>新疆世纪星工程咨询有限公司</w:t>
      </w:r>
    </w:p>
    <w:p w14:paraId="561149CA">
      <w:pPr>
        <w:spacing w:line="360" w:lineRule="auto"/>
        <w:ind w:left="1157" w:leftChars="257" w:hanging="540"/>
        <w:rPr>
          <w:rFonts w:hint="eastAsia" w:ascii="仿宋" w:hAnsi="仿宋" w:eastAsia="仿宋" w:cs="仿宋"/>
          <w:sz w:val="24"/>
          <w:highlight w:val="none"/>
        </w:rPr>
      </w:pPr>
    </w:p>
    <w:p w14:paraId="2EEA70FA">
      <w:pPr>
        <w:spacing w:line="360" w:lineRule="auto"/>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我们在贵公司组织的</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（采购项目名称）、</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（项目编号)、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（标项(包)名称）</w:t>
      </w:r>
      <w:r>
        <w:rPr>
          <w:rFonts w:hint="eastAsia" w:ascii="仿宋" w:hAnsi="仿宋" w:eastAsia="仿宋" w:cs="仿宋"/>
          <w:sz w:val="24"/>
          <w:highlight w:val="none"/>
        </w:rPr>
        <w:t>项目招标中若获得中标资格，我们保证在领取中标通知书的同时按</w:t>
      </w:r>
      <w:r>
        <w:rPr>
          <w:rFonts w:hint="eastAsia" w:ascii="仿宋" w:hAnsi="仿宋" w:eastAsia="仿宋" w:cs="仿宋"/>
          <w:sz w:val="24"/>
          <w:highlight w:val="none"/>
          <w:lang w:val="en-US" w:eastAsia="zh-CN"/>
        </w:rPr>
        <w:t>采购文件</w:t>
      </w:r>
      <w:r>
        <w:rPr>
          <w:rFonts w:hint="eastAsia" w:ascii="仿宋" w:hAnsi="仿宋" w:eastAsia="仿宋" w:cs="仿宋"/>
          <w:sz w:val="24"/>
          <w:highlight w:val="none"/>
        </w:rPr>
        <w:t>的规定，以支票、电汇等形式，向贵公司一次性支付应由我们交纳的中标服务费用。</w:t>
      </w:r>
    </w:p>
    <w:p w14:paraId="287FF833">
      <w:pPr>
        <w:spacing w:line="360" w:lineRule="auto"/>
        <w:ind w:left="1157" w:leftChars="257" w:hanging="540"/>
        <w:rPr>
          <w:rFonts w:hint="eastAsia" w:ascii="仿宋" w:hAnsi="仿宋" w:eastAsia="仿宋" w:cs="仿宋"/>
          <w:sz w:val="24"/>
          <w:highlight w:val="none"/>
        </w:rPr>
      </w:pPr>
      <w:r>
        <w:rPr>
          <w:rFonts w:hint="eastAsia" w:ascii="仿宋" w:hAnsi="仿宋" w:eastAsia="仿宋" w:cs="仿宋"/>
          <w:sz w:val="24"/>
          <w:highlight w:val="none"/>
        </w:rPr>
        <w:t>特此承诺！</w:t>
      </w:r>
    </w:p>
    <w:p w14:paraId="2971149B">
      <w:pPr>
        <w:spacing w:line="440" w:lineRule="exact"/>
        <w:ind w:left="1157" w:leftChars="257" w:hanging="540"/>
        <w:rPr>
          <w:rFonts w:hint="eastAsia" w:ascii="仿宋" w:hAnsi="仿宋" w:eastAsia="仿宋" w:cs="仿宋"/>
          <w:sz w:val="24"/>
          <w:highlight w:val="none"/>
        </w:rPr>
      </w:pPr>
    </w:p>
    <w:p w14:paraId="59905A2C">
      <w:pPr>
        <w:spacing w:line="440" w:lineRule="exact"/>
        <w:ind w:left="1157" w:leftChars="257" w:hanging="540"/>
        <w:rPr>
          <w:rFonts w:hint="eastAsia" w:ascii="仿宋" w:hAnsi="仿宋" w:eastAsia="仿宋" w:cs="仿宋"/>
          <w:sz w:val="24"/>
          <w:highlight w:val="none"/>
        </w:rPr>
      </w:pPr>
    </w:p>
    <w:p w14:paraId="0058C285">
      <w:pPr>
        <w:spacing w:line="440" w:lineRule="exact"/>
        <w:ind w:left="1157" w:leftChars="257" w:hanging="540"/>
        <w:rPr>
          <w:rFonts w:hint="eastAsia" w:ascii="仿宋" w:hAnsi="仿宋" w:eastAsia="仿宋" w:cs="仿宋"/>
          <w:sz w:val="24"/>
          <w:highlight w:val="none"/>
        </w:rPr>
      </w:pPr>
    </w:p>
    <w:p w14:paraId="550125F6">
      <w:pPr>
        <w:spacing w:line="440" w:lineRule="exact"/>
        <w:ind w:left="1157" w:leftChars="257" w:hanging="540"/>
        <w:rPr>
          <w:rFonts w:hint="eastAsia" w:ascii="仿宋" w:hAnsi="仿宋" w:eastAsia="仿宋" w:cs="仿宋"/>
          <w:sz w:val="24"/>
          <w:highlight w:val="none"/>
        </w:rPr>
      </w:pPr>
    </w:p>
    <w:p w14:paraId="09EC6118">
      <w:pPr>
        <w:spacing w:line="440" w:lineRule="exact"/>
        <w:ind w:left="1080" w:hanging="1080"/>
        <w:rPr>
          <w:rFonts w:hint="eastAsia" w:ascii="仿宋" w:hAnsi="仿宋" w:eastAsia="仿宋" w:cs="仿宋"/>
          <w:sz w:val="24"/>
          <w:highlight w:val="none"/>
        </w:rPr>
      </w:pPr>
    </w:p>
    <w:p w14:paraId="29BF58F6">
      <w:pPr>
        <w:spacing w:line="440" w:lineRule="exact"/>
        <w:ind w:left="1495" w:leftChars="273" w:hanging="840" w:hangingChars="350"/>
        <w:rPr>
          <w:rFonts w:hint="eastAsia" w:ascii="仿宋" w:hAnsi="仿宋" w:eastAsia="仿宋" w:cs="仿宋"/>
          <w:sz w:val="24"/>
          <w:highlight w:val="none"/>
        </w:rPr>
      </w:pPr>
      <w:r>
        <w:rPr>
          <w:rFonts w:hint="eastAsia" w:ascii="仿宋" w:hAnsi="仿宋" w:eastAsia="仿宋" w:cs="仿宋"/>
          <w:sz w:val="24"/>
          <w:highlight w:val="none"/>
        </w:rPr>
        <w:t>承诺方法定名称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电子印章</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19C7F09A">
      <w:pPr>
        <w:spacing w:line="440" w:lineRule="exact"/>
        <w:ind w:left="1697" w:leftChars="257" w:hanging="108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3F3319A2">
      <w:pPr>
        <w:spacing w:line="440" w:lineRule="exact"/>
        <w:ind w:left="1697" w:leftChars="257" w:hanging="1080"/>
        <w:rPr>
          <w:rFonts w:hint="eastAsia" w:ascii="仿宋" w:hAnsi="仿宋" w:eastAsia="仿宋" w:cs="仿宋"/>
          <w:sz w:val="24"/>
          <w:highlight w:val="none"/>
        </w:rPr>
      </w:pPr>
      <w:r>
        <w:rPr>
          <w:rFonts w:hint="eastAsia" w:ascii="仿宋" w:hAnsi="仿宋" w:eastAsia="仿宋" w:cs="仿宋"/>
          <w:sz w:val="24"/>
          <w:highlight w:val="none"/>
        </w:rPr>
        <w:t>电话：</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传真：</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4E7FEE5F">
      <w:pPr>
        <w:spacing w:line="440" w:lineRule="exact"/>
        <w:ind w:left="1697" w:leftChars="257" w:hanging="1080"/>
        <w:rPr>
          <w:rFonts w:hint="eastAsia" w:ascii="仿宋" w:hAnsi="仿宋" w:eastAsia="仿宋" w:cs="仿宋"/>
          <w:sz w:val="24"/>
          <w:highlight w:val="none"/>
        </w:rPr>
      </w:pPr>
      <w:r>
        <w:rPr>
          <w:rFonts w:hint="eastAsia" w:ascii="仿宋" w:hAnsi="仿宋" w:eastAsia="仿宋" w:cs="仿宋"/>
          <w:sz w:val="24"/>
          <w:highlight w:val="none"/>
        </w:rPr>
        <w:t>电传：</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邮编：</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6E3BA556">
      <w:pPr>
        <w:spacing w:line="440" w:lineRule="exact"/>
        <w:ind w:left="1697" w:leftChars="257" w:hanging="1080"/>
        <w:rPr>
          <w:rFonts w:hint="eastAsia" w:ascii="仿宋" w:hAnsi="仿宋" w:eastAsia="仿宋" w:cs="仿宋"/>
          <w:sz w:val="24"/>
          <w:highlight w:val="none"/>
          <w:u w:val="single"/>
        </w:rPr>
      </w:pPr>
      <w:r>
        <w:rPr>
          <w:rFonts w:hint="eastAsia" w:ascii="仿宋" w:hAnsi="仿宋" w:eastAsia="仿宋" w:cs="仿宋"/>
          <w:sz w:val="24"/>
          <w:highlight w:val="none"/>
        </w:rPr>
        <w:t>承诺方</w:t>
      </w:r>
      <w:r>
        <w:rPr>
          <w:rFonts w:hint="eastAsia" w:ascii="仿宋" w:hAnsi="仿宋" w:eastAsia="仿宋" w:cs="仿宋"/>
          <w:sz w:val="24"/>
          <w:highlight w:val="none"/>
          <w:lang w:val="en-US" w:eastAsia="zh-CN"/>
        </w:rPr>
        <w:t>法定代表人或法定代表人授权代表（签字或电子印章）：</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371A5E85">
      <w:pPr>
        <w:spacing w:line="440" w:lineRule="exact"/>
        <w:ind w:left="1697" w:leftChars="257" w:hanging="1080"/>
        <w:rPr>
          <w:rFonts w:hint="eastAsia" w:ascii="仿宋" w:hAnsi="仿宋" w:eastAsia="仿宋" w:cs="仿宋"/>
          <w:sz w:val="24"/>
          <w:highlight w:val="none"/>
          <w:u w:val="single"/>
        </w:rPr>
      </w:pPr>
      <w:r>
        <w:rPr>
          <w:rFonts w:hint="eastAsia" w:ascii="仿宋" w:hAnsi="仿宋" w:eastAsia="仿宋" w:cs="仿宋"/>
          <w:sz w:val="24"/>
          <w:highlight w:val="none"/>
        </w:rPr>
        <w:t>承诺日期：</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 xml:space="preserve">                      </w:t>
      </w:r>
      <w:bookmarkEnd w:id="313"/>
      <w:bookmarkEnd w:id="314"/>
    </w:p>
    <w:p w14:paraId="258738D6">
      <w:pPr>
        <w:rPr>
          <w:rFonts w:hint="eastAsia" w:ascii="仿宋" w:hAnsi="仿宋" w:eastAsia="仿宋" w:cs="仿宋"/>
          <w:b w:val="0"/>
          <w:bCs w:val="0"/>
          <w:kern w:val="2"/>
          <w:sz w:val="24"/>
          <w:szCs w:val="24"/>
          <w:highlight w:val="none"/>
          <w:lang w:val="en-US" w:eastAsia="zh-CN" w:bidi="zh-CN"/>
        </w:rPr>
      </w:pPr>
      <w:r>
        <w:rPr>
          <w:rFonts w:hint="eastAsia" w:ascii="仿宋" w:hAnsi="仿宋" w:eastAsia="仿宋" w:cs="仿宋"/>
          <w:b w:val="0"/>
          <w:bCs w:val="0"/>
          <w:kern w:val="2"/>
          <w:sz w:val="24"/>
          <w:szCs w:val="24"/>
          <w:highlight w:val="none"/>
          <w:lang w:val="en-US" w:eastAsia="zh-CN" w:bidi="zh-CN"/>
        </w:rPr>
        <w:br w:type="page"/>
      </w:r>
    </w:p>
    <w:p w14:paraId="211D2EFD">
      <w:pPr>
        <w:widowControl w:val="0"/>
        <w:spacing w:before="1"/>
        <w:jc w:val="both"/>
        <w:outlineLvl w:val="2"/>
        <w:rPr>
          <w:rFonts w:hint="eastAsia" w:ascii="仿宋" w:hAnsi="仿宋" w:eastAsia="仿宋" w:cs="仿宋"/>
          <w:b/>
          <w:bCs/>
          <w:kern w:val="2"/>
          <w:sz w:val="24"/>
          <w:szCs w:val="24"/>
          <w:highlight w:val="none"/>
          <w:lang w:val="zh-CN" w:eastAsia="zh-CN" w:bidi="zh-CN"/>
        </w:rPr>
      </w:pPr>
      <w:bookmarkStart w:id="315" w:name="_Toc24678"/>
      <w:bookmarkStart w:id="316" w:name="_Toc8649"/>
      <w:bookmarkStart w:id="317" w:name="_Toc20782"/>
      <w:bookmarkStart w:id="318" w:name="_Toc15106"/>
      <w:bookmarkStart w:id="319" w:name="_Toc571"/>
      <w:r>
        <w:rPr>
          <w:rFonts w:hint="eastAsia" w:ascii="仿宋" w:hAnsi="仿宋" w:eastAsia="仿宋" w:cs="仿宋"/>
          <w:b/>
          <w:bCs/>
          <w:kern w:val="2"/>
          <w:sz w:val="24"/>
          <w:szCs w:val="24"/>
          <w:highlight w:val="none"/>
          <w:lang w:val="en-US" w:eastAsia="zh-CN" w:bidi="zh-CN"/>
        </w:rPr>
        <w:t>14、</w:t>
      </w:r>
      <w:r>
        <w:rPr>
          <w:rFonts w:hint="eastAsia" w:ascii="仿宋" w:hAnsi="仿宋" w:eastAsia="仿宋" w:cs="仿宋"/>
          <w:b/>
          <w:bCs/>
          <w:kern w:val="2"/>
          <w:sz w:val="24"/>
          <w:szCs w:val="24"/>
          <w:highlight w:val="none"/>
          <w:lang w:val="zh-CN" w:eastAsia="zh-CN" w:bidi="zh-CN"/>
        </w:rPr>
        <w:t>保证金信息表</w:t>
      </w:r>
      <w:bookmarkEnd w:id="300"/>
      <w:bookmarkEnd w:id="301"/>
      <w:r>
        <w:rPr>
          <w:rFonts w:hint="eastAsia" w:ascii="仿宋" w:hAnsi="仿宋" w:eastAsia="仿宋" w:cs="仿宋"/>
          <w:b/>
          <w:bCs/>
          <w:kern w:val="2"/>
          <w:sz w:val="24"/>
          <w:szCs w:val="24"/>
          <w:highlight w:val="none"/>
          <w:lang w:val="zh-CN" w:eastAsia="zh-CN" w:bidi="zh-CN"/>
        </w:rPr>
        <w:t>（</w:t>
      </w:r>
      <w:r>
        <w:rPr>
          <w:rFonts w:hint="eastAsia" w:ascii="仿宋" w:hAnsi="仿宋" w:eastAsia="仿宋" w:cs="仿宋"/>
          <w:b/>
          <w:bCs/>
          <w:kern w:val="2"/>
          <w:sz w:val="24"/>
          <w:szCs w:val="24"/>
          <w:highlight w:val="none"/>
          <w:lang w:val="en-US" w:eastAsia="zh-CN" w:bidi="zh-CN"/>
        </w:rPr>
        <w:t>保函方式提交的无需提供</w:t>
      </w:r>
      <w:r>
        <w:rPr>
          <w:rFonts w:hint="eastAsia" w:ascii="仿宋" w:hAnsi="仿宋" w:eastAsia="仿宋" w:cs="仿宋"/>
          <w:b/>
          <w:bCs/>
          <w:kern w:val="2"/>
          <w:sz w:val="24"/>
          <w:szCs w:val="24"/>
          <w:highlight w:val="none"/>
          <w:lang w:val="zh-CN" w:eastAsia="zh-CN" w:bidi="zh-CN"/>
        </w:rPr>
        <w:t>）</w:t>
      </w:r>
      <w:bookmarkEnd w:id="315"/>
      <w:bookmarkEnd w:id="316"/>
      <w:bookmarkEnd w:id="317"/>
      <w:bookmarkEnd w:id="318"/>
      <w:bookmarkEnd w:id="319"/>
    </w:p>
    <w:p w14:paraId="3595716B">
      <w:pPr>
        <w:widowControl w:val="0"/>
        <w:snapToGrid w:val="0"/>
        <w:spacing w:line="440" w:lineRule="exact"/>
        <w:jc w:val="center"/>
        <w:outlineLvl w:val="9"/>
        <w:rPr>
          <w:rFonts w:hint="eastAsia" w:ascii="仿宋" w:hAnsi="仿宋" w:eastAsia="仿宋" w:cs="仿宋"/>
          <w:b/>
          <w:kern w:val="2"/>
          <w:sz w:val="32"/>
          <w:szCs w:val="32"/>
          <w:highlight w:val="none"/>
          <w:lang w:val="en-US" w:eastAsia="zh-CN" w:bidi="ar-SA"/>
        </w:rPr>
      </w:pPr>
    </w:p>
    <w:p w14:paraId="792C0D54">
      <w:pPr>
        <w:widowControl w:val="0"/>
        <w:snapToGrid w:val="0"/>
        <w:spacing w:line="440" w:lineRule="exact"/>
        <w:jc w:val="center"/>
        <w:outlineLvl w:val="9"/>
        <w:rPr>
          <w:rFonts w:hint="eastAsia" w:ascii="仿宋" w:hAnsi="仿宋" w:eastAsia="仿宋" w:cs="仿宋"/>
          <w:b/>
          <w:kern w:val="2"/>
          <w:sz w:val="32"/>
          <w:szCs w:val="32"/>
          <w:highlight w:val="none"/>
          <w:lang w:val="en-US" w:eastAsia="zh-CN" w:bidi="ar-SA"/>
        </w:rPr>
      </w:pPr>
      <w:bookmarkStart w:id="320" w:name="_Toc25967"/>
      <w:bookmarkStart w:id="321" w:name="_Toc31463"/>
      <w:bookmarkStart w:id="322" w:name="_Toc28181"/>
      <w:bookmarkStart w:id="323" w:name="_Toc26104"/>
      <w:bookmarkStart w:id="324" w:name="_Toc16938"/>
      <w:bookmarkStart w:id="325" w:name="_Toc27316"/>
      <w:bookmarkStart w:id="326" w:name="_Toc14307"/>
      <w:r>
        <w:rPr>
          <w:rFonts w:hint="eastAsia" w:ascii="仿宋" w:hAnsi="仿宋" w:eastAsia="仿宋" w:cs="仿宋"/>
          <w:b/>
          <w:kern w:val="2"/>
          <w:sz w:val="24"/>
          <w:szCs w:val="24"/>
          <w:highlight w:val="none"/>
          <w:lang w:val="en-US" w:eastAsia="zh-CN" w:bidi="ar-SA"/>
        </w:rPr>
        <w:t>退还保证金申请函</w:t>
      </w:r>
      <w:bookmarkEnd w:id="320"/>
      <w:bookmarkEnd w:id="321"/>
      <w:bookmarkEnd w:id="322"/>
      <w:bookmarkEnd w:id="323"/>
      <w:bookmarkEnd w:id="324"/>
      <w:bookmarkEnd w:id="325"/>
      <w:bookmarkEnd w:id="326"/>
    </w:p>
    <w:p w14:paraId="643675B0">
      <w:pPr>
        <w:spacing w:line="360" w:lineRule="auto"/>
        <w:rPr>
          <w:rFonts w:hint="eastAsia" w:ascii="仿宋" w:hAnsi="仿宋" w:eastAsia="仿宋" w:cs="仿宋"/>
          <w:color w:val="000000"/>
          <w:sz w:val="21"/>
          <w:szCs w:val="21"/>
          <w:highlight w:val="none"/>
          <w:u w:val="single"/>
          <w:lang w:eastAsia="zh-CN"/>
        </w:rPr>
      </w:pPr>
      <w:r>
        <w:rPr>
          <w:rFonts w:hint="eastAsia" w:ascii="仿宋" w:hAnsi="仿宋" w:eastAsia="仿宋" w:cs="仿宋"/>
          <w:color w:val="000000"/>
          <w:sz w:val="21"/>
          <w:szCs w:val="21"/>
          <w:highlight w:val="none"/>
        </w:rPr>
        <w:t>致：</w:t>
      </w:r>
      <w:r>
        <w:rPr>
          <w:rFonts w:hint="eastAsia" w:ascii="仿宋" w:hAnsi="仿宋" w:eastAsia="仿宋" w:cs="仿宋"/>
          <w:color w:val="000000"/>
          <w:sz w:val="21"/>
          <w:szCs w:val="21"/>
          <w:highlight w:val="none"/>
          <w:u w:val="single"/>
          <w:lang w:eastAsia="zh-CN"/>
        </w:rPr>
        <w:t>新疆世纪星工程咨询有限公司</w:t>
      </w:r>
    </w:p>
    <w:p w14:paraId="6DFD7AEF">
      <w:pPr>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w:t>
      </w:r>
      <w:r>
        <w:rPr>
          <w:rFonts w:hint="eastAsia" w:ascii="仿宋" w:hAnsi="仿宋" w:eastAsia="仿宋" w:cs="仿宋"/>
          <w:color w:val="000000"/>
          <w:sz w:val="21"/>
          <w:szCs w:val="21"/>
          <w:highlight w:val="none"/>
          <w:u w:val="single"/>
          <w:lang w:val="en-US" w:eastAsia="zh-CN"/>
        </w:rPr>
        <w:t>供应商</w:t>
      </w:r>
      <w:r>
        <w:rPr>
          <w:rFonts w:hint="eastAsia" w:ascii="仿宋" w:hAnsi="仿宋" w:eastAsia="仿宋" w:cs="仿宋"/>
          <w:color w:val="000000"/>
          <w:sz w:val="21"/>
          <w:szCs w:val="21"/>
          <w:highlight w:val="none"/>
          <w:u w:val="single"/>
        </w:rPr>
        <w:t xml:space="preserve">全称) </w:t>
      </w:r>
      <w:r>
        <w:rPr>
          <w:rFonts w:hint="eastAsia" w:ascii="仿宋" w:hAnsi="仿宋" w:eastAsia="仿宋" w:cs="仿宋"/>
          <w:color w:val="000000"/>
          <w:sz w:val="21"/>
          <w:szCs w:val="21"/>
          <w:highlight w:val="none"/>
        </w:rPr>
        <w:t>参加贵方组织的，</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（采购项目名称）、</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（项目编号)、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（标项(包)名称）</w:t>
      </w:r>
      <w:r>
        <w:rPr>
          <w:rFonts w:hint="eastAsia" w:ascii="仿宋" w:hAnsi="仿宋" w:eastAsia="仿宋" w:cs="仿宋"/>
          <w:color w:val="000000"/>
          <w:sz w:val="21"/>
          <w:szCs w:val="21"/>
          <w:highlight w:val="none"/>
        </w:rPr>
        <w:t>的</w:t>
      </w:r>
      <w:r>
        <w:rPr>
          <w:rFonts w:hint="eastAsia" w:ascii="仿宋" w:hAnsi="仿宋" w:eastAsia="仿宋" w:cs="仿宋"/>
          <w:color w:val="000000"/>
          <w:sz w:val="21"/>
          <w:szCs w:val="21"/>
          <w:highlight w:val="none"/>
          <w:lang w:val="en-US" w:eastAsia="zh-CN"/>
        </w:rPr>
        <w:t>招标</w:t>
      </w:r>
      <w:r>
        <w:rPr>
          <w:rFonts w:hint="eastAsia" w:ascii="仿宋" w:hAnsi="仿宋" w:eastAsia="仿宋" w:cs="仿宋"/>
          <w:color w:val="000000"/>
          <w:sz w:val="21"/>
          <w:szCs w:val="21"/>
          <w:highlight w:val="none"/>
        </w:rPr>
        <w:t>采购活动。按</w:t>
      </w:r>
      <w:r>
        <w:rPr>
          <w:rFonts w:hint="eastAsia" w:ascii="仿宋" w:hAnsi="仿宋" w:eastAsia="仿宋" w:cs="仿宋"/>
          <w:color w:val="000000"/>
          <w:sz w:val="21"/>
          <w:szCs w:val="21"/>
          <w:highlight w:val="none"/>
          <w:lang w:val="en-US" w:eastAsia="zh-CN"/>
        </w:rPr>
        <w:t>采购文件</w:t>
      </w:r>
      <w:r>
        <w:rPr>
          <w:rFonts w:hint="eastAsia" w:ascii="仿宋" w:hAnsi="仿宋" w:eastAsia="仿宋" w:cs="仿宋"/>
          <w:color w:val="000000"/>
          <w:sz w:val="21"/>
          <w:szCs w:val="21"/>
          <w:highlight w:val="none"/>
        </w:rPr>
        <w:t>的规定，已通过</w:t>
      </w:r>
      <w:r>
        <w:rPr>
          <w:rFonts w:hint="eastAsia" w:ascii="仿宋" w:hAnsi="仿宋" w:eastAsia="仿宋" w:cs="仿宋"/>
          <w:color w:val="000000"/>
          <w:sz w:val="21"/>
          <w:szCs w:val="21"/>
          <w:highlight w:val="none"/>
          <w:u w:val="single"/>
        </w:rPr>
        <w:t>银行转帐/银行汇款</w:t>
      </w:r>
      <w:r>
        <w:rPr>
          <w:rFonts w:hint="eastAsia" w:ascii="仿宋" w:hAnsi="仿宋" w:eastAsia="仿宋" w:cs="仿宋"/>
          <w:color w:val="000000"/>
          <w:sz w:val="21"/>
          <w:szCs w:val="21"/>
          <w:highlight w:val="none"/>
        </w:rPr>
        <w:t>形式缴纳人民币</w:t>
      </w:r>
      <w:r>
        <w:rPr>
          <w:rFonts w:hint="eastAsia" w:ascii="仿宋" w:hAnsi="仿宋" w:eastAsia="仿宋" w:cs="仿宋"/>
          <w:color w:val="000000"/>
          <w:sz w:val="21"/>
          <w:szCs w:val="21"/>
          <w:highlight w:val="none"/>
          <w:u w:val="single"/>
        </w:rPr>
        <w:t xml:space="preserve">（大写）  　　  </w:t>
      </w:r>
      <w:r>
        <w:rPr>
          <w:rFonts w:hint="eastAsia" w:ascii="仿宋" w:hAnsi="仿宋" w:eastAsia="仿宋" w:cs="仿宋"/>
          <w:color w:val="000000"/>
          <w:sz w:val="21"/>
          <w:szCs w:val="21"/>
          <w:highlight w:val="none"/>
        </w:rPr>
        <w:t>元的保证金。</w:t>
      </w:r>
    </w:p>
    <w:p w14:paraId="5BBFE012">
      <w:pPr>
        <w:autoSpaceDE w:val="0"/>
        <w:autoSpaceDN w:val="0"/>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退还保证金时请按以下内容划入我方帐户。若因内容不全、错误、字迹潦草模糊导致该项目保证金未能及时退还或退还过程中发生错误，我方将承担全部责任和损失。</w:t>
      </w:r>
    </w:p>
    <w:p w14:paraId="0988BC05">
      <w:pPr>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供应商</w:t>
      </w:r>
      <w:r>
        <w:rPr>
          <w:rFonts w:hint="eastAsia" w:ascii="仿宋" w:hAnsi="仿宋" w:eastAsia="仿宋" w:cs="仿宋"/>
          <w:color w:val="000000"/>
          <w:sz w:val="21"/>
          <w:szCs w:val="21"/>
          <w:highlight w:val="none"/>
        </w:rPr>
        <w:t>名称：</w:t>
      </w:r>
      <w:r>
        <w:rPr>
          <w:rFonts w:hint="eastAsia" w:ascii="仿宋" w:hAnsi="仿宋" w:eastAsia="仿宋" w:cs="仿宋"/>
          <w:i/>
          <w:iCs/>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p>
    <w:p w14:paraId="7C4141A9">
      <w:pPr>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供应商</w:t>
      </w:r>
      <w:r>
        <w:rPr>
          <w:rFonts w:hint="eastAsia" w:ascii="仿宋" w:hAnsi="仿宋" w:eastAsia="仿宋" w:cs="仿宋"/>
          <w:color w:val="000000"/>
          <w:sz w:val="21"/>
          <w:szCs w:val="21"/>
          <w:highlight w:val="none"/>
        </w:rPr>
        <w:t>开户银行：</w:t>
      </w:r>
      <w:r>
        <w:rPr>
          <w:rFonts w:hint="eastAsia" w:ascii="仿宋" w:hAnsi="仿宋" w:eastAsia="仿宋" w:cs="仿宋"/>
          <w:color w:val="000000"/>
          <w:sz w:val="21"/>
          <w:szCs w:val="21"/>
          <w:highlight w:val="none"/>
          <w:u w:val="single"/>
        </w:rPr>
        <w:t xml:space="preserve">                             </w:t>
      </w:r>
    </w:p>
    <w:p w14:paraId="4E42F119">
      <w:pPr>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供应商</w:t>
      </w:r>
      <w:r>
        <w:rPr>
          <w:rFonts w:hint="eastAsia" w:ascii="仿宋" w:hAnsi="仿宋" w:eastAsia="仿宋" w:cs="仿宋"/>
          <w:color w:val="000000"/>
          <w:sz w:val="21"/>
          <w:szCs w:val="21"/>
          <w:highlight w:val="none"/>
        </w:rPr>
        <w:t>开户银行行号：</w:t>
      </w:r>
      <w:r>
        <w:rPr>
          <w:rFonts w:hint="eastAsia" w:ascii="仿宋" w:hAnsi="仿宋" w:eastAsia="仿宋" w:cs="仿宋"/>
          <w:color w:val="000000"/>
          <w:sz w:val="21"/>
          <w:szCs w:val="21"/>
          <w:highlight w:val="none"/>
          <w:u w:val="single"/>
        </w:rPr>
        <w:t xml:space="preserve">                         </w:t>
      </w:r>
    </w:p>
    <w:p w14:paraId="04AF8943">
      <w:pPr>
        <w:spacing w:line="360" w:lineRule="auto"/>
        <w:ind w:firstLine="420" w:firstLineChars="200"/>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lang w:val="en-US" w:eastAsia="zh-CN"/>
        </w:rPr>
        <w:t>供应商</w:t>
      </w:r>
      <w:r>
        <w:rPr>
          <w:rFonts w:hint="eastAsia" w:ascii="仿宋" w:hAnsi="仿宋" w:eastAsia="仿宋" w:cs="仿宋"/>
          <w:color w:val="000000"/>
          <w:sz w:val="21"/>
          <w:szCs w:val="21"/>
          <w:highlight w:val="none"/>
        </w:rPr>
        <w:t>银行帐号：</w:t>
      </w:r>
      <w:r>
        <w:rPr>
          <w:rFonts w:hint="eastAsia" w:ascii="仿宋" w:hAnsi="仿宋" w:eastAsia="仿宋" w:cs="仿宋"/>
          <w:color w:val="000000"/>
          <w:sz w:val="21"/>
          <w:szCs w:val="21"/>
          <w:highlight w:val="none"/>
          <w:u w:val="single"/>
        </w:rPr>
        <w:t xml:space="preserve">                             </w:t>
      </w:r>
    </w:p>
    <w:p w14:paraId="3CAC1032">
      <w:pPr>
        <w:adjustRightInd w:val="0"/>
        <w:snapToGrid w:val="0"/>
        <w:spacing w:line="360" w:lineRule="auto"/>
        <w:rPr>
          <w:rFonts w:hint="eastAsia" w:ascii="仿宋" w:hAnsi="仿宋" w:eastAsia="仿宋" w:cs="仿宋"/>
          <w:color w:val="000000"/>
          <w:sz w:val="21"/>
          <w:szCs w:val="21"/>
          <w:highlight w:val="none"/>
        </w:rPr>
      </w:pPr>
    </w:p>
    <w:p w14:paraId="3D1C2EDD">
      <w:pPr>
        <w:adjustRightInd w:val="0"/>
        <w:snapToGrid w:val="0"/>
        <w:spacing w:line="360" w:lineRule="auto"/>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lang w:val="en-US" w:eastAsia="zh-CN"/>
        </w:rPr>
        <w:t>供应商</w:t>
      </w:r>
      <w:r>
        <w:rPr>
          <w:rFonts w:hint="eastAsia" w:ascii="仿宋" w:hAnsi="仿宋" w:eastAsia="仿宋" w:cs="仿宋"/>
          <w:color w:val="000000"/>
          <w:sz w:val="21"/>
          <w:szCs w:val="21"/>
          <w:highlight w:val="none"/>
        </w:rPr>
        <w:t>法定代表人或法定代表人授权代表</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签字</w:t>
      </w:r>
      <w:r>
        <w:rPr>
          <w:rFonts w:hint="eastAsia" w:ascii="仿宋" w:hAnsi="仿宋" w:eastAsia="仿宋" w:cs="仿宋"/>
          <w:color w:val="000000"/>
          <w:sz w:val="21"/>
          <w:szCs w:val="21"/>
          <w:highlight w:val="none"/>
          <w:lang w:val="en-US" w:eastAsia="zh-CN"/>
        </w:rPr>
        <w:t>或电子印章</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w:t>
      </w:r>
    </w:p>
    <w:p w14:paraId="20870BE1">
      <w:pPr>
        <w:adjustRightInd w:val="0"/>
        <w:snapToGrid w:val="0"/>
        <w:spacing w:line="360" w:lineRule="auto"/>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lang w:val="en-US" w:eastAsia="zh-CN"/>
        </w:rPr>
        <w:t>供应商</w:t>
      </w:r>
      <w:r>
        <w:rPr>
          <w:rFonts w:hint="eastAsia" w:ascii="仿宋" w:hAnsi="仿宋" w:eastAsia="仿宋" w:cs="仿宋"/>
          <w:color w:val="000000"/>
          <w:sz w:val="21"/>
          <w:szCs w:val="21"/>
          <w:highlight w:val="none"/>
        </w:rPr>
        <w:t>名称（</w:t>
      </w:r>
      <w:r>
        <w:rPr>
          <w:rFonts w:hint="eastAsia" w:ascii="仿宋" w:hAnsi="仿宋" w:eastAsia="仿宋" w:cs="仿宋"/>
          <w:color w:val="000000"/>
          <w:sz w:val="21"/>
          <w:szCs w:val="21"/>
          <w:highlight w:val="none"/>
          <w:lang w:val="en-US" w:eastAsia="zh-CN"/>
        </w:rPr>
        <w:t>电子印章</w:t>
      </w:r>
      <w:r>
        <w:rPr>
          <w:rFonts w:hint="eastAsia" w:ascii="仿宋" w:hAnsi="仿宋" w:eastAsia="仿宋" w:cs="仿宋"/>
          <w:color w:val="000000"/>
          <w:sz w:val="21"/>
          <w:szCs w:val="21"/>
          <w:highlight w:val="none"/>
        </w:rPr>
        <w:t>）：</w:t>
      </w:r>
    </w:p>
    <w:p w14:paraId="23E451DE">
      <w:pPr>
        <w:adjustRightInd w:val="0"/>
        <w:snapToGrid w:val="0"/>
        <w:spacing w:line="360" w:lineRule="auto"/>
        <w:rPr>
          <w:rFonts w:hint="eastAsia" w:ascii="仿宋" w:hAnsi="仿宋" w:eastAsia="仿宋" w:cs="仿宋"/>
          <w:bCs/>
          <w:kern w:val="2"/>
          <w:sz w:val="21"/>
          <w:szCs w:val="21"/>
          <w:highlight w:val="none"/>
          <w:lang w:val="en-US" w:eastAsia="zh-CN" w:bidi="ar-SA"/>
        </w:rPr>
      </w:pPr>
      <w:r>
        <w:rPr>
          <w:rFonts w:hint="eastAsia" w:ascii="仿宋" w:hAnsi="仿宋" w:eastAsia="仿宋" w:cs="仿宋"/>
          <w:color w:val="000000"/>
          <w:sz w:val="21"/>
          <w:szCs w:val="21"/>
          <w:highlight w:val="none"/>
        </w:rPr>
        <w:t>日期：   年   月   日</w:t>
      </w:r>
    </w:p>
    <w:p w14:paraId="419404F3">
      <w:pPr>
        <w:widowControl w:val="0"/>
        <w:snapToGrid w:val="0"/>
        <w:spacing w:line="440" w:lineRule="exact"/>
        <w:jc w:val="both"/>
        <w:rPr>
          <w:rFonts w:hint="eastAsia" w:ascii="仿宋" w:hAnsi="仿宋" w:eastAsia="仿宋" w:cs="仿宋"/>
          <w:b/>
          <w:kern w:val="2"/>
          <w:sz w:val="21"/>
          <w:szCs w:val="21"/>
          <w:highlight w:val="none"/>
          <w:lang w:val="en-US" w:eastAsia="zh-CN" w:bidi="ar-SA"/>
        </w:rPr>
      </w:pPr>
      <w:r>
        <w:rPr>
          <w:rFonts w:hint="eastAsia" w:ascii="仿宋" w:hAnsi="仿宋" w:eastAsia="仿宋" w:cs="仿宋"/>
          <w:b/>
          <w:kern w:val="2"/>
          <w:sz w:val="21"/>
          <w:szCs w:val="21"/>
          <w:highlight w:val="none"/>
          <w:lang w:val="en-US" w:eastAsia="zh-CN" w:bidi="ar-SA"/>
        </w:rPr>
        <w:t>注：为方便代理机构后续退款事宜，请供应商认真填写此函信息，并后附转帐或汇款的银行凭证复印件。</w:t>
      </w:r>
    </w:p>
    <w:tbl>
      <w:tblPr>
        <w:tblStyle w:val="30"/>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364D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55242A76">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（粘贴转帐或汇款的银行凭证复印件）</w:t>
            </w:r>
          </w:p>
        </w:tc>
      </w:tr>
    </w:tbl>
    <w:p w14:paraId="52E4854B">
      <w:pPr>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jc w:val="both"/>
        <w:textAlignment w:val="auto"/>
        <w:rPr>
          <w:rFonts w:hint="eastAsia" w:ascii="仿宋" w:hAnsi="仿宋" w:eastAsia="仿宋" w:cs="仿宋"/>
          <w:kern w:val="2"/>
          <w:sz w:val="21"/>
          <w:szCs w:val="21"/>
          <w:highlight w:val="none"/>
          <w:lang w:val="zh-CN" w:eastAsia="zh-CN" w:bidi="zh-CN"/>
        </w:rPr>
      </w:pPr>
    </w:p>
    <w:p w14:paraId="4DC37EF0">
      <w:pPr>
        <w:rPr>
          <w:rFonts w:hint="eastAsia" w:ascii="仿宋" w:hAnsi="仿宋" w:eastAsia="仿宋" w:cs="仿宋"/>
          <w:b/>
          <w:bCs/>
          <w:kern w:val="2"/>
          <w:sz w:val="24"/>
          <w:szCs w:val="24"/>
          <w:highlight w:val="none"/>
          <w:lang w:val="en-US" w:eastAsia="zh-CN" w:bidi="zh-CN"/>
        </w:rPr>
      </w:pPr>
      <w:bookmarkStart w:id="327" w:name="_Toc2994"/>
      <w:bookmarkStart w:id="328" w:name="_Toc1413"/>
      <w:bookmarkStart w:id="329" w:name="_Toc28409"/>
      <w:bookmarkStart w:id="330" w:name="_Toc8576"/>
      <w:bookmarkStart w:id="331" w:name="_Toc17857"/>
      <w:bookmarkStart w:id="332" w:name="_Toc19434"/>
      <w:bookmarkStart w:id="333" w:name="_Toc21100"/>
      <w:r>
        <w:rPr>
          <w:rFonts w:hint="eastAsia" w:ascii="仿宋" w:hAnsi="仿宋" w:eastAsia="仿宋" w:cs="仿宋"/>
          <w:b/>
          <w:bCs/>
          <w:kern w:val="2"/>
          <w:sz w:val="24"/>
          <w:szCs w:val="24"/>
          <w:highlight w:val="none"/>
          <w:lang w:val="en-US" w:eastAsia="zh-CN" w:bidi="zh-CN"/>
        </w:rPr>
        <w:br w:type="page"/>
      </w:r>
    </w:p>
    <w:p w14:paraId="42C4103D">
      <w:pPr>
        <w:widowControl w:val="0"/>
        <w:tabs>
          <w:tab w:val="left" w:pos="1325"/>
        </w:tabs>
        <w:spacing w:before="90"/>
        <w:jc w:val="both"/>
        <w:outlineLvl w:val="2"/>
        <w:rPr>
          <w:rFonts w:hint="eastAsia" w:ascii="仿宋" w:hAnsi="仿宋" w:eastAsia="仿宋" w:cs="仿宋"/>
          <w:b/>
          <w:bCs/>
          <w:kern w:val="2"/>
          <w:sz w:val="24"/>
          <w:szCs w:val="24"/>
          <w:highlight w:val="none"/>
          <w:lang w:val="zh-CN" w:eastAsia="zh-CN" w:bidi="zh-CN"/>
        </w:rPr>
      </w:pPr>
      <w:r>
        <w:rPr>
          <w:rFonts w:hint="eastAsia" w:ascii="仿宋" w:hAnsi="仿宋" w:eastAsia="仿宋" w:cs="仿宋"/>
          <w:b/>
          <w:bCs/>
          <w:kern w:val="2"/>
          <w:sz w:val="24"/>
          <w:szCs w:val="24"/>
          <w:highlight w:val="none"/>
          <w:lang w:val="en-US" w:eastAsia="zh-CN" w:bidi="zh-CN"/>
        </w:rPr>
        <w:t>15、开票信息</w:t>
      </w:r>
      <w:r>
        <w:rPr>
          <w:rFonts w:hint="eastAsia" w:ascii="仿宋" w:hAnsi="仿宋" w:eastAsia="仿宋" w:cs="仿宋"/>
          <w:b/>
          <w:bCs/>
          <w:kern w:val="2"/>
          <w:sz w:val="24"/>
          <w:szCs w:val="24"/>
          <w:highlight w:val="none"/>
          <w:lang w:val="zh-CN" w:eastAsia="zh-CN" w:bidi="zh-CN"/>
        </w:rPr>
        <w:t>（统一格式）</w:t>
      </w:r>
      <w:bookmarkEnd w:id="327"/>
      <w:bookmarkEnd w:id="328"/>
      <w:bookmarkEnd w:id="329"/>
      <w:bookmarkEnd w:id="330"/>
      <w:bookmarkEnd w:id="331"/>
      <w:bookmarkEnd w:id="332"/>
      <w:bookmarkEnd w:id="333"/>
    </w:p>
    <w:p w14:paraId="6F57CDF4">
      <w:pPr>
        <w:widowControl w:val="0"/>
        <w:snapToGrid w:val="0"/>
        <w:spacing w:line="440" w:lineRule="exact"/>
        <w:ind w:firstLine="480" w:firstLineChars="200"/>
        <w:jc w:val="both"/>
        <w:rPr>
          <w:rFonts w:hint="eastAsia" w:ascii="仿宋" w:hAnsi="仿宋" w:eastAsia="仿宋" w:cs="仿宋"/>
          <w:bCs/>
          <w:kern w:val="2"/>
          <w:sz w:val="24"/>
          <w:szCs w:val="18"/>
          <w:highlight w:val="none"/>
          <w:lang w:val="en-US" w:eastAsia="zh-CN" w:bidi="ar-SA"/>
        </w:rPr>
      </w:pPr>
    </w:p>
    <w:p w14:paraId="71353225">
      <w:pPr>
        <w:widowControl w:val="0"/>
        <w:snapToGrid w:val="0"/>
        <w:spacing w:line="440" w:lineRule="exact"/>
        <w:jc w:val="both"/>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新疆世纪星工程咨询有限公司：</w:t>
      </w:r>
    </w:p>
    <w:p w14:paraId="7EAC4F38">
      <w:pPr>
        <w:widowControl w:val="0"/>
        <w:snapToGrid w:val="0"/>
        <w:spacing w:line="440" w:lineRule="exact"/>
        <w:ind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 xml:space="preserve">    </w:t>
      </w:r>
      <w:r>
        <w:rPr>
          <w:rFonts w:hint="eastAsia" w:ascii="仿宋" w:hAnsi="仿宋" w:eastAsia="仿宋" w:cs="仿宋"/>
          <w:kern w:val="2"/>
          <w:sz w:val="21"/>
          <w:szCs w:val="21"/>
          <w:highlight w:val="none"/>
          <w:lang w:val="en-US" w:eastAsia="zh-CN" w:bidi="ar-SA"/>
        </w:rPr>
        <w:t>本</w:t>
      </w:r>
      <w:r>
        <w:rPr>
          <w:rFonts w:hint="eastAsia" w:ascii="仿宋" w:hAnsi="仿宋" w:eastAsia="仿宋" w:cs="仿宋"/>
          <w:kern w:val="2"/>
          <w:sz w:val="21"/>
          <w:szCs w:val="21"/>
          <w:highlight w:val="none"/>
          <w:u w:val="single"/>
          <w:lang w:val="en-US" w:eastAsia="zh-CN" w:bidi="ar-SA"/>
        </w:rPr>
        <w:t xml:space="preserve">   （供应商名称）   </w:t>
      </w:r>
      <w:r>
        <w:rPr>
          <w:rFonts w:hint="eastAsia" w:ascii="仿宋" w:hAnsi="仿宋" w:eastAsia="仿宋" w:cs="仿宋"/>
          <w:kern w:val="2"/>
          <w:sz w:val="21"/>
          <w:szCs w:val="21"/>
          <w:highlight w:val="none"/>
          <w:lang w:val="en-US" w:eastAsia="zh-CN" w:bidi="ar-SA"/>
        </w:rPr>
        <w:t>公司在参加在贵司进行的</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（采购项目名称）、</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（项目编号)、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（标项(包)名称）</w:t>
      </w:r>
      <w:r>
        <w:rPr>
          <w:rFonts w:hint="eastAsia" w:ascii="仿宋" w:hAnsi="仿宋" w:eastAsia="仿宋" w:cs="仿宋"/>
          <w:kern w:val="2"/>
          <w:sz w:val="21"/>
          <w:szCs w:val="21"/>
          <w:highlight w:val="none"/>
          <w:lang w:val="en-US" w:eastAsia="zh-CN" w:bidi="ar-SA"/>
        </w:rPr>
        <w:t xml:space="preserve">招标，我司缴纳标书费和代理服务费后开具发票的事宜，我司声明如下： </w:t>
      </w:r>
    </w:p>
    <w:p w14:paraId="656BBC84">
      <w:pPr>
        <w:widowControl w:val="0"/>
        <w:snapToGrid w:val="0"/>
        <w:spacing w:line="440" w:lineRule="exact"/>
        <w:ind w:firstLine="420" w:firstLineChars="200"/>
        <w:jc w:val="both"/>
        <w:rPr>
          <w:rFonts w:hint="eastAsia" w:ascii="仿宋" w:hAnsi="仿宋" w:eastAsia="仿宋" w:cs="仿宋"/>
          <w:kern w:val="2"/>
          <w:sz w:val="21"/>
          <w:szCs w:val="21"/>
          <w:highlight w:val="none"/>
          <w:lang w:val="en-US" w:eastAsia="zh-CN" w:bidi="ar-SA"/>
        </w:rPr>
      </w:pPr>
    </w:p>
    <w:tbl>
      <w:tblPr>
        <w:tblStyle w:val="31"/>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7D9E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45FBE2EC">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增值税发票开票信息</w:t>
            </w:r>
          </w:p>
        </w:tc>
      </w:tr>
      <w:tr w14:paraId="68D9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8ED1B13">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增值税发票开票种类</w:t>
            </w:r>
          </w:p>
        </w:tc>
        <w:tc>
          <w:tcPr>
            <w:tcW w:w="7472" w:type="dxa"/>
            <w:gridSpan w:val="3"/>
            <w:vAlign w:val="center"/>
          </w:tcPr>
          <w:p w14:paraId="1EAA8CA3">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（请在此处注明增值税专用发票或增值税普通发票）</w:t>
            </w:r>
          </w:p>
        </w:tc>
      </w:tr>
      <w:tr w14:paraId="6578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C0E097E">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单位名称</w:t>
            </w:r>
          </w:p>
        </w:tc>
        <w:tc>
          <w:tcPr>
            <w:tcW w:w="7472" w:type="dxa"/>
            <w:gridSpan w:val="3"/>
            <w:vAlign w:val="center"/>
          </w:tcPr>
          <w:p w14:paraId="4155D165">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p>
        </w:tc>
      </w:tr>
      <w:tr w14:paraId="234E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4B3A160">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单位地址</w:t>
            </w:r>
          </w:p>
        </w:tc>
        <w:tc>
          <w:tcPr>
            <w:tcW w:w="7472" w:type="dxa"/>
            <w:gridSpan w:val="3"/>
            <w:vAlign w:val="center"/>
          </w:tcPr>
          <w:p w14:paraId="7B74FFFA">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p>
        </w:tc>
      </w:tr>
      <w:tr w14:paraId="29B5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2D6A090">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纳税人识别号</w:t>
            </w:r>
          </w:p>
        </w:tc>
        <w:tc>
          <w:tcPr>
            <w:tcW w:w="3576" w:type="dxa"/>
            <w:vAlign w:val="center"/>
          </w:tcPr>
          <w:p w14:paraId="28CDA1D9">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p>
        </w:tc>
        <w:tc>
          <w:tcPr>
            <w:tcW w:w="1791" w:type="dxa"/>
            <w:vAlign w:val="center"/>
          </w:tcPr>
          <w:p w14:paraId="2D1A64D9">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固定电话</w:t>
            </w:r>
          </w:p>
        </w:tc>
        <w:tc>
          <w:tcPr>
            <w:tcW w:w="2105" w:type="dxa"/>
            <w:vAlign w:val="center"/>
          </w:tcPr>
          <w:p w14:paraId="1E031EDF">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p>
        </w:tc>
      </w:tr>
      <w:tr w14:paraId="73FE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B9E706A">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开户银行名称</w:t>
            </w:r>
          </w:p>
        </w:tc>
        <w:tc>
          <w:tcPr>
            <w:tcW w:w="3576" w:type="dxa"/>
            <w:vAlign w:val="center"/>
          </w:tcPr>
          <w:p w14:paraId="5FE24EE5">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p>
        </w:tc>
        <w:tc>
          <w:tcPr>
            <w:tcW w:w="1791" w:type="dxa"/>
            <w:vAlign w:val="center"/>
          </w:tcPr>
          <w:p w14:paraId="2D644478">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联系人姓名</w:t>
            </w:r>
          </w:p>
        </w:tc>
        <w:tc>
          <w:tcPr>
            <w:tcW w:w="2105" w:type="dxa"/>
            <w:vAlign w:val="center"/>
          </w:tcPr>
          <w:p w14:paraId="0C235423">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p>
        </w:tc>
      </w:tr>
      <w:tr w14:paraId="6695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A876089">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开户银行账号</w:t>
            </w:r>
          </w:p>
        </w:tc>
        <w:tc>
          <w:tcPr>
            <w:tcW w:w="3576" w:type="dxa"/>
            <w:vAlign w:val="center"/>
          </w:tcPr>
          <w:p w14:paraId="05AE18A6">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p>
        </w:tc>
        <w:tc>
          <w:tcPr>
            <w:tcW w:w="1791" w:type="dxa"/>
            <w:vAlign w:val="center"/>
          </w:tcPr>
          <w:p w14:paraId="3DD0151A">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联系人电话</w:t>
            </w:r>
          </w:p>
        </w:tc>
        <w:tc>
          <w:tcPr>
            <w:tcW w:w="2105" w:type="dxa"/>
            <w:vAlign w:val="center"/>
          </w:tcPr>
          <w:p w14:paraId="6014F9BF">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p>
        </w:tc>
      </w:tr>
      <w:tr w14:paraId="55BF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5881C0B">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电子发票收件</w:t>
            </w:r>
          </w:p>
          <w:p w14:paraId="7E3B9684">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电子邮箱</w:t>
            </w:r>
          </w:p>
        </w:tc>
        <w:tc>
          <w:tcPr>
            <w:tcW w:w="7472" w:type="dxa"/>
            <w:gridSpan w:val="3"/>
            <w:vAlign w:val="center"/>
          </w:tcPr>
          <w:p w14:paraId="5C39A48B">
            <w:pPr>
              <w:widowControl w:val="0"/>
              <w:snapToGrid w:val="0"/>
              <w:spacing w:line="440" w:lineRule="exact"/>
              <w:jc w:val="left"/>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Email:</w:t>
            </w:r>
          </w:p>
        </w:tc>
      </w:tr>
      <w:tr w14:paraId="7311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05F8584B">
            <w:pPr>
              <w:widowControl w:val="0"/>
              <w:snapToGrid w:val="0"/>
              <w:spacing w:line="440" w:lineRule="exact"/>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发票邮寄地址：</w:t>
            </w:r>
          </w:p>
        </w:tc>
        <w:tc>
          <w:tcPr>
            <w:tcW w:w="7472" w:type="dxa"/>
            <w:gridSpan w:val="3"/>
            <w:vAlign w:val="center"/>
          </w:tcPr>
          <w:p w14:paraId="11738692">
            <w:pPr>
              <w:widowControl w:val="0"/>
              <w:snapToGrid w:val="0"/>
              <w:spacing w:line="440" w:lineRule="exact"/>
              <w:jc w:val="both"/>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地址：</w:t>
            </w:r>
          </w:p>
          <w:p w14:paraId="410CE99B">
            <w:pPr>
              <w:widowControl w:val="0"/>
              <w:snapToGrid w:val="0"/>
              <w:spacing w:line="440" w:lineRule="exact"/>
              <w:jc w:val="both"/>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收件人：                电话：</w:t>
            </w:r>
          </w:p>
        </w:tc>
      </w:tr>
    </w:tbl>
    <w:p w14:paraId="78A5955A">
      <w:pPr>
        <w:widowControl w:val="0"/>
        <w:snapToGrid w:val="0"/>
        <w:spacing w:line="440" w:lineRule="exact"/>
        <w:jc w:val="both"/>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 xml:space="preserve">    我公司提供的上述开票信息准确无误，如果因我公司提供上述信息错误，导致发票无效的，将由我公司承担相应后果。</w:t>
      </w:r>
    </w:p>
    <w:p w14:paraId="5513F90C">
      <w:pPr>
        <w:widowControl w:val="0"/>
        <w:snapToGrid w:val="0"/>
        <w:spacing w:line="440" w:lineRule="exact"/>
        <w:jc w:val="both"/>
        <w:rPr>
          <w:rFonts w:hint="eastAsia" w:ascii="仿宋" w:hAnsi="仿宋" w:eastAsia="仿宋" w:cs="仿宋"/>
          <w:bCs/>
          <w:kern w:val="2"/>
          <w:sz w:val="21"/>
          <w:szCs w:val="21"/>
          <w:highlight w:val="none"/>
          <w:lang w:val="en-US" w:eastAsia="zh-CN" w:bidi="ar-SA"/>
        </w:rPr>
      </w:pPr>
    </w:p>
    <w:p w14:paraId="66D0A839">
      <w:pPr>
        <w:widowControl w:val="0"/>
        <w:snapToGrid w:val="0"/>
        <w:spacing w:line="440" w:lineRule="exact"/>
        <w:ind w:firstLine="420" w:firstLineChars="200"/>
        <w:jc w:val="both"/>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注：供应商需要采购代理机构开具增值税发票的，请在上表中填写相关信息，</w:t>
      </w:r>
      <w:r>
        <w:rPr>
          <w:rFonts w:hint="eastAsia" w:ascii="仿宋" w:hAnsi="仿宋" w:eastAsia="仿宋" w:cs="仿宋"/>
          <w:b/>
          <w:kern w:val="2"/>
          <w:sz w:val="21"/>
          <w:szCs w:val="21"/>
          <w:highlight w:val="none"/>
          <w:lang w:val="en-US" w:eastAsia="zh-CN" w:bidi="ar-SA"/>
        </w:rPr>
        <w:t>如供应商需要开具增值税专用发票的须附供应商开户许可证、一般纳税人认定文件的清晰复印件加盖公章，以及开票信息（见上表）。</w:t>
      </w:r>
      <w:r>
        <w:rPr>
          <w:rFonts w:hint="eastAsia" w:ascii="仿宋" w:hAnsi="仿宋" w:eastAsia="仿宋" w:cs="仿宋"/>
          <w:bCs/>
          <w:kern w:val="2"/>
          <w:sz w:val="21"/>
          <w:szCs w:val="21"/>
          <w:highlight w:val="none"/>
          <w:lang w:val="en-US" w:eastAsia="zh-CN" w:bidi="ar-SA"/>
        </w:rPr>
        <w:t>如供应商在开票信息中未注明开具</w:t>
      </w:r>
      <w:r>
        <w:rPr>
          <w:rFonts w:hint="eastAsia" w:ascii="仿宋" w:hAnsi="仿宋" w:eastAsia="仿宋" w:cs="仿宋"/>
          <w:b/>
          <w:kern w:val="2"/>
          <w:sz w:val="21"/>
          <w:szCs w:val="21"/>
          <w:highlight w:val="none"/>
          <w:lang w:val="en-US" w:eastAsia="zh-CN" w:bidi="ar-SA"/>
        </w:rPr>
        <w:t>增值税专用发票</w:t>
      </w:r>
      <w:r>
        <w:rPr>
          <w:rFonts w:hint="eastAsia" w:ascii="仿宋" w:hAnsi="仿宋" w:eastAsia="仿宋" w:cs="仿宋"/>
          <w:bCs/>
          <w:kern w:val="2"/>
          <w:sz w:val="21"/>
          <w:szCs w:val="21"/>
          <w:highlight w:val="none"/>
          <w:lang w:val="en-US" w:eastAsia="zh-CN" w:bidi="ar-SA"/>
        </w:rPr>
        <w:t>且未提供上述材料，代理机构将默认开具增值税普通发票。</w:t>
      </w:r>
    </w:p>
    <w:p w14:paraId="4C3E1982">
      <w:pPr>
        <w:widowControl w:val="0"/>
        <w:snapToGrid w:val="0"/>
        <w:spacing w:line="440" w:lineRule="exact"/>
        <w:jc w:val="both"/>
        <w:rPr>
          <w:rFonts w:hint="eastAsia" w:ascii="仿宋" w:hAnsi="仿宋" w:eastAsia="仿宋" w:cs="仿宋"/>
          <w:bCs/>
          <w:kern w:val="2"/>
          <w:sz w:val="21"/>
          <w:szCs w:val="21"/>
          <w:highlight w:val="none"/>
          <w:lang w:val="en-US" w:eastAsia="zh-CN" w:bidi="ar-SA"/>
        </w:rPr>
      </w:pPr>
    </w:p>
    <w:p w14:paraId="32D033B8">
      <w:pPr>
        <w:adjustRightInd w:val="0"/>
        <w:snapToGrid w:val="0"/>
        <w:spacing w:line="440" w:lineRule="exac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lang w:val="en-US" w:eastAsia="zh-CN"/>
        </w:rPr>
        <w:t>供应商</w:t>
      </w:r>
      <w:r>
        <w:rPr>
          <w:rFonts w:hint="eastAsia" w:ascii="仿宋" w:hAnsi="仿宋" w:eastAsia="仿宋" w:cs="仿宋"/>
          <w:color w:val="000000"/>
          <w:sz w:val="21"/>
          <w:szCs w:val="21"/>
          <w:highlight w:val="none"/>
        </w:rPr>
        <w:t>法定代表人或法定代表人授权代表</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签字</w:t>
      </w:r>
      <w:r>
        <w:rPr>
          <w:rFonts w:hint="eastAsia" w:ascii="仿宋" w:hAnsi="仿宋" w:eastAsia="仿宋" w:cs="仿宋"/>
          <w:color w:val="000000"/>
          <w:sz w:val="21"/>
          <w:szCs w:val="21"/>
          <w:highlight w:val="none"/>
          <w:lang w:val="en-US" w:eastAsia="zh-CN"/>
        </w:rPr>
        <w:t>或电子印章</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w:t>
      </w:r>
    </w:p>
    <w:p w14:paraId="322214E8">
      <w:pPr>
        <w:adjustRightInd w:val="0"/>
        <w:snapToGrid w:val="0"/>
        <w:spacing w:line="440" w:lineRule="exac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lang w:val="en-US" w:eastAsia="zh-CN"/>
        </w:rPr>
        <w:t>供应商</w:t>
      </w:r>
      <w:r>
        <w:rPr>
          <w:rFonts w:hint="eastAsia" w:ascii="仿宋" w:hAnsi="仿宋" w:eastAsia="仿宋" w:cs="仿宋"/>
          <w:color w:val="000000"/>
          <w:sz w:val="21"/>
          <w:szCs w:val="21"/>
          <w:highlight w:val="none"/>
        </w:rPr>
        <w:t>名称（</w:t>
      </w:r>
      <w:r>
        <w:rPr>
          <w:rFonts w:hint="eastAsia" w:ascii="仿宋" w:hAnsi="仿宋" w:eastAsia="仿宋" w:cs="仿宋"/>
          <w:color w:val="000000"/>
          <w:sz w:val="21"/>
          <w:szCs w:val="21"/>
          <w:highlight w:val="none"/>
          <w:lang w:val="en-US" w:eastAsia="zh-CN"/>
        </w:rPr>
        <w:t>电子印章</w:t>
      </w:r>
      <w:r>
        <w:rPr>
          <w:rFonts w:hint="eastAsia" w:ascii="仿宋" w:hAnsi="仿宋" w:eastAsia="仿宋" w:cs="仿宋"/>
          <w:color w:val="000000"/>
          <w:sz w:val="21"/>
          <w:szCs w:val="21"/>
          <w:highlight w:val="none"/>
        </w:rPr>
        <w:t>）：</w:t>
      </w:r>
    </w:p>
    <w:p w14:paraId="2EE99A02">
      <w:pPr>
        <w:widowControl w:val="0"/>
        <w:snapToGrid w:val="0"/>
        <w:spacing w:line="440" w:lineRule="exact"/>
        <w:jc w:val="both"/>
        <w:rPr>
          <w:rFonts w:hint="eastAsia" w:ascii="仿宋" w:hAnsi="仿宋" w:eastAsia="仿宋" w:cs="仿宋"/>
          <w:b/>
          <w:bCs/>
          <w:color w:val="000000"/>
          <w:kern w:val="2"/>
          <w:sz w:val="21"/>
          <w:szCs w:val="21"/>
          <w:highlight w:val="none"/>
          <w:lang w:val="en-US" w:eastAsia="zh-CN" w:bidi="ar"/>
        </w:rPr>
      </w:pPr>
      <w:r>
        <w:rPr>
          <w:rFonts w:hint="eastAsia" w:ascii="仿宋" w:hAnsi="仿宋" w:eastAsia="仿宋" w:cs="仿宋"/>
          <w:color w:val="000000"/>
          <w:kern w:val="2"/>
          <w:sz w:val="21"/>
          <w:szCs w:val="21"/>
          <w:highlight w:val="none"/>
          <w:lang w:val="en-US" w:eastAsia="zh-CN" w:bidi="ar-SA"/>
        </w:rPr>
        <w:t>日期：   年   月   日</w:t>
      </w:r>
    </w:p>
    <w:p w14:paraId="3EDF84CD">
      <w:pPr>
        <w:pStyle w:val="16"/>
        <w:rPr>
          <w:rFonts w:hint="eastAsia" w:ascii="仿宋" w:hAnsi="仿宋" w:eastAsia="仿宋" w:cs="仿宋"/>
          <w:highlight w:val="none"/>
          <w:lang w:val="en-US" w:eastAsia="zh-CN"/>
        </w:rPr>
      </w:pPr>
    </w:p>
    <w:p w14:paraId="1038820D">
      <w:pPr>
        <w:pStyle w:val="16"/>
        <w:rPr>
          <w:rFonts w:hint="eastAsia" w:ascii="仿宋" w:hAnsi="仿宋" w:eastAsia="仿宋" w:cs="仿宋"/>
          <w:highlight w:val="none"/>
          <w:lang w:val="en-US" w:eastAsia="zh-CN"/>
        </w:rPr>
      </w:pPr>
    </w:p>
    <w:sectPr>
      <w:headerReference r:id="rId14" w:type="default"/>
      <w:footerReference r:id="rId15" w:type="default"/>
      <w:pgSz w:w="11906" w:h="16838"/>
      <w:pgMar w:top="1440" w:right="850" w:bottom="1440" w:left="1417" w:header="851" w:footer="992" w:gutter="0"/>
      <w:pgNumType w:fmt="decimal"/>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A183D630-EFD9-4161-A625-0670320E2C7E}"/>
  </w:font>
  <w:font w:name="微软雅黑">
    <w:panose1 w:val="020B0503020204020204"/>
    <w:charset w:val="86"/>
    <w:family w:val="auto"/>
    <w:pitch w:val="default"/>
    <w:sig w:usb0="80000287" w:usb1="2ACF3C50" w:usb2="00000016" w:usb3="00000000" w:csb0="0004001F" w:csb1="00000000"/>
    <w:embedRegular r:id="rId2" w:fontKey="{4853CC7F-D663-424B-81D7-3316F12EA478}"/>
  </w:font>
  <w:font w:name="楷体">
    <w:panose1 w:val="02010609060101010101"/>
    <w:charset w:val="86"/>
    <w:family w:val="modern"/>
    <w:pitch w:val="default"/>
    <w:sig w:usb0="800002BF" w:usb1="38CF7CFA" w:usb2="00000016" w:usb3="00000000" w:csb0="00040001" w:csb1="00000000"/>
    <w:embedRegular r:id="rId3" w:fontKey="{879FF366-7025-46CF-9731-BDFA855332B8}"/>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4" w:fontKey="{051AABC6-B30D-448E-A4A1-ECD0DBE25AAD}"/>
  </w:font>
  <w:font w:name="Wingdings 2">
    <w:altName w:val="Wingdings"/>
    <w:panose1 w:val="00000000000000000000"/>
    <w:charset w:val="00"/>
    <w:family w:val="auto"/>
    <w:pitch w:val="default"/>
    <w:sig w:usb0="00000000" w:usb1="00000000" w:usb2="00000000" w:usb3="00000000" w:csb0="00040001" w:csb1="00000000"/>
    <w:embedRegular r:id="rId5" w:fontKey="{10195565-CF2A-402A-9792-D88ACD14D0DC}"/>
  </w:font>
  <w:font w:name="Tahoma">
    <w:panose1 w:val="020B0604030504040204"/>
    <w:charset w:val="00"/>
    <w:family w:val="auto"/>
    <w:pitch w:val="default"/>
    <w:sig w:usb0="E1002EFF" w:usb1="C000605B" w:usb2="00000029" w:usb3="00000000" w:csb0="200101FF" w:csb1="2028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15B72">
    <w:pPr>
      <w:pStyle w:val="21"/>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CE468">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D0CE468">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77AAD">
                          <w:pPr>
                            <w:pStyle w:val="2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CD77AAD">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9A3BF">
    <w:pPr>
      <w:pStyle w:val="21"/>
      <w:jc w:val="center"/>
      <w:rPr>
        <w:rFonts w:hint="eastAsia" w:eastAsia="楷体"/>
        <w:lang w:val="en-US" w:eastAsia="zh-CN"/>
      </w:rPr>
    </w:pPr>
    <w:r>
      <w:rPr>
        <w:rFonts w:hint="eastAsia"/>
        <w:lang w:val="en-US" w:eastAsia="zh-CN"/>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59B03">
    <w:pPr>
      <w:pStyle w:val="21"/>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75DE3">
                          <w:pPr>
                            <w:pStyle w:val="2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C475DE3">
                    <w:pPr>
                      <w:pStyle w:val="2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8E5D2">
    <w:pPr>
      <w:pStyle w:val="21"/>
      <w:jc w:val="center"/>
      <w:rPr>
        <w:rFonts w:ascii="Times New Roman" w:hAnsi="Times New Roman" w:eastAsia="仿宋_GB2312"/>
        <w:sz w:val="24"/>
      </w:rP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BC6C8">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5DBC6C8">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1327E">
    <w:pPr>
      <w:pStyle w:val="21"/>
      <w:jc w:val="center"/>
      <w:rPr>
        <w:rFonts w:ascii="Times New Roman" w:hAnsi="Times New Roman" w:eastAsia="仿宋_GB2312"/>
        <w:sz w:val="24"/>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FE2D1">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8DFE2D1">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50BD8">
    <w:pPr>
      <w:pStyle w:val="21"/>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C6168">
                          <w:pPr>
                            <w:pStyle w:val="2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9CC6168">
                    <w:pPr>
                      <w:pStyle w:val="2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C3973">
    <w:pPr>
      <w:pStyle w:val="21"/>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72886">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1B72886">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71E77">
    <w:pPr>
      <w:pStyle w:val="21"/>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EA91A">
                          <w:pPr>
                            <w:pStyle w:val="2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35EA91A">
                    <w:pPr>
                      <w:pStyle w:val="2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0ECF5">
    <w:pPr>
      <w:pStyle w:val="23"/>
      <w:ind w:firstLine="840" w:firstLineChars="300"/>
      <w:rPr>
        <w:rFonts w:hint="eastAsia" w:ascii="仿宋" w:hAnsi="仿宋" w:eastAsia="仿宋" w:cs="仿宋"/>
        <w:sz w:val="21"/>
        <w:szCs w:val="21"/>
      </w:rPr>
    </w:pPr>
    <w:r>
      <w:rPr>
        <w:rFonts w:hint="eastAsia" w:ascii="仿宋" w:hAnsi="仿宋" w:eastAsia="仿宋" w:cs="仿宋"/>
        <w:sz w:val="28"/>
        <w:szCs w:val="28"/>
      </w:rPr>
      <w:drawing>
        <wp:anchor distT="0" distB="0" distL="114300" distR="114300" simplePos="0" relativeHeight="251667456" behindDoc="1" locked="0" layoutInCell="1" allowOverlap="1">
          <wp:simplePos x="0" y="0"/>
          <wp:positionH relativeFrom="column">
            <wp:posOffset>14605</wp:posOffset>
          </wp:positionH>
          <wp:positionV relativeFrom="paragraph">
            <wp:posOffset>-6985</wp:posOffset>
          </wp:positionV>
          <wp:extent cx="427355" cy="413385"/>
          <wp:effectExtent l="0" t="0" r="10795" b="5715"/>
          <wp:wrapTight wrapText="bothSides">
            <wp:wrapPolygon>
              <wp:start x="0" y="0"/>
              <wp:lineTo x="0" y="20903"/>
              <wp:lineTo x="20894" y="20903"/>
              <wp:lineTo x="20894" y="0"/>
              <wp:lineTo x="0" y="0"/>
            </wp:wrapPolygon>
          </wp:wrapTight>
          <wp:docPr id="8" name="图片 8"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 w:hAnsi="仿宋" w:eastAsia="仿宋" w:cs="仿宋"/>
        <w:sz w:val="28"/>
        <w:szCs w:val="28"/>
      </w:rPr>
      <w:t>新疆世纪星工程咨询有限公司</w:t>
    </w:r>
    <w:r>
      <w:rPr>
        <w:rFonts w:hint="eastAsia" w:ascii="仿宋" w:hAnsi="仿宋" w:eastAsia="仿宋" w:cs="仿宋"/>
        <w:sz w:val="32"/>
        <w:szCs w:val="32"/>
      </w:rPr>
      <w:t xml:space="preserve">  </w:t>
    </w:r>
    <w:r>
      <w:rPr>
        <w:rFonts w:hint="eastAsia" w:ascii="仿宋" w:hAnsi="仿宋" w:eastAsia="仿宋" w:cs="仿宋"/>
        <w:sz w:val="21"/>
        <w:szCs w:val="21"/>
      </w:rPr>
      <w:t>新疆乌鲁木齐市黄山街德港大厦20层</w:t>
    </w:r>
  </w:p>
  <w:p w14:paraId="56A5F05F">
    <w:pPr>
      <w:pStyle w:val="23"/>
      <w:pBdr>
        <w:bottom w:val="single" w:color="auto" w:sz="4" w:space="1"/>
      </w:pBdr>
      <w:ind w:firstLine="910" w:firstLineChars="700"/>
      <w:rPr>
        <w:rFonts w:hint="eastAsia" w:ascii="仿宋" w:hAnsi="仿宋" w:eastAsia="仿宋" w:cs="仿宋"/>
        <w:sz w:val="15"/>
        <w:szCs w:val="15"/>
      </w:rPr>
    </w:pPr>
    <w:r>
      <w:rPr>
        <w:rFonts w:hint="eastAsia" w:ascii="仿宋" w:hAnsi="仿宋" w:eastAsia="仿宋" w:cs="仿宋"/>
        <w:sz w:val="13"/>
        <w:szCs w:val="13"/>
      </w:rPr>
      <w:t xml:space="preserve">Xinjiang Century Star Engineering Consulting Co., Ltd.          </w:t>
    </w:r>
    <w:r>
      <w:rPr>
        <w:rFonts w:hint="eastAsia" w:ascii="仿宋" w:hAnsi="仿宋" w:eastAsia="仿宋" w:cs="仿宋"/>
        <w:sz w:val="16"/>
        <w:szCs w:val="16"/>
      </w:rPr>
      <w:t>TEL：0991-3678303</w:t>
    </w:r>
  </w:p>
  <w:p w14:paraId="25F33E2F">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12791">
    <w:pPr>
      <w:pStyle w:val="23"/>
      <w:ind w:firstLine="840" w:firstLineChars="300"/>
      <w:rPr>
        <w:rFonts w:hint="eastAsia" w:ascii="仿宋" w:hAnsi="仿宋" w:eastAsia="仿宋" w:cs="仿宋"/>
        <w:sz w:val="21"/>
        <w:szCs w:val="21"/>
      </w:rPr>
    </w:pPr>
    <w:r>
      <w:rPr>
        <w:rFonts w:hint="eastAsia" w:ascii="仿宋" w:hAnsi="仿宋" w:eastAsia="仿宋" w:cs="仿宋"/>
        <w:sz w:val="28"/>
        <w:szCs w:val="28"/>
      </w:rPr>
      <w:drawing>
        <wp:anchor distT="0" distB="0" distL="114300" distR="114300" simplePos="0" relativeHeight="251666432" behindDoc="1" locked="0" layoutInCell="1" allowOverlap="1">
          <wp:simplePos x="0" y="0"/>
          <wp:positionH relativeFrom="column">
            <wp:posOffset>14605</wp:posOffset>
          </wp:positionH>
          <wp:positionV relativeFrom="paragraph">
            <wp:posOffset>-6985</wp:posOffset>
          </wp:positionV>
          <wp:extent cx="427355" cy="413385"/>
          <wp:effectExtent l="0" t="0" r="10795" b="5715"/>
          <wp:wrapTight wrapText="bothSides">
            <wp:wrapPolygon>
              <wp:start x="0" y="0"/>
              <wp:lineTo x="0" y="20903"/>
              <wp:lineTo x="20894" y="20903"/>
              <wp:lineTo x="20894" y="0"/>
              <wp:lineTo x="0" y="0"/>
            </wp:wrapPolygon>
          </wp:wrapTight>
          <wp:docPr id="1115926712" name="图片 1115926712"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26712" name="图片 1115926712"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 w:hAnsi="仿宋" w:eastAsia="仿宋" w:cs="仿宋"/>
        <w:sz w:val="28"/>
        <w:szCs w:val="28"/>
      </w:rPr>
      <w:t>新疆世纪星工程咨询有限公司</w:t>
    </w:r>
    <w:r>
      <w:rPr>
        <w:rFonts w:hint="eastAsia" w:ascii="仿宋" w:hAnsi="仿宋" w:eastAsia="仿宋" w:cs="仿宋"/>
        <w:sz w:val="32"/>
        <w:szCs w:val="32"/>
      </w:rPr>
      <w:t xml:space="preserve">  </w:t>
    </w:r>
    <w:r>
      <w:rPr>
        <w:rFonts w:hint="eastAsia" w:ascii="仿宋" w:hAnsi="仿宋" w:eastAsia="仿宋" w:cs="仿宋"/>
        <w:sz w:val="21"/>
        <w:szCs w:val="21"/>
      </w:rPr>
      <w:t>新疆乌鲁木齐市黄山街德港大厦20层</w:t>
    </w:r>
  </w:p>
  <w:p w14:paraId="2A17B879">
    <w:pPr>
      <w:pStyle w:val="23"/>
      <w:pBdr>
        <w:bottom w:val="single" w:color="auto" w:sz="4" w:space="1"/>
      </w:pBdr>
      <w:ind w:firstLine="910" w:firstLineChars="700"/>
      <w:rPr>
        <w:rFonts w:hint="eastAsia" w:ascii="仿宋" w:hAnsi="仿宋" w:eastAsia="仿宋" w:cs="仿宋"/>
        <w:sz w:val="15"/>
        <w:szCs w:val="15"/>
      </w:rPr>
    </w:pPr>
    <w:r>
      <w:rPr>
        <w:rFonts w:hint="eastAsia" w:ascii="仿宋" w:hAnsi="仿宋" w:eastAsia="仿宋" w:cs="仿宋"/>
        <w:sz w:val="13"/>
        <w:szCs w:val="13"/>
      </w:rPr>
      <w:t xml:space="preserve">Xinjiang Century Star Engineering Consulting Co., Ltd.          </w:t>
    </w:r>
    <w:r>
      <w:rPr>
        <w:rFonts w:hint="eastAsia" w:ascii="仿宋" w:hAnsi="仿宋" w:eastAsia="仿宋" w:cs="仿宋"/>
        <w:sz w:val="16"/>
        <w:szCs w:val="16"/>
      </w:rPr>
      <w:t>TEL：0991-3678303</w:t>
    </w:r>
  </w:p>
  <w:p w14:paraId="26FC72DC">
    <w:pPr>
      <w:pStyle w:val="23"/>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624FA">
    <w:pPr>
      <w:pStyle w:val="23"/>
      <w:ind w:firstLine="840" w:firstLineChars="300"/>
      <w:rPr>
        <w:rFonts w:hint="eastAsia" w:ascii="仿宋" w:hAnsi="仿宋" w:eastAsia="仿宋" w:cs="仿宋"/>
        <w:sz w:val="21"/>
        <w:szCs w:val="21"/>
      </w:rPr>
    </w:pPr>
    <w:r>
      <w:rPr>
        <w:rFonts w:hint="eastAsia" w:ascii="仿宋" w:hAnsi="仿宋" w:eastAsia="仿宋" w:cs="仿宋"/>
        <w:sz w:val="28"/>
        <w:szCs w:val="28"/>
      </w:rPr>
      <w:drawing>
        <wp:anchor distT="0" distB="0" distL="114300" distR="114300" simplePos="0" relativeHeight="251675648" behindDoc="1" locked="0" layoutInCell="1" allowOverlap="1">
          <wp:simplePos x="0" y="0"/>
          <wp:positionH relativeFrom="column">
            <wp:posOffset>14605</wp:posOffset>
          </wp:positionH>
          <wp:positionV relativeFrom="paragraph">
            <wp:posOffset>-6985</wp:posOffset>
          </wp:positionV>
          <wp:extent cx="427355" cy="413385"/>
          <wp:effectExtent l="0" t="0" r="10795" b="5715"/>
          <wp:wrapTight wrapText="bothSides">
            <wp:wrapPolygon>
              <wp:start x="0" y="0"/>
              <wp:lineTo x="0" y="20903"/>
              <wp:lineTo x="20894" y="20903"/>
              <wp:lineTo x="20894" y="0"/>
              <wp:lineTo x="0" y="0"/>
            </wp:wrapPolygon>
          </wp:wrapTight>
          <wp:docPr id="13" name="图片 13"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 w:hAnsi="仿宋" w:eastAsia="仿宋" w:cs="仿宋"/>
        <w:sz w:val="28"/>
        <w:szCs w:val="28"/>
      </w:rPr>
      <w:t>新疆世纪星工程咨询有限公司</w:t>
    </w:r>
    <w:r>
      <w:rPr>
        <w:rFonts w:hint="eastAsia" w:ascii="仿宋" w:hAnsi="仿宋" w:eastAsia="仿宋" w:cs="仿宋"/>
        <w:sz w:val="32"/>
        <w:szCs w:val="32"/>
      </w:rPr>
      <w:t xml:space="preserve">  </w:t>
    </w:r>
    <w:r>
      <w:rPr>
        <w:rFonts w:hint="eastAsia" w:ascii="仿宋" w:hAnsi="仿宋" w:eastAsia="仿宋" w:cs="仿宋"/>
        <w:sz w:val="21"/>
        <w:szCs w:val="21"/>
      </w:rPr>
      <w:t>新疆乌鲁木齐市黄山街德港大厦20层</w:t>
    </w:r>
  </w:p>
  <w:p w14:paraId="353544F9">
    <w:pPr>
      <w:pStyle w:val="23"/>
      <w:pBdr>
        <w:bottom w:val="single" w:color="auto" w:sz="4" w:space="1"/>
      </w:pBdr>
      <w:ind w:firstLine="910" w:firstLineChars="700"/>
      <w:rPr>
        <w:rFonts w:hint="eastAsia" w:ascii="仿宋" w:hAnsi="仿宋" w:eastAsia="仿宋" w:cs="仿宋"/>
        <w:sz w:val="15"/>
        <w:szCs w:val="15"/>
      </w:rPr>
    </w:pPr>
    <w:r>
      <w:rPr>
        <w:rFonts w:hint="eastAsia" w:ascii="仿宋" w:hAnsi="仿宋" w:eastAsia="仿宋" w:cs="仿宋"/>
        <w:sz w:val="13"/>
        <w:szCs w:val="13"/>
      </w:rPr>
      <w:t xml:space="preserve">Xinjiang Century Star Engineering Consulting Co., Ltd.          </w:t>
    </w:r>
    <w:r>
      <w:rPr>
        <w:rFonts w:hint="eastAsia" w:ascii="仿宋" w:hAnsi="仿宋" w:eastAsia="仿宋" w:cs="仿宋"/>
        <w:sz w:val="16"/>
        <w:szCs w:val="16"/>
      </w:rPr>
      <w:t>TEL：0991-3678303</w:t>
    </w:r>
  </w:p>
  <w:p w14:paraId="280DA254">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B2A85">
    <w:pPr>
      <w:pStyle w:val="23"/>
      <w:ind w:firstLine="840" w:firstLineChars="300"/>
      <w:rPr>
        <w:rFonts w:hint="eastAsia" w:ascii="仿宋" w:hAnsi="仿宋" w:eastAsia="仿宋" w:cs="仿宋"/>
        <w:sz w:val="21"/>
        <w:szCs w:val="21"/>
      </w:rPr>
    </w:pPr>
    <w:r>
      <w:rPr>
        <w:rFonts w:hint="eastAsia" w:ascii="仿宋" w:hAnsi="仿宋" w:eastAsia="仿宋" w:cs="仿宋"/>
        <w:sz w:val="28"/>
        <w:szCs w:val="28"/>
      </w:rPr>
      <w:drawing>
        <wp:anchor distT="0" distB="0" distL="114300" distR="114300" simplePos="0" relativeHeight="251668480" behindDoc="1" locked="0" layoutInCell="1" allowOverlap="1">
          <wp:simplePos x="0" y="0"/>
          <wp:positionH relativeFrom="column">
            <wp:posOffset>14605</wp:posOffset>
          </wp:positionH>
          <wp:positionV relativeFrom="paragraph">
            <wp:posOffset>-6985</wp:posOffset>
          </wp:positionV>
          <wp:extent cx="427355" cy="413385"/>
          <wp:effectExtent l="0" t="0" r="10795" b="5715"/>
          <wp:wrapTight wrapText="bothSides">
            <wp:wrapPolygon>
              <wp:start x="0" y="0"/>
              <wp:lineTo x="0" y="20903"/>
              <wp:lineTo x="20894" y="20903"/>
              <wp:lineTo x="20894" y="0"/>
              <wp:lineTo x="0" y="0"/>
            </wp:wrapPolygon>
          </wp:wrapTight>
          <wp:docPr id="10" name="图片 10"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 w:hAnsi="仿宋" w:eastAsia="仿宋" w:cs="仿宋"/>
        <w:sz w:val="28"/>
        <w:szCs w:val="28"/>
      </w:rPr>
      <w:t>新疆世纪星工程咨询有限公司</w:t>
    </w:r>
    <w:r>
      <w:rPr>
        <w:rFonts w:hint="eastAsia" w:ascii="仿宋" w:hAnsi="仿宋" w:eastAsia="仿宋" w:cs="仿宋"/>
        <w:sz w:val="32"/>
        <w:szCs w:val="32"/>
      </w:rPr>
      <w:t xml:space="preserve">  </w:t>
    </w:r>
    <w:r>
      <w:rPr>
        <w:rFonts w:hint="eastAsia" w:ascii="仿宋" w:hAnsi="仿宋" w:eastAsia="仿宋" w:cs="仿宋"/>
        <w:sz w:val="21"/>
        <w:szCs w:val="21"/>
      </w:rPr>
      <w:t>新疆乌鲁木齐市黄山街德港大厦20层</w:t>
    </w:r>
  </w:p>
  <w:p w14:paraId="5EB00FE9">
    <w:pPr>
      <w:pStyle w:val="23"/>
      <w:pBdr>
        <w:bottom w:val="single" w:color="auto" w:sz="4" w:space="1"/>
      </w:pBdr>
      <w:ind w:firstLine="910" w:firstLineChars="700"/>
      <w:rPr>
        <w:rFonts w:hint="eastAsia" w:ascii="仿宋" w:hAnsi="仿宋" w:eastAsia="仿宋" w:cs="仿宋"/>
        <w:sz w:val="15"/>
        <w:szCs w:val="15"/>
      </w:rPr>
    </w:pPr>
    <w:r>
      <w:rPr>
        <w:rFonts w:hint="eastAsia" w:ascii="仿宋" w:hAnsi="仿宋" w:eastAsia="仿宋" w:cs="仿宋"/>
        <w:sz w:val="13"/>
        <w:szCs w:val="13"/>
      </w:rPr>
      <w:t xml:space="preserve">Xinjiang Century Star Engineering Consulting Co., Ltd.          </w:t>
    </w:r>
    <w:r>
      <w:rPr>
        <w:rFonts w:hint="eastAsia" w:ascii="仿宋" w:hAnsi="仿宋" w:eastAsia="仿宋" w:cs="仿宋"/>
        <w:sz w:val="16"/>
        <w:szCs w:val="16"/>
      </w:rPr>
      <w:t>TEL：0991-3678303</w:t>
    </w:r>
  </w:p>
  <w:p w14:paraId="1E20847C">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17B74">
    <w:pPr>
      <w:pStyle w:val="23"/>
      <w:ind w:firstLine="840" w:firstLineChars="300"/>
      <w:rPr>
        <w:rFonts w:hint="eastAsia" w:ascii="仿宋" w:hAnsi="仿宋" w:eastAsia="仿宋" w:cs="仿宋"/>
        <w:sz w:val="21"/>
        <w:szCs w:val="21"/>
      </w:rPr>
    </w:pPr>
    <w:r>
      <w:rPr>
        <w:rFonts w:hint="eastAsia" w:ascii="仿宋" w:hAnsi="仿宋" w:eastAsia="仿宋" w:cs="仿宋"/>
        <w:sz w:val="28"/>
        <w:szCs w:val="28"/>
      </w:rPr>
      <w:drawing>
        <wp:anchor distT="0" distB="0" distL="114300" distR="114300" simplePos="0" relativeHeight="251669504" behindDoc="1" locked="0" layoutInCell="1" allowOverlap="1">
          <wp:simplePos x="0" y="0"/>
          <wp:positionH relativeFrom="column">
            <wp:posOffset>14605</wp:posOffset>
          </wp:positionH>
          <wp:positionV relativeFrom="paragraph">
            <wp:posOffset>-6985</wp:posOffset>
          </wp:positionV>
          <wp:extent cx="427355" cy="413385"/>
          <wp:effectExtent l="0" t="0" r="10795" b="5715"/>
          <wp:wrapTight wrapText="bothSides">
            <wp:wrapPolygon>
              <wp:start x="0" y="0"/>
              <wp:lineTo x="0" y="20903"/>
              <wp:lineTo x="20894" y="20903"/>
              <wp:lineTo x="20894" y="0"/>
              <wp:lineTo x="0" y="0"/>
            </wp:wrapPolygon>
          </wp:wrapTight>
          <wp:docPr id="12" name="图片 12"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 w:hAnsi="仿宋" w:eastAsia="仿宋" w:cs="仿宋"/>
        <w:sz w:val="28"/>
        <w:szCs w:val="28"/>
      </w:rPr>
      <w:t>新疆世纪星工程咨询有限公司</w:t>
    </w:r>
    <w:r>
      <w:rPr>
        <w:rFonts w:hint="eastAsia" w:ascii="仿宋" w:hAnsi="仿宋" w:eastAsia="仿宋" w:cs="仿宋"/>
        <w:sz w:val="32"/>
        <w:szCs w:val="32"/>
      </w:rPr>
      <w:t xml:space="preserve">  </w:t>
    </w:r>
    <w:r>
      <w:rPr>
        <w:rFonts w:hint="eastAsia" w:ascii="仿宋" w:hAnsi="仿宋" w:eastAsia="仿宋" w:cs="仿宋"/>
        <w:sz w:val="21"/>
        <w:szCs w:val="21"/>
      </w:rPr>
      <w:t>新疆乌鲁木齐市黄山街德港大厦20层</w:t>
    </w:r>
  </w:p>
  <w:p w14:paraId="3D90D948">
    <w:pPr>
      <w:pStyle w:val="23"/>
      <w:pBdr>
        <w:bottom w:val="single" w:color="auto" w:sz="4" w:space="1"/>
      </w:pBdr>
      <w:ind w:firstLine="910" w:firstLineChars="700"/>
      <w:rPr>
        <w:rFonts w:hint="eastAsia" w:ascii="仿宋" w:hAnsi="仿宋" w:eastAsia="仿宋" w:cs="仿宋"/>
        <w:sz w:val="15"/>
        <w:szCs w:val="15"/>
      </w:rPr>
    </w:pPr>
    <w:r>
      <w:rPr>
        <w:rFonts w:hint="eastAsia" w:ascii="仿宋" w:hAnsi="仿宋" w:eastAsia="仿宋" w:cs="仿宋"/>
        <w:sz w:val="13"/>
        <w:szCs w:val="13"/>
      </w:rPr>
      <w:t xml:space="preserve">Xinjiang Century Star Engineering Consulting Co., Ltd.          </w:t>
    </w:r>
    <w:r>
      <w:rPr>
        <w:rFonts w:hint="eastAsia" w:ascii="仿宋" w:hAnsi="仿宋" w:eastAsia="仿宋" w:cs="仿宋"/>
        <w:sz w:val="16"/>
        <w:szCs w:val="16"/>
      </w:rPr>
      <w:t>TEL：0991-3678303</w:t>
    </w:r>
  </w:p>
  <w:p w14:paraId="2E5AA6D3">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370CEF7"/>
    <w:multiLevelType w:val="singleLevel"/>
    <w:tmpl w:val="8370CEF7"/>
    <w:lvl w:ilvl="0" w:tentative="0">
      <w:start w:val="9"/>
      <w:numFmt w:val="decimal"/>
      <w:suff w:val="nothing"/>
      <w:lvlText w:val="%1、"/>
      <w:lvlJc w:val="left"/>
    </w:lvl>
  </w:abstractNum>
  <w:abstractNum w:abstractNumId="2">
    <w:nsid w:val="BC82F1D4"/>
    <w:multiLevelType w:val="singleLevel"/>
    <w:tmpl w:val="BC82F1D4"/>
    <w:lvl w:ilvl="0" w:tentative="0">
      <w:start w:val="1"/>
      <w:numFmt w:val="chineseCounting"/>
      <w:suff w:val="space"/>
      <w:lvlText w:val="第%1章"/>
      <w:lvlJc w:val="left"/>
      <w:rPr>
        <w:rFonts w:hint="eastAsia"/>
      </w:rPr>
    </w:lvl>
  </w:abstractNum>
  <w:abstractNum w:abstractNumId="3">
    <w:nsid w:val="CB60E306"/>
    <w:multiLevelType w:val="singleLevel"/>
    <w:tmpl w:val="CB60E306"/>
    <w:lvl w:ilvl="0" w:tentative="0">
      <w:start w:val="1"/>
      <w:numFmt w:val="decimal"/>
      <w:suff w:val="nothing"/>
      <w:lvlText w:val="（%1）"/>
      <w:lvlJc w:val="left"/>
    </w:lvl>
  </w:abstractNum>
  <w:abstractNum w:abstractNumId="4">
    <w:nsid w:val="CE486305"/>
    <w:multiLevelType w:val="singleLevel"/>
    <w:tmpl w:val="CE486305"/>
    <w:lvl w:ilvl="0" w:tentative="0">
      <w:start w:val="2"/>
      <w:numFmt w:val="chineseCounting"/>
      <w:suff w:val="nothing"/>
      <w:lvlText w:val="第%1部分　"/>
      <w:lvlJc w:val="left"/>
      <w:rPr>
        <w:rFonts w:hint="eastAsia"/>
      </w:rPr>
    </w:lvl>
  </w:abstractNum>
  <w:abstractNum w:abstractNumId="5">
    <w:nsid w:val="01D4EBA8"/>
    <w:multiLevelType w:val="multilevel"/>
    <w:tmpl w:val="01D4EBA8"/>
    <w:lvl w:ilvl="0" w:tentative="0">
      <w:start w:val="2"/>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05AF2A39"/>
    <w:multiLevelType w:val="multilevel"/>
    <w:tmpl w:val="05AF2A39"/>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07CEB2FC"/>
    <w:multiLevelType w:val="singleLevel"/>
    <w:tmpl w:val="07CEB2FC"/>
    <w:lvl w:ilvl="0" w:tentative="0">
      <w:start w:val="9"/>
      <w:numFmt w:val="decimal"/>
      <w:lvlText w:val="%1."/>
      <w:lvlJc w:val="left"/>
      <w:pPr>
        <w:tabs>
          <w:tab w:val="left" w:pos="312"/>
        </w:tabs>
      </w:pPr>
    </w:lvl>
  </w:abstractNum>
  <w:abstractNum w:abstractNumId="9">
    <w:nsid w:val="3BC6F39C"/>
    <w:multiLevelType w:val="singleLevel"/>
    <w:tmpl w:val="3BC6F39C"/>
    <w:lvl w:ilvl="0" w:tentative="0">
      <w:start w:val="1"/>
      <w:numFmt w:val="decimal"/>
      <w:suff w:val="space"/>
      <w:lvlText w:val="%1."/>
      <w:lvlJc w:val="left"/>
    </w:lvl>
  </w:abstractNum>
  <w:abstractNum w:abstractNumId="10">
    <w:nsid w:val="54B0E084"/>
    <w:multiLevelType w:val="singleLevel"/>
    <w:tmpl w:val="54B0E084"/>
    <w:lvl w:ilvl="0" w:tentative="0">
      <w:start w:val="2"/>
      <w:numFmt w:val="chineseCounting"/>
      <w:suff w:val="space"/>
      <w:lvlText w:val="第%1章"/>
      <w:lvlJc w:val="left"/>
      <w:rPr>
        <w:rFonts w:hint="eastAsia"/>
      </w:rPr>
    </w:lvl>
  </w:abstractNum>
  <w:abstractNum w:abstractNumId="11">
    <w:nsid w:val="63862E25"/>
    <w:multiLevelType w:val="singleLevel"/>
    <w:tmpl w:val="63862E25"/>
    <w:lvl w:ilvl="0" w:tentative="0">
      <w:start w:val="1"/>
      <w:numFmt w:val="decimal"/>
      <w:suff w:val="space"/>
      <w:lvlText w:val="（%1）"/>
      <w:lvlJc w:val="left"/>
    </w:lvl>
  </w:abstractNum>
  <w:abstractNum w:abstractNumId="12">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3">
    <w:nsid w:val="73E6972B"/>
    <w:multiLevelType w:val="singleLevel"/>
    <w:tmpl w:val="73E6972B"/>
    <w:lvl w:ilvl="0" w:tentative="0">
      <w:start w:val="1"/>
      <w:numFmt w:val="chineseCounting"/>
      <w:suff w:val="space"/>
      <w:lvlText w:val="%1、"/>
      <w:lvlJc w:val="left"/>
      <w:rPr>
        <w:rFonts w:hint="eastAsia"/>
      </w:rPr>
    </w:lvl>
  </w:abstractNum>
  <w:abstractNum w:abstractNumId="14">
    <w:nsid w:val="7633D9B6"/>
    <w:multiLevelType w:val="singleLevel"/>
    <w:tmpl w:val="7633D9B6"/>
    <w:lvl w:ilvl="0" w:tentative="0">
      <w:start w:val="3"/>
      <w:numFmt w:val="chineseCounting"/>
      <w:suff w:val="space"/>
      <w:lvlText w:val="第%1章"/>
      <w:lvlJc w:val="left"/>
      <w:rPr>
        <w:rFonts w:hint="eastAsia"/>
      </w:rPr>
    </w:lvl>
  </w:abstractNum>
  <w:abstractNum w:abstractNumId="15">
    <w:nsid w:val="78F60E4F"/>
    <w:multiLevelType w:val="singleLevel"/>
    <w:tmpl w:val="78F60E4F"/>
    <w:lvl w:ilvl="0" w:tentative="0">
      <w:start w:val="1"/>
      <w:numFmt w:val="chineseCounting"/>
      <w:suff w:val="nothing"/>
      <w:lvlText w:val="%1、"/>
      <w:lvlJc w:val="left"/>
      <w:rPr>
        <w:rFonts w:hint="eastAsia"/>
      </w:rPr>
    </w:lvl>
  </w:abstractNum>
  <w:num w:numId="1">
    <w:abstractNumId w:val="2"/>
  </w:num>
  <w:num w:numId="2">
    <w:abstractNumId w:val="13"/>
  </w:num>
  <w:num w:numId="3">
    <w:abstractNumId w:val="10"/>
  </w:num>
  <w:num w:numId="4">
    <w:abstractNumId w:val="1"/>
  </w:num>
  <w:num w:numId="5">
    <w:abstractNumId w:val="14"/>
  </w:num>
  <w:num w:numId="6">
    <w:abstractNumId w:val="15"/>
  </w:num>
  <w:num w:numId="7">
    <w:abstractNumId w:val="12"/>
  </w:num>
  <w:num w:numId="8">
    <w:abstractNumId w:val="7"/>
  </w:num>
  <w:num w:numId="9">
    <w:abstractNumId w:val="3"/>
  </w:num>
  <w:num w:numId="10">
    <w:abstractNumId w:val="11"/>
  </w:num>
  <w:num w:numId="11">
    <w:abstractNumId w:val="5"/>
  </w:num>
  <w:num w:numId="12">
    <w:abstractNumId w:val="4"/>
  </w:num>
  <w:num w:numId="13">
    <w:abstractNumId w:val="8"/>
  </w:num>
  <w:num w:numId="14">
    <w:abstractNumId w:val="6"/>
  </w:num>
  <w:num w:numId="15">
    <w:abstractNumId w:val="9"/>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ZDQ0OWVmMWVjZmE4YWE2Y2UyMTEzNjM2YzcwZjcifQ=="/>
  </w:docVars>
  <w:rsids>
    <w:rsidRoot w:val="1AA24D9F"/>
    <w:rsid w:val="00306FA2"/>
    <w:rsid w:val="004F1A64"/>
    <w:rsid w:val="0130308D"/>
    <w:rsid w:val="015809AE"/>
    <w:rsid w:val="01E45E98"/>
    <w:rsid w:val="02353A89"/>
    <w:rsid w:val="02545219"/>
    <w:rsid w:val="04071455"/>
    <w:rsid w:val="04186AD0"/>
    <w:rsid w:val="04B5195C"/>
    <w:rsid w:val="04FE49DF"/>
    <w:rsid w:val="061B1E9A"/>
    <w:rsid w:val="0697688C"/>
    <w:rsid w:val="06C4362D"/>
    <w:rsid w:val="06D66EBD"/>
    <w:rsid w:val="07011CC2"/>
    <w:rsid w:val="07644792"/>
    <w:rsid w:val="07BE71A8"/>
    <w:rsid w:val="0822060B"/>
    <w:rsid w:val="08A30877"/>
    <w:rsid w:val="08E17110"/>
    <w:rsid w:val="09284798"/>
    <w:rsid w:val="096F3463"/>
    <w:rsid w:val="099153F6"/>
    <w:rsid w:val="09BC4A90"/>
    <w:rsid w:val="09DE1F54"/>
    <w:rsid w:val="0A4619CB"/>
    <w:rsid w:val="0C6E02C3"/>
    <w:rsid w:val="0C965028"/>
    <w:rsid w:val="0CA22BE8"/>
    <w:rsid w:val="0CC57098"/>
    <w:rsid w:val="0D6A1561"/>
    <w:rsid w:val="0D8A6C86"/>
    <w:rsid w:val="0D9F625A"/>
    <w:rsid w:val="0E0407B3"/>
    <w:rsid w:val="0F2941FB"/>
    <w:rsid w:val="0F2B6FD9"/>
    <w:rsid w:val="0F6459AD"/>
    <w:rsid w:val="10240C99"/>
    <w:rsid w:val="103B60CE"/>
    <w:rsid w:val="11286567"/>
    <w:rsid w:val="11950D59"/>
    <w:rsid w:val="1294398E"/>
    <w:rsid w:val="1324792E"/>
    <w:rsid w:val="134528E7"/>
    <w:rsid w:val="1393060F"/>
    <w:rsid w:val="1483303E"/>
    <w:rsid w:val="1585667E"/>
    <w:rsid w:val="15EC2259"/>
    <w:rsid w:val="160F5A60"/>
    <w:rsid w:val="16175528"/>
    <w:rsid w:val="169821D2"/>
    <w:rsid w:val="170B3BD8"/>
    <w:rsid w:val="17363E85"/>
    <w:rsid w:val="17780F73"/>
    <w:rsid w:val="183C240D"/>
    <w:rsid w:val="18EE62E8"/>
    <w:rsid w:val="19834A87"/>
    <w:rsid w:val="19A83DCB"/>
    <w:rsid w:val="19E82794"/>
    <w:rsid w:val="1A0F591A"/>
    <w:rsid w:val="1A564613"/>
    <w:rsid w:val="1A7D3DC7"/>
    <w:rsid w:val="1A824F3A"/>
    <w:rsid w:val="1A8607B2"/>
    <w:rsid w:val="1AA24D9F"/>
    <w:rsid w:val="1AA9696A"/>
    <w:rsid w:val="1B723BA2"/>
    <w:rsid w:val="1CBC3442"/>
    <w:rsid w:val="1D5F6A65"/>
    <w:rsid w:val="1D7D1F6A"/>
    <w:rsid w:val="1DCB5CE7"/>
    <w:rsid w:val="1FB05EDF"/>
    <w:rsid w:val="21464F13"/>
    <w:rsid w:val="21761C80"/>
    <w:rsid w:val="21CF44F8"/>
    <w:rsid w:val="22491B20"/>
    <w:rsid w:val="22CB603F"/>
    <w:rsid w:val="22FD7853"/>
    <w:rsid w:val="231C6CA7"/>
    <w:rsid w:val="239A32F4"/>
    <w:rsid w:val="23CF5A1D"/>
    <w:rsid w:val="23F61C27"/>
    <w:rsid w:val="240E29A5"/>
    <w:rsid w:val="24302374"/>
    <w:rsid w:val="247753D8"/>
    <w:rsid w:val="24C437F9"/>
    <w:rsid w:val="25C66622"/>
    <w:rsid w:val="26CC5C75"/>
    <w:rsid w:val="27257379"/>
    <w:rsid w:val="28DA2E89"/>
    <w:rsid w:val="28DD6C00"/>
    <w:rsid w:val="2A4254F9"/>
    <w:rsid w:val="2B065713"/>
    <w:rsid w:val="2D1F32F4"/>
    <w:rsid w:val="2F243C78"/>
    <w:rsid w:val="2FE43D35"/>
    <w:rsid w:val="32194523"/>
    <w:rsid w:val="323B4D81"/>
    <w:rsid w:val="32DA370D"/>
    <w:rsid w:val="34992F4E"/>
    <w:rsid w:val="34B222E9"/>
    <w:rsid w:val="34B70380"/>
    <w:rsid w:val="34C646DD"/>
    <w:rsid w:val="351320D4"/>
    <w:rsid w:val="356B2D42"/>
    <w:rsid w:val="35D25823"/>
    <w:rsid w:val="35DE3514"/>
    <w:rsid w:val="35E13004"/>
    <w:rsid w:val="365C69BF"/>
    <w:rsid w:val="366D4898"/>
    <w:rsid w:val="36725CA2"/>
    <w:rsid w:val="36C31C10"/>
    <w:rsid w:val="372E13BE"/>
    <w:rsid w:val="37BA0AFF"/>
    <w:rsid w:val="3899537C"/>
    <w:rsid w:val="3A9F0DF8"/>
    <w:rsid w:val="3AAD0267"/>
    <w:rsid w:val="3AE174A3"/>
    <w:rsid w:val="3B810614"/>
    <w:rsid w:val="3C6109FB"/>
    <w:rsid w:val="3D1B32A0"/>
    <w:rsid w:val="3E3D4DBF"/>
    <w:rsid w:val="3F172BE7"/>
    <w:rsid w:val="3F3314F0"/>
    <w:rsid w:val="3F7C1E27"/>
    <w:rsid w:val="40624945"/>
    <w:rsid w:val="40643460"/>
    <w:rsid w:val="407C674B"/>
    <w:rsid w:val="40BE2AD0"/>
    <w:rsid w:val="421F113C"/>
    <w:rsid w:val="4227004D"/>
    <w:rsid w:val="42630400"/>
    <w:rsid w:val="426B7C83"/>
    <w:rsid w:val="42AC04F6"/>
    <w:rsid w:val="42B71375"/>
    <w:rsid w:val="43446334"/>
    <w:rsid w:val="442C18EF"/>
    <w:rsid w:val="448C5F4F"/>
    <w:rsid w:val="44A84E71"/>
    <w:rsid w:val="44C775F5"/>
    <w:rsid w:val="4676524E"/>
    <w:rsid w:val="477DCE1E"/>
    <w:rsid w:val="48D6451F"/>
    <w:rsid w:val="4A11571D"/>
    <w:rsid w:val="4C2061DD"/>
    <w:rsid w:val="4CF31A5A"/>
    <w:rsid w:val="4D2E4FCD"/>
    <w:rsid w:val="4DA324B6"/>
    <w:rsid w:val="4E3046D1"/>
    <w:rsid w:val="4E880069"/>
    <w:rsid w:val="4E9C3B15"/>
    <w:rsid w:val="4EC72940"/>
    <w:rsid w:val="4F1418FD"/>
    <w:rsid w:val="4F9D7B44"/>
    <w:rsid w:val="502D352A"/>
    <w:rsid w:val="50822059"/>
    <w:rsid w:val="50A4106D"/>
    <w:rsid w:val="50B74C36"/>
    <w:rsid w:val="51A52CE0"/>
    <w:rsid w:val="5236471D"/>
    <w:rsid w:val="5253098E"/>
    <w:rsid w:val="525C3CE7"/>
    <w:rsid w:val="52663DAA"/>
    <w:rsid w:val="532B5231"/>
    <w:rsid w:val="5348751B"/>
    <w:rsid w:val="535A4B1B"/>
    <w:rsid w:val="536A4041"/>
    <w:rsid w:val="537C536E"/>
    <w:rsid w:val="544B5DC1"/>
    <w:rsid w:val="563A3C30"/>
    <w:rsid w:val="56557314"/>
    <w:rsid w:val="56E60023"/>
    <w:rsid w:val="570D1A54"/>
    <w:rsid w:val="573E1E21"/>
    <w:rsid w:val="58C61EBA"/>
    <w:rsid w:val="590057FE"/>
    <w:rsid w:val="592A2449"/>
    <w:rsid w:val="593D0B75"/>
    <w:rsid w:val="59F67BE5"/>
    <w:rsid w:val="5A571512"/>
    <w:rsid w:val="5B392E17"/>
    <w:rsid w:val="5B44356A"/>
    <w:rsid w:val="5B487E91"/>
    <w:rsid w:val="5C553C81"/>
    <w:rsid w:val="5CF9550F"/>
    <w:rsid w:val="5D6B74D4"/>
    <w:rsid w:val="5E4C10B3"/>
    <w:rsid w:val="5E781EA8"/>
    <w:rsid w:val="5E955F07"/>
    <w:rsid w:val="5EA84152"/>
    <w:rsid w:val="5EFEBDE8"/>
    <w:rsid w:val="5F6358BC"/>
    <w:rsid w:val="60401A29"/>
    <w:rsid w:val="6085265B"/>
    <w:rsid w:val="60F82C5A"/>
    <w:rsid w:val="60FD0443"/>
    <w:rsid w:val="614D13CA"/>
    <w:rsid w:val="6155202D"/>
    <w:rsid w:val="62442705"/>
    <w:rsid w:val="625B691D"/>
    <w:rsid w:val="626D784A"/>
    <w:rsid w:val="642B176B"/>
    <w:rsid w:val="64FD3107"/>
    <w:rsid w:val="663721B8"/>
    <w:rsid w:val="67E61C31"/>
    <w:rsid w:val="67E86387"/>
    <w:rsid w:val="68CA2609"/>
    <w:rsid w:val="68CC1AED"/>
    <w:rsid w:val="692A0243"/>
    <w:rsid w:val="695221E7"/>
    <w:rsid w:val="69BB0F42"/>
    <w:rsid w:val="6A1038A7"/>
    <w:rsid w:val="6A5B3E5E"/>
    <w:rsid w:val="6A637494"/>
    <w:rsid w:val="6AD23432"/>
    <w:rsid w:val="6B1308BC"/>
    <w:rsid w:val="6B6374FE"/>
    <w:rsid w:val="6BB81877"/>
    <w:rsid w:val="6BCF62E6"/>
    <w:rsid w:val="6BF06008"/>
    <w:rsid w:val="6C094140"/>
    <w:rsid w:val="6C8639E2"/>
    <w:rsid w:val="6CD3A16D"/>
    <w:rsid w:val="6D126F53"/>
    <w:rsid w:val="6D535020"/>
    <w:rsid w:val="6E5F49A6"/>
    <w:rsid w:val="6F23376B"/>
    <w:rsid w:val="6F2474E3"/>
    <w:rsid w:val="6FBE656C"/>
    <w:rsid w:val="6FE0165C"/>
    <w:rsid w:val="6FF637CB"/>
    <w:rsid w:val="6FFF37D2"/>
    <w:rsid w:val="70127B77"/>
    <w:rsid w:val="70AD3C34"/>
    <w:rsid w:val="70DE2EF1"/>
    <w:rsid w:val="711D41EA"/>
    <w:rsid w:val="71447BFE"/>
    <w:rsid w:val="71520337"/>
    <w:rsid w:val="71AA1F21"/>
    <w:rsid w:val="7221658E"/>
    <w:rsid w:val="73624468"/>
    <w:rsid w:val="73BF43B6"/>
    <w:rsid w:val="750A1056"/>
    <w:rsid w:val="75203B28"/>
    <w:rsid w:val="753B2FC3"/>
    <w:rsid w:val="758B3BA6"/>
    <w:rsid w:val="75A935E7"/>
    <w:rsid w:val="75D700A5"/>
    <w:rsid w:val="76057F95"/>
    <w:rsid w:val="760B6CA9"/>
    <w:rsid w:val="767B4F55"/>
    <w:rsid w:val="769413F2"/>
    <w:rsid w:val="780D6D66"/>
    <w:rsid w:val="781B12CB"/>
    <w:rsid w:val="785805E4"/>
    <w:rsid w:val="788A47C2"/>
    <w:rsid w:val="78F148D9"/>
    <w:rsid w:val="79340AF1"/>
    <w:rsid w:val="79D815F5"/>
    <w:rsid w:val="7AA80425"/>
    <w:rsid w:val="7B436597"/>
    <w:rsid w:val="7BB75966"/>
    <w:rsid w:val="7C5F4108"/>
    <w:rsid w:val="7CCF6CE0"/>
    <w:rsid w:val="7F09075D"/>
    <w:rsid w:val="7F79C282"/>
    <w:rsid w:val="7F7B6CAE"/>
    <w:rsid w:val="7FB126CD"/>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仿宋_GB2312" w:cs="Times New Roman"/>
      <w:kern w:val="2"/>
      <w:sz w:val="24"/>
      <w:szCs w:val="24"/>
      <w:lang w:val="en-US" w:eastAsia="zh-CN" w:bidi="ar-SA"/>
    </w:rPr>
  </w:style>
  <w:style w:type="paragraph" w:styleId="2">
    <w:name w:val="heading 1"/>
    <w:basedOn w:val="1"/>
    <w:next w:val="1"/>
    <w:link w:val="45"/>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link w:val="48"/>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6"/>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7">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8">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9">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10">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1">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32">
    <w:name w:val="Default Paragraph Font"/>
    <w:qFormat/>
    <w:uiPriority w:val="0"/>
    <w:rPr>
      <w:rFonts w:eastAsia="微软雅黑" w:asciiTheme="minorAscii" w:hAnsiTheme="minorAscii"/>
    </w:rPr>
  </w:style>
  <w:style w:type="table" w:default="1" w:styleId="3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12">
    <w:name w:val="annotation text"/>
    <w:basedOn w:val="1"/>
    <w:qFormat/>
    <w:uiPriority w:val="0"/>
    <w:pPr>
      <w:jc w:val="left"/>
    </w:pPr>
  </w:style>
  <w:style w:type="paragraph" w:styleId="13">
    <w:name w:val="Body Text 3"/>
    <w:basedOn w:val="1"/>
    <w:next w:val="1"/>
    <w:qFormat/>
    <w:uiPriority w:val="0"/>
    <w:pPr>
      <w:spacing w:line="500" w:lineRule="exact"/>
    </w:pPr>
    <w:rPr>
      <w:b/>
      <w:sz w:val="24"/>
    </w:rPr>
  </w:style>
  <w:style w:type="paragraph" w:styleId="14">
    <w:name w:val="Body Text"/>
    <w:basedOn w:val="1"/>
    <w:next w:val="1"/>
    <w:qFormat/>
    <w:uiPriority w:val="1"/>
    <w:pPr>
      <w:widowControl w:val="0"/>
      <w:autoSpaceDE w:val="0"/>
      <w:autoSpaceDN w:val="0"/>
      <w:spacing w:before="0" w:after="0" w:line="240" w:lineRule="auto"/>
      <w:ind w:left="0" w:right="0"/>
      <w:jc w:val="left"/>
    </w:pPr>
    <w:rPr>
      <w:rFonts w:ascii="楷体" w:hAnsi="楷体" w:eastAsia="楷体" w:cs="楷体"/>
      <w:sz w:val="24"/>
      <w:szCs w:val="24"/>
      <w:lang w:val="zh-CN" w:eastAsia="zh-CN" w:bidi="zh-CN"/>
    </w:rPr>
  </w:style>
  <w:style w:type="paragraph" w:styleId="15">
    <w:name w:val="Body Text Indent"/>
    <w:basedOn w:val="1"/>
    <w:next w:val="16"/>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6">
    <w:name w:val="Body Text First Indent"/>
    <w:basedOn w:val="14"/>
    <w:next w:val="17"/>
    <w:qFormat/>
    <w:uiPriority w:val="99"/>
    <w:pPr>
      <w:widowControl w:val="0"/>
      <w:autoSpaceDE w:val="0"/>
      <w:autoSpaceDN w:val="0"/>
      <w:spacing w:before="0" w:after="0" w:line="240" w:lineRule="auto"/>
      <w:ind w:left="0" w:right="0" w:firstLine="420" w:firstLineChars="100"/>
      <w:jc w:val="left"/>
    </w:pPr>
    <w:rPr>
      <w:rFonts w:ascii="楷体" w:hAnsi="楷体" w:eastAsia="楷体" w:cs="楷体"/>
      <w:sz w:val="24"/>
      <w:szCs w:val="24"/>
      <w:lang w:val="zh-CN" w:eastAsia="zh-CN" w:bidi="zh-CN"/>
    </w:rPr>
  </w:style>
  <w:style w:type="paragraph" w:styleId="17">
    <w:name w:val="toc 6"/>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8">
    <w:name w:val="Plain Text"/>
    <w:basedOn w:val="1"/>
    <w:qFormat/>
    <w:uiPriority w:val="0"/>
    <w:rPr>
      <w:rFonts w:ascii="宋体" w:hAnsi="Courier New"/>
      <w:szCs w:val="22"/>
    </w:rPr>
  </w:style>
  <w:style w:type="paragraph" w:styleId="19">
    <w:name w:val="toc 8"/>
    <w:next w:val="1"/>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20">
    <w:name w:val="Body Text Indent 2"/>
    <w:basedOn w:val="1"/>
    <w:qFormat/>
    <w:uiPriority w:val="99"/>
    <w:pPr>
      <w:spacing w:after="120" w:line="480" w:lineRule="auto"/>
      <w:ind w:left="420" w:leftChars="200"/>
    </w:pPr>
  </w:style>
  <w:style w:type="paragraph" w:styleId="21">
    <w:name w:val="footer"/>
    <w:basedOn w:val="1"/>
    <w:qFormat/>
    <w:uiPriority w:val="99"/>
    <w:pPr>
      <w:widowControl w:val="0"/>
      <w:tabs>
        <w:tab w:val="center" w:pos="4153"/>
        <w:tab w:val="right" w:pos="8306"/>
      </w:tabs>
      <w:autoSpaceDE w:val="0"/>
      <w:autoSpaceDN w:val="0"/>
      <w:snapToGrid w:val="0"/>
      <w:spacing w:before="0" w:after="0" w:line="240" w:lineRule="auto"/>
      <w:ind w:left="0" w:right="0"/>
      <w:jc w:val="left"/>
    </w:pPr>
    <w:rPr>
      <w:rFonts w:ascii="楷体" w:hAnsi="楷体" w:eastAsia="楷体" w:cs="楷体"/>
      <w:sz w:val="18"/>
      <w:szCs w:val="18"/>
      <w:lang w:val="zh-CN" w:eastAsia="zh-CN" w:bidi="zh-CN"/>
    </w:rPr>
  </w:style>
  <w:style w:type="paragraph" w:styleId="22">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2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Arial" w:hAnsi="Arial" w:eastAsia="仿宋_GB2312"/>
      <w:sz w:val="18"/>
    </w:rPr>
  </w:style>
  <w:style w:type="paragraph" w:styleId="24">
    <w:name w:val="toc 1"/>
    <w:basedOn w:val="1"/>
    <w:next w:val="1"/>
    <w:qFormat/>
    <w:uiPriority w:val="0"/>
  </w:style>
  <w:style w:type="paragraph" w:styleId="25">
    <w:name w:val="Subtitle"/>
    <w:basedOn w:val="1"/>
    <w:next w:val="1"/>
    <w:link w:val="55"/>
    <w:qFormat/>
    <w:uiPriority w:val="0"/>
    <w:pPr>
      <w:spacing w:before="240" w:after="60" w:line="312" w:lineRule="auto"/>
      <w:jc w:val="center"/>
      <w:outlineLvl w:val="1"/>
    </w:pPr>
    <w:rPr>
      <w:rFonts w:ascii="Calibri Light" w:hAnsi="Calibri Light" w:cs="Times New Roman"/>
      <w:b/>
      <w:bCs/>
      <w:kern w:val="28"/>
      <w:sz w:val="32"/>
      <w:szCs w:val="32"/>
    </w:rPr>
  </w:style>
  <w:style w:type="paragraph" w:styleId="26">
    <w:name w:val="toc 2"/>
    <w:basedOn w:val="1"/>
    <w:next w:val="1"/>
    <w:qFormat/>
    <w:uiPriority w:val="0"/>
    <w:pPr>
      <w:ind w:left="420" w:leftChars="200"/>
    </w:pPr>
  </w:style>
  <w:style w:type="paragraph" w:styleId="27">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28">
    <w:name w:val="Title"/>
    <w:basedOn w:val="1"/>
    <w:next w:val="1"/>
    <w:link w:val="54"/>
    <w:qFormat/>
    <w:uiPriority w:val="0"/>
    <w:pPr>
      <w:spacing w:before="60" w:after="60"/>
      <w:jc w:val="center"/>
      <w:outlineLvl w:val="0"/>
    </w:pPr>
    <w:rPr>
      <w:rFonts w:ascii="Cambria" w:hAnsi="Cambria" w:cs="Times New Roman"/>
      <w:b/>
      <w:bCs/>
      <w:szCs w:val="32"/>
    </w:rPr>
  </w:style>
  <w:style w:type="paragraph" w:styleId="29">
    <w:name w:val="Body Text First Indent 2"/>
    <w:basedOn w:val="15"/>
    <w:next w:val="16"/>
    <w:unhideWhenUsed/>
    <w:qFormat/>
    <w:uiPriority w:val="99"/>
    <w:pPr>
      <w:widowControl w:val="0"/>
      <w:spacing w:after="120" w:line="360" w:lineRule="auto"/>
      <w:ind w:left="420" w:leftChars="200" w:firstLine="420" w:firstLineChars="200"/>
      <w:jc w:val="both"/>
    </w:pPr>
    <w:rPr>
      <w:rFonts w:ascii="Times New Roman" w:hAnsi="Times New Roman" w:eastAsia="仿宋_GB2312" w:cstheme="minorBidi"/>
      <w:kern w:val="0"/>
      <w:sz w:val="24"/>
      <w:szCs w:val="24"/>
      <w:lang w:val="en-US" w:eastAsia="zh-CN" w:bidi="ar-SA"/>
    </w:rPr>
  </w:style>
  <w:style w:type="table" w:styleId="31">
    <w:name w:val="Table Grid"/>
    <w:basedOn w:val="3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rPr>
  </w:style>
  <w:style w:type="character" w:styleId="34">
    <w:name w:val="page number"/>
    <w:basedOn w:val="32"/>
    <w:qFormat/>
    <w:uiPriority w:val="0"/>
  </w:style>
  <w:style w:type="character" w:styleId="35">
    <w:name w:val="Hyperlink"/>
    <w:qFormat/>
    <w:uiPriority w:val="99"/>
    <w:rPr>
      <w:color w:val="136EC2"/>
      <w:u w:val="single"/>
    </w:rPr>
  </w:style>
  <w:style w:type="paragraph" w:customStyle="1" w:styleId="36">
    <w:name w:val="Default"/>
    <w:next w:val="37"/>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7">
    <w:name w:val="Intense Quote"/>
    <w:basedOn w:val="1"/>
    <w:next w:val="1"/>
    <w:autoRedefine/>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38">
    <w:name w:val="Char Char Char Char"/>
    <w:basedOn w:val="39"/>
    <w:autoRedefine/>
    <w:qFormat/>
    <w:uiPriority w:val="0"/>
    <w:rPr>
      <w:szCs w:val="20"/>
    </w:rPr>
  </w:style>
  <w:style w:type="paragraph" w:customStyle="1" w:styleId="39">
    <w:name w:val="Normal_0"/>
    <w:next w:val="3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 w:type="paragraph" w:customStyle="1" w:styleId="42">
    <w:name w:val="List Paragraph"/>
    <w:basedOn w:val="1"/>
    <w:qFormat/>
    <w:uiPriority w:val="0"/>
    <w:pPr>
      <w:ind w:firstLine="420" w:firstLineChars="200"/>
    </w:pPr>
    <w:rPr>
      <w:rFonts w:ascii="Calibri" w:hAnsi="Calibri"/>
      <w:szCs w:val="22"/>
    </w:rPr>
  </w:style>
  <w:style w:type="paragraph" w:customStyle="1" w:styleId="43">
    <w:name w:val="Table Paragraph"/>
    <w:basedOn w:val="1"/>
    <w:qFormat/>
    <w:uiPriority w:val="1"/>
  </w:style>
  <w:style w:type="paragraph" w:customStyle="1" w:styleId="44">
    <w:name w:val="正文/正文"/>
    <w:basedOn w:val="1"/>
    <w:qFormat/>
    <w:uiPriority w:val="0"/>
    <w:pPr>
      <w:adjustRightInd/>
      <w:spacing w:before="120" w:beforeLines="50" w:after="120" w:afterLines="50" w:line="360" w:lineRule="auto"/>
      <w:ind w:firstLine="422" w:firstLineChars="200"/>
      <w:textAlignment w:val="auto"/>
    </w:pPr>
    <w:rPr>
      <w:rFonts w:ascii="Times New Roman" w:hAnsi="Times New Roman"/>
      <w:b/>
      <w:kern w:val="2"/>
      <w:szCs w:val="24"/>
    </w:rPr>
  </w:style>
  <w:style w:type="character" w:customStyle="1" w:styleId="45">
    <w:name w:val="标题 1 字符"/>
    <w:link w:val="2"/>
    <w:qFormat/>
    <w:uiPriority w:val="0"/>
    <w:rPr>
      <w:rFonts w:ascii="Arial" w:hAnsi="Arial"/>
      <w:b/>
      <w:kern w:val="44"/>
      <w:sz w:val="36"/>
    </w:rPr>
  </w:style>
  <w:style w:type="paragraph" w:customStyle="1" w:styleId="46">
    <w:name w:val="表格文字2"/>
    <w:basedOn w:val="47"/>
    <w:qFormat/>
    <w:uiPriority w:val="99"/>
    <w:pPr>
      <w:spacing w:before="25" w:after="25"/>
      <w:jc w:val="left"/>
    </w:pPr>
    <w:rPr>
      <w:bCs/>
      <w:spacing w:val="10"/>
      <w:kern w:val="0"/>
    </w:rPr>
  </w:style>
  <w:style w:type="paragraph" w:customStyle="1" w:styleId="47">
    <w:name w:val="Normal"/>
    <w:qFormat/>
    <w:uiPriority w:val="0"/>
    <w:rPr>
      <w:rFonts w:ascii="Times New Roman" w:hAnsi="Times New Roman" w:eastAsia="Times New Roman" w:cs="Times New Roman"/>
      <w:sz w:val="24"/>
      <w:szCs w:val="24"/>
      <w:lang w:val="en-US" w:eastAsia="zh-CN" w:bidi="ar-SA"/>
    </w:rPr>
  </w:style>
  <w:style w:type="character" w:customStyle="1" w:styleId="48">
    <w:name w:val="标题 3 Char"/>
    <w:basedOn w:val="32"/>
    <w:link w:val="4"/>
    <w:qFormat/>
    <w:uiPriority w:val="0"/>
    <w:rPr>
      <w:rFonts w:ascii="Arial" w:hAnsi="Arial"/>
      <w:b/>
      <w:sz w:val="30"/>
    </w:rPr>
  </w:style>
  <w:style w:type="paragraph" w:customStyle="1" w:styleId="49">
    <w:name w:val="样式 样式 样式 左侧:  2 字符1 + 首行缩进:  2 字符1 + 首行缩进:  2 字符"/>
    <w:basedOn w:val="1"/>
    <w:autoRedefine/>
    <w:qFormat/>
    <w:uiPriority w:val="0"/>
    <w:pPr>
      <w:widowControl/>
      <w:spacing w:before="60" w:after="120" w:line="440" w:lineRule="atLeast"/>
      <w:ind w:firstLine="480"/>
    </w:pPr>
    <w:rPr>
      <w:rFonts w:hint="eastAsia"/>
      <w:sz w:val="24"/>
      <w:szCs w:val="20"/>
    </w:rPr>
  </w:style>
  <w:style w:type="paragraph" w:customStyle="1" w:styleId="50">
    <w:name w:val="zhang"/>
    <w:basedOn w:val="1"/>
    <w:qFormat/>
    <w:uiPriority w:val="0"/>
    <w:pPr>
      <w:spacing w:before="100" w:beforeAutospacing="1" w:after="100" w:afterAutospacing="1"/>
    </w:pPr>
    <w:rPr>
      <w:b/>
      <w:bCs/>
      <w:smallCaps/>
      <w:color w:val="000000"/>
      <w:sz w:val="20"/>
      <w:szCs w:val="20"/>
    </w:rPr>
  </w:style>
  <w:style w:type="paragraph" w:customStyle="1" w:styleId="51">
    <w:name w:val="_Style 4"/>
    <w:basedOn w:val="2"/>
    <w:next w:val="1"/>
    <w:qFormat/>
    <w:uiPriority w:val="0"/>
    <w:pPr>
      <w:widowControl w:val="0"/>
      <w:spacing w:line="576" w:lineRule="auto"/>
      <w:jc w:val="both"/>
      <w:outlineLvl w:val="9"/>
    </w:pPr>
    <w:rPr>
      <w:rFonts w:ascii="Calibri" w:hAnsi="Calibri"/>
    </w:rPr>
  </w:style>
  <w:style w:type="paragraph" w:customStyle="1" w:styleId="52">
    <w:name w:val="p0"/>
    <w:basedOn w:val="1"/>
    <w:qFormat/>
    <w:uiPriority w:val="0"/>
    <w:pPr>
      <w:jc w:val="both"/>
    </w:pPr>
    <w:rPr>
      <w:rFonts w:ascii="Times New Roman" w:hAnsi="Times New Roman" w:cs="Times New Roman"/>
      <w:sz w:val="21"/>
      <w:szCs w:val="21"/>
    </w:rPr>
  </w:style>
  <w:style w:type="character" w:customStyle="1" w:styleId="53">
    <w:name w:val="15"/>
    <w:qFormat/>
    <w:uiPriority w:val="0"/>
    <w:rPr>
      <w:rFonts w:hint="default" w:ascii="Times New Roman" w:hAnsi="Times New Roman" w:cs="Times New Roman"/>
      <w:color w:val="464445"/>
      <w:u w:val="none"/>
    </w:rPr>
  </w:style>
  <w:style w:type="character" w:customStyle="1" w:styleId="54">
    <w:name w:val="标题 字符"/>
    <w:link w:val="28"/>
    <w:qFormat/>
    <w:uiPriority w:val="0"/>
    <w:rPr>
      <w:rFonts w:ascii="Cambria" w:hAnsi="Cambria" w:cs="Times New Roman"/>
      <w:b/>
      <w:bCs/>
      <w:szCs w:val="32"/>
    </w:rPr>
  </w:style>
  <w:style w:type="character" w:customStyle="1" w:styleId="55">
    <w:name w:val="副标题 字符"/>
    <w:link w:val="25"/>
    <w:qFormat/>
    <w:uiPriority w:val="0"/>
    <w:rPr>
      <w:rFonts w:ascii="Calibri Light" w:hAnsi="Calibri Light" w:cs="Times New Roman"/>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106</Pages>
  <Words>4786</Words>
  <Characters>5493</Characters>
  <Lines>0</Lines>
  <Paragraphs>0</Paragraphs>
  <TotalTime>30</TotalTime>
  <ScaleCrop>false</ScaleCrop>
  <LinksUpToDate>false</LinksUpToDate>
  <CharactersWithSpaces>5774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lihang</dc:creator>
  <cp:lastModifiedBy>agz</cp:lastModifiedBy>
  <cp:lastPrinted>2023-12-01T06:06:00Z</cp:lastPrinted>
  <dcterms:modified xsi:type="dcterms:W3CDTF">2025-07-14T06:46:56Z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08ACACA4C9784F79A17A35822C31BF00_13</vt:lpwstr>
  </property>
  <property fmtid="{D5CDD505-2E9C-101B-9397-08002B2CF9AE}" pid="6" name="KSOTemplateDocerSaveRecord">
    <vt:lpwstr>eyJoZGlkIjoiZTJlZDQ0OWVmMWVjZmE4YWE2Y2UyMTEzNjM2YzcwZjciLCJ1c2VySWQiOiI0NDIzNzU0MDYifQ==</vt:lpwstr>
  </property>
</Properties>
</file>