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15FE">
      <w:pPr>
        <w:rPr>
          <w:rFonts w:ascii="仿宋" w:hAnsi="仿宋" w:eastAsia="仿宋" w:cs="仿宋_GB2312"/>
          <w:color w:val="auto"/>
          <w:highlight w:val="none"/>
        </w:rPr>
      </w:pPr>
      <w:r>
        <w:rPr>
          <w:rFonts w:ascii="仿宋" w:hAnsi="仿宋" w:eastAsia="仿宋"/>
          <w:color w:val="auto"/>
          <w:highlight w:val="none"/>
        </w:rPr>
        <w:drawing>
          <wp:anchor distT="0" distB="0" distL="114300" distR="114300" simplePos="0" relativeHeight="251659264"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769225" cy="10739755"/>
                    </a:xfrm>
                    <a:prstGeom prst="rect">
                      <a:avLst/>
                    </a:prstGeom>
                    <a:noFill/>
                    <a:ln>
                      <a:noFill/>
                    </a:ln>
                  </pic:spPr>
                </pic:pic>
              </a:graphicData>
            </a:graphic>
          </wp:anchor>
        </w:drawing>
      </w:r>
    </w:p>
    <w:p w14:paraId="55813A59">
      <w:pPr>
        <w:rPr>
          <w:rFonts w:ascii="仿宋" w:hAnsi="仿宋" w:eastAsia="仿宋" w:cs="仿宋_GB2312"/>
          <w:color w:val="auto"/>
          <w:highlight w:val="none"/>
        </w:rPr>
      </w:pPr>
    </w:p>
    <w:p w14:paraId="640D305A">
      <w:pPr>
        <w:jc w:val="center"/>
        <w:rPr>
          <w:rFonts w:ascii="仿宋" w:hAnsi="仿宋" w:eastAsia="仿宋" w:cs="仿宋_GB2312"/>
          <w:color w:val="auto"/>
          <w:sz w:val="32"/>
          <w:szCs w:val="32"/>
          <w:highlight w:val="none"/>
        </w:rPr>
        <w:sectPr>
          <w:pgSz w:w="11906" w:h="16838"/>
          <w:pgMar w:top="1701" w:right="1474" w:bottom="1701" w:left="1587" w:header="0" w:footer="0" w:gutter="0"/>
          <w:cols w:space="0" w:num="1"/>
          <w:rtlGutter w:val="0"/>
          <w:docGrid w:linePitch="312" w:charSpace="0"/>
        </w:sectPr>
      </w:pPr>
      <w:r>
        <w:rPr>
          <w:rFonts w:ascii="仿宋" w:hAnsi="仿宋" w:eastAsia="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-706120</wp:posOffset>
                </wp:positionH>
                <wp:positionV relativeFrom="paragraph">
                  <wp:posOffset>339090</wp:posOffset>
                </wp:positionV>
                <wp:extent cx="6859270" cy="1701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859270" cy="170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3476B">
                            <w:pPr>
                              <w:spacing w:line="360" w:lineRule="auto"/>
                              <w:jc w:val="center"/>
                              <w:rPr>
                                <w:rFonts w:hint="eastAsia" w:ascii="微软雅黑" w:hAnsi="微软雅黑" w:eastAsia="微软雅黑" w:cs="微软雅黑"/>
                                <w:b/>
                                <w:bCs/>
                                <w:color w:val="237085"/>
                                <w:sz w:val="36"/>
                                <w:szCs w:val="36"/>
                                <w:highlight w:val="none"/>
                                <w:lang w:val="en-US" w:eastAsia="zh-CN"/>
                              </w:rPr>
                            </w:pPr>
                            <w:r>
                              <w:rPr>
                                <w:rFonts w:hint="eastAsia" w:ascii="微软雅黑" w:hAnsi="微软雅黑" w:eastAsia="微软雅黑" w:cs="微软雅黑"/>
                                <w:b/>
                                <w:bCs/>
                                <w:color w:val="237085"/>
                                <w:sz w:val="36"/>
                                <w:szCs w:val="36"/>
                                <w:lang w:val="en-US" w:eastAsia="zh-CN"/>
                              </w:rPr>
                              <w:t>新疆维吾尔自治区第三人民医院常用气体采购项目（七次）</w:t>
                            </w:r>
                          </w:p>
                          <w:p w14:paraId="0A6E5F9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highlight w:val="none"/>
                                <w:lang w:eastAsia="zh-CN"/>
                              </w:rPr>
                              <w:t>SJX-2024-424-6</w:t>
                            </w:r>
                            <w:r>
                              <w:rPr>
                                <w:rFonts w:hint="eastAsia" w:ascii="微软雅黑" w:hAnsi="微软雅黑" w:eastAsia="微软雅黑" w:cs="微软雅黑"/>
                                <w:b/>
                                <w:bCs/>
                                <w:color w:val="237085"/>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pt;margin-top:26.7pt;height:134pt;width:540.1pt;z-index:251660288;mso-width-relative:page;mso-height-relative:page;" filled="f" stroked="f" coordsize="21600,21600" o:gfxdata="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nIdFbcAAAACwEAAA8AAAAAAAAAAQAgAAAAIgAA&#10;AGRycy9kb3ducmV2LnhtbFBLAQIUABQAAAAIAIdO4kBVs5yAPQIAAGcEAAAOAAAAAAAAAAEAIAAA&#10;ACsBAABkcnMvZTJvRG9jLnhtbFBLBQYAAAAABgAGAFkBAADaBQAAAAA=&#10;">
                <v:fill on="f" focussize="0,0"/>
                <v:stroke on="f" weight="0.5pt"/>
                <v:imagedata o:title=""/>
                <o:lock v:ext="edit" aspectratio="f"/>
                <v:textbox>
                  <w:txbxContent>
                    <w:p w14:paraId="0113476B">
                      <w:pPr>
                        <w:spacing w:line="360" w:lineRule="auto"/>
                        <w:jc w:val="center"/>
                        <w:rPr>
                          <w:rFonts w:hint="eastAsia" w:ascii="微软雅黑" w:hAnsi="微软雅黑" w:eastAsia="微软雅黑" w:cs="微软雅黑"/>
                          <w:b/>
                          <w:bCs/>
                          <w:color w:val="237085"/>
                          <w:sz w:val="36"/>
                          <w:szCs w:val="36"/>
                          <w:highlight w:val="none"/>
                          <w:lang w:val="en-US" w:eastAsia="zh-CN"/>
                        </w:rPr>
                      </w:pPr>
                      <w:r>
                        <w:rPr>
                          <w:rFonts w:hint="eastAsia" w:ascii="微软雅黑" w:hAnsi="微软雅黑" w:eastAsia="微软雅黑" w:cs="微软雅黑"/>
                          <w:b/>
                          <w:bCs/>
                          <w:color w:val="237085"/>
                          <w:sz w:val="36"/>
                          <w:szCs w:val="36"/>
                          <w:lang w:val="en-US" w:eastAsia="zh-CN"/>
                        </w:rPr>
                        <w:t>新疆维吾尔自治区第三人民医院常用气体采购项目（七次）</w:t>
                      </w:r>
                    </w:p>
                    <w:p w14:paraId="0A6E5F9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highlight w:val="none"/>
                          <w:lang w:eastAsia="zh-CN"/>
                        </w:rPr>
                        <w:t>SJX-2024-424-6</w:t>
                      </w:r>
                      <w:r>
                        <w:rPr>
                          <w:rFonts w:hint="eastAsia" w:ascii="微软雅黑" w:hAnsi="微软雅黑" w:eastAsia="微软雅黑" w:cs="微软雅黑"/>
                          <w:b/>
                          <w:bCs/>
                          <w:color w:val="237085"/>
                          <w:sz w:val="28"/>
                          <w:szCs w:val="28"/>
                        </w:rPr>
                        <w:t>）</w:t>
                      </w:r>
                    </w:p>
                  </w:txbxContent>
                </v:textbox>
              </v:shape>
            </w:pict>
          </mc:Fallback>
        </mc:AlternateContent>
      </w:r>
      <w:r>
        <w:rPr>
          <w:rFonts w:ascii="仿宋" w:hAnsi="仿宋" w:eastAsia="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2336;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ascii="仿宋" w:hAnsi="仿宋" w:eastAsia="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9232F">
                            <w:pPr>
                              <w:pStyle w:val="23"/>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1312;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1BC9232F">
                      <w:pPr>
                        <w:pStyle w:val="23"/>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shape>
            </w:pict>
          </mc:Fallback>
        </mc:AlternateContent>
      </w:r>
      <w:r>
        <w:rPr>
          <w:rFonts w:ascii="仿宋" w:hAnsi="仿宋" w:eastAsia="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9E200">
                            <w:pPr>
                              <w:jc w:val="left"/>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val="en-US" w:eastAsia="zh-CN"/>
                              </w:rPr>
                              <w:t>新疆维吾尔自治区第三人民医院（盖章）</w:t>
                            </w:r>
                          </w:p>
                          <w:p w14:paraId="557B91E7">
                            <w:pPr>
                              <w:jc w:val="left"/>
                              <w:rPr>
                                <w:rFonts w:ascii="微软雅黑" w:hAnsi="微软雅黑" w:eastAsia="微软雅黑" w:cs="微软雅黑"/>
                                <w:b/>
                                <w:bCs/>
                                <w:color w:val="237085"/>
                                <w:sz w:val="32"/>
                                <w:szCs w:val="32"/>
                              </w:rPr>
                            </w:pPr>
                          </w:p>
                          <w:p w14:paraId="2351255A">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6602CFFA">
                            <w:pPr>
                              <w:jc w:val="center"/>
                              <w:rPr>
                                <w:rFonts w:ascii="微软雅黑" w:hAnsi="微软雅黑" w:eastAsia="微软雅黑" w:cs="微软雅黑"/>
                                <w:b/>
                                <w:bCs/>
                                <w:color w:val="237085"/>
                                <w:sz w:val="32"/>
                                <w:szCs w:val="32"/>
                              </w:rPr>
                            </w:pPr>
                          </w:p>
                          <w:p w14:paraId="2994008D">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hint="eastAsia" w:ascii="微软雅黑" w:hAnsi="微软雅黑" w:eastAsia="微软雅黑" w:cs="微软雅黑"/>
                                <w:b/>
                                <w:bCs/>
                                <w:color w:val="237085"/>
                                <w:sz w:val="32"/>
                                <w:szCs w:val="32"/>
                                <w:lang w:val="en-US" w:eastAsia="zh-CN"/>
                              </w:rPr>
                              <w:t>5</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06</w:t>
                            </w:r>
                            <w:r>
                              <w:rPr>
                                <w:rFonts w:hint="eastAsia" w:ascii="微软雅黑" w:hAnsi="微软雅黑" w:eastAsia="微软雅黑" w:cs="微软雅黑"/>
                                <w:b/>
                                <w:bCs/>
                                <w:color w:val="237085"/>
                                <w:sz w:val="32"/>
                                <w:szCs w:val="3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3360;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6F79E200">
                      <w:pPr>
                        <w:jc w:val="left"/>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val="en-US" w:eastAsia="zh-CN"/>
                        </w:rPr>
                        <w:t>新疆维吾尔自治区第三人民医院（盖章）</w:t>
                      </w:r>
                    </w:p>
                    <w:p w14:paraId="557B91E7">
                      <w:pPr>
                        <w:jc w:val="left"/>
                        <w:rPr>
                          <w:rFonts w:ascii="微软雅黑" w:hAnsi="微软雅黑" w:eastAsia="微软雅黑" w:cs="微软雅黑"/>
                          <w:b/>
                          <w:bCs/>
                          <w:color w:val="237085"/>
                          <w:sz w:val="32"/>
                          <w:szCs w:val="32"/>
                        </w:rPr>
                      </w:pPr>
                    </w:p>
                    <w:p w14:paraId="2351255A">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6602CFFA">
                      <w:pPr>
                        <w:jc w:val="center"/>
                        <w:rPr>
                          <w:rFonts w:ascii="微软雅黑" w:hAnsi="微软雅黑" w:eastAsia="微软雅黑" w:cs="微软雅黑"/>
                          <w:b/>
                          <w:bCs/>
                          <w:color w:val="237085"/>
                          <w:sz w:val="32"/>
                          <w:szCs w:val="32"/>
                        </w:rPr>
                      </w:pPr>
                    </w:p>
                    <w:p w14:paraId="2994008D">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hint="eastAsia" w:ascii="微软雅黑" w:hAnsi="微软雅黑" w:eastAsia="微软雅黑" w:cs="微软雅黑"/>
                          <w:b/>
                          <w:bCs/>
                          <w:color w:val="237085"/>
                          <w:sz w:val="32"/>
                          <w:szCs w:val="32"/>
                          <w:lang w:val="en-US" w:eastAsia="zh-CN"/>
                        </w:rPr>
                        <w:t>5</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06</w:t>
                      </w:r>
                      <w:r>
                        <w:rPr>
                          <w:rFonts w:hint="eastAsia" w:ascii="微软雅黑" w:hAnsi="微软雅黑" w:eastAsia="微软雅黑" w:cs="微软雅黑"/>
                          <w:b/>
                          <w:bCs/>
                          <w:color w:val="237085"/>
                          <w:sz w:val="32"/>
                          <w:szCs w:val="32"/>
                        </w:rPr>
                        <w:t>月</w:t>
                      </w:r>
                    </w:p>
                  </w:txbxContent>
                </v:textbox>
              </v:shape>
            </w:pict>
          </mc:Fallback>
        </mc:AlternateContent>
      </w:r>
    </w:p>
    <w:p w14:paraId="1566090C">
      <w:pPr>
        <w:jc w:val="center"/>
        <w:rPr>
          <w:rFonts w:ascii="仿宋" w:hAnsi="仿宋" w:eastAsia="仿宋" w:cs="仿宋_GB2312"/>
          <w:color w:val="auto"/>
          <w:sz w:val="32"/>
          <w:szCs w:val="32"/>
          <w:highlight w:val="none"/>
        </w:rPr>
      </w:pPr>
    </w:p>
    <w:tbl>
      <w:tblPr>
        <w:tblStyle w:val="24"/>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A997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3453F9B6">
            <w:pPr>
              <w:rPr>
                <w:rFonts w:ascii="仿宋" w:hAnsi="仿宋" w:eastAsia="仿宋" w:cs="Arial"/>
                <w:b/>
                <w:bCs/>
                <w:color w:val="auto"/>
                <w:sz w:val="32"/>
                <w:szCs w:val="32"/>
                <w:highlight w:val="none"/>
              </w:rPr>
            </w:pPr>
            <w:r>
              <w:rPr>
                <w:rFonts w:hint="eastAsia" w:ascii="仿宋" w:hAnsi="仿宋" w:eastAsia="仿宋" w:cs="仿宋_GB2312"/>
                <w:color w:val="auto"/>
                <w:sz w:val="32"/>
                <w:szCs w:val="32"/>
                <w:highlight w:val="none"/>
              </w:rPr>
              <w:br w:type="page"/>
            </w:r>
          </w:p>
          <w:p w14:paraId="234ED914">
            <w:pPr>
              <w:spacing w:line="360" w:lineRule="auto"/>
              <w:ind w:right="31" w:rightChars="15"/>
              <w:jc w:val="center"/>
              <w:rPr>
                <w:rFonts w:ascii="仿宋" w:hAnsi="仿宋" w:eastAsia="仿宋" w:cs="Arial"/>
                <w:b/>
                <w:bCs/>
                <w:color w:val="auto"/>
                <w:sz w:val="32"/>
                <w:szCs w:val="32"/>
                <w:highlight w:val="none"/>
              </w:rPr>
            </w:pPr>
          </w:p>
          <w:p w14:paraId="43CDC181">
            <w:pPr>
              <w:spacing w:line="360" w:lineRule="auto"/>
              <w:ind w:right="31" w:rightChars="15"/>
              <w:jc w:val="center"/>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招标文件确认表</w:t>
            </w:r>
          </w:p>
          <w:p w14:paraId="55E5C5FB">
            <w:pPr>
              <w:spacing w:line="360" w:lineRule="auto"/>
              <w:ind w:firstLine="720" w:firstLineChars="300"/>
              <w:rPr>
                <w:rFonts w:ascii="仿宋" w:hAnsi="仿宋" w:eastAsia="仿宋" w:cs="Arial"/>
                <w:color w:val="auto"/>
                <w:sz w:val="24"/>
                <w:highlight w:val="none"/>
              </w:rPr>
            </w:pPr>
          </w:p>
          <w:p w14:paraId="1528E6CC">
            <w:pPr>
              <w:spacing w:line="360"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新疆世纪星工程咨询有限公司：</w:t>
            </w:r>
          </w:p>
          <w:p w14:paraId="671D8578">
            <w:pPr>
              <w:spacing w:line="360" w:lineRule="auto"/>
              <w:ind w:firstLine="84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u w:val="single"/>
                <w:lang w:eastAsia="zh-CN"/>
              </w:rPr>
              <w:t>新疆维吾尔自治区第三人民医院常用气体采购项目（七次）</w:t>
            </w:r>
            <w:r>
              <w:rPr>
                <w:rFonts w:hint="eastAsia" w:ascii="仿宋" w:hAnsi="仿宋" w:eastAsia="仿宋" w:cs="Arial"/>
                <w:color w:val="auto"/>
                <w:sz w:val="28"/>
                <w:szCs w:val="28"/>
                <w:highlight w:val="none"/>
                <w:u w:val="single"/>
              </w:rPr>
              <w:t>（项目编号：</w:t>
            </w:r>
            <w:r>
              <w:rPr>
                <w:rFonts w:hint="eastAsia" w:ascii="仿宋" w:hAnsi="仿宋" w:eastAsia="仿宋" w:cs="Arial"/>
                <w:color w:val="auto"/>
                <w:sz w:val="28"/>
                <w:szCs w:val="28"/>
                <w:highlight w:val="none"/>
                <w:u w:val="single"/>
                <w:lang w:eastAsia="zh-CN"/>
              </w:rPr>
              <w:t>SJX-2024-424-6</w:t>
            </w:r>
            <w:r>
              <w:rPr>
                <w:rFonts w:hint="eastAsia" w:ascii="仿宋" w:hAnsi="仿宋" w:eastAsia="仿宋" w:cs="Arial"/>
                <w:color w:val="auto"/>
                <w:sz w:val="28"/>
                <w:szCs w:val="28"/>
                <w:highlight w:val="none"/>
                <w:u w:val="single"/>
              </w:rPr>
              <w:t>）</w:t>
            </w:r>
            <w:r>
              <w:rPr>
                <w:rFonts w:hint="eastAsia" w:ascii="仿宋" w:hAnsi="仿宋" w:eastAsia="仿宋" w:cs="Arial"/>
                <w:color w:val="auto"/>
                <w:sz w:val="28"/>
                <w:szCs w:val="28"/>
                <w:highlight w:val="none"/>
              </w:rPr>
              <w:t>招标文件，经我单位审核符合我单位提出的招标要求，同意对外发布。</w:t>
            </w:r>
          </w:p>
          <w:p w14:paraId="1E4B8B1E">
            <w:pPr>
              <w:spacing w:line="360" w:lineRule="auto"/>
              <w:rPr>
                <w:rFonts w:ascii="仿宋" w:hAnsi="仿宋" w:eastAsia="仿宋" w:cs="Arial"/>
                <w:color w:val="auto"/>
                <w:sz w:val="28"/>
                <w:szCs w:val="28"/>
                <w:highlight w:val="none"/>
              </w:rPr>
            </w:pPr>
          </w:p>
          <w:p w14:paraId="070A528B">
            <w:pPr>
              <w:spacing w:line="360" w:lineRule="auto"/>
              <w:ind w:right="240"/>
              <w:rPr>
                <w:rFonts w:ascii="仿宋" w:hAnsi="仿宋" w:eastAsia="仿宋" w:cs="Arial"/>
                <w:color w:val="auto"/>
                <w:sz w:val="28"/>
                <w:szCs w:val="28"/>
                <w:highlight w:val="none"/>
              </w:rPr>
            </w:pPr>
          </w:p>
          <w:p w14:paraId="2C86F5D4">
            <w:pPr>
              <w:spacing w:line="360" w:lineRule="auto"/>
              <w:ind w:right="240"/>
              <w:rPr>
                <w:rFonts w:ascii="仿宋" w:hAnsi="仿宋" w:eastAsia="仿宋" w:cs="Arial"/>
                <w:color w:val="auto"/>
                <w:sz w:val="28"/>
                <w:szCs w:val="28"/>
                <w:highlight w:val="none"/>
              </w:rPr>
            </w:pPr>
          </w:p>
          <w:p w14:paraId="00C23BDD">
            <w:pPr>
              <w:spacing w:line="360" w:lineRule="auto"/>
              <w:ind w:right="840"/>
              <w:rPr>
                <w:rFonts w:ascii="仿宋" w:hAnsi="仿宋" w:eastAsia="仿宋" w:cs="Arial"/>
                <w:color w:val="auto"/>
                <w:sz w:val="28"/>
                <w:szCs w:val="28"/>
                <w:highlight w:val="none"/>
              </w:rPr>
            </w:pPr>
            <w:r>
              <w:rPr>
                <w:rFonts w:hint="eastAsia" w:ascii="仿宋" w:hAnsi="仿宋" w:eastAsia="仿宋" w:cs="Times New Roman"/>
                <w:color w:val="auto"/>
                <w:sz w:val="28"/>
                <w:szCs w:val="28"/>
                <w:highlight w:val="none"/>
              </w:rPr>
              <w:t xml:space="preserve">                               采购人</w:t>
            </w:r>
            <w:r>
              <w:rPr>
                <w:rFonts w:hint="eastAsia" w:ascii="仿宋" w:hAnsi="仿宋" w:eastAsia="仿宋" w:cs="Arial"/>
                <w:color w:val="auto"/>
                <w:sz w:val="28"/>
                <w:szCs w:val="28"/>
                <w:highlight w:val="none"/>
              </w:rPr>
              <w:t>（盖章）</w:t>
            </w:r>
            <w:r>
              <w:rPr>
                <w:rFonts w:hint="eastAsia" w:ascii="仿宋" w:hAnsi="仿宋" w:eastAsia="仿宋" w:cs="Times New Roman"/>
                <w:color w:val="auto"/>
                <w:sz w:val="28"/>
                <w:szCs w:val="28"/>
                <w:highlight w:val="none"/>
              </w:rPr>
              <w:t xml:space="preserve">：  </w:t>
            </w:r>
          </w:p>
          <w:p w14:paraId="6E0E5DFF">
            <w:pPr>
              <w:spacing w:line="360" w:lineRule="auto"/>
              <w:ind w:right="960"/>
              <w:rPr>
                <w:rFonts w:ascii="仿宋" w:hAnsi="仿宋" w:eastAsia="仿宋" w:cs="Times New Roman"/>
                <w:b/>
                <w:color w:val="auto"/>
                <w:sz w:val="40"/>
                <w:szCs w:val="32"/>
                <w:highlight w:val="none"/>
              </w:rPr>
            </w:pPr>
            <w:r>
              <w:rPr>
                <w:rFonts w:hint="eastAsia" w:ascii="仿宋" w:hAnsi="仿宋" w:eastAsia="仿宋" w:cs="Arial"/>
                <w:color w:val="auto"/>
                <w:sz w:val="28"/>
                <w:szCs w:val="28"/>
                <w:highlight w:val="none"/>
              </w:rPr>
              <w:t xml:space="preserve">                                   </w:t>
            </w:r>
            <w:r>
              <w:rPr>
                <w:rFonts w:hint="eastAsia" w:ascii="仿宋" w:hAnsi="仿宋" w:eastAsia="仿宋" w:cs="Arial"/>
                <w:color w:val="auto"/>
                <w:sz w:val="28"/>
                <w:szCs w:val="28"/>
                <w:highlight w:val="none"/>
                <w:lang w:val="en-US" w:eastAsia="zh-CN"/>
              </w:rPr>
              <w:t>2025</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lang w:val="en-US" w:eastAsia="zh-CN"/>
              </w:rPr>
              <w:t>06</w:t>
            </w:r>
            <w:r>
              <w:rPr>
                <w:rFonts w:hint="eastAsia" w:ascii="仿宋" w:hAnsi="仿宋" w:eastAsia="仿宋" w:cs="Arial"/>
                <w:color w:val="auto"/>
                <w:sz w:val="28"/>
                <w:szCs w:val="28"/>
                <w:highlight w:val="none"/>
              </w:rPr>
              <w:t>月   日</w:t>
            </w:r>
          </w:p>
        </w:tc>
      </w:tr>
    </w:tbl>
    <w:p w14:paraId="34BE1451">
      <w:pP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br w:type="page"/>
      </w:r>
    </w:p>
    <w:p w14:paraId="091A8636">
      <w:pPr>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目  录</w:t>
      </w:r>
    </w:p>
    <w:sdt>
      <w:sdtPr>
        <w:rPr>
          <w:rFonts w:ascii="仿宋" w:hAnsi="仿宋" w:eastAsia="仿宋"/>
          <w:color w:val="auto"/>
          <w:highlight w:val="none"/>
        </w:rPr>
        <w:id w:val="147457632"/>
        <w15:color w:val="DBDBDB"/>
        <w:docPartObj>
          <w:docPartGallery w:val="Table of Contents"/>
          <w:docPartUnique/>
        </w:docPartObj>
      </w:sdtPr>
      <w:sdtEndPr>
        <w:rPr>
          <w:rFonts w:hint="eastAsia" w:ascii="仿宋" w:hAnsi="仿宋" w:eastAsia="仿宋" w:cs="仿宋_GB2312"/>
          <w:b/>
          <w:color w:val="auto"/>
          <w:szCs w:val="32"/>
          <w:highlight w:val="none"/>
        </w:rPr>
      </w:sdtEndPr>
      <w:sdtContent>
        <w:p w14:paraId="3D8EE9E2">
          <w:pPr>
            <w:jc w:val="center"/>
            <w:rPr>
              <w:rFonts w:ascii="仿宋" w:hAnsi="仿宋" w:eastAsia="仿宋"/>
              <w:color w:val="auto"/>
              <w:highlight w:val="none"/>
            </w:rPr>
          </w:pPr>
        </w:p>
        <w:p w14:paraId="71BEE1ED">
          <w:pPr>
            <w:pStyle w:val="36"/>
            <w:tabs>
              <w:tab w:val="right" w:leader="dot" w:pos="8306"/>
            </w:tabs>
            <w:rPr>
              <w:rFonts w:ascii="仿宋" w:hAnsi="仿宋" w:eastAsia="仿宋"/>
              <w:b/>
              <w:color w:val="auto"/>
              <w:highlight w:val="none"/>
            </w:rPr>
          </w:pPr>
          <w:r>
            <w:rPr>
              <w:rFonts w:hint="eastAsia" w:ascii="仿宋" w:hAnsi="仿宋" w:eastAsia="仿宋" w:cs="仿宋_GB2312"/>
              <w:color w:val="auto"/>
              <w:sz w:val="32"/>
              <w:szCs w:val="32"/>
              <w:highlight w:val="none"/>
            </w:rPr>
            <w:fldChar w:fldCharType="begin"/>
          </w:r>
          <w:r>
            <w:rPr>
              <w:rFonts w:hint="eastAsia" w:ascii="仿宋" w:hAnsi="仿宋" w:eastAsia="仿宋" w:cs="仿宋_GB2312"/>
              <w:color w:val="auto"/>
              <w:sz w:val="32"/>
              <w:szCs w:val="32"/>
              <w:highlight w:val="none"/>
            </w:rPr>
            <w:instrText xml:space="preserve">TOC \o "1-2" \h \u </w:instrText>
          </w:r>
          <w:r>
            <w:rPr>
              <w:rFonts w:hint="eastAsia" w:ascii="仿宋" w:hAnsi="仿宋" w:eastAsia="仿宋" w:cs="仿宋_GB2312"/>
              <w:color w:val="auto"/>
              <w:sz w:val="32"/>
              <w:szCs w:val="32"/>
              <w:highlight w:val="none"/>
            </w:rPr>
            <w:fldChar w:fldCharType="separate"/>
          </w:r>
        </w:p>
        <w:p w14:paraId="76CBD616">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"_Toc11868"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第一章 公开招标公告</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_Toc11868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4</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4C4D1B2F">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b/>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"_Toc31403"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第二章 投标须知前附表</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_Toc31403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7</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528C58A1">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"_Toc27881"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 xml:space="preserve">第三章 </w:t>
          </w:r>
          <w:r>
            <w:rPr>
              <w:rFonts w:hint="eastAsia" w:ascii="仿宋" w:hAnsi="仿宋" w:eastAsia="仿宋" w:cs="仿宋_GB2312"/>
              <w:b/>
              <w:color w:val="auto"/>
              <w:sz w:val="28"/>
              <w:szCs w:val="28"/>
              <w:highlight w:val="none"/>
              <w:lang w:eastAsia="zh-CN"/>
            </w:rPr>
            <w:t>投标人</w:t>
          </w:r>
          <w:r>
            <w:rPr>
              <w:rFonts w:hint="eastAsia" w:ascii="仿宋" w:hAnsi="仿宋" w:eastAsia="仿宋" w:cs="仿宋_GB2312"/>
              <w:b/>
              <w:color w:val="auto"/>
              <w:sz w:val="28"/>
              <w:szCs w:val="28"/>
              <w:highlight w:val="none"/>
            </w:rPr>
            <w:t>须知</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_Toc27881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13</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082D3577">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b/>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"_Toc22543"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第四章 政府采购合同</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_Toc22543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30</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710B15B6">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"_Toc20159"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第五章 采购需求</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_Toc20159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36</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188DF15C">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"_Toc21893"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第六章 评标程序、评标方法和评标标准</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_Toc21893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36</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6B189796">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b/>
              <w:color w:val="auto"/>
              <w:sz w:val="24"/>
              <w:szCs w:val="24"/>
              <w:highlight w:val="none"/>
            </w:rPr>
          </w:pPr>
          <w:r>
            <w:rPr>
              <w:color w:val="auto"/>
              <w:sz w:val="28"/>
              <w:szCs w:val="28"/>
              <w:highlight w:val="none"/>
            </w:rPr>
            <w:fldChar w:fldCharType="begin"/>
          </w:r>
          <w:r>
            <w:rPr>
              <w:color w:val="auto"/>
              <w:sz w:val="28"/>
              <w:szCs w:val="28"/>
              <w:highlight w:val="none"/>
            </w:rPr>
            <w:instrText xml:space="preserve"> HYPERLINK \l "_Toc31337"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第七章 投标文件格式</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_Toc31337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48</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39E513B0">
          <w:pPr>
            <w:pStyle w:val="37"/>
            <w:tabs>
              <w:tab w:val="right" w:leader="dot" w:pos="8306"/>
            </w:tabs>
            <w:ind w:left="420"/>
            <w:rPr>
              <w:rFonts w:ascii="仿宋" w:hAnsi="仿宋" w:eastAsia="仿宋"/>
              <w:color w:val="auto"/>
              <w:highlight w:val="none"/>
            </w:rPr>
          </w:pPr>
        </w:p>
        <w:p w14:paraId="5EF4C92D">
          <w:pPr>
            <w:rPr>
              <w:rFonts w:ascii="仿宋" w:hAnsi="仿宋" w:eastAsia="仿宋" w:cs="仿宋_GB2312"/>
              <w:color w:val="auto"/>
              <w:sz w:val="32"/>
              <w:szCs w:val="32"/>
              <w:highlight w:val="none"/>
            </w:rPr>
          </w:pPr>
          <w:r>
            <w:rPr>
              <w:rFonts w:hint="eastAsia" w:ascii="仿宋" w:hAnsi="仿宋" w:eastAsia="仿宋" w:cs="仿宋_GB2312"/>
              <w:b/>
              <w:color w:val="auto"/>
              <w:szCs w:val="32"/>
              <w:highlight w:val="none"/>
            </w:rPr>
            <w:fldChar w:fldCharType="end"/>
          </w:r>
        </w:p>
      </w:sdtContent>
    </w:sdt>
    <w:p w14:paraId="373D7DA8">
      <w:pPr>
        <w:pStyle w:val="2"/>
        <w:numPr>
          <w:ilvl w:val="0"/>
          <w:numId w:val="1"/>
        </w:numPr>
        <w:jc w:val="center"/>
        <w:rPr>
          <w:rFonts w:ascii="仿宋" w:hAnsi="仿宋" w:eastAsia="仿宋" w:cs="仿宋_GB2312"/>
          <w:color w:val="auto"/>
          <w:sz w:val="32"/>
          <w:szCs w:val="32"/>
          <w:highlight w:val="none"/>
        </w:rPr>
        <w:sectPr>
          <w:headerReference r:id="rId3" w:type="default"/>
          <w:footerReference r:id="rId4" w:type="default"/>
          <w:pgSz w:w="11906" w:h="16838"/>
          <w:pgMar w:top="1701" w:right="1474" w:bottom="1701" w:left="1587" w:header="0" w:footer="0" w:gutter="0"/>
          <w:cols w:space="0" w:num="1"/>
          <w:rtlGutter w:val="0"/>
          <w:docGrid w:linePitch="312" w:charSpace="0"/>
        </w:sectPr>
      </w:pPr>
      <w:bookmarkStart w:id="0" w:name="_Toc11868"/>
    </w:p>
    <w:p w14:paraId="492C51AE">
      <w:pPr>
        <w:pStyle w:val="2"/>
        <w:numPr>
          <w:ilvl w:val="0"/>
          <w:numId w:val="1"/>
        </w:numPr>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公开招标公告</w:t>
      </w:r>
      <w:bookmarkEnd w:id="0"/>
    </w:p>
    <w:p w14:paraId="63A2CC88">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76A6CA31">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ascii="仿宋" w:hAnsi="仿宋" w:eastAsia="仿宋" w:cs="仿宋_GB2312"/>
          <w:color w:val="auto"/>
          <w:sz w:val="32"/>
          <w:szCs w:val="32"/>
          <w:highlight w:val="none"/>
        </w:rPr>
      </w:pPr>
      <w:r>
        <w:rPr>
          <w:rFonts w:hint="eastAsia" w:ascii="仿宋" w:hAnsi="仿宋" w:eastAsia="仿宋" w:cs="微软雅黑"/>
          <w:color w:val="auto"/>
          <w:sz w:val="24"/>
          <w:highlight w:val="none"/>
          <w:lang w:eastAsia="zh-CN"/>
        </w:rPr>
        <w:t>新疆维吾尔自治区第三人民医院常用气体采购项目（七次）</w:t>
      </w:r>
      <w:r>
        <w:rPr>
          <w:rFonts w:hint="eastAsia" w:ascii="仿宋" w:hAnsi="仿宋" w:eastAsia="仿宋" w:cs="仿宋"/>
          <w:i w:val="0"/>
          <w:iCs w:val="0"/>
          <w:caps w:val="0"/>
          <w:color w:val="auto"/>
          <w:spacing w:val="0"/>
          <w:sz w:val="24"/>
          <w:szCs w:val="24"/>
          <w:highlight w:val="none"/>
        </w:rPr>
        <w:t>招标项目的潜在投标人应在政采云平台http://www.zcygov.cn/获取招标文件，并于</w:t>
      </w:r>
      <w:r>
        <w:rPr>
          <w:rFonts w:hint="eastAsia" w:ascii="仿宋" w:hAnsi="仿宋" w:eastAsia="仿宋" w:cs="仿宋"/>
          <w:color w:val="auto"/>
          <w:sz w:val="24"/>
          <w:szCs w:val="24"/>
          <w:highlight w:val="none"/>
          <w:lang w:eastAsia="zh-CN"/>
        </w:rPr>
        <w:t>2025年07月16日</w:t>
      </w:r>
      <w:r>
        <w:rPr>
          <w:rFonts w:hint="eastAsia" w:ascii="仿宋" w:hAnsi="仿宋" w:eastAsia="仿宋" w:cs="仿宋"/>
          <w:i w:val="0"/>
          <w:iCs w:val="0"/>
          <w:caps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lang w:eastAsia="zh-CN"/>
        </w:rPr>
        <w:t>11:00</w:t>
      </w:r>
      <w:r>
        <w:rPr>
          <w:rFonts w:hint="eastAsia" w:ascii="仿宋" w:hAnsi="仿宋" w:eastAsia="仿宋" w:cs="仿宋"/>
          <w:i w:val="0"/>
          <w:iCs w:val="0"/>
          <w:caps w:val="0"/>
          <w:color w:val="auto"/>
          <w:spacing w:val="0"/>
          <w:sz w:val="24"/>
          <w:szCs w:val="24"/>
          <w:highlight w:val="none"/>
        </w:rPr>
        <w:t>（北京时间）前递交投标文件。</w:t>
      </w:r>
    </w:p>
    <w:p w14:paraId="45F9692C">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1" w:name="_Toc21739"/>
      <w:r>
        <w:rPr>
          <w:rFonts w:hint="eastAsia" w:ascii="仿宋" w:hAnsi="仿宋" w:eastAsia="仿宋" w:cs="仿宋_GB2312"/>
          <w:b/>
          <w:bCs/>
          <w:color w:val="auto"/>
          <w:sz w:val="24"/>
          <w:highlight w:val="none"/>
        </w:rPr>
        <w:t>一、项目基本情况</w:t>
      </w:r>
      <w:bookmarkEnd w:id="1"/>
    </w:p>
    <w:p w14:paraId="29B520A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___WRD_EMBED_SUB_41"/>
          <w:color w:val="auto"/>
          <w:sz w:val="24"/>
          <w:highlight w:val="none"/>
          <w:lang w:eastAsia="zh-CN"/>
        </w:rPr>
      </w:pPr>
      <w:r>
        <w:rPr>
          <w:rFonts w:hint="eastAsia" w:ascii="仿宋" w:hAnsi="仿宋" w:eastAsia="仿宋" w:cs="___WRD_EMBED_SUB_41"/>
          <w:color w:val="auto"/>
          <w:sz w:val="24"/>
          <w:highlight w:val="none"/>
        </w:rPr>
        <w:t>项目编号：</w:t>
      </w:r>
      <w:r>
        <w:rPr>
          <w:rFonts w:hint="eastAsia" w:ascii="仿宋" w:hAnsi="仿宋" w:eastAsia="仿宋" w:cs="___WRD_EMBED_SUB_41"/>
          <w:color w:val="auto"/>
          <w:sz w:val="24"/>
          <w:highlight w:val="none"/>
          <w:lang w:eastAsia="zh-CN"/>
        </w:rPr>
        <w:t>SJX-2024-424-6</w:t>
      </w:r>
    </w:p>
    <w:p w14:paraId="604960D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项目名称：</w:t>
      </w:r>
      <w:r>
        <w:rPr>
          <w:rFonts w:hint="eastAsia" w:ascii="仿宋" w:hAnsi="仿宋" w:eastAsia="仿宋" w:cs="微软雅黑"/>
          <w:color w:val="auto"/>
          <w:sz w:val="24"/>
          <w:highlight w:val="none"/>
          <w:lang w:eastAsia="zh-CN"/>
        </w:rPr>
        <w:t>新疆维吾尔自治区第三人民医院常用气体采购项目（七次）</w:t>
      </w:r>
    </w:p>
    <w:p w14:paraId="66EA3486">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采购方式：公开招标</w:t>
      </w:r>
    </w:p>
    <w:p w14:paraId="084C240B">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预算金额（元）：</w:t>
      </w:r>
      <w:r>
        <w:rPr>
          <w:rFonts w:hint="eastAsia" w:ascii="仿宋" w:hAnsi="仿宋" w:eastAsia="仿宋" w:cs="仿宋_GB2312"/>
          <w:color w:val="auto"/>
          <w:sz w:val="24"/>
          <w:highlight w:val="none"/>
          <w:lang w:val="en-US" w:eastAsia="zh-CN"/>
        </w:rPr>
        <w:t>80070元</w:t>
      </w:r>
    </w:p>
    <w:p w14:paraId="12352604">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rPr>
      </w:pPr>
      <w:r>
        <w:rPr>
          <w:rFonts w:hint="eastAsia" w:ascii="仿宋" w:hAnsi="仿宋" w:eastAsia="仿宋" w:cs="仿宋_GB2312"/>
          <w:color w:val="auto"/>
          <w:sz w:val="24"/>
          <w:highlight w:val="none"/>
        </w:rPr>
        <w:t>最高限价（元）：</w:t>
      </w:r>
      <w:r>
        <w:rPr>
          <w:rFonts w:hint="eastAsia" w:ascii="仿宋" w:hAnsi="仿宋" w:eastAsia="仿宋" w:cs="仿宋_GB2312"/>
          <w:color w:val="auto"/>
          <w:sz w:val="24"/>
          <w:highlight w:val="none"/>
          <w:lang w:val="en-US" w:eastAsia="zh-CN"/>
        </w:rPr>
        <w:t>80070元</w:t>
      </w:r>
    </w:p>
    <w:p w14:paraId="2D78503D">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采购需求：</w:t>
      </w:r>
    </w:p>
    <w:p w14:paraId="7FCB5D9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lang w:val="en-US" w:eastAsia="zh-CN"/>
        </w:rPr>
      </w:pPr>
    </w:p>
    <w:p w14:paraId="49613F4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_GB2312"/>
          <w:b/>
          <w:bCs/>
          <w:color w:val="auto"/>
          <w:sz w:val="24"/>
          <w:highlight w:val="none"/>
        </w:rPr>
      </w:pPr>
      <w:r>
        <w:rPr>
          <w:rFonts w:hint="eastAsia" w:ascii="仿宋" w:hAnsi="仿宋" w:eastAsia="仿宋" w:cs="仿宋"/>
          <w:b/>
          <w:bCs/>
          <w:color w:val="auto"/>
          <w:sz w:val="24"/>
          <w:szCs w:val="24"/>
          <w:highlight w:val="none"/>
          <w:lang w:val="en-US" w:eastAsia="zh-CN"/>
        </w:rPr>
        <w:t>标项1</w:t>
      </w:r>
    </w:p>
    <w:p w14:paraId="49255AA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微软雅黑"/>
          <w:color w:val="auto"/>
          <w:sz w:val="24"/>
          <w:highlight w:val="none"/>
          <w:lang w:val="en-US" w:eastAsia="zh-CN"/>
        </w:rPr>
      </w:pPr>
      <w:r>
        <w:rPr>
          <w:rFonts w:hint="eastAsia" w:ascii="仿宋" w:hAnsi="仿宋" w:eastAsia="仿宋" w:cs="仿宋_GB2312"/>
          <w:color w:val="auto"/>
          <w:sz w:val="24"/>
          <w:highlight w:val="none"/>
        </w:rPr>
        <w:t>标项名称:</w:t>
      </w:r>
      <w:r>
        <w:rPr>
          <w:rFonts w:hint="eastAsia" w:ascii="仿宋" w:hAnsi="仿宋" w:eastAsia="仿宋" w:cs="微软雅黑"/>
          <w:color w:val="auto"/>
          <w:sz w:val="24"/>
          <w:highlight w:val="none"/>
        </w:rPr>
        <w:t xml:space="preserve"> </w:t>
      </w:r>
      <w:r>
        <w:rPr>
          <w:rFonts w:hint="eastAsia" w:ascii="仿宋" w:hAnsi="仿宋" w:eastAsia="仿宋" w:cs="微软雅黑"/>
          <w:color w:val="auto"/>
          <w:sz w:val="24"/>
          <w:highlight w:val="none"/>
          <w:lang w:val="en-US" w:eastAsia="zh-CN"/>
        </w:rPr>
        <w:t xml:space="preserve"> </w:t>
      </w:r>
      <w:r>
        <w:rPr>
          <w:rFonts w:hint="eastAsia" w:ascii="仿宋" w:hAnsi="仿宋" w:eastAsia="仿宋" w:cs="微软雅黑"/>
          <w:color w:val="auto"/>
          <w:sz w:val="24"/>
          <w:highlight w:val="none"/>
          <w:lang w:eastAsia="zh-CN"/>
        </w:rPr>
        <w:t>新疆维吾尔自治区第三人民医院常用气体采购项目（七次）</w:t>
      </w:r>
    </w:p>
    <w:p w14:paraId="6D7C08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数量:</w:t>
      </w:r>
      <w:r>
        <w:rPr>
          <w:rFonts w:hint="eastAsia" w:ascii="仿宋" w:hAnsi="仿宋" w:eastAsia="仿宋" w:cs="仿宋_GB2312"/>
          <w:color w:val="auto"/>
          <w:sz w:val="24"/>
          <w:highlight w:val="none"/>
          <w:lang w:val="en-US" w:eastAsia="zh-CN"/>
        </w:rPr>
        <w:t>不限</w:t>
      </w:r>
    </w:p>
    <w:p w14:paraId="39B5885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预算金额（元）:</w:t>
      </w:r>
      <w:r>
        <w:rPr>
          <w:rFonts w:hint="eastAsia" w:ascii="仿宋" w:hAnsi="仿宋" w:eastAsia="仿宋" w:cs="仿宋_GB2312"/>
          <w:color w:val="auto"/>
          <w:sz w:val="24"/>
          <w:highlight w:val="none"/>
          <w:lang w:val="en-US" w:eastAsia="zh-CN"/>
        </w:rPr>
        <w:t>80070元</w:t>
      </w:r>
    </w:p>
    <w:p w14:paraId="4DD3E7F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_GB2312"/>
          <w:color w:val="auto"/>
          <w:sz w:val="24"/>
          <w:highlight w:val="none"/>
        </w:rPr>
        <w:t>简要规格描述或项目基本</w:t>
      </w:r>
      <w:r>
        <w:rPr>
          <w:rFonts w:hint="eastAsia" w:ascii="仿宋" w:hAnsi="仿宋" w:eastAsia="仿宋" w:cs="仿宋_GB2312"/>
          <w:color w:val="auto"/>
          <w:sz w:val="24"/>
          <w:highlight w:val="none"/>
          <w:lang w:eastAsia="zh-CN"/>
        </w:rPr>
        <w:t>概况介绍、用途：</w:t>
      </w:r>
      <w:r>
        <w:rPr>
          <w:rFonts w:hint="eastAsia" w:ascii="仿宋" w:hAnsi="仿宋" w:eastAsia="仿宋" w:cs="微软雅黑"/>
          <w:color w:val="auto"/>
          <w:sz w:val="24"/>
          <w:highlight w:val="none"/>
          <w:lang w:val="en-US" w:eastAsia="zh-CN"/>
        </w:rPr>
        <w:t>医院常用气体</w:t>
      </w:r>
      <w:r>
        <w:rPr>
          <w:rFonts w:hint="eastAsia" w:ascii="仿宋" w:hAnsi="仿宋" w:eastAsia="仿宋" w:cs="微软雅黑"/>
          <w:color w:val="auto"/>
          <w:sz w:val="24"/>
          <w:highlight w:val="none"/>
          <w:lang w:eastAsia="zh-CN"/>
        </w:rPr>
        <w:t>，</w:t>
      </w:r>
      <w:r>
        <w:rPr>
          <w:rFonts w:hint="eastAsia" w:ascii="仿宋" w:hAnsi="仿宋" w:eastAsia="仿宋" w:cs="仿宋_GB2312"/>
          <w:color w:val="auto"/>
          <w:sz w:val="24"/>
          <w:highlight w:val="none"/>
          <w:lang w:val="en-US" w:eastAsia="zh-CN"/>
        </w:rPr>
        <w:t>具体要求</w:t>
      </w:r>
      <w:r>
        <w:rPr>
          <w:rFonts w:hint="eastAsia" w:ascii="仿宋" w:hAnsi="仿宋" w:eastAsia="仿宋" w:cs="宋体"/>
          <w:color w:val="auto"/>
          <w:sz w:val="24"/>
          <w:highlight w:val="none"/>
        </w:rPr>
        <w:t>详见招标文件采购需求。</w:t>
      </w:r>
    </w:p>
    <w:p w14:paraId="5CAEAE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备注：</w:t>
      </w:r>
    </w:p>
    <w:p w14:paraId="20F0862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合同履约期限</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_GB2312"/>
          <w:color w:val="auto"/>
          <w:sz w:val="24"/>
          <w:highlight w:val="none"/>
        </w:rPr>
        <w:t>标项 1</w:t>
      </w:r>
      <w:r>
        <w:rPr>
          <w:rFonts w:hint="eastAsia" w:ascii="仿宋" w:hAnsi="仿宋" w:eastAsia="仿宋" w:cs="仿宋_GB2312"/>
          <w:color w:val="auto"/>
          <w:sz w:val="24"/>
          <w:highlight w:val="none"/>
          <w:lang w:eastAsia="zh-CN"/>
        </w:rPr>
        <w:t>合同签订后1年</w:t>
      </w:r>
      <w:r>
        <w:rPr>
          <w:rFonts w:hint="eastAsia" w:ascii="仿宋" w:hAnsi="仿宋" w:eastAsia="仿宋" w:cs="仿宋"/>
          <w:color w:val="auto"/>
          <w:sz w:val="24"/>
          <w:szCs w:val="24"/>
          <w:highlight w:val="none"/>
        </w:rPr>
        <w:t>。</w:t>
      </w:r>
    </w:p>
    <w:p w14:paraId="39AEF636">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ascii="仿宋" w:hAnsi="仿宋" w:eastAsia="仿宋" w:cs="仿宋_GB2312"/>
          <w:color w:val="auto"/>
          <w:sz w:val="24"/>
          <w:highlight w:val="none"/>
        </w:rPr>
        <w:t>本项目（否）接受联合体投标。</w:t>
      </w:r>
    </w:p>
    <w:p w14:paraId="562DC280">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2" w:name="_Toc15364"/>
      <w:r>
        <w:rPr>
          <w:rFonts w:hint="eastAsia" w:ascii="仿宋" w:hAnsi="仿宋" w:eastAsia="仿宋" w:cs="仿宋_GB2312"/>
          <w:b/>
          <w:bCs/>
          <w:color w:val="auto"/>
          <w:sz w:val="24"/>
          <w:highlight w:val="none"/>
        </w:rPr>
        <w:t>二、申请人的资格要求：</w:t>
      </w:r>
      <w:bookmarkEnd w:id="2"/>
    </w:p>
    <w:p w14:paraId="5FE8ED69">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1.满足《中华人民共和国政府采购法》第二十二条规定；</w:t>
      </w:r>
    </w:p>
    <w:p w14:paraId="32DFEBC6">
      <w:pPr>
        <w:pStyle w:val="23"/>
        <w:keepNext w:val="0"/>
        <w:keepLines w:val="0"/>
        <w:pageBreakBefore w:val="0"/>
        <w:widowControl w:val="0"/>
        <w:kinsoku/>
        <w:wordWrap/>
        <w:overflowPunct/>
        <w:topLinePunct w:val="0"/>
        <w:bidi w:val="0"/>
        <w:adjustRightInd/>
        <w:snapToGrid/>
        <w:spacing w:after="0" w:line="500" w:lineRule="exact"/>
        <w:ind w:left="0" w:leftChars="0" w:firstLine="0" w:firstLineChars="0"/>
        <w:textAlignment w:val="auto"/>
        <w:rPr>
          <w:rFonts w:hint="eastAsia" w:ascii="仿宋" w:hAnsi="仿宋" w:eastAsia="仿宋" w:cs="仿宋"/>
          <w:color w:val="auto"/>
          <w:sz w:val="24"/>
          <w:szCs w:val="24"/>
          <w:highlight w:val="none"/>
          <w:lang w:val="en-US"/>
        </w:rPr>
      </w:pPr>
      <w:r>
        <w:rPr>
          <w:rFonts w:hint="eastAsia"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lang w:val="en-US" w:eastAsia="zh-CN"/>
        </w:rPr>
        <w:t>本项目</w:t>
      </w:r>
      <w:r>
        <w:rPr>
          <w:rFonts w:hint="eastAsia" w:ascii="仿宋" w:hAnsi="仿宋" w:eastAsia="仿宋" w:cs="仿宋_GB2312"/>
          <w:color w:val="auto"/>
          <w:sz w:val="24"/>
          <w:highlight w:val="none"/>
        </w:rPr>
        <w:t>标项 1</w:t>
      </w:r>
      <w:r>
        <w:rPr>
          <w:rFonts w:hint="eastAsia" w:ascii="仿宋" w:hAnsi="仿宋" w:eastAsia="仿宋" w:cs="仿宋"/>
          <w:b w:val="0"/>
          <w:bCs w:val="0"/>
          <w:color w:val="auto"/>
          <w:sz w:val="24"/>
          <w:szCs w:val="24"/>
          <w:highlight w:val="none"/>
          <w:lang w:val="en-US" w:eastAsia="zh-CN"/>
        </w:rPr>
        <w:t>专门面向中小企业（含中型、小型、微型企业）采购，所投产品应为中小企业或财库〔2014〕68号文规定的企业或残疾人福利性单位所生产。</w:t>
      </w:r>
    </w:p>
    <w:p w14:paraId="1EC4FC22">
      <w:pPr>
        <w:pStyle w:val="32"/>
        <w:keepNext w:val="0"/>
        <w:keepLines w:val="0"/>
        <w:pageBreakBefore w:val="0"/>
        <w:kinsoku/>
        <w:wordWrap/>
        <w:overflowPunct/>
        <w:topLinePunct w:val="0"/>
        <w:autoSpaceDE/>
        <w:autoSpaceDN/>
        <w:bidi w:val="0"/>
        <w:adjustRightInd/>
        <w:snapToGrid/>
        <w:spacing w:before="0" w:after="0"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3.本项目的特定资格要求：</w:t>
      </w:r>
    </w:p>
    <w:p w14:paraId="632278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color w:val="auto"/>
          <w:sz w:val="24"/>
          <w:szCs w:val="24"/>
          <w:highlight w:val="none"/>
          <w:lang w:val="en-US" w:eastAsia="zh-CN"/>
        </w:rPr>
      </w:pPr>
      <w:bookmarkStart w:id="3" w:name="_Toc29084"/>
      <w:r>
        <w:rPr>
          <w:rFonts w:hint="eastAsia" w:ascii="仿宋" w:hAnsi="仿宋" w:eastAsia="仿宋" w:cs="仿宋"/>
          <w:color w:val="auto"/>
          <w:sz w:val="24"/>
          <w:szCs w:val="24"/>
          <w:highlight w:val="none"/>
          <w:lang w:val="en-US" w:eastAsia="zh-CN"/>
        </w:rPr>
        <w:t>1、若</w:t>
      </w:r>
      <w:r>
        <w:rPr>
          <w:rFonts w:hint="eastAsia" w:ascii="仿宋" w:hAnsi="仿宋" w:eastAsia="仿宋" w:cs="仿宋"/>
          <w:b/>
          <w:bCs w:val="0"/>
          <w:color w:val="auto"/>
          <w:sz w:val="24"/>
          <w:szCs w:val="24"/>
          <w:highlight w:val="none"/>
          <w:lang w:val="en-US" w:eastAsia="zh-CN"/>
        </w:rPr>
        <w:t>投标人为货物制造商，</w:t>
      </w:r>
      <w:r>
        <w:rPr>
          <w:rFonts w:hint="eastAsia" w:ascii="仿宋" w:hAnsi="仿宋" w:eastAsia="仿宋" w:cs="仿宋"/>
          <w:b w:val="0"/>
          <w:bCs/>
          <w:color w:val="auto"/>
          <w:sz w:val="24"/>
          <w:szCs w:val="24"/>
          <w:highlight w:val="none"/>
          <w:lang w:val="en-US" w:eastAsia="zh-CN"/>
        </w:rPr>
        <w:t>使用自身生产的产品投标时，需同时具有以下有效证件</w:t>
      </w:r>
    </w:p>
    <w:p w14:paraId="1D44EDC3">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危险化学品经营许可证》，许可范围须包含：氧、氮、氩、二氧化碳、乙炔；②投标人或其委托的运输单位具有有效的《道路危险货物运输许可证》或《道路运输经营许可证》（证书经营范围内必须包含危险货物运输），投标人委托其他单位配送的，除提供承运单位的上述许可证外，还应提供委托运输协议复印件；③投标人须具有有效的《气瓶充装许可证》或者《移动式压力容器充装许可证》；④《危险化学品安全生产许可证》；</w:t>
      </w:r>
    </w:p>
    <w:p w14:paraId="1A1DC373">
      <w:pPr>
        <w:keepNext w:val="0"/>
        <w:keepLines w:val="0"/>
        <w:pageBreakBefore w:val="0"/>
        <w:numPr>
          <w:ilvl w:val="0"/>
          <w:numId w:val="2"/>
        </w:numPr>
        <w:kinsoku/>
        <w:wordWrap/>
        <w:overflowPunct/>
        <w:topLinePunct w:val="0"/>
        <w:autoSpaceDE/>
        <w:autoSpaceDN/>
        <w:bidi w:val="0"/>
        <w:adjustRightInd/>
        <w:snapToGrid/>
        <w:spacing w:line="440" w:lineRule="exact"/>
        <w:ind w:firstLine="482"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若投标人为代理商，</w:t>
      </w:r>
      <w:r>
        <w:rPr>
          <w:rFonts w:hint="eastAsia" w:ascii="仿宋" w:hAnsi="仿宋" w:eastAsia="仿宋" w:cs="仿宋"/>
          <w:b w:val="0"/>
          <w:bCs/>
          <w:color w:val="auto"/>
          <w:sz w:val="24"/>
          <w:szCs w:val="24"/>
          <w:highlight w:val="none"/>
          <w:lang w:val="en-US" w:eastAsia="zh-CN"/>
        </w:rPr>
        <w:t>需同时具有以下有效证件</w:t>
      </w:r>
    </w:p>
    <w:p w14:paraId="4444A449">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i w:val="0"/>
          <w:iCs w:val="0"/>
          <w:caps w:val="0"/>
          <w:color w:val="383838"/>
          <w:spacing w:val="0"/>
          <w:sz w:val="24"/>
          <w:szCs w:val="24"/>
          <w:highlight w:val="none"/>
          <w:shd w:val="clear" w:color="auto" w:fill="FFFFFF"/>
          <w:lang w:val="en-US" w:eastAsia="zh-CN"/>
        </w:rPr>
      </w:pPr>
      <w:r>
        <w:rPr>
          <w:rFonts w:hint="eastAsia" w:ascii="仿宋" w:hAnsi="仿宋" w:eastAsia="仿宋" w:cs="仿宋"/>
          <w:b w:val="0"/>
          <w:bCs/>
          <w:color w:val="auto"/>
          <w:sz w:val="24"/>
          <w:szCs w:val="24"/>
          <w:highlight w:val="none"/>
          <w:lang w:val="en-US" w:eastAsia="zh-CN"/>
        </w:rPr>
        <w:t>①《危险化学品经营许可证》许可范围须包含：氧、氮、氩、二氧化碳、乙炔；②投标人或其委托的运输单位具有有效的《道路危险货物运输许可证》或《道路运输经营许可证》（证书经营范围内必须包含危险货物运输），投标人委托其他单位配送的，除提供承运单位的上述许可证外，还应提供委托运输协议复印件；③</w:t>
      </w:r>
      <w:r>
        <w:rPr>
          <w:rFonts w:hint="eastAsia" w:ascii="仿宋" w:hAnsi="仿宋" w:eastAsia="仿宋" w:cs="仿宋"/>
          <w:b w:val="0"/>
          <w:bCs/>
          <w:i w:val="0"/>
          <w:iCs w:val="0"/>
          <w:caps w:val="0"/>
          <w:color w:val="383838"/>
          <w:spacing w:val="0"/>
          <w:sz w:val="24"/>
          <w:szCs w:val="24"/>
          <w:highlight w:val="none"/>
          <w:shd w:val="clear" w:color="auto" w:fill="FFFFFF"/>
        </w:rPr>
        <w:t>投</w:t>
      </w:r>
      <w:r>
        <w:rPr>
          <w:rFonts w:hint="eastAsia" w:ascii="仿宋" w:hAnsi="仿宋" w:eastAsia="仿宋" w:cs="仿宋"/>
          <w:b w:val="0"/>
          <w:bCs/>
          <w:color w:val="auto"/>
          <w:sz w:val="24"/>
          <w:szCs w:val="24"/>
          <w:highlight w:val="none"/>
          <w:lang w:val="en-US" w:eastAsia="zh-CN"/>
        </w:rPr>
        <w:t>标人须具有有效的《气瓶充装许可证》或者《移动式压力容器充装许可证》；④并提供代理产品生产企业的《危险化学品安全生产许可证》。</w:t>
      </w:r>
    </w:p>
    <w:p w14:paraId="769C3087">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三、获取招标文件</w:t>
      </w:r>
      <w:bookmarkEnd w:id="3"/>
    </w:p>
    <w:p w14:paraId="3F482C11">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时间：</w:t>
      </w:r>
      <w:r>
        <w:rPr>
          <w:rFonts w:hint="eastAsia" w:ascii="仿宋" w:hAnsi="仿宋" w:eastAsia="仿宋" w:cs="仿宋"/>
          <w:color w:val="auto"/>
          <w:sz w:val="24"/>
          <w:szCs w:val="24"/>
          <w:highlight w:val="none"/>
          <w:lang w:eastAsia="zh-CN"/>
        </w:rPr>
        <w:t>2025年0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日至2025年0</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日</w:t>
      </w:r>
      <w:r>
        <w:rPr>
          <w:rFonts w:hint="eastAsia" w:ascii="仿宋" w:hAnsi="仿宋" w:eastAsia="仿宋" w:cs="仿宋_GB2312"/>
          <w:color w:val="auto"/>
          <w:sz w:val="24"/>
          <w:highlight w:val="none"/>
        </w:rPr>
        <w:t>，每天上午00:00至12:00，下午12:00至23:59（北京时间，法定节假日除外）</w:t>
      </w:r>
    </w:p>
    <w:p w14:paraId="3089962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_GB2312"/>
          <w:color w:val="auto"/>
          <w:sz w:val="24"/>
          <w:highlight w:val="none"/>
        </w:rPr>
        <w:t>地点：</w:t>
      </w:r>
      <w:r>
        <w:rPr>
          <w:rFonts w:hint="eastAsia" w:ascii="仿宋" w:hAnsi="仿宋" w:eastAsia="仿宋" w:cs="仿宋"/>
          <w:color w:val="auto"/>
          <w:sz w:val="24"/>
          <w:szCs w:val="24"/>
          <w:highlight w:val="none"/>
        </w:rPr>
        <w:t>政采云平台</w:t>
      </w:r>
      <w:r>
        <w:rPr>
          <w:rFonts w:hint="eastAsia" w:ascii="仿宋" w:hAnsi="仿宋" w:eastAsia="仿宋" w:cs="仿宋"/>
          <w:color w:val="auto"/>
          <w:sz w:val="24"/>
          <w:szCs w:val="24"/>
          <w:highlight w:val="none"/>
          <w:lang w:val="en-US" w:eastAsia="zh-CN"/>
        </w:rPr>
        <w:t>线上获取</w:t>
      </w:r>
    </w:p>
    <w:p w14:paraId="2C6FB5BB">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方式：</w:t>
      </w:r>
      <w:r>
        <w:rPr>
          <w:rFonts w:hint="eastAsia" w:ascii="仿宋" w:hAnsi="仿宋" w:eastAsia="仿宋" w:cs="仿宋_GB2312"/>
          <w:color w:val="auto"/>
          <w:sz w:val="24"/>
          <w:highlight w:val="none"/>
          <w:lang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647DB0A">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售价（元）：0元</w:t>
      </w:r>
    </w:p>
    <w:p w14:paraId="310902DD">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4" w:name="_Toc24224"/>
      <w:r>
        <w:rPr>
          <w:rFonts w:hint="eastAsia" w:ascii="仿宋" w:hAnsi="仿宋" w:eastAsia="仿宋" w:cs="仿宋_GB2312"/>
          <w:b/>
          <w:bCs/>
          <w:color w:val="auto"/>
          <w:sz w:val="24"/>
          <w:highlight w:val="none"/>
        </w:rPr>
        <w:t>四、提交投标文件截止时间、开标时间和地点</w:t>
      </w:r>
      <w:bookmarkEnd w:id="4"/>
    </w:p>
    <w:p w14:paraId="3B7072A4">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提交投标文件截止时间：</w:t>
      </w:r>
      <w:r>
        <w:rPr>
          <w:rFonts w:hint="eastAsia" w:ascii="仿宋" w:hAnsi="仿宋" w:eastAsia="仿宋" w:cs="仿宋_GB2312"/>
          <w:color w:val="auto"/>
          <w:sz w:val="24"/>
          <w:highlight w:val="none"/>
          <w:lang w:eastAsia="zh-CN"/>
        </w:rPr>
        <w:t>2025年07月16日11:00</w:t>
      </w:r>
      <w:r>
        <w:rPr>
          <w:rFonts w:hint="eastAsia" w:ascii="仿宋" w:hAnsi="仿宋" w:eastAsia="仿宋" w:cs="仿宋_GB2312"/>
          <w:color w:val="auto"/>
          <w:sz w:val="24"/>
          <w:highlight w:val="none"/>
        </w:rPr>
        <w:t>（北京时间）</w:t>
      </w:r>
    </w:p>
    <w:p w14:paraId="4E638832">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投标地点：政采云平台（https://www.zcygov.cn/），本项目采用不见面开标，加密的电子投标文件在投标截止时间前在政采云平台上传。</w:t>
      </w:r>
    </w:p>
    <w:p w14:paraId="7D0F0A86">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开标时间：</w:t>
      </w:r>
      <w:r>
        <w:rPr>
          <w:rFonts w:hint="eastAsia" w:ascii="仿宋" w:hAnsi="仿宋" w:eastAsia="仿宋" w:cs="仿宋_GB2312"/>
          <w:color w:val="auto"/>
          <w:sz w:val="24"/>
          <w:highlight w:val="none"/>
          <w:lang w:eastAsia="zh-CN"/>
        </w:rPr>
        <w:t>2025年07月16日11:00</w:t>
      </w:r>
      <w:r>
        <w:rPr>
          <w:rFonts w:hint="eastAsia" w:ascii="仿宋" w:hAnsi="仿宋" w:eastAsia="仿宋" w:cs="仿宋_GB2312"/>
          <w:color w:val="auto"/>
          <w:sz w:val="24"/>
          <w:highlight w:val="none"/>
        </w:rPr>
        <w:t>（北京时间）</w:t>
      </w:r>
    </w:p>
    <w:p w14:paraId="1452DFEC">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开标地点：政采云平台（https://www.zcygov.cn/）不见面开标系统</w:t>
      </w:r>
    </w:p>
    <w:p w14:paraId="30B99425">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5" w:name="_Toc17115"/>
      <w:r>
        <w:rPr>
          <w:rFonts w:hint="eastAsia" w:ascii="仿宋" w:hAnsi="仿宋" w:eastAsia="仿宋" w:cs="仿宋_GB2312"/>
          <w:b/>
          <w:bCs/>
          <w:color w:val="auto"/>
          <w:sz w:val="24"/>
          <w:highlight w:val="none"/>
        </w:rPr>
        <w:t>五、公告期限</w:t>
      </w:r>
      <w:bookmarkEnd w:id="5"/>
    </w:p>
    <w:p w14:paraId="65953505">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自本公告发布之日起5个工作日。</w:t>
      </w:r>
    </w:p>
    <w:p w14:paraId="2F044F71">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6" w:name="_Toc22084"/>
      <w:r>
        <w:rPr>
          <w:rFonts w:hint="eastAsia" w:ascii="仿宋" w:hAnsi="仿宋" w:eastAsia="仿宋" w:cs="仿宋_GB2312"/>
          <w:b/>
          <w:bCs/>
          <w:color w:val="auto"/>
          <w:sz w:val="24"/>
          <w:highlight w:val="none"/>
        </w:rPr>
        <w:t>六、其他补充事宜</w:t>
      </w:r>
      <w:bookmarkEnd w:id="6"/>
    </w:p>
    <w:p w14:paraId="3AEF9E8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1、本项目实行网上投标，采用电子投标文件。 </w:t>
      </w:r>
    </w:p>
    <w:p w14:paraId="5FD60C8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 </w:t>
      </w:r>
    </w:p>
    <w:p w14:paraId="4F9475B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3、供应商将政采云电子交易客户端下载、安装完成后，可通过账号密码或CA登录客户端进行投标文件的制作。在使用政采云投标客户端时，建议使用WIN7及以上操作系统。</w:t>
      </w:r>
    </w:p>
    <w:p w14:paraId="5E1F2B5F">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、关于本项目所有公告、公示在新疆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兵团</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政府采购网发布。</w:t>
      </w:r>
    </w:p>
    <w:p w14:paraId="5F98F583">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、请投标单位随时关注本项目的澄清、答疑、变更事项。</w:t>
      </w:r>
    </w:p>
    <w:p w14:paraId="5A3B385F">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7" w:name="_Toc21999"/>
      <w:r>
        <w:rPr>
          <w:rFonts w:hint="eastAsia" w:ascii="仿宋" w:hAnsi="仿宋" w:eastAsia="仿宋" w:cs="仿宋_GB2312"/>
          <w:b/>
          <w:bCs/>
          <w:color w:val="auto"/>
          <w:sz w:val="24"/>
          <w:highlight w:val="none"/>
        </w:rPr>
        <w:t>七、对本次采购提出询问，请按以下方式联系</w:t>
      </w:r>
      <w:bookmarkEnd w:id="7"/>
    </w:p>
    <w:p w14:paraId="28BDF469">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1.采购人信息</w:t>
      </w:r>
    </w:p>
    <w:p w14:paraId="3DFC6D6E">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名 称：</w:t>
      </w:r>
      <w:r>
        <w:rPr>
          <w:rFonts w:hint="eastAsia" w:ascii="仿宋" w:hAnsi="仿宋" w:eastAsia="仿宋" w:cs="仿宋_GB2312"/>
          <w:color w:val="auto"/>
          <w:sz w:val="24"/>
          <w:highlight w:val="none"/>
          <w:lang w:eastAsia="zh-CN"/>
        </w:rPr>
        <w:t>新疆维吾尔自治区第三人民医院（新疆维吾尔自治区职业病防治院）</w:t>
      </w:r>
    </w:p>
    <w:p w14:paraId="4C6C0A5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地 址：新疆维吾尔自治区乌鲁木齐市沙依巴克区南昌路9号</w:t>
      </w:r>
    </w:p>
    <w:p w14:paraId="44FB438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 xml:space="preserve">联系方式：0991-7523760 </w:t>
      </w:r>
    </w:p>
    <w:p w14:paraId="4A2D8259">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2.采购代理机构信息</w:t>
      </w:r>
    </w:p>
    <w:p w14:paraId="1BD36713">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名 称：新疆世纪星工程咨询有限公司</w:t>
      </w:r>
    </w:p>
    <w:p w14:paraId="015E4DE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地 址：乌鲁木齐经济技术开发区二期黄山街一品九点阳光德港大厦B座20楼</w:t>
      </w:r>
    </w:p>
    <w:p w14:paraId="0946F64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联系方式：13999295080</w:t>
      </w:r>
    </w:p>
    <w:p w14:paraId="4CC75424">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3.项目联系方式</w:t>
      </w:r>
    </w:p>
    <w:p w14:paraId="6FC5B4CD">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项目联系人：</w:t>
      </w:r>
      <w:r>
        <w:rPr>
          <w:rFonts w:hint="eastAsia" w:ascii="仿宋" w:hAnsi="仿宋" w:eastAsia="仿宋" w:cs="仿宋_GB2312"/>
          <w:color w:val="auto"/>
          <w:sz w:val="24"/>
          <w:highlight w:val="none"/>
          <w:lang w:eastAsia="zh-CN"/>
        </w:rPr>
        <w:t>李航、訾王贝、范燕娥、杜萍</w:t>
      </w:r>
    </w:p>
    <w:p w14:paraId="5DB8387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电话：</w:t>
      </w:r>
      <w:r>
        <w:rPr>
          <w:rFonts w:hint="eastAsia" w:ascii="仿宋" w:hAnsi="仿宋" w:eastAsia="仿宋" w:cs="仿宋_GB2312"/>
          <w:color w:val="auto"/>
          <w:sz w:val="24"/>
          <w:highlight w:val="none"/>
          <w:lang w:eastAsia="zh-CN"/>
        </w:rPr>
        <w:t>13999295080</w:t>
      </w:r>
    </w:p>
    <w:p w14:paraId="54AC2523">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7C426F50">
      <w:pPr>
        <w:pStyle w:val="2"/>
        <w:numPr>
          <w:ilvl w:val="0"/>
          <w:numId w:val="1"/>
        </w:numPr>
        <w:jc w:val="center"/>
        <w:rPr>
          <w:rFonts w:ascii="仿宋" w:hAnsi="仿宋" w:eastAsia="仿宋" w:cs="仿宋_GB2312"/>
          <w:color w:val="auto"/>
          <w:sz w:val="32"/>
          <w:szCs w:val="32"/>
          <w:highlight w:val="none"/>
        </w:rPr>
      </w:pPr>
      <w:bookmarkStart w:id="8" w:name="_Toc31403"/>
      <w:r>
        <w:rPr>
          <w:rFonts w:hint="eastAsia" w:ascii="仿宋" w:hAnsi="仿宋" w:eastAsia="仿宋" w:cs="仿宋_GB2312"/>
          <w:color w:val="auto"/>
          <w:sz w:val="32"/>
          <w:szCs w:val="32"/>
          <w:highlight w:val="none"/>
        </w:rPr>
        <w:t>投标须知前附表</w:t>
      </w:r>
      <w:bookmarkEnd w:id="8"/>
    </w:p>
    <w:p w14:paraId="27EC8547">
      <w:pPr>
        <w:spacing w:line="50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lang w:val="en-US" w:eastAsia="zh-CN"/>
        </w:rPr>
        <w:t>本表是本招标项目的具体资料，是对投标人须知的具体补充和修改，如有矛盾，均以本资</w:t>
      </w:r>
      <w:r>
        <w:rPr>
          <w:rFonts w:hint="default" w:ascii="仿宋" w:hAnsi="仿宋" w:eastAsia="仿宋" w:cs="仿宋_GB2312"/>
          <w:color w:val="auto"/>
          <w:sz w:val="24"/>
          <w:highlight w:val="none"/>
          <w:lang w:val="en-US" w:eastAsia="zh-CN"/>
        </w:rPr>
        <w:t>料表为准。标记“</w:t>
      </w:r>
      <w:r>
        <w:rPr>
          <w:rFonts w:ascii="仿宋" w:hAnsi="仿宋" w:eastAsia="仿宋" w:cs="仿宋_GB2312"/>
          <w:color w:val="auto"/>
          <w:sz w:val="24"/>
          <w:highlight w:val="none"/>
          <w:lang w:val="en-US" w:eastAsia="zh-CN"/>
        </w:rPr>
        <w:t>☑</w:t>
      </w:r>
      <w:r>
        <w:rPr>
          <w:rFonts w:hint="default" w:ascii="仿宋" w:hAnsi="仿宋" w:eastAsia="仿宋" w:cs="仿宋_GB2312"/>
          <w:color w:val="auto"/>
          <w:sz w:val="24"/>
          <w:highlight w:val="none"/>
          <w:lang w:val="en-US" w:eastAsia="zh-CN"/>
        </w:rPr>
        <w:t>”的选项意为适用于本项目，标记“□”的选项意为不适用于本项目。</w:t>
      </w:r>
    </w:p>
    <w:tbl>
      <w:tblPr>
        <w:tblStyle w:val="25"/>
        <w:tblW w:w="9033"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59"/>
        <w:gridCol w:w="8074"/>
      </w:tblGrid>
      <w:tr w14:paraId="0DB433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27365955">
            <w:pPr>
              <w:spacing w:line="500" w:lineRule="exact"/>
              <w:jc w:val="center"/>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条款号</w:t>
            </w:r>
          </w:p>
        </w:tc>
        <w:tc>
          <w:tcPr>
            <w:tcW w:w="8074" w:type="dxa"/>
            <w:tcBorders>
              <w:tl2br w:val="nil"/>
              <w:tr2bl w:val="nil"/>
            </w:tcBorders>
          </w:tcPr>
          <w:p w14:paraId="4382B68D">
            <w:pPr>
              <w:spacing w:line="500" w:lineRule="exact"/>
              <w:jc w:val="center"/>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内容</w:t>
            </w:r>
          </w:p>
        </w:tc>
      </w:tr>
      <w:tr w14:paraId="1DBD97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54668C11">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8074" w:type="dxa"/>
            <w:tcBorders>
              <w:tl2br w:val="nil"/>
              <w:tr2bl w:val="nil"/>
            </w:tcBorders>
            <w:vAlign w:val="center"/>
          </w:tcPr>
          <w:p w14:paraId="5C93EF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采购人：</w:t>
            </w:r>
            <w:r>
              <w:rPr>
                <w:rFonts w:hint="eastAsia" w:ascii="仿宋" w:hAnsi="仿宋" w:eastAsia="仿宋" w:cs="仿宋"/>
                <w:b w:val="0"/>
                <w:bCs w:val="0"/>
                <w:color w:val="auto"/>
                <w:kern w:val="0"/>
                <w:sz w:val="24"/>
                <w:szCs w:val="24"/>
                <w:highlight w:val="none"/>
                <w:u w:val="none"/>
                <w:vertAlign w:val="baseline"/>
                <w:lang w:val="en-US" w:eastAsia="zh-CN" w:bidi="ar"/>
              </w:rPr>
              <w:t>新疆维吾尔自治区第三人民医院（新疆维吾尔自治区职业病防治院）</w:t>
            </w:r>
          </w:p>
          <w:p w14:paraId="5AB923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地  址：</w:t>
            </w:r>
            <w:r>
              <w:rPr>
                <w:rFonts w:hint="eastAsia" w:ascii="仿宋" w:hAnsi="仿宋" w:eastAsia="仿宋" w:cs="仿宋"/>
                <w:b w:val="0"/>
                <w:bCs w:val="0"/>
                <w:color w:val="auto"/>
                <w:kern w:val="0"/>
                <w:sz w:val="24"/>
                <w:szCs w:val="24"/>
                <w:highlight w:val="none"/>
                <w:u w:val="none"/>
                <w:vertAlign w:val="baseline"/>
                <w:lang w:val="en-US" w:eastAsia="zh-CN" w:bidi="ar"/>
              </w:rPr>
              <w:t>新疆维吾尔自治区乌鲁木齐市沙依巴克区南昌路9号</w:t>
            </w:r>
            <w:r>
              <w:rPr>
                <w:rFonts w:hint="eastAsia" w:ascii="仿宋" w:hAnsi="仿宋" w:eastAsia="仿宋" w:cs="仿宋"/>
                <w:color w:val="auto"/>
                <w:sz w:val="24"/>
                <w:szCs w:val="24"/>
                <w:highlight w:val="none"/>
                <w:vertAlign w:val="baseline"/>
                <w:lang w:val="en-US" w:eastAsia="zh-CN"/>
              </w:rPr>
              <w:t xml:space="preserve"> </w:t>
            </w:r>
          </w:p>
          <w:p w14:paraId="1CC61D5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 xml:space="preserve">联系人：钟老师    </w:t>
            </w:r>
          </w:p>
          <w:p w14:paraId="3AABDC28">
            <w:pPr>
              <w:spacing w:line="500" w:lineRule="exact"/>
              <w:rPr>
                <w:rFonts w:ascii="仿宋" w:hAnsi="仿宋" w:eastAsia="仿宋" w:cs="仿宋_GB2312"/>
                <w:color w:val="auto"/>
                <w:sz w:val="24"/>
                <w:highlight w:val="none"/>
              </w:rPr>
            </w:pPr>
            <w:r>
              <w:rPr>
                <w:rFonts w:hint="eastAsia" w:ascii="仿宋" w:hAnsi="仿宋" w:eastAsia="仿宋" w:cs="仿宋"/>
                <w:b w:val="0"/>
                <w:bCs w:val="0"/>
                <w:color w:val="auto"/>
                <w:kern w:val="0"/>
                <w:sz w:val="24"/>
                <w:szCs w:val="24"/>
                <w:highlight w:val="none"/>
                <w:u w:val="none"/>
                <w:vertAlign w:val="baseline"/>
                <w:lang w:val="en-US" w:eastAsia="zh-CN" w:bidi="ar"/>
              </w:rPr>
              <w:t>联系电话：0991-7523760</w:t>
            </w:r>
          </w:p>
        </w:tc>
      </w:tr>
      <w:tr w14:paraId="2799AB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2998E027">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8074" w:type="dxa"/>
            <w:tcBorders>
              <w:tl2br w:val="nil"/>
              <w:tr2bl w:val="nil"/>
            </w:tcBorders>
            <w:vAlign w:val="center"/>
          </w:tcPr>
          <w:p w14:paraId="3688726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采购代理机构：新疆世纪星工程咨询有限公司 </w:t>
            </w:r>
          </w:p>
          <w:p w14:paraId="6E21EB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地址：乌鲁木齐经济技术开发区二期黄山街一品九点阳光德港大厦B座20楼 </w:t>
            </w:r>
          </w:p>
          <w:p w14:paraId="50F691B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联系人：李航、訾王贝、范燕娥、杜萍</w:t>
            </w:r>
          </w:p>
          <w:p w14:paraId="01A1E7E4">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联系电话：13999295080</w:t>
            </w:r>
          </w:p>
          <w:p w14:paraId="70F9B2C0">
            <w:pPr>
              <w:spacing w:line="500" w:lineRule="exact"/>
              <w:rPr>
                <w:rFonts w:ascii="仿宋" w:hAnsi="仿宋" w:eastAsia="仿宋" w:cs="仿宋_GB2312"/>
                <w:color w:val="auto"/>
                <w:sz w:val="24"/>
                <w:highlight w:val="none"/>
              </w:rPr>
            </w:pPr>
            <w:r>
              <w:rPr>
                <w:rFonts w:hint="eastAsia" w:ascii="仿宋" w:hAnsi="仿宋" w:eastAsia="仿宋" w:cs="仿宋"/>
                <w:b w:val="0"/>
                <w:bCs w:val="0"/>
                <w:color w:val="auto"/>
                <w:kern w:val="0"/>
                <w:sz w:val="24"/>
                <w:szCs w:val="24"/>
                <w:highlight w:val="none"/>
                <w:u w:val="none"/>
                <w:vertAlign w:val="baseline"/>
                <w:lang w:val="en-US" w:eastAsia="zh-CN" w:bidi="ar"/>
              </w:rPr>
              <w:t>电子邮箱：1814019006@qq.com</w:t>
            </w:r>
          </w:p>
        </w:tc>
      </w:tr>
      <w:tr w14:paraId="08EDA2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1E1B9DF7">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1.3.3</w:t>
            </w:r>
          </w:p>
        </w:tc>
        <w:tc>
          <w:tcPr>
            <w:tcW w:w="8074" w:type="dxa"/>
            <w:tcBorders>
              <w:tl2br w:val="nil"/>
              <w:tr2bl w:val="nil"/>
            </w:tcBorders>
            <w:vAlign w:val="center"/>
          </w:tcPr>
          <w:p w14:paraId="311E9F49">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合格</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的其他资格要求：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未被列入“信用中国”网站（ www.creditchina.gov.cn）信用记录失信被执行人、税收违法黑名单以及政府采购严重违法失信行为记录名单。</w:t>
            </w:r>
          </w:p>
        </w:tc>
      </w:tr>
      <w:tr w14:paraId="64D41D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655010A2">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w:t>
            </w:r>
          </w:p>
        </w:tc>
        <w:tc>
          <w:tcPr>
            <w:tcW w:w="8074" w:type="dxa"/>
            <w:tcBorders>
              <w:tl2br w:val="nil"/>
              <w:tr2bl w:val="nil"/>
            </w:tcBorders>
            <w:vAlign w:val="center"/>
          </w:tcPr>
          <w:p w14:paraId="323694D8">
            <w:pPr>
              <w:spacing w:line="500" w:lineRule="exact"/>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是否允许采购进口产品：</w:t>
            </w:r>
            <w:r>
              <w:rPr>
                <w:rFonts w:hint="eastAsia" w:ascii="仿宋" w:hAnsi="仿宋" w:eastAsia="仿宋" w:cs="仿宋_GB2312"/>
                <w:color w:val="auto"/>
                <w:sz w:val="24"/>
                <w:highlight w:val="none"/>
                <w:lang w:val="en-US" w:eastAsia="zh-CN"/>
              </w:rPr>
              <w:t>否</w:t>
            </w:r>
          </w:p>
        </w:tc>
      </w:tr>
      <w:tr w14:paraId="4216B1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3817F78">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1.5.1</w:t>
            </w:r>
          </w:p>
        </w:tc>
        <w:tc>
          <w:tcPr>
            <w:tcW w:w="8074" w:type="dxa"/>
            <w:tcBorders>
              <w:tl2br w:val="nil"/>
              <w:tr2bl w:val="nil"/>
            </w:tcBorders>
            <w:vAlign w:val="center"/>
          </w:tcPr>
          <w:p w14:paraId="3014B58A">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本项目采购标的对应的中小企业划分标准所属行业：工业</w:t>
            </w:r>
          </w:p>
        </w:tc>
      </w:tr>
      <w:tr w14:paraId="6DA197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D7EACB6">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1.5.2</w:t>
            </w:r>
          </w:p>
        </w:tc>
        <w:tc>
          <w:tcPr>
            <w:tcW w:w="8074" w:type="dxa"/>
            <w:tcBorders>
              <w:tl2br w:val="nil"/>
              <w:tr2bl w:val="nil"/>
            </w:tcBorders>
            <w:vAlign w:val="center"/>
          </w:tcPr>
          <w:p w14:paraId="5BA9A89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lang w:val="en-US" w:eastAsia="zh-CN"/>
              </w:rPr>
              <w:t>标项 非</w:t>
            </w:r>
            <w:r>
              <w:rPr>
                <w:rFonts w:hint="eastAsia" w:ascii="仿宋" w:hAnsi="仿宋" w:eastAsia="仿宋" w:cs="仿宋_GB2312"/>
                <w:color w:val="auto"/>
                <w:sz w:val="24"/>
                <w:highlight w:val="none"/>
              </w:rPr>
              <w:t>专门面向中小企业预留采购份额。</w:t>
            </w:r>
          </w:p>
          <w:p w14:paraId="409B7B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lang w:val="en-US" w:eastAsia="zh-CN"/>
              </w:rPr>
              <w:t xml:space="preserve">标项1  </w:t>
            </w:r>
            <w:r>
              <w:rPr>
                <w:rFonts w:hint="eastAsia" w:ascii="仿宋" w:hAnsi="仿宋" w:eastAsia="仿宋" w:cs="仿宋_GB2312"/>
                <w:color w:val="auto"/>
                <w:sz w:val="24"/>
                <w:highlight w:val="none"/>
              </w:rPr>
              <w:t>专门面向中小</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含中型、小型、微型</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 xml:space="preserve">企业采购。即: </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提供的货物全部由符合政策要求的中小企业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由符合政策要求的中小企业</w:t>
            </w:r>
            <w:r>
              <w:rPr>
                <w:rFonts w:hint="eastAsia" w:ascii="仿宋" w:hAnsi="仿宋" w:eastAsia="仿宋" w:cs="仿宋_GB2312"/>
                <w:color w:val="auto"/>
                <w:sz w:val="24"/>
                <w:highlight w:val="none"/>
                <w:lang w:val="en-US" w:eastAsia="zh-CN"/>
              </w:rPr>
              <w:t>或监狱企业或残疾人福利性单位承接。</w:t>
            </w:r>
          </w:p>
          <w:p w14:paraId="2EB742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lang w:val="en-US" w:eastAsia="zh-CN"/>
              </w:rPr>
              <w:t xml:space="preserve">标项1 </w:t>
            </w:r>
            <w:r>
              <w:rPr>
                <w:rFonts w:hint="eastAsia" w:ascii="仿宋" w:hAnsi="仿宋" w:eastAsia="仿宋" w:cs="仿宋_GB2312"/>
                <w:color w:val="auto"/>
                <w:sz w:val="24"/>
                <w:highlight w:val="none"/>
              </w:rPr>
              <w:t>专门面向</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含小型、微型</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 xml:space="preserve">企业采购。即: </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提供的货物全部由符合政策要求的</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rPr>
              <w:t>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rPr>
              <w:t>企业</w:t>
            </w:r>
            <w:r>
              <w:rPr>
                <w:rFonts w:hint="eastAsia" w:ascii="仿宋" w:hAnsi="仿宋" w:eastAsia="仿宋" w:cs="仿宋_GB2312"/>
                <w:color w:val="auto"/>
                <w:sz w:val="24"/>
                <w:highlight w:val="none"/>
                <w:lang w:val="en-US" w:eastAsia="zh-CN"/>
              </w:rPr>
              <w:t>或监狱企业或残疾人福利性单位承接。</w:t>
            </w:r>
          </w:p>
          <w:p w14:paraId="1225577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本项目预留部分采购项目预算专门面向中小企业采购。对于预留份额，</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提供的货物由符合政策要求的中小企业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由符合政策要求的中小企业</w:t>
            </w:r>
            <w:r>
              <w:rPr>
                <w:rFonts w:hint="eastAsia" w:ascii="仿宋" w:hAnsi="仿宋" w:eastAsia="仿宋" w:cs="仿宋_GB2312"/>
                <w:color w:val="auto"/>
                <w:sz w:val="24"/>
                <w:highlight w:val="none"/>
                <w:lang w:val="en-US" w:eastAsia="zh-CN"/>
              </w:rPr>
              <w:t>或监狱企业或残疾人福利性单位</w:t>
            </w:r>
            <w:r>
              <w:rPr>
                <w:rFonts w:hint="eastAsia" w:ascii="仿宋" w:hAnsi="仿宋" w:eastAsia="仿宋" w:cs="仿宋_GB2312"/>
                <w:color w:val="auto"/>
                <w:sz w:val="24"/>
                <w:highlight w:val="none"/>
              </w:rPr>
              <w:t>承接。预留份额通过以下措施进行</w:t>
            </w:r>
            <w:r>
              <w:rPr>
                <w:rFonts w:hint="eastAsia" w:ascii="仿宋" w:hAnsi="仿宋" w:eastAsia="仿宋" w:cs="仿宋_GB2312"/>
                <w:color w:val="auto"/>
                <w:sz w:val="24"/>
                <w:highlight w:val="none"/>
                <w:lang w:eastAsia="zh-CN"/>
              </w:rPr>
              <w:t>：</w:t>
            </w:r>
          </w:p>
          <w:p w14:paraId="6D7DFEF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eastAsiaTheme="minorEastAsia"/>
                <w:color w:val="auto"/>
                <w:highlight w:val="none"/>
                <w:lang w:val="en-US" w:eastAsia="zh-CN"/>
              </w:rPr>
            </w:pPr>
            <w:r>
              <w:rPr>
                <w:rFonts w:hint="eastAsia" w:ascii="仿宋" w:hAnsi="仿宋" w:eastAsia="仿宋" w:cs="仿宋_GB2312"/>
                <w:color w:val="auto"/>
                <w:sz w:val="24"/>
                <w:highlight w:val="none"/>
                <w:u w:val="single"/>
                <w:lang w:val="en-US" w:eastAsia="zh-CN"/>
              </w:rPr>
              <w:t xml:space="preserve">                    </w:t>
            </w:r>
          </w:p>
        </w:tc>
      </w:tr>
      <w:tr w14:paraId="0B3D3D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582944B">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1.10</w:t>
            </w:r>
          </w:p>
        </w:tc>
        <w:tc>
          <w:tcPr>
            <w:tcW w:w="8074" w:type="dxa"/>
            <w:tcBorders>
              <w:tl2br w:val="nil"/>
              <w:tr2bl w:val="nil"/>
            </w:tcBorders>
            <w:vAlign w:val="center"/>
          </w:tcPr>
          <w:p w14:paraId="4EE067B9">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是否允许联合体投标：否</w:t>
            </w:r>
          </w:p>
          <w:p w14:paraId="63BA424B">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联合体的其他资格要求：无</w:t>
            </w:r>
          </w:p>
        </w:tc>
      </w:tr>
      <w:tr w14:paraId="3A4926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DE0F1C4">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2.2</w:t>
            </w:r>
          </w:p>
        </w:tc>
        <w:tc>
          <w:tcPr>
            <w:tcW w:w="8074" w:type="dxa"/>
            <w:tcBorders>
              <w:tl2br w:val="nil"/>
              <w:tr2bl w:val="nil"/>
            </w:tcBorders>
            <w:vAlign w:val="center"/>
          </w:tcPr>
          <w:p w14:paraId="37CFAD51">
            <w:pPr>
              <w:spacing w:line="500" w:lineRule="exac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项目预算金额：</w:t>
            </w:r>
            <w:r>
              <w:rPr>
                <w:rFonts w:hint="eastAsia" w:ascii="仿宋" w:hAnsi="仿宋" w:eastAsia="仿宋" w:cs="仿宋_GB2312"/>
                <w:color w:val="auto"/>
                <w:sz w:val="24"/>
                <w:highlight w:val="none"/>
                <w:lang w:val="en-US" w:eastAsia="zh-CN"/>
              </w:rPr>
              <w:t>80070元；其中标项1：80070元。</w:t>
            </w:r>
          </w:p>
          <w:p w14:paraId="666A7F8B">
            <w:pPr>
              <w:spacing w:line="500" w:lineRule="exac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最高限价：</w:t>
            </w:r>
            <w:r>
              <w:rPr>
                <w:rFonts w:hint="eastAsia" w:ascii="仿宋" w:hAnsi="仿宋" w:eastAsia="仿宋" w:cs="仿宋_GB2312"/>
                <w:color w:val="auto"/>
                <w:sz w:val="24"/>
                <w:highlight w:val="none"/>
                <w:lang w:val="en-US" w:eastAsia="zh-CN"/>
              </w:rPr>
              <w:t>同采购预算</w:t>
            </w:r>
          </w:p>
        </w:tc>
      </w:tr>
      <w:tr w14:paraId="69D8B4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71B45782">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5.4</w:t>
            </w:r>
          </w:p>
        </w:tc>
        <w:tc>
          <w:tcPr>
            <w:tcW w:w="8074" w:type="dxa"/>
            <w:tcBorders>
              <w:tl2br w:val="nil"/>
              <w:tr2bl w:val="nil"/>
            </w:tcBorders>
            <w:vAlign w:val="center"/>
          </w:tcPr>
          <w:p w14:paraId="7762DE16">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是否组织现场考察或者召开答疑会：否 </w:t>
            </w:r>
          </w:p>
          <w:p w14:paraId="7066D0F3">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组织现场考察或者召开答疑会相关要求：/</w:t>
            </w:r>
          </w:p>
        </w:tc>
      </w:tr>
      <w:tr w14:paraId="7F68A6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BA4A586">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5.7 </w:t>
            </w:r>
          </w:p>
        </w:tc>
        <w:tc>
          <w:tcPr>
            <w:tcW w:w="8074" w:type="dxa"/>
            <w:tcBorders>
              <w:tl2br w:val="nil"/>
              <w:tr2bl w:val="nil"/>
            </w:tcBorders>
            <w:vAlign w:val="center"/>
          </w:tcPr>
          <w:p w14:paraId="6D56D4F7">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是否需要提供样品：否 </w:t>
            </w:r>
          </w:p>
          <w:p w14:paraId="3539921C">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提供样品要求包括：/</w:t>
            </w:r>
          </w:p>
        </w:tc>
      </w:tr>
      <w:tr w14:paraId="35AB1C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DA14E47">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7.1 </w:t>
            </w:r>
          </w:p>
        </w:tc>
        <w:tc>
          <w:tcPr>
            <w:tcW w:w="8074" w:type="dxa"/>
            <w:tcBorders>
              <w:tl2br w:val="nil"/>
              <w:tr2bl w:val="nil"/>
            </w:tcBorders>
            <w:vAlign w:val="center"/>
          </w:tcPr>
          <w:p w14:paraId="5AE3565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☑本条</w:t>
            </w:r>
            <w:r>
              <w:rPr>
                <w:rFonts w:hint="eastAsia" w:ascii="仿宋" w:hAnsi="仿宋" w:eastAsia="仿宋" w:cs="仿宋"/>
                <w:color w:val="auto"/>
                <w:sz w:val="24"/>
                <w:szCs w:val="24"/>
                <w:highlight w:val="none"/>
                <w:vertAlign w:val="baseline"/>
                <w:lang w:val="en-US" w:eastAsia="zh-CN"/>
              </w:rPr>
              <w:t>本项目不适用。</w:t>
            </w:r>
          </w:p>
          <w:p w14:paraId="6A684CD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
                <w:color w:val="auto"/>
                <w:sz w:val="24"/>
                <w:szCs w:val="24"/>
                <w:highlight w:val="none"/>
                <w:vertAlign w:val="baseline"/>
                <w:lang w:val="en-US" w:eastAsia="zh-CN"/>
              </w:rPr>
              <w:t>投标人对</w:t>
            </w:r>
            <w:r>
              <w:rPr>
                <w:rFonts w:hint="eastAsia" w:ascii="仿宋" w:hAnsi="仿宋" w:eastAsia="仿宋" w:cs="仿宋"/>
                <w:color w:val="auto"/>
                <w:sz w:val="24"/>
                <w:szCs w:val="24"/>
                <w:highlight w:val="none"/>
                <w:vertAlign w:val="baseline"/>
              </w:rPr>
              <w:t>本项目</w:t>
            </w:r>
            <w:r>
              <w:rPr>
                <w:rFonts w:hint="eastAsia" w:ascii="仿宋" w:hAnsi="仿宋" w:eastAsia="仿宋" w:cs="仿宋"/>
                <w:color w:val="auto"/>
                <w:sz w:val="24"/>
                <w:szCs w:val="24"/>
                <w:highlight w:val="none"/>
                <w:vertAlign w:val="baseline"/>
                <w:lang w:val="en-US" w:eastAsia="zh-CN"/>
              </w:rPr>
              <w:t>各</w:t>
            </w:r>
            <w:r>
              <w:rPr>
                <w:rFonts w:hint="eastAsia" w:ascii="仿宋" w:hAnsi="仿宋" w:eastAsia="仿宋" w:cs="仿宋"/>
                <w:color w:val="auto"/>
                <w:sz w:val="24"/>
                <w:szCs w:val="24"/>
                <w:highlight w:val="none"/>
                <w:vertAlign w:val="baseline"/>
              </w:rPr>
              <w:t>包</w:t>
            </w:r>
            <w:r>
              <w:rPr>
                <w:rFonts w:hint="eastAsia" w:ascii="仿宋" w:hAnsi="仿宋" w:eastAsia="仿宋" w:cs="仿宋"/>
                <w:color w:val="auto"/>
                <w:sz w:val="24"/>
                <w:szCs w:val="24"/>
                <w:highlight w:val="none"/>
                <w:vertAlign w:val="baseline"/>
                <w:lang w:val="en-US" w:eastAsia="zh-CN"/>
              </w:rPr>
              <w:t>可以兼投兼中。</w:t>
            </w:r>
          </w:p>
          <w:p w14:paraId="03B0D5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可以对以上本项目第</w:t>
            </w:r>
            <w:r>
              <w:rPr>
                <w:rFonts w:hint="eastAsia" w:ascii="仿宋" w:hAnsi="仿宋" w:eastAsia="仿宋" w:cs="仿宋"/>
                <w:color w:val="auto"/>
                <w:sz w:val="24"/>
                <w:szCs w:val="24"/>
                <w:highlight w:val="none"/>
                <w:vertAlign w:val="baseline"/>
                <w:lang w:val="en-US" w:eastAsia="zh-CN"/>
              </w:rPr>
              <w:t>1-2</w:t>
            </w:r>
            <w:r>
              <w:rPr>
                <w:rFonts w:hint="eastAsia" w:ascii="仿宋" w:hAnsi="仿宋" w:eastAsia="仿宋" w:cs="仿宋"/>
                <w:color w:val="auto"/>
                <w:sz w:val="24"/>
                <w:szCs w:val="24"/>
                <w:highlight w:val="none"/>
                <w:vertAlign w:val="baseline"/>
              </w:rPr>
              <w:t>包同时进行投标，但第</w:t>
            </w:r>
            <w:r>
              <w:rPr>
                <w:rFonts w:hint="eastAsia" w:ascii="仿宋" w:hAnsi="仿宋" w:eastAsia="仿宋" w:cs="仿宋"/>
                <w:color w:val="auto"/>
                <w:sz w:val="24"/>
                <w:szCs w:val="24"/>
                <w:highlight w:val="none"/>
                <w:vertAlign w:val="baseline"/>
                <w:lang w:val="en-US" w:eastAsia="zh-CN"/>
              </w:rPr>
              <w:t>1、2</w:t>
            </w:r>
            <w:r>
              <w:rPr>
                <w:rFonts w:hint="eastAsia" w:ascii="仿宋" w:hAnsi="仿宋" w:eastAsia="仿宋" w:cs="仿宋"/>
                <w:color w:val="auto"/>
                <w:sz w:val="24"/>
                <w:szCs w:val="24"/>
                <w:highlight w:val="none"/>
                <w:vertAlign w:val="baseline"/>
              </w:rPr>
              <w:t>包中一家</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最多只能中1个包；评审按上述包号先后顺序进行，当一家</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已被推荐为前</w:t>
            </w:r>
            <w:r>
              <w:rPr>
                <w:rFonts w:hint="eastAsia" w:ascii="仿宋" w:hAnsi="仿宋" w:eastAsia="仿宋" w:cs="仿宋"/>
                <w:color w:val="auto"/>
                <w:sz w:val="24"/>
                <w:szCs w:val="24"/>
                <w:highlight w:val="none"/>
                <w:vertAlign w:val="baseline"/>
                <w:lang w:val="en-US" w:eastAsia="zh-CN"/>
              </w:rPr>
              <w:t>任意</w:t>
            </w:r>
            <w:r>
              <w:rPr>
                <w:rFonts w:hint="eastAsia" w:ascii="仿宋" w:hAnsi="仿宋" w:eastAsia="仿宋" w:cs="仿宋"/>
                <w:color w:val="auto"/>
                <w:sz w:val="24"/>
                <w:szCs w:val="24"/>
                <w:highlight w:val="none"/>
                <w:vertAlign w:val="baseline"/>
              </w:rPr>
              <w:t>一包的排名第一的中标候选人后，该</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将不再被推荐为后</w:t>
            </w:r>
            <w:r>
              <w:rPr>
                <w:rFonts w:hint="eastAsia" w:ascii="仿宋" w:hAnsi="仿宋" w:eastAsia="仿宋" w:cs="仿宋"/>
                <w:color w:val="auto"/>
                <w:sz w:val="24"/>
                <w:szCs w:val="24"/>
                <w:highlight w:val="none"/>
                <w:vertAlign w:val="baseline"/>
                <w:lang w:val="en-US" w:eastAsia="zh-CN"/>
              </w:rPr>
              <w:t>任意</w:t>
            </w:r>
            <w:r>
              <w:rPr>
                <w:rFonts w:hint="eastAsia" w:ascii="仿宋" w:hAnsi="仿宋" w:eastAsia="仿宋" w:cs="仿宋"/>
                <w:color w:val="auto"/>
                <w:sz w:val="24"/>
                <w:szCs w:val="24"/>
                <w:highlight w:val="none"/>
                <w:vertAlign w:val="baseline"/>
              </w:rPr>
              <w:t>一包的中标人。但可以参加其余包的评审，以此类推。</w:t>
            </w:r>
            <w:r>
              <w:rPr>
                <w:rFonts w:hint="eastAsia" w:ascii="仿宋" w:hAnsi="仿宋" w:eastAsia="仿宋" w:cs="仿宋"/>
                <w:color w:val="auto"/>
                <w:sz w:val="24"/>
                <w:szCs w:val="24"/>
                <w:highlight w:val="none"/>
                <w:vertAlign w:val="baseline"/>
                <w:lang w:val="en-US" w:eastAsia="zh-CN"/>
              </w:rPr>
              <w:t>若出现无法避免同一供应商同时中2个及以上包的情况，则允许1个供应商可以中多个标项，且第一中标候选人为中标人。</w:t>
            </w:r>
          </w:p>
        </w:tc>
      </w:tr>
      <w:tr w14:paraId="177F9F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638F0CDC">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8074" w:type="dxa"/>
            <w:tcBorders>
              <w:tl2br w:val="nil"/>
              <w:tr2bl w:val="nil"/>
            </w:tcBorders>
            <w:vAlign w:val="center"/>
          </w:tcPr>
          <w:p w14:paraId="4E090D3F">
            <w:pPr>
              <w:spacing w:line="500" w:lineRule="exact"/>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_GB2312"/>
                <w:color w:val="auto"/>
                <w:sz w:val="24"/>
                <w:highlight w:val="none"/>
              </w:rPr>
              <w:t>保证金形式：支票、汇票、本票、网上银行支付或者金融机构、担保机构出具的保函等政府采购法律法规中要求的非现金形式</w:t>
            </w:r>
          </w:p>
          <w:p w14:paraId="68527C1F">
            <w:pPr>
              <w:spacing w:line="500" w:lineRule="exac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保证金数额：</w:t>
            </w:r>
            <w:r>
              <w:rPr>
                <w:rFonts w:hint="eastAsia" w:ascii="仿宋" w:hAnsi="仿宋" w:eastAsia="仿宋" w:cs="仿宋_GB2312"/>
                <w:color w:val="auto"/>
                <w:sz w:val="24"/>
                <w:highlight w:val="none"/>
                <w:lang w:val="en-US" w:eastAsia="zh-CN"/>
              </w:rPr>
              <w:t>标项1：1570元</w:t>
            </w:r>
          </w:p>
          <w:p w14:paraId="07DFB045">
            <w:pPr>
              <w:keepNext w:val="0"/>
              <w:keepLines w:val="0"/>
              <w:widowControl/>
              <w:suppressLineNumbers w:val="0"/>
              <w:jc w:val="left"/>
              <w:rPr>
                <w:b/>
                <w:bCs/>
                <w:color w:val="auto"/>
                <w:sz w:val="24"/>
                <w:szCs w:val="24"/>
                <w:highlight w:val="none"/>
              </w:rPr>
            </w:pPr>
            <w:r>
              <w:rPr>
                <w:rFonts w:hint="eastAsia" w:ascii="仿宋" w:hAnsi="仿宋" w:eastAsia="仿宋" w:cs="仿宋"/>
                <w:b/>
                <w:bCs/>
                <w:color w:val="auto"/>
                <w:sz w:val="24"/>
                <w:szCs w:val="24"/>
                <w:highlight w:val="none"/>
                <w:vertAlign w:val="baseline"/>
                <w:lang w:val="en-US" w:eastAsia="zh-CN"/>
              </w:rPr>
              <w:t>一、</w:t>
            </w:r>
            <w:r>
              <w:rPr>
                <w:rFonts w:ascii="仿宋_GB2312" w:hAnsi="仿宋_GB2312" w:eastAsia="仿宋_GB2312" w:cs="仿宋_GB2312"/>
                <w:b/>
                <w:bCs/>
                <w:color w:val="auto"/>
                <w:kern w:val="0"/>
                <w:sz w:val="24"/>
                <w:szCs w:val="24"/>
                <w:highlight w:val="none"/>
                <w:lang w:val="en-US" w:eastAsia="zh-CN" w:bidi="ar"/>
              </w:rPr>
              <w:t>采用网上银行方式</w:t>
            </w:r>
          </w:p>
          <w:p w14:paraId="3D141E28">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1、采购代理机构账号信息如下：</w:t>
            </w:r>
          </w:p>
          <w:p w14:paraId="625618D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（提示：此账号为保证金账号，保证金不要转到23.1条规定</w:t>
            </w:r>
            <w:r>
              <w:rPr>
                <w:rFonts w:hint="eastAsia" w:ascii="仿宋" w:hAnsi="仿宋" w:eastAsia="仿宋" w:cs="仿宋"/>
                <w:b/>
                <w:bCs/>
                <w:color w:val="auto"/>
                <w:sz w:val="36"/>
                <w:szCs w:val="36"/>
                <w:highlight w:val="none"/>
                <w:lang w:val="en-US" w:eastAsia="zh-CN"/>
              </w:rPr>
              <w:t>服务费缴纳账号</w:t>
            </w:r>
            <w:r>
              <w:rPr>
                <w:rFonts w:hint="eastAsia" w:ascii="仿宋" w:hAnsi="仿宋" w:eastAsia="仿宋" w:cs="仿宋"/>
                <w:b/>
                <w:bCs/>
                <w:color w:val="auto"/>
                <w:sz w:val="36"/>
                <w:szCs w:val="36"/>
                <w:highlight w:val="none"/>
                <w:vertAlign w:val="baseline"/>
                <w:lang w:val="en-US" w:eastAsia="zh-CN"/>
              </w:rPr>
              <w:t>）</w:t>
            </w:r>
          </w:p>
          <w:p w14:paraId="3DA3E4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3BCA92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7408CE3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000B3C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rPr>
              <w:t>以电汇或银行转账形式缴纳保证金的投标人注意事项：</w:t>
            </w:r>
          </w:p>
          <w:p w14:paraId="7291EC2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rPr>
              <w:t>在汇款附言（或银行摘要）中，标明项目编号、</w:t>
            </w:r>
            <w:r>
              <w:rPr>
                <w:rFonts w:hint="eastAsia" w:ascii="仿宋" w:hAnsi="仿宋" w:eastAsia="仿宋" w:cs="仿宋"/>
                <w:color w:val="auto"/>
                <w:sz w:val="24"/>
                <w:szCs w:val="24"/>
                <w:highlight w:val="none"/>
                <w:vertAlign w:val="baseline"/>
                <w:lang w:val="en-US" w:eastAsia="zh-CN"/>
              </w:rPr>
              <w:t>包号</w:t>
            </w:r>
            <w:r>
              <w:rPr>
                <w:rFonts w:hint="eastAsia" w:ascii="仿宋" w:hAnsi="仿宋" w:eastAsia="仿宋" w:cs="仿宋"/>
                <w:color w:val="auto"/>
                <w:sz w:val="24"/>
                <w:szCs w:val="24"/>
                <w:highlight w:val="none"/>
                <w:vertAlign w:val="baseline"/>
              </w:rPr>
              <w:t>（如分包）。每个项目须按照分包分别提交投标保证金。</w:t>
            </w:r>
          </w:p>
          <w:p w14:paraId="6ECF845B">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(2)投标保证金必须以网银、电汇、银行柜台公对公等转账的形式由投标人的企业基本账户汇出(个体工商户除外) ，并开具银行汇款凭证。 </w:t>
            </w:r>
          </w:p>
          <w:p w14:paraId="49FB916A">
            <w:pPr>
              <w:keepNext w:val="0"/>
              <w:keepLines w:val="0"/>
              <w:widowControl/>
              <w:numPr>
                <w:ilvl w:val="0"/>
                <w:numId w:val="0"/>
              </w:numPr>
              <w:suppressLineNumbers w:val="0"/>
              <w:jc w:val="left"/>
              <w:rPr>
                <w:rFonts w:hint="eastAsia" w:ascii="仿宋" w:hAnsi="仿宋" w:eastAsia="仿宋" w:cs="仿宋"/>
                <w:color w:val="auto"/>
                <w:sz w:val="24"/>
                <w:szCs w:val="24"/>
                <w:highlight w:val="none"/>
                <w:vertAlign w:val="baseline"/>
              </w:rPr>
            </w:pPr>
            <w:r>
              <w:rPr>
                <w:rFonts w:hint="eastAsia" w:ascii="仿宋" w:hAnsi="仿宋" w:eastAsia="仿宋" w:cs="仿宋"/>
                <w:b/>
                <w:bCs/>
                <w:color w:val="auto"/>
                <w:kern w:val="2"/>
                <w:sz w:val="24"/>
                <w:szCs w:val="24"/>
                <w:highlight w:val="none"/>
                <w:vertAlign w:val="baseline"/>
                <w:lang w:val="en-US" w:eastAsia="zh-CN" w:bidi="ar-SA"/>
              </w:rPr>
              <w:t>二、</w:t>
            </w:r>
            <w:r>
              <w:rPr>
                <w:rFonts w:hint="eastAsia" w:ascii="仿宋" w:hAnsi="仿宋" w:eastAsia="仿宋" w:cs="仿宋"/>
                <w:b/>
                <w:bCs/>
                <w:color w:val="auto"/>
                <w:sz w:val="24"/>
                <w:szCs w:val="24"/>
                <w:highlight w:val="none"/>
                <w:vertAlign w:val="baseline"/>
              </w:rPr>
              <w:t>投标保函提交方式</w:t>
            </w:r>
            <w:r>
              <w:rPr>
                <w:rFonts w:hint="eastAsia" w:ascii="仿宋" w:hAnsi="仿宋" w:eastAsia="仿宋" w:cs="仿宋"/>
                <w:color w:val="auto"/>
                <w:sz w:val="24"/>
                <w:szCs w:val="24"/>
                <w:highlight w:val="none"/>
                <w:vertAlign w:val="baseline"/>
              </w:rPr>
              <w:t>：</w:t>
            </w:r>
          </w:p>
          <w:p w14:paraId="19D92A3C">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1、以金融机构、担保机构出具的纸质保函形式提交投标保证金的（除政采云平台金融服务中心办理的电子保函外），应在投标截止时间前将原件提交至采购代理机构，未提交原件的将按无效投标（响应）处理。 </w:t>
            </w:r>
          </w:p>
          <w:p w14:paraId="539D3298">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2、如 供 应 商 通 过 " 政 采 云 平 台 金 融 服 务 中 心"(https://jinrong.zcygov.cn/)，申请办理投标电子保函，开标时采购人或代理机构通过政采云平台保函系统进行查询，保函信息以查询结果为准，未查询到的电子保函评审时将按无效投标（响应）处理。 </w:t>
            </w:r>
          </w:p>
          <w:p w14:paraId="2CA035F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三、说明</w:t>
            </w:r>
          </w:p>
          <w:p w14:paraId="7D3CDCA1">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1、投标保证金到账（保函提交）截止时间同投标截止时间。 </w:t>
            </w:r>
          </w:p>
          <w:p w14:paraId="526D349E">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2、以支票、汇票、本票、网上银行支付等形式提交投标保证金的，应在投标截止时间前到账；</w:t>
            </w:r>
          </w:p>
          <w:p w14:paraId="526C4EC9">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color w:val="auto"/>
                <w:highlight w:val="none"/>
              </w:rPr>
            </w:pPr>
            <w:r>
              <w:rPr>
                <w:rFonts w:hint="eastAsia" w:ascii="仿宋" w:hAnsi="仿宋" w:eastAsia="仿宋" w:cs="仿宋"/>
                <w:color w:val="auto"/>
                <w:sz w:val="24"/>
                <w:szCs w:val="24"/>
                <w:highlight w:val="none"/>
                <w:lang w:val="en-US" w:eastAsia="zh-CN"/>
              </w:rPr>
              <w:t xml:space="preserve">3、由于到账时间晚于投标截止时间的，或者票据错误、印鉴不清等原因导致不能到账的，其投标无效。 </w:t>
            </w:r>
          </w:p>
          <w:p w14:paraId="755EE7B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4、投标保证金（投标电子保函）有效期与投标有效期一致。</w:t>
            </w:r>
          </w:p>
          <w:p w14:paraId="7841FF47">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ascii="仿宋" w:hAnsi="仿宋" w:eastAsia="仿宋" w:cs="仿宋_GB2312"/>
                <w:color w:val="auto"/>
                <w:sz w:val="24"/>
                <w:highlight w:val="none"/>
              </w:rPr>
            </w:pPr>
            <w:r>
              <w:rPr>
                <w:rFonts w:hint="eastAsia" w:ascii="仿宋" w:hAnsi="仿宋" w:eastAsia="仿宋" w:cs="仿宋"/>
                <w:b/>
                <w:bCs/>
                <w:color w:val="auto"/>
                <w:sz w:val="24"/>
                <w:szCs w:val="24"/>
                <w:highlight w:val="none"/>
                <w:lang w:val="en-US" w:eastAsia="zh-CN"/>
              </w:rPr>
              <w:t>5、若本项目是废标项目重新组织招标，参加上次投标的供应商再次参与投标需重新缴纳投标保证金，否则按无效响应处理，上次投标的投标保证金在废标后原路退回。</w:t>
            </w:r>
          </w:p>
        </w:tc>
      </w:tr>
      <w:tr w14:paraId="32014C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477C942">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11.1</w:t>
            </w:r>
          </w:p>
        </w:tc>
        <w:tc>
          <w:tcPr>
            <w:tcW w:w="8074" w:type="dxa"/>
            <w:tcBorders>
              <w:tl2br w:val="nil"/>
              <w:tr2bl w:val="nil"/>
            </w:tcBorders>
            <w:vAlign w:val="center"/>
          </w:tcPr>
          <w:p w14:paraId="56BBE7D4">
            <w:pPr>
              <w:spacing w:line="50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投标有效期：90 日历日</w:t>
            </w:r>
          </w:p>
        </w:tc>
      </w:tr>
      <w:tr w14:paraId="268438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0FF3E521">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13.1</w:t>
            </w:r>
          </w:p>
        </w:tc>
        <w:tc>
          <w:tcPr>
            <w:tcW w:w="8074" w:type="dxa"/>
            <w:tcBorders>
              <w:tl2br w:val="nil"/>
              <w:tr2bl w:val="nil"/>
            </w:tcBorders>
            <w:vAlign w:val="center"/>
          </w:tcPr>
          <w:p w14:paraId="2C1214CA">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w:t>
            </w:r>
            <w:r>
              <w:rPr>
                <w:rFonts w:hint="eastAsia" w:ascii="仿宋" w:hAnsi="仿宋" w:eastAsia="仿宋" w:cs="仿宋_GB2312"/>
                <w:color w:val="auto"/>
                <w:sz w:val="24"/>
                <w:highlight w:val="none"/>
                <w:lang w:eastAsia="zh-CN"/>
              </w:rPr>
              <w:t>2025年07月16日11:00</w:t>
            </w:r>
            <w:r>
              <w:rPr>
                <w:rFonts w:hint="eastAsia" w:ascii="仿宋" w:hAnsi="仿宋" w:eastAsia="仿宋" w:cs="仿宋_GB2312"/>
                <w:color w:val="auto"/>
                <w:sz w:val="24"/>
                <w:highlight w:val="none"/>
              </w:rPr>
              <w:t>（北京时间）</w:t>
            </w:r>
          </w:p>
        </w:tc>
      </w:tr>
      <w:tr w14:paraId="21DB21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04135BED">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14.1</w:t>
            </w:r>
          </w:p>
        </w:tc>
        <w:tc>
          <w:tcPr>
            <w:tcW w:w="8074" w:type="dxa"/>
            <w:tcBorders>
              <w:tl2br w:val="nil"/>
              <w:tr2bl w:val="nil"/>
            </w:tcBorders>
            <w:vAlign w:val="center"/>
          </w:tcPr>
          <w:p w14:paraId="73B3790F">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开标时间：同投标截止时间 </w:t>
            </w:r>
          </w:p>
          <w:p w14:paraId="3ECBE026">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开标地点：政采云平台（https://www.zcygov.cn/）不见面开标系统</w:t>
            </w:r>
          </w:p>
        </w:tc>
      </w:tr>
      <w:tr w14:paraId="60D3B1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959" w:type="dxa"/>
            <w:tcBorders>
              <w:tl2br w:val="nil"/>
              <w:tr2bl w:val="nil"/>
            </w:tcBorders>
            <w:vAlign w:val="center"/>
          </w:tcPr>
          <w:p w14:paraId="047C6BB6">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18.1</w:t>
            </w:r>
          </w:p>
        </w:tc>
        <w:tc>
          <w:tcPr>
            <w:tcW w:w="8074" w:type="dxa"/>
            <w:tcBorders>
              <w:tl2br w:val="nil"/>
              <w:tr2bl w:val="nil"/>
            </w:tcBorders>
            <w:vAlign w:val="center"/>
          </w:tcPr>
          <w:p w14:paraId="040F3E44">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采购人是否委托评标委员会直接确定中标人：否 </w:t>
            </w:r>
          </w:p>
        </w:tc>
      </w:tr>
      <w:tr w14:paraId="67B6E5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959" w:type="dxa"/>
            <w:tcBorders>
              <w:tl2br w:val="nil"/>
              <w:tr2bl w:val="nil"/>
            </w:tcBorders>
            <w:vAlign w:val="center"/>
          </w:tcPr>
          <w:p w14:paraId="007C73F9">
            <w:pPr>
              <w:spacing w:line="500" w:lineRule="exact"/>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21.4</w:t>
            </w:r>
          </w:p>
        </w:tc>
        <w:tc>
          <w:tcPr>
            <w:tcW w:w="8074" w:type="dxa"/>
            <w:tcBorders>
              <w:tl2br w:val="nil"/>
              <w:tr2bl w:val="nil"/>
            </w:tcBorders>
            <w:vAlign w:val="center"/>
          </w:tcPr>
          <w:p w14:paraId="1D6CE669">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本项目是否允许分包： </w:t>
            </w:r>
          </w:p>
          <w:p w14:paraId="0139A349">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☑不允许 </w:t>
            </w:r>
          </w:p>
          <w:p w14:paraId="26080D30">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□允许，具体要求： </w:t>
            </w:r>
          </w:p>
          <w:p w14:paraId="3B22C7E6">
            <w:pPr>
              <w:spacing w:line="500" w:lineRule="exact"/>
              <w:rPr>
                <w:rFonts w:hint="eastAsia" w:ascii="仿宋" w:hAnsi="仿宋" w:eastAsia="仿宋" w:cs="仿宋_GB2312"/>
                <w:color w:val="auto"/>
                <w:sz w:val="24"/>
                <w:highlight w:val="none"/>
                <w:u w:val="single"/>
              </w:rPr>
            </w:pPr>
            <w:r>
              <w:rPr>
                <w:rFonts w:hint="eastAsia" w:ascii="仿宋" w:hAnsi="仿宋" w:eastAsia="仿宋" w:cs="仿宋_GB2312"/>
                <w:color w:val="auto"/>
                <w:sz w:val="24"/>
                <w:highlight w:val="none"/>
                <w:lang w:val="en-US" w:eastAsia="zh-CN"/>
              </w:rPr>
              <w:t>（1）可以分包履行的具体内容：</w:t>
            </w:r>
            <w:r>
              <w:rPr>
                <w:rFonts w:hint="eastAsia" w:ascii="仿宋" w:hAnsi="仿宋" w:eastAsia="仿宋" w:cs="仿宋_GB2312"/>
                <w:color w:val="auto"/>
                <w:sz w:val="24"/>
                <w:highlight w:val="none"/>
                <w:u w:val="single"/>
                <w:lang w:val="en-US" w:eastAsia="zh-CN"/>
              </w:rPr>
              <w:t xml:space="preserve">        </w:t>
            </w:r>
          </w:p>
          <w:p w14:paraId="77EE76F3">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（2）允许分包的金额或者比例：</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 xml:space="preserve"> </w:t>
            </w:r>
          </w:p>
          <w:p w14:paraId="00B6ECAE">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（3）其他要求：</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w:t>
            </w:r>
          </w:p>
        </w:tc>
      </w:tr>
      <w:tr w14:paraId="052645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E570CA3">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22.1</w:t>
            </w:r>
          </w:p>
        </w:tc>
        <w:tc>
          <w:tcPr>
            <w:tcW w:w="8074" w:type="dxa"/>
            <w:tcBorders>
              <w:tl2br w:val="nil"/>
              <w:tr2bl w:val="nil"/>
            </w:tcBorders>
            <w:vAlign w:val="center"/>
          </w:tcPr>
          <w:p w14:paraId="539BD510">
            <w:pPr>
              <w:spacing w:line="500" w:lineRule="exac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 xml:space="preserve">提交履约保证金的时间：/ </w:t>
            </w:r>
          </w:p>
          <w:p w14:paraId="67614638">
            <w:pPr>
              <w:spacing w:line="500" w:lineRule="exac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履约保证金金额：/</w:t>
            </w:r>
          </w:p>
          <w:p w14:paraId="6ECD04C1">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履约保证金形式：/</w:t>
            </w:r>
          </w:p>
        </w:tc>
      </w:tr>
      <w:tr w14:paraId="4C6D50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5CE728DB">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23.1</w:t>
            </w:r>
          </w:p>
        </w:tc>
        <w:tc>
          <w:tcPr>
            <w:tcW w:w="8074" w:type="dxa"/>
            <w:tcBorders>
              <w:tl2br w:val="nil"/>
              <w:tr2bl w:val="nil"/>
            </w:tcBorders>
            <w:vAlign w:val="center"/>
          </w:tcPr>
          <w:p w14:paraId="03587B4C">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1、是否由中标人缴纳招标代理费：是 </w:t>
            </w:r>
          </w:p>
          <w:p w14:paraId="783370B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招标代理费：□参照原国家计委计价格【2002】1980 号文的计算方法收取。  </w:t>
            </w:r>
          </w:p>
          <w:p w14:paraId="454D894F">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☑本项目招标代理费：3000元 </w:t>
            </w:r>
          </w:p>
          <w:p w14:paraId="09382BB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 xml:space="preserve">支付形式：支票、电汇等形式 </w:t>
            </w:r>
          </w:p>
          <w:p w14:paraId="373B1977">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3、支付时间：领取中标通知书的同时，由中标人向采购代理机构一次性支付全部招标代理服务费</w:t>
            </w:r>
          </w:p>
          <w:p w14:paraId="18BF163F">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36"/>
                <w:szCs w:val="36"/>
                <w:highlight w:val="none"/>
                <w:lang w:val="en-US" w:eastAsia="zh-CN"/>
              </w:rPr>
              <w:t>4、服务费缴纳账号（提示：保证金账号详见第10条）：</w:t>
            </w:r>
            <w:r>
              <w:rPr>
                <w:rFonts w:hint="eastAsia" w:ascii="仿宋" w:hAnsi="仿宋" w:eastAsia="仿宋" w:cs="仿宋"/>
                <w:color w:val="auto"/>
                <w:sz w:val="24"/>
                <w:szCs w:val="24"/>
                <w:highlight w:val="none"/>
                <w:lang w:val="en-US" w:eastAsia="zh-CN"/>
              </w:rPr>
              <w:t xml:space="preserve"> </w:t>
            </w:r>
          </w:p>
          <w:p w14:paraId="70DA15B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收款单位全称：新疆世纪星工程咨询有限公司</w:t>
            </w:r>
          </w:p>
          <w:p w14:paraId="3A90DB7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银行账号：651651056018800020157</w:t>
            </w:r>
          </w:p>
          <w:p w14:paraId="3A71A359">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 交通银行股份有限公司乌鲁木齐卫星路支行</w:t>
            </w:r>
          </w:p>
          <w:p w14:paraId="756832B9">
            <w:pPr>
              <w:spacing w:line="500" w:lineRule="exact"/>
              <w:rPr>
                <w:rFonts w:ascii="仿宋" w:hAnsi="仿宋" w:eastAsia="仿宋" w:cs="仿宋_GB2312"/>
                <w:color w:val="auto"/>
                <w:sz w:val="24"/>
                <w:highlight w:val="none"/>
              </w:rPr>
            </w:pPr>
            <w:r>
              <w:rPr>
                <w:rFonts w:hint="eastAsia" w:ascii="仿宋" w:hAnsi="仿宋" w:eastAsia="仿宋" w:cs="仿宋"/>
                <w:color w:val="auto"/>
                <w:sz w:val="24"/>
                <w:szCs w:val="24"/>
                <w:highlight w:val="none"/>
                <w:lang w:val="en-US" w:eastAsia="zh-CN"/>
              </w:rPr>
              <w:t>银行行号： 301881000569</w:t>
            </w:r>
          </w:p>
        </w:tc>
      </w:tr>
      <w:tr w14:paraId="51AC4C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5DEF3CDA">
            <w:pPr>
              <w:spacing w:line="500" w:lineRule="exact"/>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24</w:t>
            </w:r>
          </w:p>
        </w:tc>
        <w:tc>
          <w:tcPr>
            <w:tcW w:w="8074" w:type="dxa"/>
            <w:tcBorders>
              <w:tl2br w:val="nil"/>
              <w:tr2bl w:val="nil"/>
            </w:tcBorders>
            <w:vAlign w:val="center"/>
          </w:tcPr>
          <w:p w14:paraId="1F517CE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接收询问和质疑的联系方式： </w:t>
            </w:r>
          </w:p>
          <w:p w14:paraId="7A06A56E">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1、询问 </w:t>
            </w:r>
          </w:p>
          <w:p w14:paraId="30CF521B">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联系部门、联系电话、通讯地址：见第一章《招标公告》中的采购代理机构信息和项目联系方式。 </w:t>
            </w:r>
          </w:p>
          <w:p w14:paraId="02AC569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2、质疑 </w:t>
            </w:r>
          </w:p>
          <w:p w14:paraId="424F09D2">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联系部门：新疆世纪星工程咨询有限公司招标部 </w:t>
            </w:r>
          </w:p>
          <w:p w14:paraId="351CE68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联系人、联系电话：</w:t>
            </w:r>
            <w:r>
              <w:rPr>
                <w:rFonts w:hint="eastAsia" w:ascii="仿宋" w:hAnsi="仿宋" w:eastAsia="仿宋" w:cs="仿宋"/>
                <w:b w:val="0"/>
                <w:bCs w:val="0"/>
                <w:color w:val="auto"/>
                <w:kern w:val="0"/>
                <w:sz w:val="24"/>
                <w:szCs w:val="24"/>
                <w:highlight w:val="none"/>
                <w:u w:val="none"/>
                <w:vertAlign w:val="baseline"/>
                <w:lang w:val="en-US" w:eastAsia="zh-CN" w:bidi="ar"/>
              </w:rPr>
              <w:t>李航、訾王贝、范燕娥、杜萍</w:t>
            </w:r>
            <w:r>
              <w:rPr>
                <w:rFonts w:hint="default"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color w:val="auto"/>
                <w:kern w:val="0"/>
                <w:sz w:val="24"/>
                <w:szCs w:val="24"/>
                <w:highlight w:val="none"/>
                <w:u w:val="none"/>
                <w:vertAlign w:val="baseline"/>
                <w:lang w:val="en-US" w:eastAsia="zh-CN" w:bidi="ar"/>
              </w:rPr>
              <w:t>13999295080</w:t>
            </w:r>
          </w:p>
          <w:p w14:paraId="70F8BD84">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通讯地址：乌鲁木齐经济技术开发区二期黄山街一品九点阳光德港大厦 B 座 20 楼 </w:t>
            </w:r>
          </w:p>
          <w:p w14:paraId="3231DC57">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b/>
                <w:bCs/>
                <w:color w:val="auto"/>
                <w:sz w:val="24"/>
                <w:szCs w:val="24"/>
                <w:highlight w:val="none"/>
                <w:lang w:val="en-US" w:eastAsia="zh-CN"/>
              </w:rPr>
              <w:t>其他要求：质疑书、授权委托书及报名成功截图 PDF 扫描件发送至代理机构邮箱，以上资料原件邮寄或送至代理机构</w:t>
            </w:r>
          </w:p>
        </w:tc>
      </w:tr>
      <w:tr w14:paraId="748B1D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033" w:type="dxa"/>
            <w:gridSpan w:val="2"/>
            <w:tcBorders>
              <w:tl2br w:val="nil"/>
              <w:tr2bl w:val="nil"/>
            </w:tcBorders>
            <w:vAlign w:val="center"/>
          </w:tcPr>
          <w:p w14:paraId="54218A53">
            <w:pPr>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_GB2312"/>
                <w:color w:val="auto"/>
                <w:sz w:val="24"/>
                <w:highlight w:val="none"/>
              </w:rPr>
              <w:t>适用于本</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须知的额外增加的变动：</w:t>
            </w:r>
          </w:p>
        </w:tc>
      </w:tr>
      <w:tr w14:paraId="55A450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74BB1D87">
            <w:pPr>
              <w:spacing w:line="500" w:lineRule="exact"/>
              <w:jc w:val="center"/>
              <w:rPr>
                <w:rFonts w:hint="eastAsia" w:ascii="仿宋" w:hAnsi="仿宋" w:eastAsia="仿宋" w:cs="仿宋_GB2312"/>
                <w:color w:val="auto"/>
                <w:sz w:val="24"/>
                <w:highlight w:val="none"/>
              </w:rPr>
            </w:pPr>
          </w:p>
        </w:tc>
        <w:tc>
          <w:tcPr>
            <w:tcW w:w="8074" w:type="dxa"/>
            <w:tcBorders>
              <w:tl2br w:val="nil"/>
              <w:tr2bl w:val="nil"/>
            </w:tcBorders>
            <w:vAlign w:val="center"/>
          </w:tcPr>
          <w:p w14:paraId="3F73E573">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 xml:space="preserve">核心产品： </w:t>
            </w:r>
          </w:p>
          <w:p w14:paraId="0C83DA5E">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□本项目</w:t>
            </w:r>
            <w:r>
              <w:rPr>
                <w:rFonts w:hint="eastAsia" w:ascii="仿宋" w:hAnsi="仿宋" w:eastAsia="仿宋" w:cs="仿宋_GB2312"/>
                <w:color w:val="auto"/>
                <w:kern w:val="2"/>
                <w:sz w:val="24"/>
                <w:szCs w:val="24"/>
                <w:highlight w:val="none"/>
                <w:u w:val="single"/>
                <w:lang w:val="en-US" w:eastAsia="zh-CN" w:bidi="ar-SA"/>
              </w:rPr>
              <w:t xml:space="preserve"> 标项  </w:t>
            </w:r>
            <w:r>
              <w:rPr>
                <w:rFonts w:hint="eastAsia" w:ascii="仿宋" w:hAnsi="仿宋" w:eastAsia="仿宋" w:cs="仿宋_GB2312"/>
                <w:color w:val="auto"/>
                <w:kern w:val="2"/>
                <w:sz w:val="24"/>
                <w:szCs w:val="24"/>
                <w:highlight w:val="none"/>
                <w:lang w:val="en-US" w:eastAsia="zh-CN" w:bidi="ar-SA"/>
              </w:rPr>
              <w:t xml:space="preserve">为单一产品采购项目，采购产品即为核心产品。 </w:t>
            </w:r>
          </w:p>
          <w:p w14:paraId="53F8D99E">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☑本项目</w:t>
            </w:r>
            <w:r>
              <w:rPr>
                <w:rFonts w:hint="eastAsia" w:ascii="仿宋" w:hAnsi="仿宋" w:eastAsia="仿宋" w:cs="仿宋_GB2312"/>
                <w:color w:val="auto"/>
                <w:kern w:val="2"/>
                <w:sz w:val="24"/>
                <w:szCs w:val="24"/>
                <w:highlight w:val="none"/>
                <w:u w:val="single"/>
                <w:lang w:val="en-US" w:eastAsia="zh-CN" w:bidi="ar-SA"/>
              </w:rPr>
              <w:t>标项1</w:t>
            </w:r>
            <w:r>
              <w:rPr>
                <w:rFonts w:hint="eastAsia" w:ascii="仿宋" w:hAnsi="仿宋" w:eastAsia="仿宋" w:cs="仿宋_GB2312"/>
                <w:color w:val="auto"/>
                <w:kern w:val="2"/>
                <w:sz w:val="24"/>
                <w:szCs w:val="24"/>
                <w:highlight w:val="none"/>
                <w:lang w:val="en-US" w:eastAsia="zh-CN" w:bidi="ar-SA"/>
              </w:rPr>
              <w:t xml:space="preserve">为非单一产品采购项目，核心产品为：高纯氩气。 </w:t>
            </w:r>
          </w:p>
          <w:p w14:paraId="20DDD164">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注：若不单独标明核心产品则所有产品均被视为核心产品</w:t>
            </w:r>
          </w:p>
        </w:tc>
      </w:tr>
      <w:tr w14:paraId="5C772D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66D0BF05">
            <w:pPr>
              <w:spacing w:line="500" w:lineRule="exact"/>
              <w:jc w:val="center"/>
              <w:rPr>
                <w:rFonts w:hint="eastAsia" w:ascii="仿宋" w:hAnsi="仿宋" w:eastAsia="仿宋" w:cs="仿宋_GB2312"/>
                <w:color w:val="auto"/>
                <w:sz w:val="24"/>
                <w:highlight w:val="none"/>
              </w:rPr>
            </w:pPr>
          </w:p>
        </w:tc>
        <w:tc>
          <w:tcPr>
            <w:tcW w:w="8074" w:type="dxa"/>
            <w:tcBorders>
              <w:tl2br w:val="nil"/>
              <w:tr2bl w:val="nil"/>
            </w:tcBorders>
            <w:vAlign w:val="center"/>
          </w:tcPr>
          <w:p w14:paraId="284CC8DC">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评标方法：综合评分法</w:t>
            </w:r>
          </w:p>
        </w:tc>
      </w:tr>
      <w:tr w14:paraId="78C6D2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61CA8D0D">
            <w:pPr>
              <w:spacing w:line="500" w:lineRule="exact"/>
              <w:jc w:val="center"/>
              <w:rPr>
                <w:rFonts w:hint="eastAsia" w:ascii="仿宋" w:hAnsi="仿宋" w:eastAsia="仿宋" w:cs="仿宋_GB2312"/>
                <w:color w:val="auto"/>
                <w:sz w:val="24"/>
                <w:highlight w:val="none"/>
              </w:rPr>
            </w:pPr>
          </w:p>
        </w:tc>
        <w:tc>
          <w:tcPr>
            <w:tcW w:w="8074" w:type="dxa"/>
            <w:tcBorders>
              <w:tl2br w:val="nil"/>
              <w:tr2bl w:val="nil"/>
            </w:tcBorders>
            <w:vAlign w:val="center"/>
          </w:tcPr>
          <w:p w14:paraId="2E2898A2">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项目属性：货物</w:t>
            </w:r>
          </w:p>
        </w:tc>
      </w:tr>
      <w:tr w14:paraId="07691D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2" w:hRule="atLeast"/>
        </w:trPr>
        <w:tc>
          <w:tcPr>
            <w:tcW w:w="9033" w:type="dxa"/>
            <w:gridSpan w:val="2"/>
            <w:tcBorders>
              <w:tl2br w:val="nil"/>
              <w:tr2bl w:val="nil"/>
            </w:tcBorders>
            <w:vAlign w:val="center"/>
          </w:tcPr>
          <w:p w14:paraId="47D3C844">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适用于本</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须知的额外增加的变动：</w:t>
            </w:r>
          </w:p>
          <w:p w14:paraId="1781E550">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1、关于本项目所有公告、公示在新疆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兵团</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政府采购网发布。</w:t>
            </w:r>
          </w:p>
          <w:p w14:paraId="27D05044">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2、请投标单位随时关注本项目的澄清、答疑、变更事项。</w:t>
            </w:r>
          </w:p>
          <w:p w14:paraId="38876141">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3、本项目实行电子招投标，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须登录政采云平台申请获取招标文件，并通过政采云电子投标客户端制作响应文件，同时自行承担与投标有关的一切费用。</w:t>
            </w:r>
          </w:p>
          <w:p w14:paraId="56C8BA1E">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应在开标前确保成为新疆维吾尔自治区政府采购网正式注册入库</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rPr>
              <w:t>，并完成CA数字证书申领。因未注册入库、未办理CA数字证书等原因造成无法投标或投标失败等后果由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w:t>
            </w:r>
          </w:p>
          <w:p w14:paraId="42A25D7F">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5、有意向参与新疆区域电子开评标的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，可访问新疆数字证书认证中心官方网站（https://www.xjca.com.cn/）或下载“新疆政务通”APP自行进行申领。如需咨询，请联系新疆CA服务热线0991-2819290。</w:t>
            </w:r>
          </w:p>
          <w:p w14:paraId="5B6872EF">
            <w:pPr>
              <w:spacing w:line="500" w:lineRule="exact"/>
              <w:rPr>
                <w:rFonts w:hint="eastAsia" w:ascii="仿宋" w:hAnsi="仿宋" w:eastAsia="仿宋" w:cs="仿宋_GB2312"/>
                <w:color w:val="auto"/>
                <w:sz w:val="24"/>
                <w:highlight w:val="none"/>
              </w:rPr>
            </w:pPr>
            <w:r>
              <w:rPr>
                <w:rFonts w:ascii="仿宋" w:hAnsi="仿宋" w:eastAsia="仿宋" w:cs="仿宋_GB2312"/>
                <w:color w:val="auto"/>
                <w:sz w:val="24"/>
                <w:highlight w:val="none"/>
              </w:rPr>
              <w:t>6</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19369682">
            <w:pPr>
              <w:spacing w:line="500" w:lineRule="exact"/>
              <w:rPr>
                <w:rFonts w:ascii="仿宋" w:hAnsi="仿宋" w:eastAsia="仿宋" w:cs="仿宋_GB2312"/>
                <w:color w:val="auto"/>
                <w:sz w:val="24"/>
                <w:highlight w:val="none"/>
              </w:rPr>
            </w:pPr>
            <w:r>
              <w:rPr>
                <w:rFonts w:ascii="仿宋" w:hAnsi="仿宋" w:eastAsia="仿宋" w:cs="仿宋_GB2312"/>
                <w:color w:val="auto"/>
                <w:sz w:val="24"/>
                <w:highlight w:val="none"/>
              </w:rPr>
              <w:t>7</w:t>
            </w:r>
            <w:r>
              <w:rPr>
                <w:rFonts w:hint="eastAsia" w:ascii="仿宋" w:hAnsi="仿宋" w:eastAsia="仿宋" w:cs="仿宋_GB2312"/>
                <w:color w:val="auto"/>
                <w:sz w:val="24"/>
                <w:highlight w:val="none"/>
              </w:rPr>
              <w:t>、本项目采用不见面开标，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须在投标截止时间前通过CA在政采云平台上传加密的电子响应文件。备注：</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rPr>
              <w:t>”版面获取操作指南，同时对自助查询无法解决的问题可通过钉钉群及政采云在线客服获取服务支持。</w:t>
            </w:r>
          </w:p>
          <w:p w14:paraId="0F7F2E1C">
            <w:pPr>
              <w:spacing w:line="500" w:lineRule="exact"/>
              <w:rPr>
                <w:rFonts w:ascii="仿宋" w:hAnsi="仿宋" w:eastAsia="仿宋" w:cs="仿宋_GB2312"/>
                <w:color w:val="auto"/>
                <w:sz w:val="24"/>
                <w:highlight w:val="none"/>
              </w:rPr>
            </w:pPr>
            <w:r>
              <w:rPr>
                <w:rFonts w:ascii="仿宋" w:hAnsi="仿宋" w:eastAsia="仿宋" w:cs="仿宋_GB2312"/>
                <w:color w:val="auto"/>
                <w:sz w:val="24"/>
                <w:highlight w:val="none"/>
              </w:rPr>
              <w:t>8</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在开标前须提前配置好电脑浏览器（建议使用360浏览器或谷歌浏览器），开标时请使用制作加密电子响应文件的CA锁进行解密及报价确认。</w:t>
            </w:r>
          </w:p>
          <w:p w14:paraId="4D719657">
            <w:pPr>
              <w:spacing w:line="500" w:lineRule="exact"/>
              <w:rPr>
                <w:rFonts w:hint="eastAsia" w:ascii="仿宋" w:hAnsi="仿宋" w:eastAsia="仿宋" w:cs="仿宋_GB2312"/>
                <w:b/>
                <w:bCs/>
                <w:color w:val="auto"/>
                <w:sz w:val="24"/>
                <w:highlight w:val="none"/>
              </w:rPr>
            </w:pPr>
            <w:r>
              <w:rPr>
                <w:rFonts w:hint="eastAsia" w:ascii="仿宋" w:hAnsi="仿宋" w:eastAsia="仿宋" w:cs="仿宋_GB2312"/>
                <w:b/>
                <w:bCs/>
                <w:color w:val="auto"/>
                <w:sz w:val="24"/>
                <w:highlight w:val="none"/>
              </w:rPr>
              <w:t>本项目投标文件解密时间定为30分钟，如</w:t>
            </w: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rPr>
              <w:t>因自身原因导致在规定的时间无法正常解密，视为开标后撤销其投标文件，投标保证金招标人有权不予退还。</w:t>
            </w:r>
          </w:p>
          <w:p w14:paraId="181749A1">
            <w:pPr>
              <w:spacing w:line="500" w:lineRule="exact"/>
              <w:rPr>
                <w:rFonts w:hint="eastAsia" w:ascii="仿宋" w:hAnsi="仿宋" w:eastAsia="仿宋" w:cs="仿宋_GB2312"/>
                <w:b/>
                <w:bCs/>
                <w:color w:val="auto"/>
                <w:sz w:val="24"/>
                <w:highlight w:val="none"/>
              </w:rPr>
            </w:pPr>
            <w:r>
              <w:rPr>
                <w:rFonts w:hint="eastAsia" w:ascii="仿宋" w:hAnsi="仿宋" w:eastAsia="仿宋" w:cs="仿宋_GB2312"/>
                <w:b/>
                <w:bCs/>
                <w:color w:val="auto"/>
                <w:sz w:val="24"/>
                <w:highlight w:val="none"/>
                <w:lang w:val="en-US" w:eastAsia="zh-CN"/>
              </w:rPr>
              <w:t>9、政采云投标客户端中上传电子投标文件为三部分，分别为资格文件、报价</w:t>
            </w:r>
            <w:r>
              <w:rPr>
                <w:rFonts w:hint="default" w:ascii="仿宋" w:hAnsi="仿宋" w:eastAsia="仿宋" w:cs="仿宋_GB2312"/>
                <w:b/>
                <w:bCs/>
                <w:color w:val="auto"/>
                <w:sz w:val="24"/>
                <w:highlight w:val="none"/>
                <w:lang w:val="en-US" w:eastAsia="zh-CN"/>
              </w:rPr>
              <w:t>文件、商务技术文件。投标人除分别按要求分别上传文件外，建议商务技术文件部分上传整本投标文件（包含资格部分、报价部分、商务技术部分）。</w:t>
            </w:r>
          </w:p>
        </w:tc>
      </w:tr>
    </w:tbl>
    <w:p w14:paraId="5C60B551">
      <w:pP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br w:type="page"/>
      </w:r>
    </w:p>
    <w:p w14:paraId="587C2466">
      <w:pPr>
        <w:pStyle w:val="2"/>
        <w:numPr>
          <w:ilvl w:val="0"/>
          <w:numId w:val="1"/>
        </w:numPr>
        <w:jc w:val="center"/>
        <w:rPr>
          <w:rFonts w:ascii="仿宋" w:hAnsi="仿宋" w:eastAsia="仿宋" w:cs="仿宋_GB2312"/>
          <w:color w:val="auto"/>
          <w:sz w:val="32"/>
          <w:szCs w:val="32"/>
          <w:highlight w:val="none"/>
        </w:rPr>
      </w:pPr>
      <w:bookmarkStart w:id="9" w:name="_Toc27881"/>
      <w:r>
        <w:rPr>
          <w:rFonts w:hint="eastAsia" w:ascii="仿宋" w:hAnsi="仿宋" w:eastAsia="仿宋" w:cs="仿宋_GB2312"/>
          <w:color w:val="auto"/>
          <w:sz w:val="32"/>
          <w:szCs w:val="32"/>
          <w:highlight w:val="none"/>
          <w:lang w:eastAsia="zh-CN"/>
        </w:rPr>
        <w:t>投标人</w:t>
      </w:r>
      <w:r>
        <w:rPr>
          <w:rFonts w:hint="eastAsia" w:ascii="仿宋" w:hAnsi="仿宋" w:eastAsia="仿宋" w:cs="仿宋_GB2312"/>
          <w:color w:val="auto"/>
          <w:sz w:val="32"/>
          <w:szCs w:val="32"/>
          <w:highlight w:val="none"/>
        </w:rPr>
        <w:t>须知</w:t>
      </w:r>
      <w:bookmarkEnd w:id="9"/>
    </w:p>
    <w:p w14:paraId="3A3E4F14">
      <w:pPr>
        <w:numPr>
          <w:ilvl w:val="0"/>
          <w:numId w:val="0"/>
        </w:numPr>
        <w:spacing w:line="500" w:lineRule="exact"/>
        <w:jc w:val="center"/>
        <w:outlineLvl w:val="1"/>
        <w:rPr>
          <w:rFonts w:ascii="仿宋" w:hAnsi="仿宋" w:eastAsia="仿宋" w:cs="仿宋_GB2312"/>
          <w:b/>
          <w:bCs/>
          <w:color w:val="auto"/>
          <w:sz w:val="24"/>
          <w:highlight w:val="none"/>
        </w:rPr>
      </w:pPr>
      <w:bookmarkStart w:id="10" w:name="_Toc20936"/>
      <w:r>
        <w:rPr>
          <w:rFonts w:hint="eastAsia" w:ascii="仿宋" w:hAnsi="仿宋" w:eastAsia="仿宋" w:cs="仿宋_GB2312"/>
          <w:b/>
          <w:bCs/>
          <w:color w:val="auto"/>
          <w:kern w:val="2"/>
          <w:sz w:val="24"/>
          <w:szCs w:val="24"/>
          <w:highlight w:val="none"/>
          <w:lang w:val="en-US" w:eastAsia="zh-CN" w:bidi="ar-SA"/>
        </w:rPr>
        <w:t>一、</w:t>
      </w:r>
      <w:r>
        <w:rPr>
          <w:rFonts w:hint="eastAsia" w:ascii="仿宋" w:hAnsi="仿宋" w:eastAsia="仿宋" w:cs="仿宋_GB2312"/>
          <w:b/>
          <w:bCs/>
          <w:color w:val="auto"/>
          <w:sz w:val="24"/>
          <w:highlight w:val="none"/>
        </w:rPr>
        <w:t>说 明</w:t>
      </w:r>
      <w:bookmarkEnd w:id="10"/>
    </w:p>
    <w:p w14:paraId="5ACEAB87">
      <w:pPr>
        <w:numPr>
          <w:ilvl w:val="0"/>
          <w:numId w:val="3"/>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采购人、采购代理机构及</w:t>
      </w: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lang w:val="en-US" w:eastAsia="zh-CN"/>
        </w:rPr>
        <w:t>供应商</w:t>
      </w:r>
      <w:r>
        <w:rPr>
          <w:rFonts w:hint="eastAsia" w:ascii="仿宋" w:hAnsi="仿宋" w:eastAsia="仿宋" w:cs="仿宋_GB2312"/>
          <w:b/>
          <w:bCs/>
          <w:color w:val="auto"/>
          <w:sz w:val="24"/>
          <w:highlight w:val="none"/>
          <w:lang w:eastAsia="zh-CN"/>
        </w:rPr>
        <w:t>）</w:t>
      </w:r>
    </w:p>
    <w:p w14:paraId="6FD5FBED">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采购人：是指依法进行政府采购的国家机构、事业单位、团体组织。</w:t>
      </w:r>
    </w:p>
    <w:p w14:paraId="68034ABE">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采购代理机构：本次招标的采购代理机构为新疆世纪星工程咨询有限公司。</w:t>
      </w:r>
    </w:p>
    <w:p w14:paraId="451359A2">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：是指向采购人提供货物、工程或者服务的法人、其他组织或者自然人。</w:t>
      </w:r>
      <w:r>
        <w:rPr>
          <w:rFonts w:hint="eastAsia" w:ascii="仿宋" w:hAnsi="仿宋" w:eastAsia="仿宋" w:cs="仿宋_GB2312"/>
          <w:color w:val="auto"/>
          <w:sz w:val="24"/>
          <w:highlight w:val="none"/>
          <w:lang w:val="en-US" w:eastAsia="zh-CN"/>
        </w:rPr>
        <w:t>本招标文件中投标人、供应商的含义相同</w:t>
      </w:r>
      <w:r>
        <w:rPr>
          <w:rFonts w:hint="eastAsia" w:ascii="仿宋" w:hAnsi="仿宋" w:eastAsia="仿宋" w:cs="仿宋_GB2312"/>
          <w:color w:val="auto"/>
          <w:sz w:val="24"/>
          <w:highlight w:val="none"/>
        </w:rPr>
        <w:t>。</w:t>
      </w:r>
    </w:p>
    <w:p w14:paraId="52FA0F2F">
      <w:p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rPr>
        <w:t>须满足以下条件：</w:t>
      </w:r>
    </w:p>
    <w:p w14:paraId="49E2BC59">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具备《中华人民共和国政府采购法》第二十二条关于</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rPr>
        <w:t>条件的规定，遵守国家、本项目采购人本级和上级财政部门政府采购的有关规定。</w:t>
      </w:r>
    </w:p>
    <w:p w14:paraId="1B9981D6">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以招标文件规定的方式获得了本项目的招标文件。</w:t>
      </w:r>
    </w:p>
    <w:p w14:paraId="6B64CB14">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符合</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中规定的其他资格要求。</w:t>
      </w:r>
    </w:p>
    <w:p w14:paraId="0894CE31">
      <w:pPr>
        <w:numPr>
          <w:ilvl w:val="2"/>
          <w:numId w:val="4"/>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符合</w:t>
      </w:r>
      <w:r>
        <w:rPr>
          <w:rFonts w:hint="eastAsia" w:ascii="仿宋" w:hAnsi="仿宋" w:eastAsia="仿宋" w:cs="仿宋_GB2312"/>
          <w:color w:val="auto"/>
          <w:sz w:val="24"/>
          <w:highlight w:val="none"/>
          <w:u w:val="single"/>
          <w:lang w:val="en-US" w:eastAsia="zh-CN"/>
        </w:rPr>
        <w:t>招标公告</w:t>
      </w:r>
      <w:r>
        <w:rPr>
          <w:rFonts w:hint="eastAsia" w:ascii="仿宋" w:hAnsi="仿宋" w:eastAsia="仿宋" w:cs="仿宋_GB2312"/>
          <w:color w:val="auto"/>
          <w:sz w:val="24"/>
          <w:highlight w:val="none"/>
        </w:rPr>
        <w:t>规定的</w:t>
      </w:r>
      <w:r>
        <w:rPr>
          <w:rFonts w:hint="eastAsia" w:ascii="仿宋" w:hAnsi="仿宋" w:eastAsia="仿宋" w:cs="仿宋_GB2312"/>
          <w:color w:val="auto"/>
          <w:sz w:val="24"/>
          <w:highlight w:val="none"/>
          <w:lang w:val="en-US" w:eastAsia="zh-CN"/>
        </w:rPr>
        <w:t>本项目特定</w:t>
      </w:r>
      <w:r>
        <w:rPr>
          <w:rFonts w:hint="eastAsia" w:ascii="仿宋" w:hAnsi="仿宋" w:eastAsia="仿宋" w:cs="仿宋_GB2312"/>
          <w:color w:val="auto"/>
          <w:sz w:val="24"/>
          <w:highlight w:val="none"/>
        </w:rPr>
        <w:t>资格要求。</w:t>
      </w:r>
    </w:p>
    <w:p w14:paraId="4CBB16B6">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如经财政主管部门批准可以采购进口产品，将在投标须知前附表中写明。但</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应保证所投产品可履行合法报通关手续进入中国关境内。若</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中未写明允许采购进口产品，如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所投产品为进口产品，其投标将作为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 xml:space="preserve">被拒绝。 </w:t>
      </w:r>
    </w:p>
    <w:p w14:paraId="6C40CC97">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中小企业、监狱企业及残疾人福利性单位。</w:t>
      </w:r>
    </w:p>
    <w:p w14:paraId="2E35AFCE">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采购标的对应的中小企业划分标准所属行业见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2682D5A3">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若投标须知前附表中写明专门面向中小企业采购的，如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所提供的货物为非中小企业制造或提供的服务、工程为非中小企业承接，其投标将被认定为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。本项目是否面向中小企业采购预留份额、措施及比例见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，未达到上述比例的投标将被认定为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。承接企业如为监狱企业或残疾人福利性单位的，视同为小型、微型企业。</w:t>
      </w:r>
    </w:p>
    <w:p w14:paraId="7A865BFC">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1DF8B55B">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提供的货物、工程或者服务符合下列情形的，享受中小企业扶持政策：</w:t>
      </w:r>
    </w:p>
    <w:p w14:paraId="0C2A5567">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在货物采购项目中，货物由中小企业制造，即货物由中小企业生产且使用该中小企业商号或者注册商标；</w:t>
      </w:r>
    </w:p>
    <w:p w14:paraId="310A89C8">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在工程采购项目中，工程由中小企业承建，即工程施工单位为中小企业；</w:t>
      </w:r>
    </w:p>
    <w:p w14:paraId="53B045EF">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在服务采购项目中，服务由中小企业承接，即提供服务的人员为中小企业依照《中华人民共和国劳动合同法》订立劳动合同的从业人员。 </w:t>
      </w:r>
    </w:p>
    <w:p w14:paraId="713570E2">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在货物采购项目中，</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提供的货物既有中小企业制造货物，也有大型企业制造货物的，不享受中小企业扶持政策。 </w:t>
      </w:r>
    </w:p>
    <w:p w14:paraId="0FD84C28">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以联合体形式参加政府采购活动，联合体各方均为中小企业的，联合体视同中小企业。其中，联合体各方均为小微企业的，联合体视同小微企业。</w:t>
      </w:r>
    </w:p>
    <w:p w14:paraId="1E1601A2">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71B8911C">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享受政府采购支持政策的残疾人福利性单位根据《关于促进残疾人就业政府采购政策的通知》（财库〔2017〕141号）应当同时满足以下条件： </w:t>
      </w:r>
    </w:p>
    <w:p w14:paraId="2871E0CB">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安置的残疾人占本单位在职职工人数的比例不低于25%（含25%），并且安置的残疾人人数不少于10人（含10人）； </w:t>
      </w:r>
    </w:p>
    <w:p w14:paraId="678964BE">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依法与安置的每位残疾人签订了一年以上（含一年）的劳动合同或服务协议；</w:t>
      </w:r>
    </w:p>
    <w:p w14:paraId="6D039D95">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为安置的每位残疾人按月足额缴纳了基本养老保险、基本医疗保险、失业保险、工伤保险和生育保险等社会保险费；</w:t>
      </w:r>
    </w:p>
    <w:p w14:paraId="3F20A701">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通过银行等金融机构向安置的每位残疾人，按月支付了不低于单位所在区县适用的经省级人民政府批准的月最低工资标准的工资；</w:t>
      </w:r>
    </w:p>
    <w:p w14:paraId="07CFF132">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提供本单位制造的货物、承担的工程或者服务，或者提供其他残疾人福利性单位制造的货物（不包括使用非残疾人福利性单位注册商标的货物）。</w:t>
      </w:r>
    </w:p>
    <w:p w14:paraId="3BC390D2">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7110D6">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享受中小企业扶持政策获得政府采购合同的，小微企业不得将合同分包给大中型企业，中型企业不得将合同分包给大型企业。</w:t>
      </w:r>
    </w:p>
    <w:p w14:paraId="4E3C1823">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政府采购节能产品、环境标志产品</w:t>
      </w:r>
    </w:p>
    <w:p w14:paraId="5E0BF9AD">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744E54F">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485C44F9">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如本项目采购产品属于实施政府强制采购品目清单范围的节能产品，则</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所报产品必须获得国家确定的认证机构出具的、处于有效期之内的节能产品认证证书，否则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68CB48BA">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非政府强制采购的节能产品或环境标志产品，依据品目清单和认证证书实施政府优先采购。优先采购的具体规定见第六章《评标程序、评标方法和评标标准》（如涉及）。</w:t>
      </w:r>
    </w:p>
    <w:p w14:paraId="1B5BF653">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支持乡村产业振兴管理</w:t>
      </w:r>
    </w:p>
    <w:p w14:paraId="183513B0">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08BAAF28">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正版软件</w:t>
      </w:r>
    </w:p>
    <w:p w14:paraId="124BE0DC">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56215EF">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72F3A727">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信息安全产品</w:t>
      </w:r>
    </w:p>
    <w:p w14:paraId="16C2EC72">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所投产品属于《关于调整信息安全产品强制性认证实施要求的公告》（2009 年第 33 号）范围的，采购经国家认证的信息安全产品，否则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。关于信息安全相关规定依据《关于信息安全产品实施政府采购的通知》（财库〔2010〕48 号）。</w:t>
      </w:r>
    </w:p>
    <w:p w14:paraId="778179F7">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中允许联合体投标，对联合体规定如下：</w:t>
      </w:r>
    </w:p>
    <w:p w14:paraId="6FD24560">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两个以上</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可以组成一个投标联合体，以一个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的身份投标。  </w:t>
      </w:r>
    </w:p>
    <w:p w14:paraId="1552493D">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联合体各方均应符合《中华人民共和国政府采购法》第二十二条规定的条件，遵守国家、本项目采购人本级和上级财政部门政府采购的有关规定。</w:t>
      </w:r>
    </w:p>
    <w:p w14:paraId="48DED9C4">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采购人根据采购项目对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的特殊要求，联合体中至少应当有一方符合相关规定。</w:t>
      </w:r>
    </w:p>
    <w:p w14:paraId="10DF9CD1">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联合体各方应签订共同投标协议，明确约定联合体各方承担的工作和相应的责任，并将共同投标协议连同投标文件一并提交采购人或采购代理机构。</w:t>
      </w:r>
    </w:p>
    <w:p w14:paraId="2567824F">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3965C016">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联合体中有同类资质的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按照联合体分工承担相同工作的，按照资质等级较低的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确定资质等级。</w:t>
      </w:r>
    </w:p>
    <w:p w14:paraId="781C0AF7">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对联合体投标的其他资格要求见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3FF171F7">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单位负责人为同一人或者存在直接控股、管理关系的不同</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 xml:space="preserve">。 </w:t>
      </w:r>
    </w:p>
    <w:p w14:paraId="21B6A9AF">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为本项目提供整体设计、规范编制或者项目管理、监理、检测等服务的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57334D4E">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 xml:space="preserve"> 资金来源 </w:t>
      </w:r>
    </w:p>
    <w:p w14:paraId="17D1A80B">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本项目的采购人已获得足以支付本次招标后所签订的合同项下的资金（包括财政性资金和本项目采购中无法与财政性资金分割的非财政性资金）。 </w:t>
      </w:r>
    </w:p>
    <w:p w14:paraId="0CD5947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项目预算金额和最高限价见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59457B0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报价超过招标文件规定的预算金额或者最高限价的，其投标将被认定为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 xml:space="preserve">。 </w:t>
      </w:r>
    </w:p>
    <w:p w14:paraId="4C081E77">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投标费用</w:t>
      </w:r>
    </w:p>
    <w:p w14:paraId="094120C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应自行承担所有与准备和参加投标有关的费用，无论投标的结果如何，采购人或采购代理机构在任何情况下均无承担这些费用的义务和责任。</w:t>
      </w:r>
    </w:p>
    <w:p w14:paraId="703E6F44">
      <w:pPr>
        <w:numPr>
          <w:ilvl w:val="0"/>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适用法律</w:t>
      </w:r>
    </w:p>
    <w:p w14:paraId="19AA9E7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本项目采购人、采购代理机构、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3E9CAD4F">
      <w:pPr>
        <w:tabs>
          <w:tab w:val="left" w:pos="0"/>
        </w:tabs>
        <w:spacing w:line="500" w:lineRule="exact"/>
        <w:rPr>
          <w:rFonts w:ascii="仿宋" w:hAnsi="仿宋" w:eastAsia="仿宋" w:cs="仿宋_GB2312"/>
          <w:b/>
          <w:bCs/>
          <w:color w:val="auto"/>
          <w:sz w:val="24"/>
          <w:highlight w:val="none"/>
        </w:rPr>
      </w:pPr>
    </w:p>
    <w:p w14:paraId="624AEC60">
      <w:pPr>
        <w:numPr>
          <w:ilvl w:val="0"/>
          <w:numId w:val="8"/>
        </w:numPr>
        <w:tabs>
          <w:tab w:val="left" w:pos="0"/>
        </w:tabs>
        <w:spacing w:line="500" w:lineRule="exact"/>
        <w:jc w:val="center"/>
        <w:outlineLvl w:val="1"/>
        <w:rPr>
          <w:rFonts w:ascii="仿宋" w:hAnsi="仿宋" w:eastAsia="仿宋" w:cs="仿宋_GB2312"/>
          <w:b/>
          <w:bCs/>
          <w:color w:val="auto"/>
          <w:sz w:val="24"/>
          <w:highlight w:val="none"/>
        </w:rPr>
      </w:pPr>
      <w:bookmarkStart w:id="11" w:name="_Toc6547"/>
      <w:r>
        <w:rPr>
          <w:rFonts w:hint="eastAsia" w:ascii="仿宋" w:hAnsi="仿宋" w:eastAsia="仿宋" w:cs="仿宋_GB2312"/>
          <w:b/>
          <w:bCs/>
          <w:color w:val="auto"/>
          <w:sz w:val="24"/>
          <w:highlight w:val="none"/>
        </w:rPr>
        <w:t>招标文件</w:t>
      </w:r>
      <w:bookmarkEnd w:id="11"/>
    </w:p>
    <w:p w14:paraId="348D1597">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招标文件构成</w:t>
      </w:r>
    </w:p>
    <w:p w14:paraId="28CD828E">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招标文件包括以下部分：</w:t>
      </w:r>
    </w:p>
    <w:p w14:paraId="2E904937">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第一章 招标公告</w:t>
      </w:r>
    </w:p>
    <w:p w14:paraId="4C19C922">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第二章 投标须知前附表 </w:t>
      </w:r>
    </w:p>
    <w:p w14:paraId="12E2BFED">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第三章 </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w:t>
      </w:r>
    </w:p>
    <w:p w14:paraId="1CA1F927">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第四章 政府采购合同 </w:t>
      </w:r>
    </w:p>
    <w:p w14:paraId="2FC03354">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第五章 采购需求 </w:t>
      </w:r>
    </w:p>
    <w:p w14:paraId="135426C5">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第六章 评标程序、评标方法和评标标准</w:t>
      </w:r>
    </w:p>
    <w:p w14:paraId="34371711">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第七章 投标文件格式 </w:t>
      </w:r>
    </w:p>
    <w:p w14:paraId="5B42D0DB">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应认真阅读招标文件的全部内容。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应按照招标文件要求提交投标文件并保证所提供的全部资料的真实性，并对招标文件做出实质性响应，否则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5380784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招标文件中有不一致的，有澄清的部分以最终的澄清更正内容为准；未澄清的，以投标须知前附表为准；投标须知前附表不涉及的内容，以编排在后的最后描述为准。</w:t>
      </w:r>
    </w:p>
    <w:p w14:paraId="1EAE20C9">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现场考察或者答疑会及相关事项见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47865EE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采购人在踏勘现场中介绍的资料和数据等，只是为了使</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能够利用招标人现有的资料。招标人对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由此而作出的推论、解释和结论概不负责。</w:t>
      </w:r>
    </w:p>
    <w:p w14:paraId="1940CDAE">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自行承担踏勘现场发生的责任、风险和自身费用。</w:t>
      </w:r>
    </w:p>
    <w:p w14:paraId="6BDC41EF">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原则上采购人、采购代理机构不要求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，对样品的评审方法及评审标准见招标文件第六章《评标程序、评标方法和评标标准》。</w:t>
      </w:r>
    </w:p>
    <w:p w14:paraId="6E25544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招标文件规定</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提交样品的，样品属于投标文件的组成部分。样品的生产、运输、安装、保全等一切费用由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自理。</w:t>
      </w:r>
    </w:p>
    <w:p w14:paraId="2E89ED5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采购结果公告发布后，中标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的样品由采购人封存，作为履约验收的依据之一。未中标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在接到采购代理机构通知后，应按规定时间尽快自行取回样品，否则视同</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不再认领，代理机构有权进行处理。</w:t>
      </w:r>
    </w:p>
    <w:p w14:paraId="7A40C05E">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对招标文件的澄清或修改</w:t>
      </w:r>
    </w:p>
    <w:p w14:paraId="4BE3118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采购人或采购代理机构对已发出的招标文件进行必要澄清或者修改的，将在原公告发布媒体（网站）上发布更正公告（通知），因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未及时登陆媒体（网站）查看导致通知未及时收到通知的，采购人或采购代理机构不承担责任。</w:t>
      </w:r>
    </w:p>
    <w:p w14:paraId="027776B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更正公告及其所发布的内容或信息（包括但不限于：招标文件的澄清或修改、现场考察或答疑会的有关事宜等）作为招标文件的组成部分，对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具有约束力。一经在指定媒体上发布后，更正公告将作为通知所有招标文件收受人的书面形式。</w:t>
      </w:r>
    </w:p>
    <w:p w14:paraId="13EC5387">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澄清或者修改的内容为招标文件的组成部分，并对所有获取招标文件的潜在</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具有约束力。澄清或者修改的内容可能影响投标文件编制的，将在投标截止时间至少 15 日前发布；不足 15 日的，将顺延提交投标文件的截止时间和开标时间。</w:t>
      </w:r>
    </w:p>
    <w:p w14:paraId="2238EC21">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为了保证对招标文件的澄清和修改满足法律的时限要求，任何要求对招标文件进行澄清的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，均应在投标截止期十五日前，以书面形式将澄清要求通知采购人或采购代理机构。</w:t>
      </w:r>
    </w:p>
    <w:p w14:paraId="0DD8F326">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如更正公告有重新发布电子招标文件的，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应登录电子招投标平台下载最新发布的电子招标文件制作投标文件。</w:t>
      </w:r>
    </w:p>
    <w:p w14:paraId="0949188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p>
    <w:p w14:paraId="78EAE353">
      <w:pPr>
        <w:tabs>
          <w:tab w:val="left" w:pos="0"/>
        </w:tabs>
        <w:spacing w:line="500" w:lineRule="exact"/>
        <w:rPr>
          <w:rFonts w:ascii="仿宋" w:hAnsi="仿宋" w:eastAsia="仿宋" w:cs="仿宋_GB2312"/>
          <w:color w:val="auto"/>
          <w:sz w:val="24"/>
          <w:highlight w:val="none"/>
        </w:rPr>
      </w:pPr>
    </w:p>
    <w:p w14:paraId="6407D902">
      <w:pPr>
        <w:numPr>
          <w:ilvl w:val="0"/>
          <w:numId w:val="8"/>
        </w:numPr>
        <w:tabs>
          <w:tab w:val="left" w:pos="0"/>
        </w:tabs>
        <w:spacing w:line="500" w:lineRule="exact"/>
        <w:jc w:val="center"/>
        <w:outlineLvl w:val="1"/>
        <w:rPr>
          <w:rFonts w:ascii="仿宋" w:hAnsi="仿宋" w:eastAsia="仿宋" w:cs="仿宋_GB2312"/>
          <w:b/>
          <w:bCs/>
          <w:color w:val="auto"/>
          <w:sz w:val="24"/>
          <w:highlight w:val="none"/>
        </w:rPr>
      </w:pPr>
      <w:bookmarkStart w:id="12" w:name="_Toc9070"/>
      <w:r>
        <w:rPr>
          <w:rFonts w:hint="eastAsia" w:ascii="仿宋" w:hAnsi="仿宋" w:eastAsia="仿宋" w:cs="仿宋_GB2312"/>
          <w:b/>
          <w:bCs/>
          <w:color w:val="auto"/>
          <w:sz w:val="24"/>
          <w:highlight w:val="none"/>
        </w:rPr>
        <w:t>投标文件的编制</w:t>
      </w:r>
      <w:bookmarkEnd w:id="12"/>
    </w:p>
    <w:p w14:paraId="07E07818">
      <w:pPr>
        <w:numPr>
          <w:ilvl w:val="0"/>
          <w:numId w:val="7"/>
        </w:numPr>
        <w:tabs>
          <w:tab w:val="left" w:pos="0"/>
        </w:tabs>
        <w:spacing w:line="500" w:lineRule="exac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投标范围、投标文件中计量单位的使用及投标语言</w:t>
      </w:r>
    </w:p>
    <w:p w14:paraId="355B2415">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可对招标文件中一个或几个分包进行投标，除非在</w:t>
      </w:r>
      <w:r>
        <w:rPr>
          <w:rFonts w:hint="eastAsia" w:ascii="仿宋" w:hAnsi="仿宋" w:eastAsia="仿宋" w:cs="仿宋_GB2312"/>
          <w:color w:val="auto"/>
          <w:sz w:val="24"/>
          <w:highlight w:val="none"/>
          <w:u w:val="single"/>
        </w:rPr>
        <w:t>投标须知前附表中另有规定</w:t>
      </w:r>
      <w:r>
        <w:rPr>
          <w:rFonts w:hint="eastAsia" w:ascii="仿宋" w:hAnsi="仿宋" w:eastAsia="仿宋" w:cs="仿宋_GB2312"/>
          <w:color w:val="auto"/>
          <w:sz w:val="24"/>
          <w:highlight w:val="none"/>
        </w:rPr>
        <w:t xml:space="preserve">。 </w:t>
      </w:r>
    </w:p>
    <w:p w14:paraId="059BC3B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应当对所投采购包对应第五章《采购需求》所列的全部内容进行投标，如仅响应采购包中的部分内容，其该包投标将被认定为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2E5D4B7B">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无论招标文件中是否要求，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所投货物或服务均应符合国家强制性标准。</w:t>
      </w:r>
    </w:p>
    <w:p w14:paraId="6C9188AE">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除招标文件有特殊要求外，本项目投标所使用的计量单位，应采用中华人民共和国法定计量单位。</w:t>
      </w:r>
    </w:p>
    <w:p w14:paraId="27FC913C">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除专用术语外，投标文件及来往函电均应使用中文书写。必要时专用术语应附有中文解释。</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提交的支持资料和已印制的文献可以用外文，但相应内容应附有中文翻译本，在解释投标文件时以中文翻译本为准。未附中文翻译本或翻译本中文内容明显与外文内容不一致的，其不利后果由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自行承担。 </w:t>
      </w:r>
    </w:p>
    <w:p w14:paraId="79DF21AB">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投标文件构成</w:t>
      </w:r>
    </w:p>
    <w:p w14:paraId="18EBB1C9">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应当按照招标文件的要求编制投标文件。投标文件应由资格证明文件、报价文件、商务技术文件</w:t>
      </w:r>
      <w:r>
        <w:rPr>
          <w:rFonts w:hint="eastAsia" w:ascii="仿宋" w:hAnsi="仿宋" w:eastAsia="仿宋" w:cs="仿宋_GB2312"/>
          <w:color w:val="auto"/>
          <w:sz w:val="24"/>
          <w:highlight w:val="none"/>
          <w:lang w:val="en-US" w:eastAsia="zh-CN"/>
        </w:rPr>
        <w:t>三</w:t>
      </w:r>
      <w:r>
        <w:rPr>
          <w:rFonts w:hint="eastAsia" w:ascii="仿宋" w:hAnsi="仿宋" w:eastAsia="仿宋" w:cs="仿宋_GB2312"/>
          <w:color w:val="auto"/>
          <w:sz w:val="24"/>
          <w:highlight w:val="none"/>
        </w:rPr>
        <w:t>部分构成。投标文件的部分格式要求，见第七章《投标文件格式》。</w:t>
      </w:r>
    </w:p>
    <w:p w14:paraId="4223604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第五章《采购需求》及第六章《评标程序、评标方法和评标标准》中涉及的证明文件。</w:t>
      </w:r>
    </w:p>
    <w:p w14:paraId="1BA96414">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对照第五章《采购需求》，说明所提供货物或服务已对第五章《采购需求》做出了响应，或申明与第五章《采购需求》的偏差和例外。如第五章《采购需求》中要求提供证明文件的，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应当按具体要求提供证明文件。</w:t>
      </w:r>
    </w:p>
    <w:p w14:paraId="558CFEEB">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认为应附的其他材料。</w:t>
      </w:r>
    </w:p>
    <w:p w14:paraId="3917D7C0">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E8AE455">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投标报价</w:t>
      </w:r>
    </w:p>
    <w:p w14:paraId="028CA35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所有投标均以人民币报价。</w:t>
      </w:r>
    </w:p>
    <w:p w14:paraId="596D58B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的报价应当包括满足本次招标全部采购需求所应提供的全部内容。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的投标报价应遵守《中华人民共和国价格法》。同时，根据《中华人民共和国政府采购法》及相关配套法律、法规的规定，为保证公平竞争，如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有赠与行为的，将导致其</w:t>
      </w:r>
      <w:r>
        <w:rPr>
          <w:rFonts w:hint="eastAsia" w:ascii="仿宋" w:hAnsi="仿宋" w:eastAsia="仿宋" w:cs="仿宋_GB2312"/>
          <w:b/>
          <w:bCs/>
          <w:color w:val="auto"/>
          <w:sz w:val="24"/>
          <w:highlight w:val="none"/>
        </w:rPr>
        <w:t>投标被拒绝</w:t>
      </w:r>
      <w:r>
        <w:rPr>
          <w:rFonts w:hint="eastAsia" w:ascii="仿宋" w:hAnsi="仿宋" w:eastAsia="仿宋" w:cs="仿宋_GB2312"/>
          <w:color w:val="auto"/>
          <w:sz w:val="24"/>
          <w:highlight w:val="none"/>
        </w:rPr>
        <w:t>。</w:t>
      </w:r>
    </w:p>
    <w:p w14:paraId="185D2E36">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 xml:space="preserve">。 </w:t>
      </w:r>
    </w:p>
    <w:p w14:paraId="187A286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1A17A0C8">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投标保证金</w:t>
      </w:r>
    </w:p>
    <w:p w14:paraId="0749F63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中规定的金额及要求交纳投标保证金，并作为其投标的一部分。</w:t>
      </w:r>
    </w:p>
    <w:p w14:paraId="2B733471">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交纳投标保证金的形式除</w:t>
      </w:r>
      <w:r>
        <w:rPr>
          <w:rFonts w:hint="eastAsia" w:ascii="仿宋" w:hAnsi="仿宋" w:eastAsia="仿宋" w:cs="仿宋_GB2312"/>
          <w:color w:val="auto"/>
          <w:sz w:val="24"/>
          <w:highlight w:val="none"/>
          <w:u w:val="single"/>
        </w:rPr>
        <w:t>投标须知前附表中</w:t>
      </w:r>
      <w:r>
        <w:rPr>
          <w:rFonts w:hint="eastAsia" w:ascii="仿宋" w:hAnsi="仿宋" w:eastAsia="仿宋" w:cs="仿宋_GB2312"/>
          <w:color w:val="auto"/>
          <w:sz w:val="24"/>
          <w:highlight w:val="none"/>
        </w:rPr>
        <w:t>另有约定外，可采用的形式：政府采购法律法规接受的支票、汇票、本票、网上银行支付或者金融机构、担保机构出具的保函等非现金形式。</w:t>
      </w:r>
    </w:p>
    <w:p w14:paraId="5709EA35">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保证金到账（保函提交）截止时间同投标截止时间。以支票、汇票、本票、网上银行支付等形式提交投标保证金的，应在投标截止时间前到账。由于到账时间晚于投标截止时间的，或者票据错误、印鉴不清等原因导致不能到账的，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50FEC06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。电子保函与纸质保函具有同样效力。</w:t>
      </w:r>
    </w:p>
    <w:p w14:paraId="4165C846">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投标保证金（保函）有效期同投标有效期。</w:t>
      </w:r>
    </w:p>
    <w:p w14:paraId="089505B0">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联合体投标的，可以由联合体中的一方或者共同提交投标保证金，以一方名义提交投标保证金的，对联合体各方均具有约束力。</w:t>
      </w:r>
    </w:p>
    <w:p w14:paraId="608B7974">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采购人、采购代理机构将及时退还</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的投标保证金，采用银行保函、担保机构担保函等形式递交的投标保证金，经</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同意后采购人、采购代理机构可以不再退还，但因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自身原因导致无法及时退还的除外。</w:t>
      </w:r>
    </w:p>
    <w:p w14:paraId="5D81F87C">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在投标截止时间前撤回已提交的投标文件的，自收到</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书面撤回通知之日起 5 个工作日内退还已收取的投标保证金。 </w:t>
      </w:r>
    </w:p>
    <w:p w14:paraId="6C252036">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中标人的投标保证金，自采购合同签订之日起 5 个工作日内退还中标人。 </w:t>
      </w:r>
    </w:p>
    <w:p w14:paraId="0870B31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未中标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的投标保证金，自中标通知书发出之日起 5 个工作日内退还未中标人。</w:t>
      </w:r>
    </w:p>
    <w:p w14:paraId="56FAADB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终止采购活动的项目已经收取投标保证金的，自终止采购活动后 5 个工作日内退还已收取的投标保证金。</w:t>
      </w:r>
    </w:p>
    <w:p w14:paraId="2822FEEE">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有下列情形之一的，采购人或采购代理机构可以不予退还投标保证金：</w:t>
      </w:r>
    </w:p>
    <w:p w14:paraId="3728C411">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在投标有效期内，</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撤回投标的； </w:t>
      </w:r>
    </w:p>
    <w:p w14:paraId="374C3DC3">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中标人不按本招标文件的规定与采购人签订合同的； </w:t>
      </w:r>
    </w:p>
    <w:p w14:paraId="07184EB3">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中标人不按本招标文件的规定提交履约保证金的； </w:t>
      </w:r>
    </w:p>
    <w:p w14:paraId="4BC5AF11">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中标人不按本招标文件的规定缴纳中标服务费的； </w:t>
      </w:r>
    </w:p>
    <w:p w14:paraId="35B32A19">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存在的串通投标情形的； </w:t>
      </w:r>
    </w:p>
    <w:p w14:paraId="3A7D4D90">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存在向采购人、代理机构或评标专家行贿事实的； </w:t>
      </w:r>
    </w:p>
    <w:p w14:paraId="44A372FD">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法律、法规规定的其它情况。 </w:t>
      </w:r>
    </w:p>
    <w:p w14:paraId="48F3F0C4">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投标有效期</w:t>
      </w:r>
    </w:p>
    <w:p w14:paraId="71A4AFA0">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投标文件应在</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中规定的投标有效期内保持有效，投标有效期少于招标文件规定期限的，其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186E96E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采购人或采购代理机构可根据实际情况，在原投标有效期截止之前，要求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延长投标文件的有效期。接受该要求的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将不会被要求和允许修正其投标，且本须知中有关投标保证金的要求须在延长的有效期内继续有效。</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也可以拒绝延长投标有效期的要求，退还其投标保证金。上述要求和答复都应以书面形式提交。</w:t>
      </w:r>
    </w:p>
    <w:p w14:paraId="00F22F0C">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投标文件的制作</w:t>
      </w:r>
    </w:p>
    <w:p w14:paraId="6CE0BA85">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投标文件中，所有内容均以电子文件编制，如因不按电子招投标平台要求编制导致系统无法检索、读取相关信息时，其后果由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承担。由于本项目采用电子化投标，请充分考虑设备、网络环境、人员对系统熟悉度等因素，合理安排投标文件制作、提交时间，建议至少提前一天完成制作、提交工作。</w:t>
      </w:r>
    </w:p>
    <w:p w14:paraId="126356A4">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应使用电子招投标平台提供的投标客户端编制、标记、加密投标文件，成功加密后将生成指定格式的电子投标文件和电子备用投标文件</w:t>
      </w:r>
    </w:p>
    <w:p w14:paraId="7DB64CC4">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如有对多个采购包投标的，要对每个采购包独立制作电子投标文件。</w:t>
      </w:r>
    </w:p>
    <w:p w14:paraId="4D6BD98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须对招标文件的对应要求给予唯一的实质性响应，否则将视为</w:t>
      </w:r>
      <w:r>
        <w:rPr>
          <w:rFonts w:hint="eastAsia" w:ascii="仿宋" w:hAnsi="仿宋" w:eastAsia="仿宋" w:cs="仿宋_GB2312"/>
          <w:b/>
          <w:bCs/>
          <w:color w:val="auto"/>
          <w:sz w:val="24"/>
          <w:highlight w:val="none"/>
        </w:rPr>
        <w:t>不响应</w:t>
      </w:r>
      <w:r>
        <w:rPr>
          <w:rFonts w:hint="eastAsia" w:ascii="仿宋" w:hAnsi="仿宋" w:eastAsia="仿宋" w:cs="仿宋_GB2312"/>
          <w:color w:val="auto"/>
          <w:sz w:val="24"/>
          <w:highlight w:val="none"/>
        </w:rPr>
        <w:t>。</w:t>
      </w:r>
    </w:p>
    <w:p w14:paraId="359F7A81">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应按招标文件的规定及附件要求的内容和格式完整地填写和提供资料。</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必须对投标文件所提供的全部资料的真实性承担法律责任，并无条件接受采购人和政府采购监督管理部门对其中任何资料进行核实（核对原件）的要求。</w:t>
      </w:r>
    </w:p>
    <w:p w14:paraId="53D435D8">
      <w:pPr>
        <w:tabs>
          <w:tab w:val="left" w:pos="0"/>
        </w:tabs>
        <w:spacing w:line="500" w:lineRule="exact"/>
        <w:rPr>
          <w:rFonts w:ascii="仿宋" w:hAnsi="仿宋" w:eastAsia="仿宋" w:cs="仿宋_GB2312"/>
          <w:color w:val="auto"/>
          <w:sz w:val="24"/>
          <w:highlight w:val="none"/>
        </w:rPr>
      </w:pPr>
    </w:p>
    <w:p w14:paraId="176CF569">
      <w:pPr>
        <w:numPr>
          <w:ilvl w:val="0"/>
          <w:numId w:val="8"/>
        </w:numPr>
        <w:tabs>
          <w:tab w:val="left" w:pos="0"/>
        </w:tabs>
        <w:spacing w:line="500" w:lineRule="exact"/>
        <w:jc w:val="center"/>
        <w:outlineLvl w:val="1"/>
        <w:rPr>
          <w:rFonts w:ascii="仿宋" w:hAnsi="仿宋" w:eastAsia="仿宋" w:cs="仿宋_GB2312"/>
          <w:b/>
          <w:bCs/>
          <w:color w:val="auto"/>
          <w:sz w:val="24"/>
          <w:highlight w:val="none"/>
        </w:rPr>
      </w:pPr>
      <w:bookmarkStart w:id="13" w:name="_Toc21719"/>
      <w:r>
        <w:rPr>
          <w:rFonts w:hint="eastAsia" w:ascii="仿宋" w:hAnsi="仿宋" w:eastAsia="仿宋" w:cs="仿宋_GB2312"/>
          <w:b/>
          <w:bCs/>
          <w:color w:val="auto"/>
          <w:sz w:val="24"/>
          <w:highlight w:val="none"/>
        </w:rPr>
        <w:t>投标文件的提交</w:t>
      </w:r>
      <w:bookmarkEnd w:id="13"/>
    </w:p>
    <w:p w14:paraId="6D328505">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投标文件的提交</w:t>
      </w:r>
    </w:p>
    <w:p w14:paraId="11BED8E0">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应在</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上传投标文件，已上传投标文件但未完成传输的文件系统将拒绝接收。</w:t>
      </w:r>
    </w:p>
    <w:p w14:paraId="4680E80C">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代理机构对因不可抗力事件造成的投标文件的损坏、丢失的，不承担责任。</w:t>
      </w:r>
    </w:p>
    <w:p w14:paraId="63886C57">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出现下述情形之一，属于未成功提交投标文件，按</w:t>
      </w:r>
      <w:r>
        <w:rPr>
          <w:rFonts w:hint="eastAsia" w:ascii="仿宋" w:hAnsi="仿宋" w:eastAsia="仿宋" w:cs="仿宋_GB2312"/>
          <w:b/>
          <w:bCs/>
          <w:color w:val="auto"/>
          <w:sz w:val="24"/>
          <w:highlight w:val="none"/>
        </w:rPr>
        <w:t>无效投标处理</w:t>
      </w:r>
      <w:r>
        <w:rPr>
          <w:rFonts w:hint="eastAsia" w:ascii="仿宋" w:hAnsi="仿宋" w:eastAsia="仿宋" w:cs="仿宋_GB2312"/>
          <w:color w:val="auto"/>
          <w:sz w:val="24"/>
          <w:highlight w:val="none"/>
        </w:rPr>
        <w:t>：</w:t>
      </w:r>
    </w:p>
    <w:p w14:paraId="5718BDCD">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至提交投标文件截止时，投标文件未完整上传的。 </w:t>
      </w:r>
    </w:p>
    <w:p w14:paraId="176E550D">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投标文件未按投标格式中注明需签字盖章的要求进行签名（含电子签名）和加盖电子印章，或签名（含电子签名）或电子印章不完整的。</w:t>
      </w:r>
    </w:p>
    <w:p w14:paraId="79A8247A">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投标文件损坏或格式不正确的。</w:t>
      </w:r>
    </w:p>
    <w:p w14:paraId="25FB0EA5">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投标文件的修改、撤回与撤销</w:t>
      </w:r>
    </w:p>
    <w:p w14:paraId="4654C2DF">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在提交投标文件截止时间前，</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可以修改或撤回未解密的电子投标文件，并于提交投标文件截止时间前将修改后重新生成的电子投标文件上传至系统，到达投标文件提交截止时间后，将不允许修改或撤回。</w:t>
      </w:r>
    </w:p>
    <w:p w14:paraId="798D3498">
      <w:pPr>
        <w:numPr>
          <w:ilvl w:val="2"/>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在提交投标文件截止时间后，</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不得补充、修改和更换投标文件。</w:t>
      </w:r>
      <w:r>
        <w:rPr>
          <w:rFonts w:hint="eastAsia" w:ascii="仿宋" w:hAnsi="仿宋" w:eastAsia="仿宋" w:cs="仿宋_GB2312"/>
          <w:b/>
          <w:bCs/>
          <w:color w:val="auto"/>
          <w:sz w:val="24"/>
          <w:highlight w:val="none"/>
        </w:rPr>
        <w:t xml:space="preserve"> </w:t>
      </w:r>
    </w:p>
    <w:p w14:paraId="567752B7">
      <w:pPr>
        <w:tabs>
          <w:tab w:val="left" w:pos="0"/>
        </w:tabs>
        <w:spacing w:line="500" w:lineRule="exact"/>
        <w:rPr>
          <w:rFonts w:ascii="仿宋" w:hAnsi="仿宋" w:eastAsia="仿宋" w:cs="仿宋_GB2312"/>
          <w:b/>
          <w:bCs/>
          <w:color w:val="auto"/>
          <w:sz w:val="24"/>
          <w:highlight w:val="none"/>
        </w:rPr>
      </w:pPr>
    </w:p>
    <w:p w14:paraId="7EE82CEF">
      <w:pPr>
        <w:numPr>
          <w:ilvl w:val="0"/>
          <w:numId w:val="8"/>
        </w:numPr>
        <w:tabs>
          <w:tab w:val="left" w:pos="0"/>
        </w:tabs>
        <w:spacing w:line="500" w:lineRule="exact"/>
        <w:jc w:val="center"/>
        <w:outlineLvl w:val="1"/>
        <w:rPr>
          <w:rFonts w:ascii="仿宋" w:hAnsi="仿宋" w:eastAsia="仿宋" w:cs="仿宋_GB2312"/>
          <w:b/>
          <w:bCs/>
          <w:color w:val="auto"/>
          <w:sz w:val="24"/>
          <w:highlight w:val="none"/>
        </w:rPr>
      </w:pPr>
      <w:bookmarkStart w:id="14" w:name="_Toc15263"/>
      <w:r>
        <w:rPr>
          <w:rFonts w:hint="eastAsia" w:ascii="仿宋" w:hAnsi="仿宋" w:eastAsia="仿宋" w:cs="仿宋_GB2312"/>
          <w:b/>
          <w:bCs/>
          <w:color w:val="auto"/>
          <w:sz w:val="24"/>
          <w:highlight w:val="none"/>
        </w:rPr>
        <w:t>开标、资格审查及评标</w:t>
      </w:r>
      <w:bookmarkEnd w:id="14"/>
    </w:p>
    <w:p w14:paraId="6F47B357">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开标</w:t>
      </w:r>
    </w:p>
    <w:p w14:paraId="0DC74915">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采购人和采购代理机构将按</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中规定的开标时间和地点组织公开开标并邀请所有</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代表参加。开标时，由采购人或者采购代理机构工作人员宣布</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名称、解密情况，投标价格和招标文件规定的需要宣布的其他内容（以开标一览表要求为准），开标为远程电子开标。</w:t>
      </w:r>
    </w:p>
    <w:p w14:paraId="4E871ED0">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采用远程电子开标的：</w:t>
      </w:r>
    </w:p>
    <w:p w14:paraId="4F879F89">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w:t>
      </w:r>
    </w:p>
    <w:p w14:paraId="03DE3B77">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应当使用编制本项目（采购包）电子投标文件时加密所用数字证书在开始解密后按照代理机构规定的时间内完成电子投标文件的解密，如遇不可抗力等其他特殊情况，采购代理机构可视情况延长解密时间。</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未携带数字证书或其他非系统原因导致的在规定时间内未解密投标文件，将作</w:t>
      </w:r>
      <w:r>
        <w:rPr>
          <w:rFonts w:hint="eastAsia" w:ascii="仿宋" w:hAnsi="仿宋" w:eastAsia="仿宋" w:cs="仿宋_GB2312"/>
          <w:b/>
          <w:bCs/>
          <w:color w:val="auto"/>
          <w:sz w:val="24"/>
          <w:highlight w:val="none"/>
        </w:rPr>
        <w:t>无效投标处理</w:t>
      </w:r>
      <w:r>
        <w:rPr>
          <w:rFonts w:hint="eastAsia" w:ascii="仿宋" w:hAnsi="仿宋" w:eastAsia="仿宋" w:cs="仿宋_GB2312"/>
          <w:color w:val="auto"/>
          <w:sz w:val="24"/>
          <w:highlight w:val="none"/>
        </w:rPr>
        <w:t>。（采用远程电子开标的，各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在参加开标以前须自行对使用电脑的网络环境、驱动安装、客户端安装以及数字证书的有效性等进行检测，确保可以正常使用）。</w:t>
      </w:r>
    </w:p>
    <w:p w14:paraId="025E7E6F">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无法在代理规定的时间内完成备用电子投标文件的上传，投标将被拒绝，作</w:t>
      </w:r>
      <w:r>
        <w:rPr>
          <w:rFonts w:hint="eastAsia" w:ascii="仿宋" w:hAnsi="仿宋" w:eastAsia="仿宋" w:cs="仿宋_GB2312"/>
          <w:b/>
          <w:bCs/>
          <w:color w:val="auto"/>
          <w:sz w:val="24"/>
          <w:highlight w:val="none"/>
        </w:rPr>
        <w:t>无效投标处理</w:t>
      </w:r>
      <w:r>
        <w:rPr>
          <w:rFonts w:hint="eastAsia" w:ascii="仿宋" w:hAnsi="仿宋" w:eastAsia="仿宋" w:cs="仿宋_GB2312"/>
          <w:color w:val="auto"/>
          <w:sz w:val="24"/>
          <w:highlight w:val="none"/>
        </w:rPr>
        <w:t>。</w:t>
      </w:r>
    </w:p>
    <w:p w14:paraId="3A20A4B6">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代表对开标过程和开标记录有疑义，以及认为采购人、采购代理机构相关工作人员有需要回避的情形的，应当场提出询问或者回避申请。</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未参加开标的，视同认可开标结果。</w:t>
      </w:r>
    </w:p>
    <w:p w14:paraId="4DC7B45F">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投标截止时间后，</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不足3家的，不得开标。同时，本次采购活动结束。</w:t>
      </w:r>
    </w:p>
    <w:p w14:paraId="2D9421E5">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开标时出现下列情况的，视为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处理：</w:t>
      </w:r>
    </w:p>
    <w:p w14:paraId="4D4CAC75">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自身原因，未在规定时间内完成电子投标文件解密的；</w:t>
      </w:r>
    </w:p>
    <w:p w14:paraId="435C8DDF">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76722250">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采购人或采购代理机构将对开标过程进行记录，由参加开标的各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代表和相关工作人员签字确认。</w:t>
      </w:r>
    </w:p>
    <w:p w14:paraId="06390ECF">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资格审查</w:t>
      </w:r>
    </w:p>
    <w:p w14:paraId="491142D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采购人或采购代理机构依据法律法规和招标文件中规定的内容，对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及其投标货物或服务的资格进行审查，未通过资格审查的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不进入评标；资格证明文件不按电子招投标平台要求编制导致系统无法检索、读取相关信息时，将被认定为未通过资格审查；通过资格审查的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少于三家的，不进行评标。 </w:t>
      </w:r>
    </w:p>
    <w:p w14:paraId="714B3C8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资格审查要求详见第六章《评标程序、评标方法和评标标准》。</w:t>
      </w:r>
    </w:p>
    <w:p w14:paraId="56EBAB76">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采购人或采购代理机构将按第六章《评标程序、评标方法和评标标准》中规定的时间查询</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的信用记录。采购人或采购代理机构将查询网页打印、签字并存档备查。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不良信用记录以采购人或采购代理机构查询结果为准。在本招标文件规定的查询时间之外，网站信息发生的任何变更均不作为资格审查依据。</w:t>
      </w:r>
    </w:p>
    <w:p w14:paraId="5BC59B09">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评标委员会</w:t>
      </w:r>
    </w:p>
    <w:p w14:paraId="702673FE">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评标委员会根据政府采购有关规定和本次招标采购项目的特点进行组建，并负责具体评标事务，独立履行职责。 </w:t>
      </w:r>
    </w:p>
    <w:p w14:paraId="17488D75">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0B89102A">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评标程序、评标方法和评标标准</w:t>
      </w:r>
    </w:p>
    <w:p w14:paraId="3E7B491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详见第六章《评标程序、评标方法和评标标准》</w:t>
      </w:r>
    </w:p>
    <w:p w14:paraId="413B98E7">
      <w:pPr>
        <w:spacing w:line="500" w:lineRule="exact"/>
        <w:rPr>
          <w:rFonts w:ascii="仿宋" w:hAnsi="仿宋" w:eastAsia="仿宋" w:cs="仿宋_GB2312"/>
          <w:color w:val="auto"/>
          <w:sz w:val="24"/>
          <w:highlight w:val="none"/>
        </w:rPr>
      </w:pPr>
    </w:p>
    <w:p w14:paraId="6A136437">
      <w:pPr>
        <w:numPr>
          <w:ilvl w:val="0"/>
          <w:numId w:val="8"/>
        </w:numPr>
        <w:spacing w:line="500" w:lineRule="exact"/>
        <w:jc w:val="center"/>
        <w:outlineLvl w:val="1"/>
        <w:rPr>
          <w:rFonts w:ascii="仿宋" w:hAnsi="仿宋" w:eastAsia="仿宋" w:cs="仿宋_GB2312"/>
          <w:b/>
          <w:bCs/>
          <w:color w:val="auto"/>
          <w:sz w:val="24"/>
          <w:highlight w:val="none"/>
        </w:rPr>
      </w:pPr>
      <w:bookmarkStart w:id="15" w:name="_Toc7787"/>
      <w:r>
        <w:rPr>
          <w:rFonts w:hint="eastAsia" w:ascii="仿宋" w:hAnsi="仿宋" w:eastAsia="仿宋" w:cs="仿宋_GB2312"/>
          <w:b/>
          <w:bCs/>
          <w:color w:val="auto"/>
          <w:sz w:val="24"/>
          <w:highlight w:val="none"/>
        </w:rPr>
        <w:t>确定中标</w:t>
      </w:r>
      <w:bookmarkEnd w:id="15"/>
    </w:p>
    <w:p w14:paraId="1C737F3A">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确定中标人</w:t>
      </w:r>
    </w:p>
    <w:p w14:paraId="2DAFA6CF">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采购人将在评标报告确定的中标候选人名单中按综合得分排名顺序确定中标人。采购人是否委托评标委员会直接确定中标人见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3F8D9ACC">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中标公告与中标通知书</w:t>
      </w:r>
    </w:p>
    <w:p w14:paraId="59ED199A">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采购人或采购代理机构自中标人确定之日起 2 个工作日内，在招标公告发布媒体发布中标结果，同时向中标人发出中标通知书，中标公告期限为 1 个工作日。</w:t>
      </w:r>
    </w:p>
    <w:p w14:paraId="16DCB53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中标通知书对采购人和中标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均具有法律效力。中标通知书发出后，中标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放弃中标项目的，应当依法承担法律责任。</w:t>
      </w:r>
    </w:p>
    <w:p w14:paraId="4F5E3B9F">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废标</w:t>
      </w:r>
    </w:p>
    <w:p w14:paraId="7A626C3A">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在招标采购中，出现下列情形之一的，应予废标：</w:t>
      </w:r>
    </w:p>
    <w:p w14:paraId="6C92DD08">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符合专业条件的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或者对招标文件作实质响应的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不足三家的；</w:t>
      </w:r>
    </w:p>
    <w:p w14:paraId="423D7158">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出现影响采购公正的违法、违规行为的；</w:t>
      </w:r>
    </w:p>
    <w:p w14:paraId="1369336A">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的报价均超过了采购预算，采购人不能支付的；</w:t>
      </w:r>
    </w:p>
    <w:p w14:paraId="54F1CBA3">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因重大变故，采购任务取消的。</w:t>
      </w:r>
    </w:p>
    <w:p w14:paraId="68ED7B54">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废标后，采购人将废标理由通知所有</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p>
    <w:p w14:paraId="7D9AD004">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签订合同</w:t>
      </w:r>
    </w:p>
    <w:p w14:paraId="6781433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3FC6904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中标人拒绝与采购人签订合同的，采购人可以按照评标报告推荐的中标候选人名单排序，确定下一候选人为中标人，也可以重新开展政府采购活动。</w:t>
      </w:r>
    </w:p>
    <w:p w14:paraId="1106B54E">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联合体中标的，联合体各方应当共同与采购人签订合同，就中标项目向采购人承担连带责任。 </w:t>
      </w:r>
    </w:p>
    <w:p w14:paraId="2C28FEA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政府采购合同不能转包。如采购人允许采用分包方式履行合同的，中标人可以依法在中标后将中标项目的非主体、非关键性工作采取分包方式履行合同。</w:t>
      </w:r>
    </w:p>
    <w:p w14:paraId="4FE2134B">
      <w:pPr>
        <w:numPr>
          <w:ilvl w:val="1"/>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lang w:val="en-US" w:eastAsia="zh-CN"/>
        </w:rPr>
        <w:t>进口产品供货时，中标人必须提供有效的进口产品报关手续证明材料</w:t>
      </w:r>
    </w:p>
    <w:p w14:paraId="4AD8C06A">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履约保证金</w:t>
      </w:r>
    </w:p>
    <w:p w14:paraId="7426F12B">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中标人应按照</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规定的金额、形式和时间向采购人缴纳履约保证金。</w:t>
      </w:r>
    </w:p>
    <w:p w14:paraId="7E019F4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经采购人同意，中标人也可以自愿采用其他履约保证金的提供方式。</w:t>
      </w:r>
    </w:p>
    <w:p w14:paraId="2DB815F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4E055D7B">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代理服务费</w:t>
      </w:r>
    </w:p>
    <w:p w14:paraId="3148A05F">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收费对象、收费标准及缴纳时间见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 xml:space="preserve">。由中标人支付的，中标人须一次性向采购代理机构缴纳代理费，投标报价应包含代理费用。 </w:t>
      </w:r>
    </w:p>
    <w:p w14:paraId="039054C2">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询问与质疑</w:t>
      </w:r>
    </w:p>
    <w:p w14:paraId="49BE84A6">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询问</w:t>
      </w:r>
    </w:p>
    <w:p w14:paraId="2A7E780B">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中“采购人、采购代理机构的名称、地址和联系方式”。</w:t>
      </w:r>
    </w:p>
    <w:p w14:paraId="5FCF8FE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质疑</w:t>
      </w:r>
    </w:p>
    <w:p w14:paraId="578629F5">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认为招标文件、采购过程、中标结果使自己的权益受到损害的，可以在知道或者应知其权益受到损害之日起 7 个工作日内，由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派授权代表以书面形式向采购人、采购代理机构提出质疑。采购人、采购代理机构在收到质疑函后 7 个工作日内作出答复。</w:t>
      </w:r>
    </w:p>
    <w:p w14:paraId="73714B84">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应知其权益受到损害之日是指：</w:t>
      </w:r>
    </w:p>
    <w:p w14:paraId="7FE4A765">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（1）对招标文件提出质疑的，为获取招标文件之日或者招标文件获取期限届满之日；</w:t>
      </w:r>
    </w:p>
    <w:p w14:paraId="2CF9242B">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（2）对采购过程提出质疑的，为各采购程序环节结束之日；</w:t>
      </w:r>
    </w:p>
    <w:p w14:paraId="52C949B8">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（3）对中标结果提出质疑的，为中标结果公告期限届满之日。 </w:t>
      </w:r>
    </w:p>
    <w:p w14:paraId="5EC9DAC4">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1D396F1">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质疑函须使用财政部制定的范本文件。</w:t>
      </w:r>
    </w:p>
    <w:p w14:paraId="7ABC2DAA">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为自然人的，应当由本人签字；</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为法人或者其他组织的，应当由法定代表人、主要负责人，或者其授权代表签字或者盖章，并加盖公章。</w:t>
      </w:r>
    </w:p>
    <w:p w14:paraId="1270812B">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752F8253">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其他</w:t>
      </w:r>
    </w:p>
    <w:p w14:paraId="43003515">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5AAB6E69">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在采购人或采购代理机构认为适当时、国家机关调查、审查、审计时以及其他符合法律规定的情形下，采购人或采购代理机构无须事先征求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同意而可以披露关于采购过程、合同文本、签署情况的资料、</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的名称及地址、投标文件的有关信息以及补充条款等，但应当在合理的必要范围内。对任何已经公布过的内容或与之内容相同的资料，以及</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已经泄露或公开的，无须再承担保密责任。</w:t>
      </w:r>
    </w:p>
    <w:p w14:paraId="31C8E004">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适用于本</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须知的额外增加的变动详见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2118C327">
      <w:pPr>
        <w:spacing w:line="500" w:lineRule="exact"/>
        <w:rPr>
          <w:rFonts w:ascii="仿宋" w:hAnsi="仿宋" w:eastAsia="仿宋" w:cs="仿宋_GB2312"/>
          <w:color w:val="auto"/>
          <w:sz w:val="24"/>
          <w:highlight w:val="none"/>
        </w:rPr>
      </w:pPr>
    </w:p>
    <w:p w14:paraId="4E669F92">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32467265">
      <w:pPr>
        <w:pStyle w:val="2"/>
        <w:numPr>
          <w:ilvl w:val="0"/>
          <w:numId w:val="1"/>
        </w:numPr>
        <w:jc w:val="center"/>
        <w:rPr>
          <w:rFonts w:ascii="仿宋" w:hAnsi="仿宋" w:eastAsia="仿宋" w:cs="仿宋_GB2312"/>
          <w:color w:val="auto"/>
          <w:sz w:val="32"/>
          <w:szCs w:val="32"/>
          <w:highlight w:val="none"/>
        </w:rPr>
      </w:pPr>
      <w:bookmarkStart w:id="16" w:name="_Toc22543"/>
      <w:r>
        <w:rPr>
          <w:rFonts w:hint="eastAsia" w:ascii="仿宋" w:hAnsi="仿宋" w:eastAsia="仿宋" w:cs="仿宋_GB2312"/>
          <w:color w:val="auto"/>
          <w:sz w:val="32"/>
          <w:szCs w:val="32"/>
          <w:highlight w:val="none"/>
        </w:rPr>
        <w:t>政府采购合同</w:t>
      </w:r>
      <w:bookmarkEnd w:id="16"/>
    </w:p>
    <w:p w14:paraId="091833EF">
      <w:pPr>
        <w:keepNext w:val="0"/>
        <w:keepLines w:val="0"/>
        <w:widowControl/>
        <w:suppressLineNumbers w:val="0"/>
        <w:jc w:val="center"/>
        <w:rPr>
          <w:color w:val="auto"/>
          <w:highlight w:val="none"/>
        </w:rPr>
      </w:pPr>
      <w:r>
        <w:rPr>
          <w:rFonts w:ascii="浠垮畫" w:hAnsi="浠垮畫" w:eastAsia="浠垮畫" w:cs="浠垮畫"/>
          <w:b/>
          <w:bCs/>
          <w:color w:val="auto"/>
          <w:kern w:val="0"/>
          <w:sz w:val="48"/>
          <w:szCs w:val="48"/>
          <w:highlight w:val="none"/>
          <w:lang w:val="en-US" w:eastAsia="zh-CN" w:bidi="ar"/>
        </w:rPr>
        <w:t>政府采购合同</w:t>
      </w:r>
    </w:p>
    <w:p w14:paraId="7CC5D2AD">
      <w:pPr>
        <w:keepNext w:val="0"/>
        <w:keepLines w:val="0"/>
        <w:widowControl/>
        <w:suppressLineNumbers w:val="0"/>
        <w:jc w:val="center"/>
        <w:rPr>
          <w:color w:val="auto"/>
          <w:highlight w:val="none"/>
        </w:rPr>
      </w:pPr>
      <w:r>
        <w:rPr>
          <w:rFonts w:hint="default" w:ascii="浠垮畫" w:hAnsi="浠垮畫" w:eastAsia="浠垮畫" w:cs="浠垮畫"/>
          <w:b/>
          <w:bCs/>
          <w:color w:val="auto"/>
          <w:kern w:val="0"/>
          <w:sz w:val="20"/>
          <w:szCs w:val="20"/>
          <w:highlight w:val="none"/>
          <w:lang w:val="en-US" w:eastAsia="zh-CN" w:bidi="ar"/>
        </w:rPr>
        <w:t>（本合同仅供参考，具体以实际签订的合同为准）</w:t>
      </w:r>
    </w:p>
    <w:p w14:paraId="2D013C7B">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289FAA24">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44C60E14">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149985FA">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35A254AF">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1A8E00E4">
      <w:pPr>
        <w:keepNext w:val="0"/>
        <w:keepLines w:val="0"/>
        <w:widowControl/>
        <w:suppressLineNumbers w:val="0"/>
        <w:ind w:firstLine="2160" w:firstLineChars="900"/>
        <w:jc w:val="left"/>
        <w:rPr>
          <w:rFonts w:hint="eastAsia" w:ascii="浠垮畫" w:hAnsi="浠垮畫" w:eastAsia="浠垮畫" w:cs="浠垮畫"/>
          <w:color w:val="auto"/>
          <w:kern w:val="0"/>
          <w:sz w:val="24"/>
          <w:szCs w:val="24"/>
          <w:highlight w:val="none"/>
          <w:u w:val="single"/>
          <w:lang w:val="en-US" w:eastAsia="zh-CN" w:bidi="ar"/>
        </w:rPr>
      </w:pPr>
      <w:r>
        <w:rPr>
          <w:rFonts w:hint="default" w:ascii="浠垮畫" w:hAnsi="浠垮畫" w:eastAsia="浠垮畫" w:cs="浠垮畫"/>
          <w:color w:val="auto"/>
          <w:kern w:val="0"/>
          <w:sz w:val="24"/>
          <w:szCs w:val="24"/>
          <w:highlight w:val="none"/>
          <w:lang w:val="en-US" w:eastAsia="zh-CN" w:bidi="ar"/>
        </w:rPr>
        <w:t>项目名称：</w:t>
      </w:r>
      <w:r>
        <w:rPr>
          <w:rFonts w:hint="eastAsia" w:ascii="浠垮畫" w:hAnsi="浠垮畫" w:eastAsia="浠垮畫" w:cs="浠垮畫"/>
          <w:color w:val="auto"/>
          <w:kern w:val="0"/>
          <w:sz w:val="24"/>
          <w:szCs w:val="24"/>
          <w:highlight w:val="none"/>
          <w:u w:val="single"/>
          <w:lang w:val="en-US" w:eastAsia="zh-CN" w:bidi="ar"/>
        </w:rPr>
        <w:t xml:space="preserve">                   </w:t>
      </w:r>
    </w:p>
    <w:p w14:paraId="7C13C50A">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67241BCA">
      <w:pPr>
        <w:keepNext w:val="0"/>
        <w:keepLines w:val="0"/>
        <w:widowControl/>
        <w:suppressLineNumbers w:val="0"/>
        <w:ind w:firstLine="2160" w:firstLineChars="900"/>
        <w:jc w:val="left"/>
        <w:rPr>
          <w:rFonts w:hint="eastAsia" w:ascii="浠垮畫" w:hAnsi="浠垮畫" w:eastAsia="浠垮畫" w:cs="浠垮畫"/>
          <w:color w:val="auto"/>
          <w:kern w:val="0"/>
          <w:sz w:val="24"/>
          <w:szCs w:val="24"/>
          <w:highlight w:val="none"/>
          <w:u w:val="single"/>
          <w:lang w:val="en-US" w:eastAsia="zh-CN" w:bidi="ar"/>
        </w:rPr>
      </w:pPr>
      <w:r>
        <w:rPr>
          <w:rFonts w:hint="default" w:ascii="浠垮畫" w:hAnsi="浠垮畫" w:eastAsia="浠垮畫" w:cs="浠垮畫"/>
          <w:color w:val="auto"/>
          <w:kern w:val="0"/>
          <w:sz w:val="24"/>
          <w:szCs w:val="24"/>
          <w:highlight w:val="none"/>
          <w:lang w:val="en-US" w:eastAsia="zh-CN" w:bidi="ar"/>
        </w:rPr>
        <w:t>甲</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 xml:space="preserve"> 方</w:t>
      </w:r>
      <w:r>
        <w:rPr>
          <w:rFonts w:hint="eastAsia" w:ascii="浠垮畫" w:hAnsi="浠垮畫" w:eastAsia="浠垮畫" w:cs="浠垮畫"/>
          <w:color w:val="auto"/>
          <w:kern w:val="0"/>
          <w:sz w:val="24"/>
          <w:szCs w:val="24"/>
          <w:highlight w:val="none"/>
          <w:lang w:val="en-US" w:eastAsia="zh-CN" w:bidi="ar"/>
        </w:rPr>
        <w:t>：</w:t>
      </w:r>
      <w:r>
        <w:rPr>
          <w:rFonts w:hint="eastAsia" w:ascii="浠垮畫" w:hAnsi="浠垮畫" w:eastAsia="浠垮畫" w:cs="浠垮畫"/>
          <w:color w:val="auto"/>
          <w:kern w:val="0"/>
          <w:sz w:val="24"/>
          <w:szCs w:val="24"/>
          <w:highlight w:val="none"/>
          <w:u w:val="single"/>
          <w:lang w:val="en-US" w:eastAsia="zh-CN" w:bidi="ar"/>
        </w:rPr>
        <w:t xml:space="preserve">                   </w:t>
      </w:r>
    </w:p>
    <w:p w14:paraId="62591F90">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29210592">
      <w:pPr>
        <w:keepNext w:val="0"/>
        <w:keepLines w:val="0"/>
        <w:widowControl/>
        <w:suppressLineNumbers w:val="0"/>
        <w:ind w:firstLine="2160" w:firstLineChars="900"/>
        <w:jc w:val="left"/>
        <w:rPr>
          <w:rFonts w:hint="eastAsia" w:ascii="浠垮畫" w:hAnsi="浠垮畫" w:eastAsia="浠垮畫" w:cs="浠垮畫"/>
          <w:color w:val="auto"/>
          <w:kern w:val="0"/>
          <w:sz w:val="24"/>
          <w:szCs w:val="24"/>
          <w:highlight w:val="none"/>
          <w:u w:val="single"/>
          <w:lang w:val="en-US" w:eastAsia="zh-CN" w:bidi="ar"/>
        </w:rPr>
      </w:pPr>
      <w:r>
        <w:rPr>
          <w:rFonts w:hint="default" w:ascii="浠垮畫" w:hAnsi="浠垮畫" w:eastAsia="浠垮畫" w:cs="浠垮畫"/>
          <w:color w:val="auto"/>
          <w:kern w:val="0"/>
          <w:sz w:val="24"/>
          <w:szCs w:val="24"/>
          <w:highlight w:val="none"/>
          <w:lang w:val="en-US" w:eastAsia="zh-CN" w:bidi="ar"/>
        </w:rPr>
        <w:t xml:space="preserve">乙 </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方：</w:t>
      </w:r>
      <w:r>
        <w:rPr>
          <w:rFonts w:hint="eastAsia" w:ascii="浠垮畫" w:hAnsi="浠垮畫" w:eastAsia="浠垮畫" w:cs="浠垮畫"/>
          <w:color w:val="auto"/>
          <w:kern w:val="0"/>
          <w:sz w:val="24"/>
          <w:szCs w:val="24"/>
          <w:highlight w:val="none"/>
          <w:u w:val="single"/>
          <w:lang w:val="en-US" w:eastAsia="zh-CN" w:bidi="ar"/>
        </w:rPr>
        <w:t xml:space="preserve">                   </w:t>
      </w:r>
    </w:p>
    <w:p w14:paraId="54847357">
      <w:pPr>
        <w:keepNext w:val="0"/>
        <w:keepLines w:val="0"/>
        <w:widowControl/>
        <w:suppressLineNumbers w:val="0"/>
        <w:jc w:val="left"/>
        <w:rPr>
          <w:color w:val="auto"/>
          <w:highlight w:val="none"/>
        </w:rPr>
      </w:pPr>
    </w:p>
    <w:p w14:paraId="79CDF0D0">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0246FB24">
      <w:pPr>
        <w:keepNext w:val="0"/>
        <w:keepLines w:val="0"/>
        <w:widowControl/>
        <w:suppressLineNumbers w:val="0"/>
        <w:ind w:firstLine="2160" w:firstLineChars="900"/>
        <w:jc w:val="left"/>
        <w:rPr>
          <w:color w:val="auto"/>
          <w:highlight w:val="none"/>
        </w:rPr>
      </w:pPr>
      <w:r>
        <w:rPr>
          <w:rFonts w:hint="default" w:ascii="浠垮畫" w:hAnsi="浠垮畫" w:eastAsia="浠垮畫" w:cs="浠垮畫"/>
          <w:color w:val="auto"/>
          <w:kern w:val="0"/>
          <w:sz w:val="24"/>
          <w:szCs w:val="24"/>
          <w:highlight w:val="none"/>
          <w:lang w:val="en-US" w:eastAsia="zh-CN" w:bidi="ar"/>
        </w:rPr>
        <w:t>签订时间：</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年</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月</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日</w:t>
      </w:r>
    </w:p>
    <w:p w14:paraId="58F92730">
      <w:pPr>
        <w:rPr>
          <w:rFonts w:hint="default" w:ascii="浠垮畫" w:hAnsi="浠垮畫" w:eastAsia="浠垮畫" w:cs="浠垮畫"/>
          <w:color w:val="auto"/>
          <w:kern w:val="0"/>
          <w:sz w:val="24"/>
          <w:szCs w:val="24"/>
          <w:highlight w:val="none"/>
          <w:lang w:val="en-US" w:eastAsia="zh-CN" w:bidi="ar"/>
        </w:rPr>
      </w:pPr>
      <w:r>
        <w:rPr>
          <w:rFonts w:hint="default" w:ascii="浠垮畫" w:hAnsi="浠垮畫" w:eastAsia="浠垮畫" w:cs="浠垮畫"/>
          <w:color w:val="auto"/>
          <w:kern w:val="0"/>
          <w:sz w:val="24"/>
          <w:szCs w:val="24"/>
          <w:highlight w:val="none"/>
          <w:lang w:val="en-US" w:eastAsia="zh-CN" w:bidi="ar"/>
        </w:rPr>
        <w:br w:type="page"/>
      </w:r>
    </w:p>
    <w:p w14:paraId="117C270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）委托（新疆世纪星工程咨询有限公司）进行了政府采购。按照评委会评审推荐、甲方确定乙方为成交单位。现甲乙双方协商同意签订本合同。 </w:t>
      </w:r>
    </w:p>
    <w:p w14:paraId="69B4B8E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第一条 合同文件 </w:t>
      </w:r>
    </w:p>
    <w:p w14:paraId="6D3D451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下列与本次采购活动有关的文件及附件是本合同不可分割的组成部分，与本合同具有同等法律效力，这些文件包括但不限于： </w:t>
      </w:r>
    </w:p>
    <w:p w14:paraId="7B953FA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1.招标文件 </w:t>
      </w:r>
    </w:p>
    <w:p w14:paraId="3CE2CD6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2.成交供应商投标文件 </w:t>
      </w:r>
    </w:p>
    <w:p w14:paraId="2B6467C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3.乙方在投标时的书面承诺 </w:t>
      </w:r>
    </w:p>
    <w:p w14:paraId="2496A2A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4.成交通知书 </w:t>
      </w:r>
    </w:p>
    <w:p w14:paraId="53A2A1A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5.合同补充条款或说明 </w:t>
      </w:r>
    </w:p>
    <w:p w14:paraId="21645FD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6.保密协议或条款 </w:t>
      </w:r>
    </w:p>
    <w:p w14:paraId="2E6EE77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7.相关附件、图纸及电子版资料 </w:t>
      </w:r>
    </w:p>
    <w:p w14:paraId="703ABFE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第二条 合同内容 </w:t>
      </w:r>
    </w:p>
    <w:tbl>
      <w:tblPr>
        <w:tblStyle w:val="24"/>
        <w:tblW w:w="876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87"/>
        <w:gridCol w:w="1238"/>
        <w:gridCol w:w="887"/>
        <w:gridCol w:w="1013"/>
        <w:gridCol w:w="1137"/>
        <w:gridCol w:w="1213"/>
        <w:gridCol w:w="1393"/>
      </w:tblGrid>
      <w:tr w14:paraId="3A0CD3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1" w:hRule="atLeast"/>
        </w:trPr>
        <w:tc>
          <w:tcPr>
            <w:tcW w:w="1887" w:type="dxa"/>
            <w:noWrap w:val="0"/>
            <w:tcMar>
              <w:top w:w="0" w:type="dxa"/>
              <w:left w:w="108" w:type="dxa"/>
              <w:bottom w:w="0" w:type="dxa"/>
              <w:right w:w="108" w:type="dxa"/>
            </w:tcMar>
            <w:vAlign w:val="center"/>
          </w:tcPr>
          <w:p w14:paraId="480B02E7">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1238" w:type="dxa"/>
            <w:noWrap w:val="0"/>
            <w:tcMar>
              <w:top w:w="0" w:type="dxa"/>
              <w:left w:w="108" w:type="dxa"/>
              <w:bottom w:w="0" w:type="dxa"/>
              <w:right w:w="108" w:type="dxa"/>
            </w:tcMar>
            <w:vAlign w:val="center"/>
          </w:tcPr>
          <w:p w14:paraId="5999B890">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887" w:type="dxa"/>
            <w:noWrap w:val="0"/>
            <w:tcMar>
              <w:top w:w="0" w:type="dxa"/>
              <w:left w:w="108" w:type="dxa"/>
              <w:bottom w:w="0" w:type="dxa"/>
              <w:right w:w="108" w:type="dxa"/>
            </w:tcMar>
            <w:vAlign w:val="center"/>
          </w:tcPr>
          <w:p w14:paraId="3A46A94E">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013" w:type="dxa"/>
            <w:noWrap w:val="0"/>
            <w:tcMar>
              <w:top w:w="0" w:type="dxa"/>
              <w:left w:w="108" w:type="dxa"/>
              <w:bottom w:w="0" w:type="dxa"/>
              <w:right w:w="108" w:type="dxa"/>
            </w:tcMar>
            <w:vAlign w:val="center"/>
          </w:tcPr>
          <w:p w14:paraId="21C18A7A">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137" w:type="dxa"/>
            <w:noWrap w:val="0"/>
            <w:tcMar>
              <w:top w:w="0" w:type="dxa"/>
              <w:left w:w="108" w:type="dxa"/>
              <w:bottom w:w="0" w:type="dxa"/>
              <w:right w:w="108" w:type="dxa"/>
            </w:tcMar>
            <w:vAlign w:val="center"/>
          </w:tcPr>
          <w:p w14:paraId="7972FBF1">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c>
          <w:tcPr>
            <w:tcW w:w="1213" w:type="dxa"/>
            <w:noWrap w:val="0"/>
            <w:tcMar>
              <w:top w:w="0" w:type="dxa"/>
              <w:left w:w="108" w:type="dxa"/>
              <w:bottom w:w="0" w:type="dxa"/>
              <w:right w:w="108" w:type="dxa"/>
            </w:tcMar>
            <w:vAlign w:val="center"/>
          </w:tcPr>
          <w:p w14:paraId="1BEA0792">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1393" w:type="dxa"/>
            <w:noWrap w:val="0"/>
            <w:tcMar>
              <w:top w:w="0" w:type="dxa"/>
              <w:left w:w="108" w:type="dxa"/>
              <w:bottom w:w="0" w:type="dxa"/>
              <w:right w:w="108" w:type="dxa"/>
            </w:tcMar>
            <w:vAlign w:val="center"/>
          </w:tcPr>
          <w:p w14:paraId="5811BF6B">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F32A0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5" w:hRule="atLeast"/>
        </w:trPr>
        <w:tc>
          <w:tcPr>
            <w:tcW w:w="1887" w:type="dxa"/>
            <w:noWrap w:val="0"/>
            <w:tcMar>
              <w:top w:w="0" w:type="dxa"/>
              <w:left w:w="108" w:type="dxa"/>
              <w:bottom w:w="0" w:type="dxa"/>
              <w:right w:w="108" w:type="dxa"/>
            </w:tcMar>
            <w:vAlign w:val="center"/>
          </w:tcPr>
          <w:p w14:paraId="59EE18A4">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238" w:type="dxa"/>
            <w:noWrap w:val="0"/>
            <w:tcMar>
              <w:top w:w="0" w:type="dxa"/>
              <w:left w:w="108" w:type="dxa"/>
              <w:bottom w:w="0" w:type="dxa"/>
              <w:right w:w="108" w:type="dxa"/>
            </w:tcMar>
            <w:vAlign w:val="center"/>
          </w:tcPr>
          <w:p w14:paraId="6BDA9736">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887" w:type="dxa"/>
            <w:noWrap w:val="0"/>
            <w:tcMar>
              <w:top w:w="0" w:type="dxa"/>
              <w:left w:w="108" w:type="dxa"/>
              <w:bottom w:w="0" w:type="dxa"/>
              <w:right w:w="108" w:type="dxa"/>
            </w:tcMar>
            <w:vAlign w:val="center"/>
          </w:tcPr>
          <w:p w14:paraId="3AE63304">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013" w:type="dxa"/>
            <w:noWrap w:val="0"/>
            <w:tcMar>
              <w:top w:w="0" w:type="dxa"/>
              <w:left w:w="108" w:type="dxa"/>
              <w:bottom w:w="0" w:type="dxa"/>
              <w:right w:w="108" w:type="dxa"/>
            </w:tcMar>
            <w:vAlign w:val="center"/>
          </w:tcPr>
          <w:p w14:paraId="3010BC56">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137" w:type="dxa"/>
            <w:noWrap w:val="0"/>
            <w:tcMar>
              <w:top w:w="0" w:type="dxa"/>
              <w:left w:w="108" w:type="dxa"/>
              <w:bottom w:w="0" w:type="dxa"/>
              <w:right w:w="108" w:type="dxa"/>
            </w:tcMar>
            <w:vAlign w:val="center"/>
          </w:tcPr>
          <w:p w14:paraId="09D4632D">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213" w:type="dxa"/>
            <w:noWrap w:val="0"/>
            <w:tcMar>
              <w:top w:w="0" w:type="dxa"/>
              <w:left w:w="108" w:type="dxa"/>
              <w:bottom w:w="0" w:type="dxa"/>
              <w:right w:w="108" w:type="dxa"/>
            </w:tcMar>
            <w:vAlign w:val="center"/>
          </w:tcPr>
          <w:p w14:paraId="40254562">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393" w:type="dxa"/>
            <w:noWrap w:val="0"/>
            <w:tcMar>
              <w:top w:w="0" w:type="dxa"/>
              <w:left w:w="108" w:type="dxa"/>
              <w:bottom w:w="0" w:type="dxa"/>
              <w:right w:w="108" w:type="dxa"/>
            </w:tcMar>
            <w:vAlign w:val="center"/>
          </w:tcPr>
          <w:p w14:paraId="16718B11">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r>
      <w:tr w14:paraId="75A61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5" w:hRule="atLeast"/>
        </w:trPr>
        <w:tc>
          <w:tcPr>
            <w:tcW w:w="1887" w:type="dxa"/>
            <w:noWrap w:val="0"/>
            <w:tcMar>
              <w:top w:w="0" w:type="dxa"/>
              <w:left w:w="108" w:type="dxa"/>
              <w:bottom w:w="0" w:type="dxa"/>
              <w:right w:w="108" w:type="dxa"/>
            </w:tcMar>
            <w:vAlign w:val="center"/>
          </w:tcPr>
          <w:p w14:paraId="1B582CA6">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c>
          <w:tcPr>
            <w:tcW w:w="1238" w:type="dxa"/>
            <w:noWrap w:val="0"/>
            <w:tcMar>
              <w:top w:w="0" w:type="dxa"/>
              <w:left w:w="108" w:type="dxa"/>
              <w:bottom w:w="0" w:type="dxa"/>
              <w:right w:w="108" w:type="dxa"/>
            </w:tcMar>
            <w:vAlign w:val="center"/>
          </w:tcPr>
          <w:p w14:paraId="0BA15650">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c>
          <w:tcPr>
            <w:tcW w:w="887" w:type="dxa"/>
            <w:noWrap w:val="0"/>
            <w:tcMar>
              <w:top w:w="0" w:type="dxa"/>
              <w:left w:w="108" w:type="dxa"/>
              <w:bottom w:w="0" w:type="dxa"/>
              <w:right w:w="108" w:type="dxa"/>
            </w:tcMar>
            <w:vAlign w:val="center"/>
          </w:tcPr>
          <w:p w14:paraId="71F30323">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c>
          <w:tcPr>
            <w:tcW w:w="1013" w:type="dxa"/>
            <w:noWrap w:val="0"/>
            <w:tcMar>
              <w:top w:w="0" w:type="dxa"/>
              <w:left w:w="108" w:type="dxa"/>
              <w:bottom w:w="0" w:type="dxa"/>
              <w:right w:w="108" w:type="dxa"/>
            </w:tcMar>
            <w:vAlign w:val="center"/>
          </w:tcPr>
          <w:p w14:paraId="0CFFACE0">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c>
          <w:tcPr>
            <w:tcW w:w="1137" w:type="dxa"/>
            <w:noWrap w:val="0"/>
            <w:tcMar>
              <w:top w:w="0" w:type="dxa"/>
              <w:left w:w="108" w:type="dxa"/>
              <w:bottom w:w="0" w:type="dxa"/>
              <w:right w:w="108" w:type="dxa"/>
            </w:tcMar>
            <w:vAlign w:val="center"/>
          </w:tcPr>
          <w:p w14:paraId="0A0764AD">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c>
          <w:tcPr>
            <w:tcW w:w="1213" w:type="dxa"/>
            <w:noWrap w:val="0"/>
            <w:tcMar>
              <w:top w:w="0" w:type="dxa"/>
              <w:left w:w="108" w:type="dxa"/>
              <w:bottom w:w="0" w:type="dxa"/>
              <w:right w:w="108" w:type="dxa"/>
            </w:tcMar>
            <w:vAlign w:val="center"/>
          </w:tcPr>
          <w:p w14:paraId="0DB7CDC1">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c>
          <w:tcPr>
            <w:tcW w:w="1393" w:type="dxa"/>
            <w:noWrap w:val="0"/>
            <w:tcMar>
              <w:top w:w="0" w:type="dxa"/>
              <w:left w:w="108" w:type="dxa"/>
              <w:bottom w:w="0" w:type="dxa"/>
              <w:right w:w="108" w:type="dxa"/>
            </w:tcMar>
            <w:vAlign w:val="center"/>
          </w:tcPr>
          <w:p w14:paraId="5F1460AE">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r>
    </w:tbl>
    <w:p w14:paraId="1955C32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第三条 合同总金额 </w:t>
      </w:r>
    </w:p>
    <w:p w14:paraId="468DFE0F">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1、货物总价为人民币（大写）：元整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按招标预算金额暂定，实际供货金额按实际供货数量乘以中标单价确定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07AFAE91">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合同价格</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包含本采购文件约定的所有工作内容及相关费用。货物金额、包装费、运输费及运输途中保险费、装卸费、</w:t>
      </w:r>
      <w:r>
        <w:rPr>
          <w:rFonts w:hint="eastAsia" w:ascii="仿宋" w:hAnsi="仿宋" w:eastAsia="仿宋" w:cs="仿宋"/>
          <w:color w:val="auto"/>
          <w:sz w:val="24"/>
          <w:szCs w:val="24"/>
          <w:highlight w:val="none"/>
          <w:lang w:val="en-US" w:eastAsia="zh-CN"/>
        </w:rPr>
        <w:t>安装费、</w:t>
      </w:r>
      <w:r>
        <w:rPr>
          <w:rFonts w:hint="eastAsia" w:ascii="仿宋" w:hAnsi="仿宋" w:eastAsia="仿宋" w:cs="仿宋"/>
          <w:color w:val="auto"/>
          <w:sz w:val="24"/>
          <w:szCs w:val="24"/>
          <w:highlight w:val="none"/>
          <w:lang w:eastAsia="zh-CN"/>
        </w:rPr>
        <w:t>税金及其它产生的相关所有费用均包含在报价中</w:t>
      </w:r>
      <w:r>
        <w:rPr>
          <w:rFonts w:hint="eastAsia" w:ascii="仿宋" w:hAnsi="仿宋" w:eastAsia="仿宋" w:cs="仿宋"/>
          <w:color w:val="auto"/>
          <w:sz w:val="24"/>
          <w:szCs w:val="24"/>
          <w:highlight w:val="none"/>
        </w:rPr>
        <w:t>。</w:t>
      </w:r>
    </w:p>
    <w:p w14:paraId="28EC3EE4">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b w:val="0"/>
          <w:bCs w:val="0"/>
          <w:kern w:val="2"/>
          <w:sz w:val="24"/>
          <w:szCs w:val="24"/>
          <w:highlight w:val="none"/>
          <w:lang w:val="en-US" w:eastAsia="zh-CN" w:bidi="ar"/>
        </w:rPr>
        <w:t>3、合同履约期限：合同签订后1年。</w:t>
      </w:r>
    </w:p>
    <w:p w14:paraId="5CBCDD2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第四条 权利义务和质量保证 </w:t>
      </w:r>
    </w:p>
    <w:p w14:paraId="059303F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甲方保证服务期间，对乙方工作给予支持，提供水、电、场地等必须的基础工作条件。。未获甲方同意，乙方不得将甲方项目资料提供给与履行本合同无关的任何其他人。即使向履行本合同有关的人员提供，也应注意保密并限于履行合同的必需范围内。 </w:t>
      </w:r>
    </w:p>
    <w:p w14:paraId="0CA0F75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2.乙方保证所完成的本合同项目，其任何一部分均不会侵犯任何第三方的专利权、商标权或著作权。一旦出现侵权，索赔或诉讼，乙方应承担全部责任。 </w:t>
      </w:r>
    </w:p>
    <w:p w14:paraId="1B7F36C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3.乙方保证本合同项目不存在影响或危害甲方已有运行平台之隐患和结果，不存在违反国家法规、法令、法律以及行业规范所要求的有关安全条款，否则应承担由此造成的所有后果和全部法律责任。 </w:t>
      </w:r>
    </w:p>
    <w:p w14:paraId="069DA4E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第五条 付款方式 </w:t>
      </w:r>
    </w:p>
    <w:p w14:paraId="759549AF">
      <w:pPr>
        <w:overflowPunct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1、甲乙双方确认的货款结算依据：投标文件、中标通知书，采购合同书，乙方开具的发票，甲方出具的验收结算书等。</w:t>
      </w:r>
    </w:p>
    <w:p w14:paraId="1E9FA2FE">
      <w:pPr>
        <w:overflowPunct w:val="0"/>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2、结算方式：本合同货款以90天为一个结算周期</w:t>
      </w:r>
      <w:r>
        <w:rPr>
          <w:rFonts w:hint="eastAsia" w:ascii="仿宋" w:hAnsi="仿宋" w:eastAsia="仿宋" w:cs="仿宋"/>
          <w:color w:val="auto"/>
          <w:sz w:val="24"/>
          <w:szCs w:val="24"/>
          <w:highlight w:val="none"/>
          <w:lang w:eastAsia="zh-CN"/>
        </w:rPr>
        <w:t>，经质量检验合格后由中标商开具发票，医院在验收合格后向中标商支付货款(货款按甲方入账金额结算)。</w:t>
      </w:r>
    </w:p>
    <w:p w14:paraId="26479A5D">
      <w:pPr>
        <w:overflowPunct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、乙方须向甲方出具合法有效完整的完税发票及凭证资料进行支付结算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
        </w:rPr>
        <w:t xml:space="preserve"> </w:t>
      </w:r>
    </w:p>
    <w:p w14:paraId="2DF0590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第六条 履约保证金 </w:t>
      </w:r>
    </w:p>
    <w:p w14:paraId="0512B38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1.乙方在签订本合同之日，向甲方提交合同履约保证金，金额为</w:t>
      </w:r>
      <w:r>
        <w:rPr>
          <w:rFonts w:hint="eastAsia" w:ascii="仿宋" w:hAnsi="仿宋" w:eastAsia="仿宋" w:cs="仿宋"/>
          <w:color w:val="auto"/>
          <w:sz w:val="24"/>
          <w:szCs w:val="24"/>
          <w:highlight w:val="none"/>
          <w:lang w:val="en-US" w:eastAsia="zh-CN"/>
        </w:rPr>
        <w:t>签约合同价的</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kern w:val="0"/>
          <w:sz w:val="24"/>
          <w:szCs w:val="24"/>
          <w:highlight w:val="none"/>
          <w:lang w:val="en-US" w:eastAsia="zh-CN" w:bidi="ar"/>
        </w:rPr>
        <w:t xml:space="preserve">，缴纳方式双方协商确定。 </w:t>
      </w:r>
    </w:p>
    <w:p w14:paraId="0DBF29E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2.履约保证金有效期为质保期结束。到期后，甲方向乙方无息退还。 </w:t>
      </w:r>
    </w:p>
    <w:p w14:paraId="1FC6329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3.如乙方未能履行、或未能完全履行合同规定的义务，甲方有权从履约保证金中取得补偿。</w:t>
      </w:r>
    </w:p>
    <w:p w14:paraId="58696AF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第七条 交货、包装、验收 </w:t>
      </w:r>
    </w:p>
    <w:p w14:paraId="21867B40">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1、交货地点：</w:t>
      </w:r>
      <w:r>
        <w:rPr>
          <w:rFonts w:hint="eastAsia" w:ascii="仿宋" w:hAnsi="仿宋" w:eastAsia="仿宋" w:cs="仿宋"/>
          <w:color w:val="auto"/>
          <w:sz w:val="24"/>
          <w:szCs w:val="24"/>
          <w:highlight w:val="none"/>
          <w:lang w:eastAsia="zh-CN"/>
        </w:rPr>
        <w:t>新疆维吾尔自治区第三人民医院</w:t>
      </w:r>
      <w:r>
        <w:rPr>
          <w:rFonts w:hint="eastAsia" w:ascii="仿宋" w:hAnsi="仿宋" w:eastAsia="仿宋" w:cs="仿宋"/>
          <w:color w:val="auto"/>
          <w:sz w:val="24"/>
          <w:szCs w:val="24"/>
          <w:highlight w:val="none"/>
        </w:rPr>
        <w:t>指定地点</w:t>
      </w:r>
    </w:p>
    <w:p w14:paraId="08F28A2C">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2、交货时间：</w:t>
      </w:r>
      <w:r>
        <w:rPr>
          <w:rFonts w:hint="eastAsia" w:ascii="仿宋" w:hAnsi="仿宋" w:eastAsia="仿宋" w:cs="仿宋"/>
          <w:color w:val="auto"/>
          <w:sz w:val="24"/>
          <w:szCs w:val="24"/>
          <w:highlight w:val="none"/>
          <w:lang w:val="en-US" w:eastAsia="zh-CN"/>
        </w:rPr>
        <w:t>按采购人实际要求。</w:t>
      </w:r>
    </w:p>
    <w:p w14:paraId="4E6864CD">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3、货物包装应符合国家标准，以保证货物在运输过程中不受损伤。货物在运输或邮寄途中发生毁损或丢失，由乙方负责。在运输途中、交货前、卸货中发生人身伤害或货物受损的，由乙方负责承担。</w:t>
      </w:r>
    </w:p>
    <w:p w14:paraId="0156B225">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4、货物到达后，甲乙双方均须在场并确认包装的完好性后，安装后由甲方验货。并对货物进行清点验收，共同签字确认。如验收不合格，乙方应退货，预缴押金的要全额退还，一切损失由乙方承担。</w:t>
      </w:r>
    </w:p>
    <w:p w14:paraId="2213A04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第八条 项目管理服务 </w:t>
      </w:r>
    </w:p>
    <w:p w14:paraId="60464CB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应组建技术熟练、称职的团队全面履行合同,并指定不少于一人全权全程负责本项目服务的落实，包括前期调研、供货方案、测试及服务期内的系统维护，以及在合同总体框架内根据用户需求补充和完善功能等售后服务工作。 </w:t>
      </w:r>
    </w:p>
    <w:p w14:paraId="78D826C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项目负责人姓名：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 联系电话：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 </w:t>
      </w:r>
    </w:p>
    <w:p w14:paraId="533C7EA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第九条 售后服务 </w:t>
      </w:r>
    </w:p>
    <w:p w14:paraId="5126520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  </w:t>
      </w:r>
    </w:p>
    <w:p w14:paraId="1E49C57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2.货物故障报修的响应时间为：</w:t>
      </w:r>
      <w:r>
        <w:rPr>
          <w:rFonts w:hint="eastAsia" w:ascii="仿宋" w:hAnsi="仿宋" w:eastAsia="仿宋" w:cs="仿宋"/>
          <w:color w:val="auto"/>
          <w:sz w:val="24"/>
          <w:szCs w:val="24"/>
          <w:highlight w:val="none"/>
        </w:rPr>
        <w:t>30分钟内响应，2小时内给出解决方案，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小时内服务人员到场解决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
        </w:rPr>
        <w:t xml:space="preserve"> </w:t>
      </w:r>
    </w:p>
    <w:p w14:paraId="1D58B66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3.若货物故障在检修</w:t>
      </w:r>
      <w:r>
        <w:rPr>
          <w:rFonts w:hint="eastAsia" w:ascii="仿宋" w:hAnsi="仿宋" w:eastAsia="仿宋" w:cs="仿宋"/>
          <w:color w:val="auto"/>
          <w:kern w:val="0"/>
          <w:sz w:val="24"/>
          <w:szCs w:val="24"/>
          <w:highlight w:val="none"/>
          <w:u w:val="single"/>
          <w:lang w:val="en-US" w:eastAsia="zh-CN" w:bidi="ar"/>
        </w:rPr>
        <w:t xml:space="preserve"> 8 </w:t>
      </w:r>
      <w:r>
        <w:rPr>
          <w:rFonts w:hint="eastAsia" w:ascii="仿宋" w:hAnsi="仿宋" w:eastAsia="仿宋" w:cs="仿宋"/>
          <w:color w:val="auto"/>
          <w:kern w:val="0"/>
          <w:sz w:val="24"/>
          <w:szCs w:val="24"/>
          <w:highlight w:val="none"/>
          <w:lang w:val="en-US" w:eastAsia="zh-CN" w:bidi="ar"/>
        </w:rPr>
        <w:t>工作小时后仍无法排除，乙方应在</w:t>
      </w:r>
      <w:r>
        <w:rPr>
          <w:rFonts w:hint="eastAsia" w:ascii="仿宋" w:hAnsi="仿宋" w:eastAsia="仿宋" w:cs="仿宋"/>
          <w:color w:val="auto"/>
          <w:kern w:val="0"/>
          <w:sz w:val="24"/>
          <w:szCs w:val="24"/>
          <w:highlight w:val="none"/>
          <w:u w:val="single"/>
          <w:lang w:val="en-US" w:eastAsia="zh-CN" w:bidi="ar"/>
        </w:rPr>
        <w:t xml:space="preserve"> 48 </w:t>
      </w:r>
      <w:r>
        <w:rPr>
          <w:rFonts w:hint="eastAsia" w:ascii="仿宋" w:hAnsi="仿宋" w:eastAsia="仿宋" w:cs="仿宋"/>
          <w:color w:val="auto"/>
          <w:kern w:val="0"/>
          <w:sz w:val="24"/>
          <w:szCs w:val="24"/>
          <w:highlight w:val="none"/>
          <w:lang w:val="en-US" w:eastAsia="zh-CN" w:bidi="ar"/>
        </w:rPr>
        <w:t xml:space="preserve">小时内免费提供不低于故障货物规格型号档次的备用货物供甲方使用，直至故障货物修复。 </w:t>
      </w:r>
    </w:p>
    <w:p w14:paraId="28C6ACC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4.所有货物保修服务方式均为乙方上门保修，即由乙方派员到货物使用现场维修，由此产生的一切费用均由乙方承担。 </w:t>
      </w:r>
    </w:p>
    <w:p w14:paraId="7523C24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第十条 分包 </w:t>
      </w:r>
    </w:p>
    <w:p w14:paraId="7B720E5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除招标采购文件事先说明、且经甲方事先书面同意外，乙方不得分包、转包其应履行的合同义务。 </w:t>
      </w:r>
    </w:p>
    <w:p w14:paraId="58A7499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第十一条 合同的生效 </w:t>
      </w:r>
    </w:p>
    <w:p w14:paraId="03E409C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1.本合同经甲乙双方授权代表签字并加盖公章或合同专用章后生效。 </w:t>
      </w:r>
    </w:p>
    <w:p w14:paraId="21EACB2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2.生效后，除《政府采购法》第 49 条、第 50 条第二款规定的情形外，甲乙双方不得擅自变更、中止或终止合同。 </w:t>
      </w:r>
    </w:p>
    <w:p w14:paraId="6F96F2E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第十二条 违约责任 </w:t>
      </w:r>
    </w:p>
    <w:p w14:paraId="61057353">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1、乙方不能按期按约交货或部分交货的，甲方有权不予支付乙方货款，</w:t>
      </w:r>
    </w:p>
    <w:p w14:paraId="5B2A8712">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并有权解除合同，乙方并应向甲方偿付相当于不能交货部分货款5%的违约金。</w:t>
      </w:r>
    </w:p>
    <w:p w14:paraId="6A9D9616">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2、乙方所提供货物品种、数量、质量不符合国家法律法规和本合同规定的，甲方有权拒收，由乙方负责包换或退货，并承担由此而支付的实际费用。</w:t>
      </w:r>
    </w:p>
    <w:p w14:paraId="479684D8">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3、乙方逾期交货的，按逾期缴货部分货款计算，向甲方偿付每日千分之五的违约金，并承担甲方因此所受的损失费用。</w:t>
      </w:r>
    </w:p>
    <w:p w14:paraId="04CBBA3E">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4、乙方违反本合同相关约定的，除应当承担违约责任外，因乙方违约导致甲方产生其他相关损失的，乙方应当赔偿甲方因此产生的经济损失。</w:t>
      </w:r>
    </w:p>
    <w:p w14:paraId="06EB399E">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5、甲方未按合同约定逾期付款的，应按照每日千分之五的比例向乙方偿付逾期货款的违约金。</w:t>
      </w:r>
    </w:p>
    <w:p w14:paraId="625B7006">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6、甲方违反本合同规定拒绝接货的，应当承担由此对乙方造成的损失。</w:t>
      </w:r>
    </w:p>
    <w:p w14:paraId="1775203D">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7、双方必须严格执行《中华人民共和国民法典》的有关违约责任规定。</w:t>
      </w:r>
      <w:r>
        <w:rPr>
          <w:rFonts w:hint="eastAsia" w:ascii="仿宋" w:hAnsi="仿宋" w:eastAsia="仿宋" w:cs="仿宋"/>
          <w:color w:val="auto"/>
          <w:sz w:val="24"/>
          <w:szCs w:val="24"/>
          <w:highlight w:val="none"/>
          <w:lang w:val="en-US" w:eastAsia="zh-CN"/>
        </w:rPr>
        <w:t xml:space="preserve"> </w:t>
      </w:r>
    </w:p>
    <w:p w14:paraId="065203F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第十三条 不可抗力 </w:t>
      </w:r>
    </w:p>
    <w:p w14:paraId="29969D9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甲、乙方中任何一方，因不可抗力不能按时或完全履行合同的，应及时通知对方，并在</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个工作日内提供相应证明，结算服务费用。未履行的部分是否继续履行、如何履行等问题，可由双方初步协商，并向主管部门和政府采购管理部门报告。确定为不可抗力原因造成的损失，免予承担责任。 </w:t>
      </w:r>
    </w:p>
    <w:p w14:paraId="4417F4C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第十四条 争议的解决方式 </w:t>
      </w:r>
    </w:p>
    <w:p w14:paraId="7883FAB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1.因服务或货物质量问题发生争议的，应当邀请国家认可的质量检测机构对服务进行鉴定。服务符合标准的，鉴定费由甲方承担；不符合质量标准的，鉴定费由乙方承担。 </w:t>
      </w:r>
    </w:p>
    <w:p w14:paraId="48EFC77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2.在解释或者执行本合同的过程中发生争议时，双方应通过协商方式解决。 </w:t>
      </w:r>
    </w:p>
    <w:p w14:paraId="42B40DF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3.经协商不能解决的争议，双方可选择以下第</w:t>
      </w:r>
      <w:r>
        <w:rPr>
          <w:rFonts w:hint="eastAsia" w:ascii="仿宋" w:hAnsi="仿宋" w:eastAsia="仿宋" w:cs="仿宋"/>
          <w:color w:val="auto"/>
          <w:kern w:val="0"/>
          <w:sz w:val="24"/>
          <w:szCs w:val="24"/>
          <w:highlight w:val="none"/>
          <w:u w:val="single"/>
          <w:lang w:val="en-US" w:eastAsia="zh-CN" w:bidi="ar"/>
        </w:rPr>
        <w:t xml:space="preserve"> ① </w:t>
      </w:r>
      <w:r>
        <w:rPr>
          <w:rFonts w:hint="eastAsia" w:ascii="仿宋" w:hAnsi="仿宋" w:eastAsia="仿宋" w:cs="仿宋"/>
          <w:color w:val="auto"/>
          <w:kern w:val="0"/>
          <w:sz w:val="24"/>
          <w:szCs w:val="24"/>
          <w:highlight w:val="none"/>
          <w:lang w:val="en-US" w:eastAsia="zh-CN" w:bidi="ar"/>
        </w:rPr>
        <w:t xml:space="preserve">种方式解决： </w:t>
      </w:r>
    </w:p>
    <w:p w14:paraId="3D71277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①向</w:t>
      </w:r>
      <w:r>
        <w:rPr>
          <w:rFonts w:hint="eastAsia" w:ascii="仿宋" w:hAnsi="仿宋" w:eastAsia="仿宋" w:cs="仿宋"/>
          <w:color w:val="auto"/>
          <w:kern w:val="0"/>
          <w:sz w:val="24"/>
          <w:szCs w:val="24"/>
          <w:highlight w:val="none"/>
          <w:u w:val="single"/>
          <w:lang w:val="en-US" w:eastAsia="zh-CN" w:bidi="ar"/>
        </w:rPr>
        <w:t>采购人所在地</w:t>
      </w:r>
      <w:r>
        <w:rPr>
          <w:rFonts w:hint="eastAsia" w:ascii="仿宋" w:hAnsi="仿宋" w:eastAsia="仿宋" w:cs="仿宋"/>
          <w:color w:val="auto"/>
          <w:kern w:val="0"/>
          <w:sz w:val="24"/>
          <w:szCs w:val="24"/>
          <w:highlight w:val="none"/>
          <w:lang w:val="en-US" w:eastAsia="zh-CN" w:bidi="ar"/>
        </w:rPr>
        <w:t xml:space="preserve">的法院提起诉讼； </w:t>
      </w:r>
    </w:p>
    <w:p w14:paraId="3C3AEC9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②向乌鲁木齐仲裁委员会提出仲裁。 </w:t>
      </w:r>
    </w:p>
    <w:p w14:paraId="12BF7CA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4.在法院审理和仲裁期间，除有争议部分外，本合同其他部分可以履行的仍应按合同条款继续履行。 </w:t>
      </w:r>
    </w:p>
    <w:p w14:paraId="1119DD3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第十五条 其他 </w:t>
      </w:r>
    </w:p>
    <w:p w14:paraId="0FFCDC4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符合《政府采购法》第 49 条规定的，经双方协商，办理政府采购手续后，可签订补充合 同，所签订的补充合同与本合同具有同等法律效力。 </w:t>
      </w:r>
    </w:p>
    <w:p w14:paraId="145D046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本合同一式 份，甲、乙双方各执 份。</w:t>
      </w:r>
      <w:r>
        <w:rPr>
          <w:rFonts w:hint="default" w:ascii="浠垮畫" w:hAnsi="浠垮畫" w:eastAsia="浠垮畫" w:cs="浠垮畫"/>
          <w:color w:val="auto"/>
          <w:kern w:val="0"/>
          <w:sz w:val="24"/>
          <w:szCs w:val="24"/>
          <w:highlight w:val="none"/>
          <w:lang w:val="en-US" w:eastAsia="zh-CN" w:bidi="ar"/>
        </w:rPr>
        <w:t xml:space="preserve"> </w:t>
      </w:r>
    </w:p>
    <w:p w14:paraId="110780F7">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66314F08">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地址：            </w:t>
      </w:r>
    </w:p>
    <w:p w14:paraId="17C97DE4">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经办人：                                     经办人：         </w:t>
      </w:r>
    </w:p>
    <w:p w14:paraId="0E117907">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电话：                           </w:t>
      </w:r>
    </w:p>
    <w:p w14:paraId="79D0DACE">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20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日   </w:t>
      </w:r>
    </w:p>
    <w:p w14:paraId="5982A07C">
      <w:pPr>
        <w:keepNext w:val="0"/>
        <w:keepLines w:val="0"/>
        <w:widowControl/>
        <w:suppressLineNumbers w:val="0"/>
        <w:jc w:val="left"/>
        <w:rPr>
          <w:rFonts w:hint="default" w:ascii="浠垮畫" w:hAnsi="浠垮畫" w:eastAsia="浠垮畫" w:cs="浠垮畫"/>
          <w:b/>
          <w:bCs/>
          <w:color w:val="auto"/>
          <w:kern w:val="0"/>
          <w:sz w:val="24"/>
          <w:szCs w:val="24"/>
          <w:highlight w:val="none"/>
          <w:lang w:val="en-US" w:eastAsia="zh-CN" w:bidi="ar"/>
        </w:rPr>
      </w:pPr>
    </w:p>
    <w:p w14:paraId="0B1BBD6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特别说明： </w:t>
      </w:r>
    </w:p>
    <w:p w14:paraId="747C407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1.本范本根据《政府采购法》、《民法典》等法律法规制定。具体项目的采购合同条款， 在本范本框架内由甲乙双方协商一致签订。空格处划横线。 </w:t>
      </w:r>
    </w:p>
    <w:p w14:paraId="0B9AC6B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2.收款单位名称应与本合同乙方单位名称、项目成交单位名称、开具发票单位名称相一致。 </w:t>
      </w:r>
    </w:p>
    <w:p w14:paraId="6BCEA41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3.甲方（采购单位）应盖本单位公章，乙方应盖单位公章或合同专用章，合同双方应盖 骑缝章。</w:t>
      </w:r>
    </w:p>
    <w:p w14:paraId="68446EBA">
      <w:pPr>
        <w:spacing w:line="500" w:lineRule="exact"/>
        <w:rPr>
          <w:rFonts w:ascii="仿宋" w:hAnsi="仿宋" w:eastAsia="仿宋" w:cs="仿宋_GB2312"/>
          <w:color w:val="auto"/>
          <w:sz w:val="24"/>
          <w:highlight w:val="none"/>
        </w:rPr>
      </w:pPr>
    </w:p>
    <w:p w14:paraId="28C97939">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51AC3FFA">
      <w:pPr>
        <w:pStyle w:val="2"/>
        <w:numPr>
          <w:ilvl w:val="0"/>
          <w:numId w:val="1"/>
        </w:numPr>
        <w:jc w:val="center"/>
        <w:rPr>
          <w:rFonts w:ascii="仿宋" w:hAnsi="仿宋" w:eastAsia="仿宋" w:cs="仿宋_GB2312"/>
          <w:color w:val="auto"/>
          <w:sz w:val="32"/>
          <w:szCs w:val="32"/>
          <w:highlight w:val="none"/>
        </w:rPr>
      </w:pPr>
      <w:bookmarkStart w:id="17" w:name="_Toc20159"/>
      <w:r>
        <w:rPr>
          <w:rFonts w:hint="eastAsia" w:ascii="仿宋" w:hAnsi="仿宋" w:eastAsia="仿宋" w:cs="仿宋_GB2312"/>
          <w:color w:val="auto"/>
          <w:sz w:val="32"/>
          <w:szCs w:val="32"/>
          <w:highlight w:val="none"/>
        </w:rPr>
        <w:t>采购需求</w:t>
      </w:r>
      <w:bookmarkEnd w:id="17"/>
    </w:p>
    <w:p w14:paraId="363F4E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outlineLvl w:val="1"/>
        <w:rPr>
          <w:rFonts w:hint="default"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一、采购货物明细及技术参数</w:t>
      </w:r>
    </w:p>
    <w:tbl>
      <w:tblPr>
        <w:tblStyle w:val="24"/>
        <w:tblW w:w="88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1740"/>
        <w:gridCol w:w="4283"/>
        <w:gridCol w:w="990"/>
        <w:gridCol w:w="1110"/>
      </w:tblGrid>
      <w:tr w14:paraId="361B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171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1CE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气体名称</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76A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技术参数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A12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9C9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单价最高限价</w:t>
            </w:r>
          </w:p>
        </w:tc>
      </w:tr>
      <w:tr w14:paraId="5853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61F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6B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高纯氮气</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4B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99.999% 40L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CC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3B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280</w:t>
            </w:r>
          </w:p>
        </w:tc>
      </w:tr>
      <w:tr w14:paraId="5060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A95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4A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高纯氩气</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1F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99.999% 40L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84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B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280</w:t>
            </w:r>
          </w:p>
        </w:tc>
      </w:tr>
      <w:tr w14:paraId="6992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BE7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AF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高纯乙炔</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0D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99.99% 40L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F8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C7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660</w:t>
            </w:r>
          </w:p>
        </w:tc>
      </w:tr>
      <w:tr w14:paraId="0004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BBF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6B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高纯氧气</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D5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99.999% 40L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B3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5A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560</w:t>
            </w:r>
          </w:p>
        </w:tc>
      </w:tr>
      <w:tr w14:paraId="4D858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745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08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高纯氢气</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F5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99.999% 40L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72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37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660</w:t>
            </w:r>
          </w:p>
        </w:tc>
      </w:tr>
      <w:tr w14:paraId="6A89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7D5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2C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高纯氦气</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3F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99.999% 40L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CF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59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2400</w:t>
            </w:r>
          </w:p>
        </w:tc>
      </w:tr>
      <w:tr w14:paraId="72E7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BFE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87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高纯甲烷</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88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99.999% 40L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79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05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r>
      <w:tr w14:paraId="7A32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B94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A7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高纯氦气</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32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99.999% 8L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27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51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r>
      <w:tr w14:paraId="5255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3D9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0C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液氮</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A0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D7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L</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F8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1467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30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9C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普通氮气</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4A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99.9% 40L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3C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89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88</w:t>
            </w:r>
          </w:p>
        </w:tc>
      </w:tr>
      <w:tr w14:paraId="668E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74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B7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普通氩气</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76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99.9% 40L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55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F9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r>
      <w:tr w14:paraId="4032D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596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55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普通二氧化碳</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3E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99.9% 40L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7E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D0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r>
      <w:tr w14:paraId="698B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309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BF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液氩</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91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175L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06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49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1800</w:t>
            </w:r>
          </w:p>
        </w:tc>
      </w:tr>
      <w:tr w14:paraId="5430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ECB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B6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高纯甲烷</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AF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99.999% 8L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B1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C2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700</w:t>
            </w:r>
          </w:p>
        </w:tc>
      </w:tr>
      <w:tr w14:paraId="55FB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1DF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13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肺功能气</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874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医用级气体配制（纯度99.999%），40升钢瓶包装，四元配气，气体浓度为一氧化碳和甲烷（配气范围均在0.29 % - 0.30% CO, 标称精确到0.01%）, 剩余为平衡空气。0.299 % CO，0.298 %CH</w:t>
            </w:r>
            <w:r>
              <w:rPr>
                <w:rFonts w:hint="eastAsia" w:ascii="仿宋" w:hAnsi="仿宋" w:eastAsia="仿宋" w:cs="仿宋"/>
                <w:i w:val="0"/>
                <w:iCs w:val="0"/>
                <w:color w:val="000000"/>
                <w:kern w:val="0"/>
                <w:sz w:val="24"/>
                <w:szCs w:val="24"/>
                <w:highlight w:val="none"/>
                <w:u w:val="none"/>
                <w:vertAlign w:val="subscript"/>
                <w:lang w:val="en-US" w:eastAsia="zh-CN" w:bidi="ar"/>
              </w:rPr>
              <w:t>4，</w:t>
            </w:r>
            <w:r>
              <w:rPr>
                <w:rFonts w:hint="eastAsia" w:ascii="仿宋" w:hAnsi="仿宋" w:eastAsia="仿宋" w:cs="仿宋"/>
                <w:i w:val="0"/>
                <w:iCs w:val="0"/>
                <w:color w:val="000000"/>
                <w:kern w:val="0"/>
                <w:sz w:val="24"/>
                <w:szCs w:val="24"/>
                <w:highlight w:val="none"/>
                <w:u w:val="none"/>
                <w:lang w:val="en-US" w:eastAsia="zh-CN" w:bidi="ar"/>
              </w:rPr>
              <w:t>20.9% O</w:t>
            </w:r>
            <w:r>
              <w:rPr>
                <w:rFonts w:hint="eastAsia" w:ascii="仿宋" w:hAnsi="仿宋" w:eastAsia="仿宋" w:cs="仿宋"/>
                <w:i w:val="0"/>
                <w:iCs w:val="0"/>
                <w:color w:val="000000"/>
                <w:kern w:val="0"/>
                <w:sz w:val="24"/>
                <w:szCs w:val="24"/>
                <w:highlight w:val="none"/>
                <w:u w:val="none"/>
                <w:vertAlign w:val="subscript"/>
                <w:lang w:val="en-US" w:eastAsia="zh-CN" w:bidi="ar"/>
              </w:rPr>
              <w:t>2</w:t>
            </w:r>
            <w:r>
              <w:rPr>
                <w:rFonts w:hint="eastAsia" w:ascii="仿宋" w:hAnsi="仿宋" w:eastAsia="仿宋" w:cs="仿宋"/>
                <w:i w:val="0"/>
                <w:iCs w:val="0"/>
                <w:color w:val="000000"/>
                <w:kern w:val="0"/>
                <w:sz w:val="24"/>
                <w:szCs w:val="24"/>
                <w:highlight w:val="none"/>
                <w:u w:val="none"/>
                <w:lang w:val="en-US" w:eastAsia="zh-CN" w:bidi="ar"/>
              </w:rPr>
              <w:t>，剩余为N</w:t>
            </w:r>
            <w:r>
              <w:rPr>
                <w:rFonts w:hint="eastAsia" w:ascii="仿宋" w:hAnsi="仿宋" w:eastAsia="仿宋" w:cs="仿宋"/>
                <w:i w:val="0"/>
                <w:iCs w:val="0"/>
                <w:color w:val="000000"/>
                <w:kern w:val="0"/>
                <w:sz w:val="24"/>
                <w:szCs w:val="24"/>
                <w:highlight w:val="none"/>
                <w:u w:val="none"/>
                <w:vertAlign w:val="subscript"/>
                <w:lang w:val="en-US" w:eastAsia="zh-CN" w:bidi="ar"/>
              </w:rPr>
              <w:t>2</w:t>
            </w:r>
            <w:r>
              <w:rPr>
                <w:rFonts w:hint="eastAsia" w:ascii="仿宋" w:hAnsi="仿宋" w:eastAsia="仿宋" w:cs="仿宋"/>
                <w:i w:val="0"/>
                <w:iCs w:val="0"/>
                <w:color w:val="000000"/>
                <w:kern w:val="0"/>
                <w:sz w:val="24"/>
                <w:szCs w:val="24"/>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7D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18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1800</w:t>
            </w:r>
          </w:p>
        </w:tc>
      </w:tr>
    </w:tbl>
    <w:p w14:paraId="6CEE689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仿宋" w:hAnsi="仿宋" w:eastAsia="仿宋" w:cs="仿宋"/>
          <w:b/>
          <w:bCs/>
          <w:color w:val="auto"/>
          <w:kern w:val="2"/>
          <w:sz w:val="24"/>
          <w:szCs w:val="24"/>
          <w:highlight w:val="none"/>
          <w:lang w:val="en-US" w:eastAsia="zh-CN" w:bidi="ar-SA"/>
        </w:rPr>
      </w:pPr>
      <w:bookmarkStart w:id="18" w:name="_Toc21893"/>
      <w:r>
        <w:rPr>
          <w:rFonts w:hint="eastAsia" w:ascii="仿宋" w:hAnsi="仿宋" w:eastAsia="仿宋" w:cs="仿宋"/>
          <w:b/>
          <w:bCs/>
          <w:color w:val="auto"/>
          <w:kern w:val="2"/>
          <w:sz w:val="24"/>
          <w:szCs w:val="24"/>
          <w:highlight w:val="none"/>
          <w:lang w:val="en-US" w:eastAsia="zh-CN" w:bidi="ar-SA"/>
        </w:rPr>
        <w:t>商务要求</w:t>
      </w:r>
    </w:p>
    <w:p w14:paraId="41A6D777">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一）、通用商务要求</w:t>
      </w:r>
    </w:p>
    <w:p w14:paraId="385252F3">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1、通用商务要求与专用商务要求（若有）不一致的以专用商务要求为准。</w:t>
      </w:r>
    </w:p>
    <w:p w14:paraId="1BF879AB">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2、合同履约期限：合同签订后1年。</w:t>
      </w:r>
    </w:p>
    <w:p w14:paraId="05C20DF1">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3、投标报价：投保报价为所有采购标的单价的合计金额，以人民币报价。供应商报价须包含本采购文件约定的所有工作内容及相关费用。货物金额、包装费、运输费及运输途中保险费、装卸费、税金及其它产生的相关所有费用均包含在报价总额中。</w:t>
      </w:r>
    </w:p>
    <w:p w14:paraId="4CF935E4">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4、交货时间:合同签订所有物资按采购人要求供应。采购人根据实际需求，提前一天，以微信、电话等方式将需求计划通知中标供应商，第二天由中标供应商送至指定地点。经验收后入库，交货时提供每批货物产品合格证等各类相关手续及文件。对采购人临时性的供货要求需随订随送，并须在接到电话后2个小时内响应。中标供应商在接到通知后备齐货物，按时送达交货地点。中标供应商除不可抗力，不得因其他任何理由延迟送货。采购人如遇特殊情况需推迟送货，应提前通知中标供应商。中标供应商不能按时、按质、按量供货，导致采购人无法正常供应的，采购人有权自行采购同等质量的货物，由此造成的经济损失和责任均由中标供应商承担，并承担违约责任。</w:t>
      </w:r>
    </w:p>
    <w:p w14:paraId="6E6F5759">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交货地点:</w:t>
      </w:r>
      <w:r>
        <w:rPr>
          <w:rFonts w:hint="eastAsia" w:ascii="仿宋" w:hAnsi="仿宋" w:eastAsia="仿宋" w:cs="仿宋"/>
          <w:color w:val="auto"/>
          <w:sz w:val="24"/>
          <w:szCs w:val="24"/>
          <w:highlight w:val="none"/>
          <w:lang w:val="en-US" w:eastAsia="zh-CN"/>
        </w:rPr>
        <w:t>采购人指定地点</w:t>
      </w:r>
    </w:p>
    <w:p w14:paraId="42EB208B">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验收方式:由</w:t>
      </w:r>
      <w:r>
        <w:rPr>
          <w:rFonts w:hint="eastAsia" w:ascii="仿宋" w:hAnsi="仿宋" w:eastAsia="仿宋" w:cs="仿宋"/>
          <w:color w:val="auto"/>
          <w:sz w:val="24"/>
          <w:szCs w:val="24"/>
          <w:highlight w:val="none"/>
          <w:lang w:val="en-US" w:eastAsia="zh-CN"/>
        </w:rPr>
        <w:t>医院</w:t>
      </w:r>
      <w:r>
        <w:rPr>
          <w:rFonts w:hint="eastAsia" w:ascii="仿宋" w:hAnsi="仿宋" w:eastAsia="仿宋" w:cs="仿宋"/>
          <w:color w:val="auto"/>
          <w:sz w:val="24"/>
          <w:szCs w:val="24"/>
          <w:highlight w:val="none"/>
        </w:rPr>
        <w:t>质量管理部门根据相关程序执行。</w:t>
      </w:r>
    </w:p>
    <w:p w14:paraId="09530CDF">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7、结算方式：详见第四章合同条款</w:t>
      </w:r>
      <w:r>
        <w:rPr>
          <w:rFonts w:hint="eastAsia" w:ascii="仿宋" w:hAnsi="仿宋" w:eastAsia="仿宋" w:cs="仿宋"/>
          <w:color w:val="auto"/>
          <w:sz w:val="24"/>
          <w:szCs w:val="24"/>
          <w:highlight w:val="none"/>
          <w:lang w:eastAsia="zh-CN"/>
        </w:rPr>
        <w:t>。</w:t>
      </w:r>
    </w:p>
    <w:p w14:paraId="15C01B57">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lang w:val="en-US" w:eastAsia="zh-CN" w:bidi="ar"/>
        </w:rPr>
        <w:t>8、首次供应时，应提供中标供应商的《营业执照》复印件予采购人存档。每次供应时应向采购人提供加盖公章的货物清单（送货单）。</w:t>
      </w:r>
    </w:p>
    <w:p w14:paraId="1E50687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p>
    <w:p w14:paraId="5B0EE16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注1：投标人在响应采购需求时，应提供产品技术支持资料。技术支持资料形式：</w:t>
      </w:r>
    </w:p>
    <w:p w14:paraId="69D9130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在响应采购需求时，应提供产品技术支持资料。技术支持资料形式：以制造商公开发布的印刷资料（彩页说明、或加盖公章的技术白皮书）或检测机构出具的检测报告或产品注册证内容为准。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评标委员会将不予承认。由此产生的评标风险，由投标人自行承担。</w:t>
      </w:r>
    </w:p>
    <w:p w14:paraId="7F42BA9C">
      <w:pP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br w:type="page"/>
      </w:r>
    </w:p>
    <w:p w14:paraId="583CD335">
      <w:pPr>
        <w:pStyle w:val="2"/>
        <w:numPr>
          <w:ilvl w:val="0"/>
          <w:numId w:val="1"/>
        </w:numPr>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评标程序、评标方法和评标标准</w:t>
      </w:r>
      <w:bookmarkEnd w:id="18"/>
    </w:p>
    <w:p w14:paraId="3ED732DD">
      <w:pPr>
        <w:numPr>
          <w:ilvl w:val="0"/>
          <w:numId w:val="10"/>
        </w:numPr>
        <w:spacing w:line="500" w:lineRule="exact"/>
        <w:outlineLvl w:val="1"/>
        <w:rPr>
          <w:rFonts w:ascii="仿宋" w:hAnsi="仿宋" w:eastAsia="仿宋" w:cs="仿宋_GB2312"/>
          <w:b/>
          <w:bCs/>
          <w:color w:val="auto"/>
          <w:sz w:val="24"/>
          <w:highlight w:val="none"/>
        </w:rPr>
      </w:pPr>
      <w:bookmarkStart w:id="19" w:name="_Toc27440"/>
      <w:r>
        <w:rPr>
          <w:rFonts w:hint="eastAsia" w:ascii="仿宋" w:hAnsi="仿宋" w:eastAsia="仿宋" w:cs="仿宋_GB2312"/>
          <w:b/>
          <w:bCs/>
          <w:color w:val="auto"/>
          <w:sz w:val="24"/>
          <w:highlight w:val="none"/>
        </w:rPr>
        <w:t>评标方法</w:t>
      </w:r>
      <w:bookmarkEnd w:id="19"/>
      <w:r>
        <w:rPr>
          <w:rFonts w:hint="eastAsia" w:ascii="仿宋" w:hAnsi="仿宋" w:eastAsia="仿宋" w:cs="仿宋_GB2312"/>
          <w:b/>
          <w:bCs/>
          <w:color w:val="auto"/>
          <w:sz w:val="24"/>
          <w:highlight w:val="none"/>
        </w:rPr>
        <w:t xml:space="preserve"> </w:t>
      </w:r>
    </w:p>
    <w:p w14:paraId="73FB24F0">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本项目采用综合评分法，是指投标文件满足招标文件全部实质性要求，且按照评审因素的量化指标评审得分最高的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为中标候选人的评标方法。</w:t>
      </w:r>
    </w:p>
    <w:p w14:paraId="7971EB7B">
      <w:pPr>
        <w:numPr>
          <w:ilvl w:val="0"/>
          <w:numId w:val="10"/>
        </w:numPr>
        <w:spacing w:line="500" w:lineRule="exact"/>
        <w:outlineLvl w:val="1"/>
        <w:rPr>
          <w:rFonts w:ascii="仿宋" w:hAnsi="仿宋" w:eastAsia="仿宋" w:cs="仿宋_GB2312"/>
          <w:b/>
          <w:bCs/>
          <w:color w:val="auto"/>
          <w:sz w:val="24"/>
          <w:highlight w:val="none"/>
        </w:rPr>
      </w:pPr>
      <w:bookmarkStart w:id="20" w:name="_Toc12617"/>
      <w:r>
        <w:rPr>
          <w:rFonts w:hint="eastAsia" w:ascii="仿宋" w:hAnsi="仿宋" w:eastAsia="仿宋" w:cs="仿宋_GB2312"/>
          <w:b/>
          <w:bCs/>
          <w:color w:val="auto"/>
          <w:sz w:val="24"/>
          <w:highlight w:val="none"/>
        </w:rPr>
        <w:t>评标原则</w:t>
      </w:r>
      <w:bookmarkEnd w:id="20"/>
    </w:p>
    <w:p w14:paraId="40B9DCD7">
      <w:pPr>
        <w:numPr>
          <w:ilvl w:val="1"/>
          <w:numId w:val="10"/>
        </w:numPr>
        <w:spacing w:line="50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评标活动遵循公平、公正、科学和择优的原则，以招标文件和投标文件为评标的基本依据，并按照招标文件规定的评标方法和评标标准进行评标。</w:t>
      </w:r>
    </w:p>
    <w:p w14:paraId="5B0A1D9A">
      <w:pPr>
        <w:numPr>
          <w:ilvl w:val="1"/>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p>
    <w:p w14:paraId="42B13A39">
      <w:pPr>
        <w:numPr>
          <w:ilvl w:val="0"/>
          <w:numId w:val="10"/>
        </w:numPr>
        <w:spacing w:line="500" w:lineRule="exact"/>
        <w:outlineLvl w:val="1"/>
        <w:rPr>
          <w:rFonts w:ascii="仿宋" w:hAnsi="仿宋" w:eastAsia="仿宋" w:cs="仿宋_GB2312"/>
          <w:b/>
          <w:bCs/>
          <w:color w:val="auto"/>
          <w:sz w:val="24"/>
          <w:highlight w:val="none"/>
        </w:rPr>
      </w:pPr>
      <w:bookmarkStart w:id="21" w:name="_Toc6046"/>
      <w:r>
        <w:rPr>
          <w:rFonts w:hint="eastAsia" w:ascii="仿宋" w:hAnsi="仿宋" w:eastAsia="仿宋" w:cs="仿宋_GB2312"/>
          <w:b/>
          <w:bCs/>
          <w:color w:val="auto"/>
          <w:sz w:val="24"/>
          <w:highlight w:val="none"/>
        </w:rPr>
        <w:t>资格审查</w:t>
      </w:r>
      <w:bookmarkEnd w:id="21"/>
    </w:p>
    <w:p w14:paraId="37F132F9">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开标结束后，采购人或采购代理机构将根据《资格审查要求》中的规定，对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进行资格审查，以确定</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是否具备投标资格，并形成资格审查结果。资格性审查中凡有其中任意一项未通过的，评审结果为未通过，未通过资格性审查的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按</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处理，不进入符合性审查。资格审查要求如下：</w:t>
      </w:r>
    </w:p>
    <w:p w14:paraId="145F2D4E">
      <w:pPr>
        <w:spacing w:line="500" w:lineRule="exact"/>
        <w:jc w:val="center"/>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资格审查要求</w:t>
      </w:r>
    </w:p>
    <w:tbl>
      <w:tblPr>
        <w:tblStyle w:val="2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925"/>
        <w:gridCol w:w="4155"/>
        <w:gridCol w:w="4045"/>
      </w:tblGrid>
      <w:tr w14:paraId="6B00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32" w:type="dxa"/>
            <w:vAlign w:val="center"/>
          </w:tcPr>
          <w:p w14:paraId="613952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925" w:type="dxa"/>
            <w:vAlign w:val="center"/>
          </w:tcPr>
          <w:p w14:paraId="5C21EF3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4155" w:type="dxa"/>
            <w:vAlign w:val="center"/>
          </w:tcPr>
          <w:p w14:paraId="2CF7A6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审查要求</w:t>
            </w:r>
          </w:p>
        </w:tc>
        <w:tc>
          <w:tcPr>
            <w:tcW w:w="4045" w:type="dxa"/>
            <w:vAlign w:val="center"/>
          </w:tcPr>
          <w:p w14:paraId="44B593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lang w:val="en-US" w:eastAsia="zh-CN"/>
              </w:rPr>
              <w:t>要求说明</w:t>
            </w:r>
          </w:p>
        </w:tc>
      </w:tr>
      <w:tr w14:paraId="068D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6129F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925" w:type="dxa"/>
            <w:vAlign w:val="center"/>
          </w:tcPr>
          <w:p w14:paraId="0A0B2F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4155" w:type="dxa"/>
            <w:vAlign w:val="center"/>
          </w:tcPr>
          <w:p w14:paraId="7434B9C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须提供法人或其他组织或自然人的营业执照副本或事业法人登记证或执业许可证或身份证等相关证明扫描件（除身份证外其余证件须投标人加盖公章）</w:t>
            </w:r>
          </w:p>
        </w:tc>
        <w:tc>
          <w:tcPr>
            <w:tcW w:w="4045" w:type="dxa"/>
            <w:vAlign w:val="center"/>
          </w:tcPr>
          <w:p w14:paraId="1FD5AAA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0F8B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4F85F8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925" w:type="dxa"/>
            <w:vAlign w:val="center"/>
          </w:tcPr>
          <w:p w14:paraId="52975E0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4155" w:type="dxa"/>
            <w:vAlign w:val="center"/>
          </w:tcPr>
          <w:p w14:paraId="5F2ECBB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本单位上一年度由会计师事务所出具的财务审计报告（当上一年度审计报告未出来时，可提供前一年度审计报告，但6月1日（含6月1日）以后开标项目必须提供上一年度审计报告），审计报告须包括资产负债表、利润表、现金流量表、所有者权益变动（如有）及其附注（扫描件投标人加盖公章）。如投标人无法提供上年度审计报告，则需提供开标日前三个月内银行出具的资信证明原件或扫描件加盖公章。如投标人注册成立不足六个月的则提供承诺书（自拟）原件。</w:t>
            </w:r>
          </w:p>
        </w:tc>
        <w:tc>
          <w:tcPr>
            <w:tcW w:w="4045" w:type="dxa"/>
            <w:vAlign w:val="center"/>
          </w:tcPr>
          <w:p w14:paraId="2AAD0E2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FF9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7246F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925" w:type="dxa"/>
            <w:vAlign w:val="center"/>
          </w:tcPr>
          <w:p w14:paraId="04B430E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4155" w:type="dxa"/>
            <w:vAlign w:val="center"/>
          </w:tcPr>
          <w:p w14:paraId="79D3D7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须提供具备履行合同所必需的设备和专业技术能力的书面声明原件（格式详见第七章投标文件格式附件1-5）。</w:t>
            </w:r>
          </w:p>
        </w:tc>
        <w:tc>
          <w:tcPr>
            <w:tcW w:w="4045" w:type="dxa"/>
            <w:vAlign w:val="center"/>
          </w:tcPr>
          <w:p w14:paraId="572AFD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EAC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5702066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925" w:type="dxa"/>
            <w:vAlign w:val="center"/>
          </w:tcPr>
          <w:p w14:paraId="46C10C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4155" w:type="dxa"/>
            <w:vAlign w:val="center"/>
          </w:tcPr>
          <w:p w14:paraId="5846FE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1.须提供投标文件递交截止日期之前六个月内任何一期的纳税记录或证明文件原件或扫描件投标人加盖公章（依法免税的应提供相应文件说明，</w:t>
            </w:r>
            <w:r>
              <w:rPr>
                <w:rFonts w:hint="eastAsia" w:ascii="仿宋" w:hAnsi="仿宋" w:eastAsia="仿宋" w:cs="仿宋"/>
                <w:color w:val="auto"/>
                <w:sz w:val="21"/>
                <w:szCs w:val="21"/>
                <w:highlight w:val="none"/>
                <w:lang w:eastAsia="zh-CN"/>
              </w:rPr>
              <w:t>当月新成立公司不需提供</w:t>
            </w:r>
            <w:r>
              <w:rPr>
                <w:rFonts w:hint="eastAsia" w:ascii="仿宋" w:hAnsi="仿宋" w:eastAsia="仿宋" w:cs="仿宋"/>
                <w:b w:val="0"/>
                <w:bCs w:val="0"/>
                <w:color w:val="auto"/>
                <w:sz w:val="21"/>
                <w:szCs w:val="21"/>
                <w:highlight w:val="none"/>
                <w:vertAlign w:val="baseline"/>
                <w:lang w:val="en-US" w:eastAsia="zh-CN"/>
              </w:rPr>
              <w:t>）</w:t>
            </w:r>
          </w:p>
          <w:p w14:paraId="714860B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扫描件投标人加盖公章（任意一个月即可），证明材料是缴纳社会保险的凭据（专用收据或社会保险缴纳清单或银行回单等）（依法不需要缴纳社会保障资金的应提供相应文件说明）</w:t>
            </w:r>
          </w:p>
        </w:tc>
        <w:tc>
          <w:tcPr>
            <w:tcW w:w="4045" w:type="dxa"/>
            <w:vAlign w:val="center"/>
          </w:tcPr>
          <w:p w14:paraId="5B075E7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09B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DBD31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925" w:type="dxa"/>
            <w:vAlign w:val="center"/>
          </w:tcPr>
          <w:p w14:paraId="7B0CE3D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4155" w:type="dxa"/>
            <w:vAlign w:val="center"/>
          </w:tcPr>
          <w:p w14:paraId="123171E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须提供声明函原件（格式详见第七章投标文件格式附件1-5）</w:t>
            </w:r>
          </w:p>
        </w:tc>
        <w:tc>
          <w:tcPr>
            <w:tcW w:w="4045" w:type="dxa"/>
            <w:vAlign w:val="center"/>
          </w:tcPr>
          <w:p w14:paraId="29AE30E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1F2F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2C54EA4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925" w:type="dxa"/>
            <w:vAlign w:val="center"/>
          </w:tcPr>
          <w:p w14:paraId="68BBA7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4155" w:type="dxa"/>
            <w:vAlign w:val="center"/>
          </w:tcPr>
          <w:p w14:paraId="48172C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投标人不得为“信用中国”网站中列入失信被执行人和重大税收违法案件当事人名单的投标人（在处罚期内），不得为“中国政府采购网”政府采购严重违法失信行为记录名单中被财政部门禁止参加政府采购活动的投标人（在处罚期内）。</w:t>
            </w:r>
            <w:r>
              <w:rPr>
                <w:rFonts w:hint="eastAsia" w:ascii="仿宋" w:hAnsi="仿宋" w:eastAsia="仿宋" w:cs="仿宋"/>
                <w:b/>
                <w:bCs/>
                <w:color w:val="auto"/>
                <w:sz w:val="21"/>
                <w:szCs w:val="21"/>
                <w:highlight w:val="none"/>
                <w:vertAlign w:val="baseline"/>
                <w:lang w:val="en-US" w:eastAsia="zh-CN"/>
              </w:rPr>
              <w:t>无须投标人提供，由采购人或采购代理机构查询结果为准</w:t>
            </w:r>
          </w:p>
        </w:tc>
        <w:tc>
          <w:tcPr>
            <w:tcW w:w="4045" w:type="dxa"/>
            <w:vAlign w:val="center"/>
          </w:tcPr>
          <w:p w14:paraId="1340C58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432579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 xml:space="preserve">查询时间：投标截止时间后至资格审查阶段完成； </w:t>
            </w:r>
          </w:p>
          <w:p w14:paraId="49AB06A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 打印页作为查询记录和证据，与其他采购文件一并保存；</w:t>
            </w:r>
          </w:p>
          <w:p w14:paraId="3097C5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的使用原则：经认定的被列入失信被执行人、重大税收违法案件当事人名单、政府采购严重违法失信行为记录名单、《中华人民共和国政府采购法实施条例》第十九条规定的行政处罚记录及其他不符合《中 华人民共和国政府采购法》第二十二条规定条件的供应商，其</w:t>
            </w:r>
            <w:r>
              <w:rPr>
                <w:rFonts w:hint="eastAsia" w:ascii="仿宋" w:hAnsi="仿宋" w:eastAsia="仿宋" w:cs="仿宋"/>
                <w:b/>
                <w:bCs/>
                <w:color w:val="auto"/>
                <w:sz w:val="21"/>
                <w:szCs w:val="21"/>
                <w:highlight w:val="none"/>
                <w:vertAlign w:val="baseline"/>
                <w:lang w:val="en-US" w:eastAsia="zh-CN"/>
              </w:rPr>
              <w:t>投标无效</w:t>
            </w:r>
            <w:r>
              <w:rPr>
                <w:rFonts w:hint="eastAsia" w:ascii="仿宋" w:hAnsi="仿宋" w:eastAsia="仿宋" w:cs="仿宋"/>
                <w:b w:val="0"/>
                <w:bCs w:val="0"/>
                <w:color w:val="auto"/>
                <w:sz w:val="21"/>
                <w:szCs w:val="21"/>
                <w:highlight w:val="none"/>
                <w:vertAlign w:val="baseline"/>
                <w:lang w:val="en-US" w:eastAsia="zh-CN"/>
              </w:rPr>
              <w:t>。联合体形式投标的，联合体成员存在不良信用记录，视同联合体存在不良信用记录。</w:t>
            </w:r>
            <w:r>
              <w:rPr>
                <w:rFonts w:hint="eastAsia" w:ascii="仿宋" w:hAnsi="仿宋" w:eastAsia="仿宋" w:cs="仿宋"/>
                <w:b/>
                <w:bCs/>
                <w:color w:val="auto"/>
                <w:sz w:val="21"/>
                <w:szCs w:val="21"/>
                <w:highlight w:val="none"/>
                <w:vertAlign w:val="baseline"/>
                <w:lang w:val="en-US" w:eastAsia="zh-CN"/>
              </w:rPr>
              <w:t>无须投标人提供，由采购人或采购代理机构查询结果为准。</w:t>
            </w:r>
          </w:p>
        </w:tc>
      </w:tr>
      <w:tr w14:paraId="040E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5AE955C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7</w:t>
            </w:r>
          </w:p>
        </w:tc>
        <w:tc>
          <w:tcPr>
            <w:tcW w:w="925" w:type="dxa"/>
            <w:vAlign w:val="center"/>
          </w:tcPr>
          <w:p w14:paraId="198EC41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落实政府采购政策</w:t>
            </w:r>
          </w:p>
          <w:p w14:paraId="7F46F67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的资格要求</w:t>
            </w:r>
          </w:p>
        </w:tc>
        <w:tc>
          <w:tcPr>
            <w:tcW w:w="4155" w:type="dxa"/>
            <w:vAlign w:val="center"/>
          </w:tcPr>
          <w:p w14:paraId="430792C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kern w:val="2"/>
                <w:sz w:val="21"/>
                <w:szCs w:val="21"/>
                <w:highlight w:val="none"/>
                <w:vertAlign w:val="baseline"/>
                <w:lang w:val="en-US" w:eastAsia="zh-CN" w:bidi="ar-SA"/>
              </w:rPr>
              <w:t>本标项 专门面向中小企业（含中型、小型、微型企业）采购，所投产品应为中小企业或财库〔2014〕68号文规定的企业或残疾人福利性单位所生产。</w:t>
            </w:r>
          </w:p>
        </w:tc>
        <w:tc>
          <w:tcPr>
            <w:tcW w:w="4045" w:type="dxa"/>
            <w:vAlign w:val="center"/>
          </w:tcPr>
          <w:p w14:paraId="5F158D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请根据"落实政府采购政策需满足的资格要求及审查要求"，上传中小企业声明函，格式以采购文件要求为准，无格式自行拟定。如果是联合体投标，为联合体牵头方加盖公章或所有联合体成员公章。</w:t>
            </w:r>
          </w:p>
        </w:tc>
      </w:tr>
      <w:tr w14:paraId="7777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2CEF96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925" w:type="dxa"/>
            <w:vAlign w:val="center"/>
          </w:tcPr>
          <w:p w14:paraId="225E4D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特定资格要求</w:t>
            </w:r>
          </w:p>
        </w:tc>
        <w:tc>
          <w:tcPr>
            <w:tcW w:w="4155" w:type="dxa"/>
            <w:vAlign w:val="center"/>
          </w:tcPr>
          <w:p w14:paraId="6F0FD5F1">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1、若</w:t>
            </w:r>
            <w:r>
              <w:rPr>
                <w:rFonts w:hint="eastAsia" w:ascii="仿宋" w:hAnsi="仿宋" w:eastAsia="仿宋" w:cs="仿宋"/>
                <w:b/>
                <w:bCs w:val="0"/>
                <w:color w:val="auto"/>
                <w:sz w:val="24"/>
                <w:szCs w:val="24"/>
                <w:highlight w:val="none"/>
                <w:lang w:val="en-US" w:eastAsia="zh-CN"/>
              </w:rPr>
              <w:t>投标人为货物制造商，</w:t>
            </w:r>
            <w:r>
              <w:rPr>
                <w:rFonts w:hint="eastAsia" w:ascii="仿宋" w:hAnsi="仿宋" w:eastAsia="仿宋" w:cs="仿宋"/>
                <w:b w:val="0"/>
                <w:bCs/>
                <w:color w:val="auto"/>
                <w:sz w:val="24"/>
                <w:szCs w:val="24"/>
                <w:highlight w:val="none"/>
                <w:lang w:val="en-US" w:eastAsia="zh-CN"/>
              </w:rPr>
              <w:t>使用自身生产的产品投标时，需同时具有以下有效证件</w:t>
            </w:r>
          </w:p>
          <w:p w14:paraId="3CFA235A">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危险化学品经营许可证》，许可范围须包含：氧、氮、氩、二氧化碳、乙炔；②投标人或其委托的运输单位具有有效的《道路危险货物运输许可证》或《道路运输经营许可证》（证书经营范围内必须包含危险货物运输），投标人委托其他单位配送的，除提供承运单位的上述许可证外，还应提供委托运输协议复印件；③投标人须具有有效的《气瓶充装许可证》或者《移动式压力容器充装许可证》；④《危险化学品安全生产许可证》；</w:t>
            </w:r>
          </w:p>
          <w:p w14:paraId="1094B12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bCs w:val="0"/>
                <w:color w:val="auto"/>
                <w:sz w:val="24"/>
                <w:szCs w:val="24"/>
                <w:highlight w:val="none"/>
                <w:lang w:val="en-US" w:eastAsia="zh-CN"/>
              </w:rPr>
              <w:t>若投标人为代理商，</w:t>
            </w:r>
            <w:r>
              <w:rPr>
                <w:rFonts w:hint="eastAsia" w:ascii="仿宋" w:hAnsi="仿宋" w:eastAsia="仿宋" w:cs="仿宋"/>
                <w:b w:val="0"/>
                <w:bCs/>
                <w:color w:val="auto"/>
                <w:sz w:val="24"/>
                <w:szCs w:val="24"/>
                <w:highlight w:val="none"/>
                <w:lang w:val="en-US" w:eastAsia="zh-CN"/>
              </w:rPr>
              <w:t>需同时具有以下有效证件</w:t>
            </w:r>
          </w:p>
          <w:p w14:paraId="765074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color w:val="auto"/>
                <w:sz w:val="24"/>
                <w:szCs w:val="24"/>
                <w:highlight w:val="none"/>
                <w:lang w:val="en-US" w:eastAsia="zh-CN"/>
              </w:rPr>
              <w:t>①《危险化学品经营许可证》许可范围须包含：氧、氮、氩、二氧化碳、乙炔；②投标人或其委托的运输单位具有有效的《道路危险货物运输许可证》或《道路运输经营许可证》（证书经营范围内必须包含危险货物运输），投标人委托其他单位配送的，除提供承运单位的上述许可证外，还应提供委托运输协议复印件；③</w:t>
            </w:r>
            <w:r>
              <w:rPr>
                <w:rFonts w:hint="eastAsia" w:ascii="仿宋" w:hAnsi="仿宋" w:eastAsia="仿宋" w:cs="仿宋"/>
                <w:b w:val="0"/>
                <w:bCs/>
                <w:i w:val="0"/>
                <w:iCs w:val="0"/>
                <w:caps w:val="0"/>
                <w:color w:val="383838"/>
                <w:spacing w:val="0"/>
                <w:sz w:val="24"/>
                <w:szCs w:val="24"/>
                <w:highlight w:val="none"/>
                <w:shd w:val="clear" w:color="auto" w:fill="FFFFFF"/>
              </w:rPr>
              <w:t>投</w:t>
            </w:r>
            <w:r>
              <w:rPr>
                <w:rFonts w:hint="eastAsia" w:ascii="仿宋" w:hAnsi="仿宋" w:eastAsia="仿宋" w:cs="仿宋"/>
                <w:b w:val="0"/>
                <w:bCs/>
                <w:color w:val="auto"/>
                <w:sz w:val="24"/>
                <w:szCs w:val="24"/>
                <w:highlight w:val="none"/>
                <w:lang w:val="en-US" w:eastAsia="zh-CN"/>
              </w:rPr>
              <w:t>标人须具有有效的《气瓶充装许可证》或者《移动式压力容器充装许可证》；④并提供代理产品生产企业的《危险化学品安全生产许可证》。</w:t>
            </w:r>
          </w:p>
        </w:tc>
        <w:tc>
          <w:tcPr>
            <w:tcW w:w="4045" w:type="dxa"/>
            <w:vAlign w:val="center"/>
          </w:tcPr>
          <w:p w14:paraId="7E1593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pacing w:val="0"/>
                <w:kern w:val="2"/>
                <w:sz w:val="21"/>
                <w:szCs w:val="21"/>
                <w:highlight w:val="none"/>
                <w:u w:val="none"/>
                <w:vertAlign w:val="baseline"/>
                <w:lang w:val="en-US" w:eastAsia="zh-CN" w:bidi="ar"/>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上传对应的资格文件扫描件加盖公章。如果是联合体投标，联合体各方均需提供，加盖联合体牵头方公章或所有联合体成员公章。</w:t>
            </w:r>
          </w:p>
        </w:tc>
      </w:tr>
    </w:tbl>
    <w:p w14:paraId="73B1875D">
      <w:pPr>
        <w:numPr>
          <w:ilvl w:val="0"/>
          <w:numId w:val="10"/>
        </w:numPr>
        <w:spacing w:line="500" w:lineRule="exact"/>
        <w:outlineLvl w:val="1"/>
        <w:rPr>
          <w:rFonts w:ascii="仿宋" w:hAnsi="仿宋" w:eastAsia="仿宋" w:cs="仿宋_GB2312"/>
          <w:b/>
          <w:bCs/>
          <w:color w:val="auto"/>
          <w:sz w:val="24"/>
          <w:highlight w:val="none"/>
        </w:rPr>
      </w:pPr>
      <w:bookmarkStart w:id="22" w:name="_Toc4337"/>
      <w:r>
        <w:rPr>
          <w:rFonts w:hint="eastAsia" w:ascii="仿宋" w:hAnsi="仿宋" w:eastAsia="仿宋" w:cs="仿宋_GB2312"/>
          <w:b/>
          <w:bCs/>
          <w:color w:val="auto"/>
          <w:sz w:val="24"/>
          <w:highlight w:val="none"/>
        </w:rPr>
        <w:t>符合性审查</w:t>
      </w:r>
      <w:bookmarkEnd w:id="22"/>
    </w:p>
    <w:p w14:paraId="5C7CFEC7">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评标委员会对通过资格审查的合格</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的投标文件进行符合性审查。评标委员会根据《符合性审查要求》中规定的审查因素和审查内容，对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的投标文件是否实质上响应招标文件进行符合性审查，并形成符合性审查评审结果。符合性审查中凡有其中任意一项未通过的，评审结果为未通过，未通过符合性审查的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按</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处理，不进入详细评审。符合性审查要求如下：</w:t>
      </w:r>
    </w:p>
    <w:p w14:paraId="0D2CF440">
      <w:pPr>
        <w:spacing w:line="500" w:lineRule="exact"/>
        <w:jc w:val="center"/>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符合性审查要求</w:t>
      </w:r>
    </w:p>
    <w:tbl>
      <w:tblPr>
        <w:tblStyle w:val="25"/>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037"/>
        <w:gridCol w:w="4025"/>
        <w:gridCol w:w="3826"/>
      </w:tblGrid>
      <w:tr w14:paraId="0C1B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DF0CF0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1037" w:type="dxa"/>
            <w:vAlign w:val="center"/>
          </w:tcPr>
          <w:p w14:paraId="2191421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4025" w:type="dxa"/>
            <w:vAlign w:val="center"/>
          </w:tcPr>
          <w:p w14:paraId="64B70AA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c>
          <w:tcPr>
            <w:tcW w:w="3826" w:type="dxa"/>
            <w:vAlign w:val="center"/>
          </w:tcPr>
          <w:p w14:paraId="60FD7D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要求说明</w:t>
            </w:r>
          </w:p>
        </w:tc>
      </w:tr>
      <w:tr w14:paraId="279B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4976ADA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1037" w:type="dxa"/>
            <w:vAlign w:val="center"/>
          </w:tcPr>
          <w:p w14:paraId="68D38A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4025" w:type="dxa"/>
            <w:vAlign w:val="center"/>
          </w:tcPr>
          <w:p w14:paraId="334755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c>
          <w:tcPr>
            <w:tcW w:w="3826" w:type="dxa"/>
            <w:vAlign w:val="center"/>
          </w:tcPr>
          <w:p w14:paraId="17D424D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按审查内容</w:t>
            </w:r>
            <w:r>
              <w:rPr>
                <w:rFonts w:hint="eastAsia" w:ascii="仿宋" w:hAnsi="仿宋" w:eastAsia="仿宋" w:cs="仿宋"/>
                <w:color w:val="auto"/>
                <w:sz w:val="21"/>
                <w:szCs w:val="21"/>
                <w:highlight w:val="none"/>
              </w:rPr>
              <w:t>要求</w:t>
            </w:r>
            <w:r>
              <w:rPr>
                <w:rFonts w:hint="eastAsia" w:ascii="仿宋" w:hAnsi="仿宋" w:eastAsia="仿宋" w:cs="仿宋"/>
                <w:color w:val="auto"/>
                <w:sz w:val="21"/>
                <w:szCs w:val="21"/>
                <w:highlight w:val="none"/>
                <w:lang w:val="en-US" w:eastAsia="zh-CN"/>
              </w:rPr>
              <w:t>提供</w:t>
            </w:r>
            <w:r>
              <w:rPr>
                <w:rFonts w:hint="eastAsia" w:ascii="仿宋" w:hAnsi="仿宋" w:eastAsia="仿宋" w:cs="仿宋"/>
                <w:color w:val="auto"/>
                <w:sz w:val="21"/>
                <w:szCs w:val="21"/>
                <w:highlight w:val="none"/>
              </w:rPr>
              <w:t>法定代表人身份证明</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rPr>
              <w:t>法定代表人身份证明。</w:t>
            </w:r>
          </w:p>
        </w:tc>
      </w:tr>
      <w:tr w14:paraId="3FF2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8B0CE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1037" w:type="dxa"/>
            <w:vAlign w:val="center"/>
          </w:tcPr>
          <w:p w14:paraId="6590D1E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4025" w:type="dxa"/>
            <w:vAlign w:val="center"/>
          </w:tcPr>
          <w:p w14:paraId="36EE8A1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是否按照招标文件的规定提交投标保证金</w:t>
            </w:r>
          </w:p>
        </w:tc>
        <w:tc>
          <w:tcPr>
            <w:tcW w:w="3826" w:type="dxa"/>
            <w:vAlign w:val="center"/>
          </w:tcPr>
          <w:p w14:paraId="6D8E75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按照招标文件的规定提交投标保证金</w:t>
            </w:r>
          </w:p>
        </w:tc>
      </w:tr>
      <w:tr w14:paraId="07DC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928FB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1037" w:type="dxa"/>
            <w:vAlign w:val="center"/>
          </w:tcPr>
          <w:p w14:paraId="36F5B0C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4025" w:type="dxa"/>
            <w:vAlign w:val="center"/>
          </w:tcPr>
          <w:p w14:paraId="4FC2D3B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是否将一个采购包中的内容拆开投标</w:t>
            </w:r>
          </w:p>
        </w:tc>
        <w:tc>
          <w:tcPr>
            <w:tcW w:w="3826" w:type="dxa"/>
            <w:vAlign w:val="center"/>
          </w:tcPr>
          <w:p w14:paraId="0ADF420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未将一个采购包中的内容拆开投标</w:t>
            </w:r>
          </w:p>
        </w:tc>
      </w:tr>
      <w:tr w14:paraId="7007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3759A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4</w:t>
            </w:r>
          </w:p>
        </w:tc>
        <w:tc>
          <w:tcPr>
            <w:tcW w:w="1037" w:type="dxa"/>
            <w:vAlign w:val="center"/>
          </w:tcPr>
          <w:p w14:paraId="092A86C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w:t>
            </w:r>
          </w:p>
        </w:tc>
        <w:tc>
          <w:tcPr>
            <w:tcW w:w="4025" w:type="dxa"/>
            <w:vAlign w:val="center"/>
          </w:tcPr>
          <w:p w14:paraId="2D701B6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投标报价是否超过招标文件中规定的项目/采购包预算金额或者项目/采购包最高限价或单价最高限价；</w:t>
            </w:r>
          </w:p>
        </w:tc>
        <w:tc>
          <w:tcPr>
            <w:tcW w:w="3826" w:type="dxa"/>
            <w:vAlign w:val="center"/>
          </w:tcPr>
          <w:p w14:paraId="25D01B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投标报价未超过招标文件中规定的项目/采购包预算金额或者项目/采购包最高限价或单价最高限价；；</w:t>
            </w:r>
          </w:p>
        </w:tc>
      </w:tr>
      <w:tr w14:paraId="1EE4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6CCE87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1037" w:type="dxa"/>
            <w:vAlign w:val="center"/>
          </w:tcPr>
          <w:p w14:paraId="1DD8C4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4025" w:type="dxa"/>
            <w:vAlign w:val="center"/>
          </w:tcPr>
          <w:p w14:paraId="19EED7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投标文件是否出现可选择性或可调整的报价（招标文件另有规定的除外）</w:t>
            </w:r>
          </w:p>
        </w:tc>
        <w:tc>
          <w:tcPr>
            <w:tcW w:w="3826" w:type="dxa"/>
            <w:vAlign w:val="center"/>
          </w:tcPr>
          <w:p w14:paraId="7B107C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14:paraId="1150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A2FA1A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6</w:t>
            </w:r>
          </w:p>
        </w:tc>
        <w:tc>
          <w:tcPr>
            <w:tcW w:w="1037" w:type="dxa"/>
            <w:vAlign w:val="center"/>
          </w:tcPr>
          <w:p w14:paraId="5E8B98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其他报价要求</w:t>
            </w:r>
          </w:p>
        </w:tc>
        <w:tc>
          <w:tcPr>
            <w:tcW w:w="4025" w:type="dxa"/>
            <w:vAlign w:val="center"/>
          </w:tcPr>
          <w:p w14:paraId="767BC9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报价文件是否含有采购人不能接受的条件或是否有不满足招标文件规定的其他要求</w:t>
            </w:r>
          </w:p>
        </w:tc>
        <w:tc>
          <w:tcPr>
            <w:tcW w:w="3826" w:type="dxa"/>
            <w:vAlign w:val="center"/>
          </w:tcPr>
          <w:p w14:paraId="503FD8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报价文件无采购人不能接受的条件或无不满足招标文件规定的其他要求</w:t>
            </w:r>
          </w:p>
        </w:tc>
      </w:tr>
      <w:tr w14:paraId="084F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DC766E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1037" w:type="dxa"/>
            <w:vAlign w:val="center"/>
          </w:tcPr>
          <w:p w14:paraId="0CBE1C9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4025" w:type="dxa"/>
            <w:vAlign w:val="center"/>
          </w:tcPr>
          <w:p w14:paraId="0AF68E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投标文件中承诺的投标有效期是否满足招标文件中载明的投标有效期</w:t>
            </w:r>
          </w:p>
        </w:tc>
        <w:tc>
          <w:tcPr>
            <w:tcW w:w="3826" w:type="dxa"/>
            <w:vAlign w:val="center"/>
          </w:tcPr>
          <w:p w14:paraId="37701D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w:t>
            </w:r>
          </w:p>
        </w:tc>
      </w:tr>
      <w:tr w14:paraId="6B9B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73C344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1037" w:type="dxa"/>
            <w:vAlign w:val="center"/>
          </w:tcPr>
          <w:p w14:paraId="396D1BB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4025" w:type="dxa"/>
            <w:vAlign w:val="center"/>
          </w:tcPr>
          <w:p w14:paraId="6D0C5CB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是否按照招标文件要求签署、盖章</w:t>
            </w:r>
          </w:p>
        </w:tc>
        <w:tc>
          <w:tcPr>
            <w:tcW w:w="3826" w:type="dxa"/>
            <w:vAlign w:val="center"/>
          </w:tcPr>
          <w:p w14:paraId="02A493B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w:t>
            </w:r>
          </w:p>
        </w:tc>
      </w:tr>
      <w:tr w14:paraId="09A9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9DE54B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1037" w:type="dxa"/>
            <w:vAlign w:val="center"/>
          </w:tcPr>
          <w:p w14:paraId="37FE78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4025" w:type="dxa"/>
            <w:vAlign w:val="center"/>
          </w:tcPr>
          <w:p w14:paraId="6620589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报价是否合理，或投标人的报价是否明显低于其他通过符合性审查投标人的报价，有可能影响产品质量或者不能诚信履约的，是否能够应评标委员会要求在规定时间内证明其报价合理性</w:t>
            </w:r>
          </w:p>
        </w:tc>
        <w:tc>
          <w:tcPr>
            <w:tcW w:w="3826" w:type="dxa"/>
            <w:vAlign w:val="center"/>
          </w:tcPr>
          <w:p w14:paraId="27263C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6FFB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4DEF2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1037" w:type="dxa"/>
            <w:vAlign w:val="center"/>
          </w:tcPr>
          <w:p w14:paraId="6EA7B0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4025" w:type="dxa"/>
            <w:vAlign w:val="center"/>
          </w:tcPr>
          <w:p w14:paraId="2874E31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投标文件是否含有采购人不能接受的附加条件</w:t>
            </w:r>
          </w:p>
        </w:tc>
        <w:tc>
          <w:tcPr>
            <w:tcW w:w="3826" w:type="dxa"/>
            <w:vAlign w:val="center"/>
          </w:tcPr>
          <w:p w14:paraId="6321126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w:t>
            </w:r>
          </w:p>
        </w:tc>
      </w:tr>
      <w:tr w14:paraId="2BC2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52161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11</w:t>
            </w:r>
            <w:bookmarkStart w:id="77" w:name="_GoBack"/>
            <w:bookmarkEnd w:id="77"/>
          </w:p>
        </w:tc>
        <w:tc>
          <w:tcPr>
            <w:tcW w:w="1037" w:type="dxa"/>
            <w:vAlign w:val="center"/>
          </w:tcPr>
          <w:p w14:paraId="2E4E2E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4025" w:type="dxa"/>
            <w:vAlign w:val="center"/>
          </w:tcPr>
          <w:p w14:paraId="6FAEDE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投标文件中是否存在违反国家法律、法规和招标文件规定的其他无效情形</w:t>
            </w:r>
          </w:p>
        </w:tc>
        <w:tc>
          <w:tcPr>
            <w:tcW w:w="3826" w:type="dxa"/>
            <w:vAlign w:val="center"/>
          </w:tcPr>
          <w:p w14:paraId="6F42F4B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14:paraId="1A437E22">
      <w:pPr>
        <w:numPr>
          <w:ilvl w:val="0"/>
          <w:numId w:val="10"/>
        </w:numPr>
        <w:spacing w:line="500" w:lineRule="exact"/>
        <w:outlineLvl w:val="1"/>
        <w:rPr>
          <w:rFonts w:ascii="仿宋" w:hAnsi="仿宋" w:eastAsia="仿宋" w:cs="仿宋_GB2312"/>
          <w:b/>
          <w:bCs/>
          <w:color w:val="auto"/>
          <w:sz w:val="24"/>
          <w:highlight w:val="none"/>
        </w:rPr>
      </w:pPr>
      <w:bookmarkStart w:id="23" w:name="_Toc23924"/>
      <w:r>
        <w:rPr>
          <w:rFonts w:hint="eastAsia" w:ascii="仿宋" w:hAnsi="仿宋" w:eastAsia="仿宋" w:cs="仿宋_GB2312"/>
          <w:b/>
          <w:bCs/>
          <w:color w:val="auto"/>
          <w:sz w:val="24"/>
          <w:highlight w:val="none"/>
        </w:rPr>
        <w:t>投标文件有关事项的澄清或者说明</w:t>
      </w:r>
      <w:bookmarkEnd w:id="23"/>
    </w:p>
    <w:p w14:paraId="69BB415E">
      <w:pPr>
        <w:numPr>
          <w:ilvl w:val="1"/>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评标过程中，评标委员会将以书面形式要求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对其投标文件中含义不明确、同类问题表述不一致或者有明显文字和计算错误的内容，作出必要的澄清、说明或者补正。代理机构可根据开标环节记录的授权代表人联系方式电话告知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需登录电子招投标系统，在规定时间内完成澄清（响应），并加盖电子印章。若因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联系方式错误未接收短信、未接听电话或超时未进行澄清（响应）造成的不利后果由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的澄清、说明或者补正不得超出投标文件的范围或者改变投标文件的实质性内容。澄清文件将作为投标文件内容的一部分。</w:t>
      </w:r>
    </w:p>
    <w:p w14:paraId="2910B03B">
      <w:pPr>
        <w:numPr>
          <w:ilvl w:val="1"/>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评标委员会认为</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的报价明显低于其他通过符合性审查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的报价，有可能影响产品质量或者不能诚信履约的，有权要求该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在评标现场合理的时间内提供书面说明，必要时提交相关证明材料；若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不能证明其报价合理性，评标委员会将其作为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w:t>
      </w:r>
    </w:p>
    <w:p w14:paraId="76F5C789">
      <w:pPr>
        <w:numPr>
          <w:ilvl w:val="1"/>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投标报价须包含招标文件全部内容，如分项报价表有缺漏视为已含在其他各项报价中，将不对投标总价进行调整。评标委员会有权要求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在评标现场合理的时间内对此进行书面确认，</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不确认的，视为将一个采购包中的内容拆开投标，其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52AD44B9">
      <w:pPr>
        <w:numPr>
          <w:ilvl w:val="1"/>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评标委员会不接受</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主动提出的澄清、说明或补正。</w:t>
      </w:r>
    </w:p>
    <w:p w14:paraId="6E22074F">
      <w:pPr>
        <w:numPr>
          <w:ilvl w:val="1"/>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提交的澄清、说明或补正有疑问的，可以要求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进一步澄清、说明或补正。</w:t>
      </w:r>
    </w:p>
    <w:p w14:paraId="1F7827AA">
      <w:pPr>
        <w:numPr>
          <w:ilvl w:val="1"/>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对报价的计算错误按以下原则修正：</w:t>
      </w:r>
    </w:p>
    <w:p w14:paraId="46FA49C5">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投标文件中开标一览表内容与投标文件中相应内容不一致的，以开标一览表为准；</w:t>
      </w:r>
    </w:p>
    <w:p w14:paraId="741056B3">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大写金额和小写金额不一致的，以大写金额为准；</w:t>
      </w:r>
    </w:p>
    <w:p w14:paraId="1CFD4B5F">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单价金额小数点或者百分比有明显错位的，以开标一览表的总价为准，并修改单价。</w:t>
      </w:r>
    </w:p>
    <w:p w14:paraId="05C0EE44">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总价金额与按单价汇总金额不一致的，以单价金额计算结果为准。但是单价金额计算结果超过预算金额/最高限价的，对其按</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w:t>
      </w:r>
    </w:p>
    <w:p w14:paraId="10475197">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若投标客户端上传的电子报价数据（开标一览表中的公布唱标价）与电子投标文件价格不一致的，以电子报价数据（开标一览表中的公布唱标价）为准。 </w:t>
      </w:r>
    </w:p>
    <w:p w14:paraId="31F2BCED">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注：同时出现两种以上不一致的，按照前款规定的顺序在系统上进行价格澄清。澄清后的价格加盖电子印章确认后产生约束力，但不得超出投标文件的范围或者改变投标文件的实质性内容，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不确认的，其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7BE37214">
      <w:pPr>
        <w:numPr>
          <w:ilvl w:val="0"/>
          <w:numId w:val="10"/>
        </w:numPr>
        <w:spacing w:line="500" w:lineRule="exact"/>
        <w:outlineLvl w:val="1"/>
        <w:rPr>
          <w:rFonts w:ascii="仿宋" w:hAnsi="仿宋" w:eastAsia="仿宋" w:cs="仿宋_GB2312"/>
          <w:b/>
          <w:bCs/>
          <w:color w:val="auto"/>
          <w:sz w:val="24"/>
          <w:highlight w:val="none"/>
        </w:rPr>
      </w:pPr>
      <w:bookmarkStart w:id="24" w:name="_Toc22049"/>
      <w:r>
        <w:rPr>
          <w:rFonts w:hint="eastAsia" w:ascii="仿宋" w:hAnsi="仿宋" w:eastAsia="仿宋" w:cs="仿宋_GB2312"/>
          <w:b/>
          <w:bCs/>
          <w:color w:val="auto"/>
          <w:sz w:val="24"/>
          <w:highlight w:val="none"/>
        </w:rPr>
        <w:t>详细评审</w:t>
      </w:r>
      <w:bookmarkEnd w:id="24"/>
    </w:p>
    <w:p w14:paraId="1D97F4E5">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经资格审查和符合性审查合格的投标文件，评标委员会将根据《详细评审标准》，对其技术部分、商务部分及报价部分作进一步的综合比较和评价。详细评审标准如下：</w:t>
      </w:r>
    </w:p>
    <w:p w14:paraId="57325E6D">
      <w:pPr>
        <w:spacing w:line="500" w:lineRule="exact"/>
        <w:jc w:val="center"/>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详细评审标准</w:t>
      </w:r>
      <w:r>
        <w:rPr>
          <w:rFonts w:hint="eastAsia" w:ascii="仿宋" w:hAnsi="仿宋" w:eastAsia="仿宋" w:cs="仿宋_GB2312"/>
          <w:b/>
          <w:bCs/>
          <w:color w:val="auto"/>
          <w:sz w:val="24"/>
          <w:highlight w:val="none"/>
          <w:lang w:eastAsia="zh-CN"/>
        </w:rPr>
        <w:t>（</w:t>
      </w:r>
      <w:r>
        <w:rPr>
          <w:rFonts w:hint="eastAsia" w:ascii="仿宋" w:hAnsi="仿宋" w:eastAsia="仿宋" w:cs="仿宋_GB2312"/>
          <w:b/>
          <w:bCs/>
          <w:color w:val="auto"/>
          <w:sz w:val="24"/>
          <w:highlight w:val="none"/>
          <w:lang w:val="en-US" w:eastAsia="zh-CN"/>
        </w:rPr>
        <w:t>适用于标项1</w:t>
      </w:r>
      <w:r>
        <w:rPr>
          <w:rFonts w:hint="eastAsia" w:ascii="仿宋" w:hAnsi="仿宋" w:eastAsia="仿宋" w:cs="仿宋_GB2312"/>
          <w:b/>
          <w:bCs/>
          <w:color w:val="auto"/>
          <w:sz w:val="24"/>
          <w:highlight w:val="none"/>
          <w:lang w:eastAsia="zh-CN"/>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67"/>
        <w:gridCol w:w="6367"/>
      </w:tblGrid>
      <w:tr w14:paraId="4D10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09" w:type="dxa"/>
            <w:gridSpan w:val="2"/>
            <w:vAlign w:val="center"/>
          </w:tcPr>
          <w:p w14:paraId="76BCD7E8">
            <w:pPr>
              <w:ind w:right="638" w:rightChars="304"/>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 xml:space="preserve"> 评分因素</w:t>
            </w:r>
          </w:p>
        </w:tc>
        <w:tc>
          <w:tcPr>
            <w:tcW w:w="567" w:type="dxa"/>
            <w:vAlign w:val="center"/>
          </w:tcPr>
          <w:p w14:paraId="62F46CA3">
            <w:pPr>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分值</w:t>
            </w:r>
          </w:p>
        </w:tc>
        <w:tc>
          <w:tcPr>
            <w:tcW w:w="6367" w:type="dxa"/>
            <w:vAlign w:val="center"/>
          </w:tcPr>
          <w:p w14:paraId="66584C24">
            <w:pPr>
              <w:ind w:right="-31" w:rightChars="-15"/>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评分细则</w:t>
            </w:r>
          </w:p>
        </w:tc>
      </w:tr>
      <w:tr w14:paraId="0847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09" w:type="dxa"/>
            <w:gridSpan w:val="2"/>
            <w:vAlign w:val="center"/>
          </w:tcPr>
          <w:p w14:paraId="0B6862C8">
            <w:pPr>
              <w:ind w:right="638" w:rightChars="304"/>
              <w:jc w:val="center"/>
              <w:rPr>
                <w:rFonts w:ascii="仿宋" w:hAnsi="仿宋" w:eastAsia="仿宋" w:cs="仿宋_GB2312"/>
                <w:b/>
                <w:color w:val="auto"/>
                <w:kern w:val="0"/>
                <w:szCs w:val="21"/>
                <w:highlight w:val="none"/>
              </w:rPr>
            </w:pPr>
            <w:r>
              <w:rPr>
                <w:rFonts w:hint="eastAsia" w:ascii="仿宋" w:hAnsi="仿宋" w:eastAsia="仿宋" w:cs="仿宋_GB2312"/>
                <w:bCs/>
                <w:color w:val="auto"/>
                <w:kern w:val="0"/>
                <w:szCs w:val="21"/>
                <w:highlight w:val="none"/>
              </w:rPr>
              <w:t>分值构成</w:t>
            </w:r>
          </w:p>
        </w:tc>
        <w:tc>
          <w:tcPr>
            <w:tcW w:w="6934" w:type="dxa"/>
            <w:gridSpan w:val="2"/>
            <w:vAlign w:val="center"/>
          </w:tcPr>
          <w:p w14:paraId="73C63DBB">
            <w:pPr>
              <w:ind w:right="-31" w:rightChars="-15"/>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商务部分</w:t>
            </w:r>
            <w:r>
              <w:rPr>
                <w:rFonts w:hint="eastAsia" w:ascii="仿宋" w:hAnsi="仿宋" w:eastAsia="仿宋" w:cs="仿宋_GB2312"/>
                <w:bCs/>
                <w:color w:val="auto"/>
                <w:kern w:val="0"/>
                <w:szCs w:val="21"/>
                <w:highlight w:val="none"/>
                <w:lang w:val="en-US" w:eastAsia="zh-CN"/>
              </w:rPr>
              <w:t>10</w:t>
            </w:r>
            <w:r>
              <w:rPr>
                <w:rFonts w:hint="eastAsia" w:ascii="仿宋" w:hAnsi="仿宋" w:eastAsia="仿宋" w:cs="仿宋_GB2312"/>
                <w:bCs/>
                <w:color w:val="auto"/>
                <w:kern w:val="0"/>
                <w:szCs w:val="21"/>
                <w:highlight w:val="none"/>
              </w:rPr>
              <w:t>.0分</w:t>
            </w:r>
          </w:p>
          <w:p w14:paraId="10EBD0C7">
            <w:pPr>
              <w:ind w:right="-31" w:rightChars="-15"/>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技术部分</w:t>
            </w:r>
            <w:r>
              <w:rPr>
                <w:rFonts w:hint="eastAsia" w:ascii="仿宋" w:hAnsi="仿宋" w:eastAsia="仿宋" w:cs="仿宋_GB2312"/>
                <w:bCs/>
                <w:color w:val="auto"/>
                <w:kern w:val="0"/>
                <w:szCs w:val="21"/>
                <w:highlight w:val="none"/>
                <w:lang w:val="en-US" w:eastAsia="zh-CN"/>
              </w:rPr>
              <w:t>60</w:t>
            </w:r>
            <w:r>
              <w:rPr>
                <w:rFonts w:hint="eastAsia" w:ascii="仿宋" w:hAnsi="仿宋" w:eastAsia="仿宋" w:cs="仿宋_GB2312"/>
                <w:bCs/>
                <w:color w:val="auto"/>
                <w:kern w:val="0"/>
                <w:szCs w:val="21"/>
                <w:highlight w:val="none"/>
              </w:rPr>
              <w:t>.0分</w:t>
            </w:r>
          </w:p>
          <w:p w14:paraId="6B0A45B0">
            <w:pPr>
              <w:ind w:right="-31" w:rightChars="-15"/>
              <w:jc w:val="left"/>
              <w:rPr>
                <w:rFonts w:ascii="仿宋" w:hAnsi="仿宋" w:eastAsia="仿宋" w:cs="仿宋_GB2312"/>
                <w:b/>
                <w:color w:val="auto"/>
                <w:kern w:val="0"/>
                <w:szCs w:val="21"/>
                <w:highlight w:val="none"/>
              </w:rPr>
            </w:pPr>
            <w:r>
              <w:rPr>
                <w:rFonts w:hint="eastAsia" w:ascii="仿宋" w:hAnsi="仿宋" w:eastAsia="仿宋" w:cs="仿宋_GB2312"/>
                <w:bCs/>
                <w:color w:val="auto"/>
                <w:kern w:val="0"/>
                <w:szCs w:val="21"/>
                <w:highlight w:val="none"/>
              </w:rPr>
              <w:t>报价得分30.0分</w:t>
            </w:r>
          </w:p>
        </w:tc>
      </w:tr>
      <w:tr w14:paraId="5F72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809" w:type="dxa"/>
            <w:gridSpan w:val="2"/>
            <w:vAlign w:val="center"/>
          </w:tcPr>
          <w:p w14:paraId="7F83AB4B">
            <w:pPr>
              <w:pStyle w:val="18"/>
              <w:ind w:right="8"/>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报价部分</w:t>
            </w:r>
          </w:p>
        </w:tc>
        <w:tc>
          <w:tcPr>
            <w:tcW w:w="567" w:type="dxa"/>
            <w:vAlign w:val="center"/>
          </w:tcPr>
          <w:p w14:paraId="416106E0">
            <w:pPr>
              <w:pStyle w:val="18"/>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30</w:t>
            </w:r>
          </w:p>
        </w:tc>
        <w:tc>
          <w:tcPr>
            <w:tcW w:w="6367" w:type="dxa"/>
            <w:vAlign w:val="center"/>
          </w:tcPr>
          <w:p w14:paraId="7ED5C7D1">
            <w:pPr>
              <w:pStyle w:val="18"/>
              <w:ind w:right="-31" w:rightChars="-15"/>
              <w:jc w:val="both"/>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满足招标文件要求且投标价格最低的有效投标报价（即除低于成本报价以外的报价）为评标基准价。其他</w:t>
            </w:r>
            <w:r>
              <w:rPr>
                <w:rFonts w:hint="eastAsia" w:ascii="仿宋" w:hAnsi="仿宋" w:eastAsia="仿宋" w:cs="仿宋_GB2312"/>
                <w:color w:val="auto"/>
                <w:sz w:val="21"/>
                <w:szCs w:val="21"/>
                <w:highlight w:val="none"/>
                <w:lang w:eastAsia="zh-CN"/>
              </w:rPr>
              <w:t>投标人</w:t>
            </w:r>
            <w:r>
              <w:rPr>
                <w:rFonts w:hint="eastAsia" w:ascii="仿宋" w:hAnsi="仿宋" w:eastAsia="仿宋" w:cs="仿宋_GB2312"/>
                <w:color w:val="auto"/>
                <w:sz w:val="21"/>
                <w:szCs w:val="21"/>
                <w:highlight w:val="none"/>
              </w:rPr>
              <w:t>的价格分统一按照下列公式计算：</w:t>
            </w:r>
          </w:p>
          <w:p w14:paraId="6AB4ED7F">
            <w:pPr>
              <w:pStyle w:val="18"/>
              <w:ind w:right="-31" w:rightChars="-15"/>
              <w:jc w:val="both"/>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投标报价得分=（评标基准价/投标报价）×价格满分分值</w:t>
            </w:r>
          </w:p>
        </w:tc>
      </w:tr>
      <w:tr w14:paraId="02FA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675" w:type="dxa"/>
            <w:tcBorders>
              <w:right w:val="single" w:color="000000" w:sz="4" w:space="0"/>
            </w:tcBorders>
            <w:vAlign w:val="center"/>
          </w:tcPr>
          <w:p w14:paraId="72FC1BEC">
            <w:pPr>
              <w:pStyle w:val="18"/>
              <w:ind w:right="-19" w:rightChars="-9"/>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商务部分</w:t>
            </w:r>
          </w:p>
        </w:tc>
        <w:tc>
          <w:tcPr>
            <w:tcW w:w="1134" w:type="dxa"/>
            <w:tcBorders>
              <w:left w:val="single" w:color="000000" w:sz="4" w:space="0"/>
            </w:tcBorders>
            <w:vAlign w:val="center"/>
          </w:tcPr>
          <w:p w14:paraId="192DF9EA">
            <w:pPr>
              <w:pStyle w:val="18"/>
              <w:ind w:right="31" w:rightChars="15"/>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类似项目业绩</w:t>
            </w:r>
          </w:p>
        </w:tc>
        <w:tc>
          <w:tcPr>
            <w:tcW w:w="567" w:type="dxa"/>
            <w:vAlign w:val="center"/>
          </w:tcPr>
          <w:p w14:paraId="4791C607">
            <w:pPr>
              <w:pStyle w:val="18"/>
              <w:jc w:val="center"/>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10</w:t>
            </w:r>
          </w:p>
        </w:tc>
        <w:tc>
          <w:tcPr>
            <w:tcW w:w="6367" w:type="dxa"/>
            <w:vAlign w:val="center"/>
          </w:tcPr>
          <w:p w14:paraId="18EEA877">
            <w:pPr>
              <w:pStyle w:val="18"/>
              <w:spacing w:line="240" w:lineRule="auto"/>
              <w:ind w:right="-31" w:rightChars="-15"/>
              <w:jc w:val="both"/>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投标截止日</w:t>
            </w:r>
            <w:r>
              <w:rPr>
                <w:rFonts w:hint="eastAsia" w:ascii="仿宋" w:hAnsi="仿宋" w:eastAsia="仿宋" w:cs="仿宋"/>
                <w:color w:val="auto"/>
                <w:sz w:val="21"/>
                <w:szCs w:val="21"/>
                <w:highlight w:val="none"/>
                <w:vertAlign w:val="baseline"/>
                <w:lang w:val="en-US" w:eastAsia="zh-CN"/>
              </w:rPr>
              <w:t>前三年</w:t>
            </w:r>
            <w:r>
              <w:rPr>
                <w:rFonts w:hint="eastAsia" w:ascii="仿宋" w:hAnsi="仿宋" w:eastAsia="仿宋" w:cs="仿宋"/>
                <w:color w:val="auto"/>
                <w:sz w:val="21"/>
                <w:szCs w:val="21"/>
                <w:highlight w:val="none"/>
                <w:vertAlign w:val="baseline"/>
              </w:rPr>
              <w:t>（以合同签订合同时间为准）独立承担的类似项目，每提供 1 份有效的业绩资料得</w:t>
            </w: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rPr>
              <w:t>分，满分</w:t>
            </w:r>
            <w:r>
              <w:rPr>
                <w:rFonts w:hint="eastAsia" w:ascii="仿宋" w:hAnsi="仿宋" w:eastAsia="仿宋" w:cs="仿宋"/>
                <w:color w:val="auto"/>
                <w:sz w:val="21"/>
                <w:szCs w:val="21"/>
                <w:highlight w:val="none"/>
                <w:vertAlign w:val="baseline"/>
                <w:lang w:val="en-US" w:eastAsia="zh-CN"/>
              </w:rPr>
              <w:t>10</w:t>
            </w:r>
            <w:r>
              <w:rPr>
                <w:rFonts w:hint="eastAsia" w:ascii="仿宋" w:hAnsi="仿宋" w:eastAsia="仿宋" w:cs="仿宋"/>
                <w:color w:val="auto"/>
                <w:sz w:val="21"/>
                <w:szCs w:val="21"/>
                <w:highlight w:val="none"/>
                <w:vertAlign w:val="baseline"/>
              </w:rPr>
              <w:t>分。</w:t>
            </w:r>
          </w:p>
          <w:p w14:paraId="0A86ADCB">
            <w:pPr>
              <w:pStyle w:val="18"/>
              <w:spacing w:line="240" w:lineRule="auto"/>
              <w:ind w:right="-31" w:rightChars="-15"/>
              <w:jc w:val="both"/>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货物和</w:t>
            </w:r>
            <w:r>
              <w:rPr>
                <w:rFonts w:hint="eastAsia" w:ascii="仿宋" w:hAnsi="仿宋" w:eastAsia="仿宋" w:cs="仿宋"/>
                <w:color w:val="auto"/>
                <w:sz w:val="21"/>
                <w:szCs w:val="21"/>
                <w:highlight w:val="none"/>
                <w:vertAlign w:val="baseline"/>
              </w:rPr>
              <w:t>服务内容信息页、合同金额页、签字盖章页）。</w:t>
            </w:r>
            <w:r>
              <w:rPr>
                <w:rFonts w:hint="eastAsia" w:ascii="仿宋" w:hAnsi="仿宋" w:eastAsia="仿宋" w:cs="仿宋"/>
                <w:color w:val="auto"/>
                <w:sz w:val="21"/>
                <w:szCs w:val="21"/>
                <w:highlight w:val="none"/>
                <w:vertAlign w:val="baseline"/>
                <w:lang w:eastAsia="zh-CN"/>
              </w:rPr>
              <w:t>扫描件</w:t>
            </w:r>
            <w:r>
              <w:rPr>
                <w:rFonts w:hint="eastAsia" w:ascii="仿宋" w:hAnsi="仿宋" w:eastAsia="仿宋" w:cs="仿宋"/>
                <w:color w:val="auto"/>
                <w:sz w:val="21"/>
                <w:szCs w:val="21"/>
                <w:highlight w:val="none"/>
                <w:vertAlign w:val="baseline"/>
              </w:rPr>
              <w:t>加盖公章，时间以合同签订日期为准。不符合上述要求或未按要求提供有效证明文件的业绩在评审时将不予承认。</w:t>
            </w:r>
          </w:p>
          <w:p w14:paraId="7CBCD20D">
            <w:pPr>
              <w:pStyle w:val="18"/>
              <w:ind w:right="-31" w:rightChars="-15"/>
              <w:jc w:val="both"/>
              <w:rPr>
                <w:rFonts w:ascii="仿宋" w:hAnsi="仿宋" w:eastAsia="仿宋" w:cs="仿宋_GB2312"/>
                <w:color w:val="auto"/>
                <w:sz w:val="21"/>
                <w:szCs w:val="21"/>
                <w:highlight w:val="no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16B0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restart"/>
            <w:tcBorders>
              <w:right w:val="single" w:color="000000" w:sz="4" w:space="0"/>
            </w:tcBorders>
            <w:vAlign w:val="center"/>
          </w:tcPr>
          <w:p w14:paraId="07B482FA">
            <w:pPr>
              <w:pStyle w:val="18"/>
              <w:ind w:right="-19" w:rightChars="-9"/>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 xml:space="preserve">技术部分 </w:t>
            </w:r>
          </w:p>
        </w:tc>
        <w:tc>
          <w:tcPr>
            <w:tcW w:w="1134" w:type="dxa"/>
            <w:tcBorders>
              <w:left w:val="single" w:color="000000" w:sz="4" w:space="0"/>
            </w:tcBorders>
            <w:vAlign w:val="center"/>
          </w:tcPr>
          <w:p w14:paraId="464C1F14">
            <w:pPr>
              <w:pStyle w:val="18"/>
              <w:ind w:right="31" w:rightChars="15"/>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lang w:val="en-US" w:eastAsia="zh-CN"/>
              </w:rPr>
              <w:t>产品符合性</w:t>
            </w:r>
          </w:p>
        </w:tc>
        <w:tc>
          <w:tcPr>
            <w:tcW w:w="567" w:type="dxa"/>
            <w:vAlign w:val="center"/>
          </w:tcPr>
          <w:p w14:paraId="7F94214A">
            <w:pPr>
              <w:pStyle w:val="18"/>
              <w:jc w:val="center"/>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30</w:t>
            </w:r>
          </w:p>
        </w:tc>
        <w:tc>
          <w:tcPr>
            <w:tcW w:w="6367" w:type="dxa"/>
            <w:vAlign w:val="top"/>
          </w:tcPr>
          <w:p w14:paraId="7B0C9AE8">
            <w:pPr>
              <w:keepNext w:val="0"/>
              <w:keepLines w:val="0"/>
              <w:widowControl/>
              <w:suppressLineNumbers w:val="0"/>
              <w:jc w:val="left"/>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根据</w:t>
            </w:r>
            <w:r>
              <w:rPr>
                <w:rFonts w:hint="eastAsia" w:ascii="仿宋" w:hAnsi="仿宋" w:eastAsia="仿宋" w:cs="仿宋"/>
                <w:color w:val="auto"/>
                <w:kern w:val="0"/>
                <w:sz w:val="21"/>
                <w:szCs w:val="21"/>
                <w:highlight w:val="none"/>
                <w:lang w:val="en-US" w:eastAsia="zh-CN" w:bidi="ar"/>
              </w:rPr>
              <w:t>投标人</w:t>
            </w:r>
            <w:r>
              <w:rPr>
                <w:rFonts w:hint="eastAsia" w:ascii="仿宋" w:hAnsi="仿宋" w:eastAsia="仿宋" w:cs="仿宋"/>
                <w:color w:val="auto"/>
                <w:kern w:val="0"/>
                <w:sz w:val="21"/>
                <w:szCs w:val="21"/>
                <w:highlight w:val="none"/>
                <w:lang w:bidi="ar"/>
              </w:rPr>
              <w:t>所投产品的</w:t>
            </w:r>
            <w:r>
              <w:rPr>
                <w:rFonts w:hint="eastAsia" w:ascii="仿宋" w:hAnsi="仿宋" w:eastAsia="仿宋" w:cs="仿宋"/>
                <w:color w:val="auto"/>
                <w:kern w:val="0"/>
                <w:sz w:val="21"/>
                <w:szCs w:val="21"/>
                <w:highlight w:val="none"/>
                <w:lang w:val="en-US" w:eastAsia="zh-CN" w:bidi="ar"/>
              </w:rPr>
              <w:t>技术规格、参数</w:t>
            </w:r>
            <w:r>
              <w:rPr>
                <w:rFonts w:hint="eastAsia" w:ascii="仿宋" w:hAnsi="仿宋" w:eastAsia="仿宋" w:cs="仿宋"/>
                <w:color w:val="auto"/>
                <w:kern w:val="0"/>
                <w:sz w:val="21"/>
                <w:szCs w:val="21"/>
                <w:highlight w:val="none"/>
                <w:lang w:bidi="ar"/>
              </w:rPr>
              <w:t>响应程度打分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完全满足招标要求或优于得</w:t>
            </w:r>
            <w:r>
              <w:rPr>
                <w:rFonts w:hint="eastAsia" w:ascii="仿宋" w:hAnsi="仿宋" w:eastAsia="仿宋" w:cs="仿宋"/>
                <w:color w:val="auto"/>
                <w:sz w:val="21"/>
                <w:szCs w:val="21"/>
                <w:highlight w:val="none"/>
                <w:vertAlign w:val="baseline"/>
                <w:lang w:val="en-US" w:eastAsia="zh-CN"/>
              </w:rPr>
              <w:t>招</w:t>
            </w:r>
            <w:r>
              <w:rPr>
                <w:rFonts w:hint="eastAsia" w:ascii="仿宋" w:hAnsi="仿宋" w:eastAsia="仿宋" w:cs="仿宋"/>
                <w:color w:val="auto"/>
                <w:kern w:val="0"/>
                <w:sz w:val="21"/>
                <w:szCs w:val="21"/>
                <w:highlight w:val="none"/>
                <w:lang w:val="en-US" w:eastAsia="zh-CN" w:bidi="ar"/>
              </w:rPr>
              <w:t>标要求</w:t>
            </w:r>
            <w:r>
              <w:rPr>
                <w:rFonts w:hint="eastAsia" w:ascii="仿宋" w:hAnsi="仿宋" w:eastAsia="仿宋" w:cs="仿宋"/>
                <w:color w:val="auto"/>
                <w:kern w:val="0"/>
                <w:sz w:val="21"/>
                <w:szCs w:val="21"/>
                <w:highlight w:val="none"/>
                <w:lang w:bidi="ar"/>
              </w:rPr>
              <w:t>得</w:t>
            </w:r>
            <w:r>
              <w:rPr>
                <w:rFonts w:hint="eastAsia" w:ascii="仿宋" w:hAnsi="仿宋" w:eastAsia="仿宋" w:cs="仿宋"/>
                <w:color w:val="auto"/>
                <w:kern w:val="0"/>
                <w:sz w:val="21"/>
                <w:szCs w:val="21"/>
                <w:highlight w:val="none"/>
                <w:lang w:val="en-US" w:eastAsia="zh-CN" w:bidi="ar"/>
              </w:rPr>
              <w:t>30</w:t>
            </w:r>
            <w:r>
              <w:rPr>
                <w:rFonts w:hint="eastAsia" w:ascii="仿宋" w:hAnsi="仿宋" w:eastAsia="仿宋" w:cs="仿宋"/>
                <w:color w:val="auto"/>
                <w:kern w:val="0"/>
                <w:sz w:val="21"/>
                <w:szCs w:val="21"/>
                <w:highlight w:val="none"/>
                <w:lang w:bidi="ar"/>
              </w:rPr>
              <w:t>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有1项技术参数不满足扣3分； 扣完为止</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 xml:space="preserve"> </w:t>
            </w:r>
          </w:p>
          <w:p w14:paraId="0F9EC8A8">
            <w:pPr>
              <w:pStyle w:val="18"/>
              <w:ind w:right="-31" w:rightChars="-15"/>
              <w:jc w:val="both"/>
              <w:rPr>
                <w:rFonts w:hint="default" w:ascii="仿宋" w:hAnsi="仿宋" w:eastAsia="仿宋" w:cs="仿宋_GB2312"/>
                <w:color w:val="auto"/>
                <w:sz w:val="21"/>
                <w:szCs w:val="21"/>
                <w:highlight w:val="none"/>
                <w:lang w:val="en-US" w:eastAsia="zh-CN"/>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在响应采购需求时，应提供产品技术支持资料。技术支持资料形式：以制造商公开发布的印刷资料（彩页说明、或加盖公章的技术白皮书）或检测机构出具的检测报告或产品注册证内容为准。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评标委员会将不予承认。由此产生的评标风险，由投标人自行承担。</w:t>
            </w:r>
          </w:p>
        </w:tc>
      </w:tr>
      <w:tr w14:paraId="7369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3EC3136B">
            <w:pPr>
              <w:pStyle w:val="18"/>
              <w:ind w:right="-19" w:rightChars="-9"/>
              <w:jc w:val="center"/>
              <w:rPr>
                <w:rFonts w:hint="eastAsia" w:ascii="仿宋" w:hAnsi="仿宋" w:eastAsia="仿宋" w:cs="仿宋_GB2312"/>
                <w:color w:val="auto"/>
                <w:sz w:val="21"/>
                <w:szCs w:val="21"/>
                <w:highlight w:val="none"/>
              </w:rPr>
            </w:pPr>
          </w:p>
        </w:tc>
        <w:tc>
          <w:tcPr>
            <w:tcW w:w="1134" w:type="dxa"/>
            <w:tcBorders>
              <w:left w:val="single" w:color="000000" w:sz="4" w:space="0"/>
            </w:tcBorders>
            <w:vAlign w:val="center"/>
          </w:tcPr>
          <w:p w14:paraId="6E85C835">
            <w:pPr>
              <w:keepNext w:val="0"/>
              <w:keepLines w:val="0"/>
              <w:pageBreakBefore w:val="0"/>
              <w:widowControl/>
              <w:kinsoku/>
              <w:wordWrap/>
              <w:overflowPunct/>
              <w:topLinePunct w:val="0"/>
              <w:bidi w:val="0"/>
              <w:spacing w:line="340" w:lineRule="exact"/>
              <w:ind w:right="0" w:right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 xml:space="preserve">项目实 </w:t>
            </w:r>
          </w:p>
          <w:p w14:paraId="6D1ACED2">
            <w:pPr>
              <w:keepNext w:val="0"/>
              <w:keepLines w:val="0"/>
              <w:pageBreakBefore w:val="0"/>
              <w:widowControl/>
              <w:kinsoku/>
              <w:wordWrap/>
              <w:overflowPunct/>
              <w:topLinePunct w:val="0"/>
              <w:bidi w:val="0"/>
              <w:spacing w:line="340" w:lineRule="exact"/>
              <w:ind w:right="0" w:rightChars="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施方案</w:t>
            </w:r>
          </w:p>
          <w:p w14:paraId="2155F61C">
            <w:pPr>
              <w:keepNext w:val="0"/>
              <w:keepLines w:val="0"/>
              <w:pageBreakBefore w:val="0"/>
              <w:widowControl/>
              <w:kinsoku/>
              <w:wordWrap/>
              <w:overflowPunct/>
              <w:topLinePunct w:val="0"/>
              <w:bidi w:val="0"/>
              <w:spacing w:line="340" w:lineRule="exact"/>
              <w:ind w:right="0" w:rightChars="0"/>
              <w:jc w:val="center"/>
              <w:textAlignment w:val="center"/>
              <w:rPr>
                <w:rFonts w:hint="eastAsia" w:ascii="仿宋" w:hAnsi="仿宋" w:eastAsia="仿宋" w:cs="仿宋_GB2312"/>
                <w:color w:val="auto"/>
                <w:kern w:val="2"/>
                <w:sz w:val="21"/>
                <w:szCs w:val="21"/>
                <w:highlight w:val="none"/>
                <w:lang w:val="en-US" w:eastAsia="zh-CN" w:bidi="ar-SA"/>
              </w:rPr>
            </w:pPr>
          </w:p>
        </w:tc>
        <w:tc>
          <w:tcPr>
            <w:tcW w:w="567" w:type="dxa"/>
            <w:vAlign w:val="center"/>
          </w:tcPr>
          <w:p w14:paraId="1C924160">
            <w:pPr>
              <w:pStyle w:val="18"/>
              <w:keepNext w:val="0"/>
              <w:keepLines w:val="0"/>
              <w:pageBreakBefore w:val="0"/>
              <w:kinsoku/>
              <w:wordWrap/>
              <w:overflowPunct/>
              <w:topLinePunct w:val="0"/>
              <w:bidi w:val="0"/>
              <w:spacing w:line="340" w:lineRule="exact"/>
              <w:ind w:right="0" w:rightChars="0"/>
              <w:jc w:val="center"/>
              <w:rPr>
                <w:rFonts w:hint="default" w:ascii="仿宋" w:hAnsi="仿宋" w:eastAsia="仿宋" w:cs="仿宋_GB2312"/>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6</w:t>
            </w:r>
          </w:p>
        </w:tc>
        <w:tc>
          <w:tcPr>
            <w:tcW w:w="6367" w:type="dxa"/>
            <w:vAlign w:val="center"/>
          </w:tcPr>
          <w:p w14:paraId="34C39125">
            <w:pPr>
              <w:keepNext w:val="0"/>
              <w:keepLines w:val="0"/>
              <w:pageBreakBefore w:val="0"/>
              <w:widowControl/>
              <w:suppressLineNumbers w:val="0"/>
              <w:kinsoku/>
              <w:wordWrap/>
              <w:overflowPunct/>
              <w:topLinePunct w:val="0"/>
              <w:bidi w:val="0"/>
              <w:spacing w:line="340" w:lineRule="exact"/>
              <w:ind w:right="0" w:right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根据投标人针对本项目提供的项目实施方案进行评审，方案内容至少包 含：（1）组织管理体系及各职能机构设置（2）本项目实施的具体方法与流程（3）项目实施过程环节的注意事项及现场管控措施（4）针对本项目实施过程的重难点分析及应对措施。方案完整包含以上内容且满足本项目要求得 6 分，每缺一项扣 1.5 分，每有一处不完整或不符合本项目特点或实际采购需求的扣 1 分，本项最多扣6分。</w:t>
            </w:r>
          </w:p>
        </w:tc>
      </w:tr>
      <w:tr w14:paraId="472B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5" w:type="dxa"/>
            <w:vMerge w:val="continue"/>
            <w:tcBorders>
              <w:right w:val="single" w:color="000000" w:sz="4" w:space="0"/>
            </w:tcBorders>
            <w:vAlign w:val="center"/>
          </w:tcPr>
          <w:p w14:paraId="3BAF3BC2">
            <w:pPr>
              <w:pStyle w:val="18"/>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vAlign w:val="center"/>
          </w:tcPr>
          <w:p w14:paraId="75CF6144">
            <w:pPr>
              <w:keepNext w:val="0"/>
              <w:keepLines w:val="0"/>
              <w:pageBreakBefore w:val="0"/>
              <w:widowControl/>
              <w:suppressLineNumbers w:val="0"/>
              <w:kinsoku/>
              <w:wordWrap/>
              <w:overflowPunct/>
              <w:topLinePunct w:val="0"/>
              <w:bidi w:val="0"/>
              <w:spacing w:line="340" w:lineRule="exact"/>
              <w:ind w:right="0" w:rightChars="0"/>
              <w:jc w:val="center"/>
              <w:rPr>
                <w:rFonts w:ascii="仿宋" w:hAnsi="仿宋" w:eastAsia="仿宋" w:cs="仿宋"/>
                <w:color w:val="auto"/>
                <w:kern w:val="0"/>
                <w:szCs w:val="21"/>
                <w:highlight w:val="none"/>
                <w:lang w:bidi="ar"/>
              </w:rPr>
            </w:pPr>
            <w:r>
              <w:rPr>
                <w:rFonts w:hint="eastAsia" w:ascii="仿宋" w:hAnsi="仿宋" w:eastAsia="仿宋" w:cs="仿宋"/>
                <w:color w:val="000000"/>
                <w:kern w:val="0"/>
                <w:sz w:val="21"/>
                <w:szCs w:val="21"/>
                <w:highlight w:val="none"/>
                <w:lang w:val="en-US" w:eastAsia="zh-CN" w:bidi="ar"/>
              </w:rPr>
              <w:t>质量保证措施</w:t>
            </w:r>
          </w:p>
        </w:tc>
        <w:tc>
          <w:tcPr>
            <w:tcW w:w="567" w:type="dxa"/>
            <w:vAlign w:val="center"/>
          </w:tcPr>
          <w:p w14:paraId="5AF5129A">
            <w:pPr>
              <w:pStyle w:val="18"/>
              <w:keepNext w:val="0"/>
              <w:keepLines w:val="0"/>
              <w:pageBreakBefore w:val="0"/>
              <w:kinsoku/>
              <w:wordWrap/>
              <w:overflowPunct/>
              <w:topLinePunct w:val="0"/>
              <w:bidi w:val="0"/>
              <w:spacing w:line="340" w:lineRule="exact"/>
              <w:ind w:right="0" w:rightChars="0"/>
              <w:jc w:val="center"/>
              <w:rPr>
                <w:rFonts w:hint="eastAsia" w:ascii="仿宋" w:hAnsi="仿宋" w:eastAsia="仿宋" w:cs="仿宋_GB2312"/>
                <w:color w:val="auto"/>
                <w:sz w:val="21"/>
                <w:szCs w:val="21"/>
                <w:highlight w:val="none"/>
                <w:lang w:eastAsia="zh-CN"/>
              </w:rPr>
            </w:pPr>
            <w:r>
              <w:rPr>
                <w:rFonts w:hint="eastAsia" w:ascii="仿宋" w:hAnsi="仿宋" w:eastAsia="仿宋" w:cs="仿宋"/>
                <w:color w:val="auto"/>
                <w:kern w:val="0"/>
                <w:sz w:val="21"/>
                <w:szCs w:val="21"/>
                <w:highlight w:val="none"/>
                <w:lang w:val="en-US" w:eastAsia="zh-CN" w:bidi="ar"/>
              </w:rPr>
              <w:t>6</w:t>
            </w:r>
          </w:p>
        </w:tc>
        <w:tc>
          <w:tcPr>
            <w:tcW w:w="6367" w:type="dxa"/>
            <w:vAlign w:val="center"/>
          </w:tcPr>
          <w:p w14:paraId="696C67D0">
            <w:pPr>
              <w:keepNext w:val="0"/>
              <w:keepLines w:val="0"/>
              <w:pageBreakBefore w:val="0"/>
              <w:kinsoku/>
              <w:wordWrap/>
              <w:overflowPunct/>
              <w:topLinePunct w:val="0"/>
              <w:bidi w:val="0"/>
              <w:adjustRightInd w:val="0"/>
              <w:snapToGrid w:val="0"/>
              <w:spacing w:line="340" w:lineRule="exact"/>
              <w:ind w:right="0" w:rightChars="0"/>
              <w:jc w:val="left"/>
              <w:rPr>
                <w:rFonts w:ascii="仿宋" w:hAnsi="仿宋" w:eastAsia="仿宋" w:cs="仿宋_GB2312"/>
                <w:color w:val="auto"/>
                <w:sz w:val="21"/>
                <w:szCs w:val="21"/>
                <w:highlight w:val="none"/>
              </w:rPr>
            </w:pPr>
            <w:r>
              <w:rPr>
                <w:rFonts w:hint="eastAsia" w:ascii="仿宋" w:hAnsi="仿宋" w:eastAsia="仿宋" w:cs="仿宋"/>
                <w:color w:val="auto"/>
                <w:kern w:val="0"/>
                <w:sz w:val="21"/>
                <w:szCs w:val="21"/>
                <w:highlight w:val="none"/>
                <w:lang w:val="en-US" w:eastAsia="zh-CN" w:bidi="ar"/>
              </w:rPr>
              <w:t>根据供应商针对本项目提供的质量保证措施进行评审，措施内容至少包含：（1）质量管理目标（2）质量管理体系（3）相关材料质量保证措施（4）质量保证措施。方案完整包含以上内容且满足本项目要求得 6 分，每缺一项扣 1.5 分，每有一处不完整或不符合本项目特点或实际采购需求的扣 1 分，本项最多扣6分。</w:t>
            </w:r>
          </w:p>
        </w:tc>
      </w:tr>
      <w:tr w14:paraId="5D38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75" w:type="dxa"/>
            <w:vMerge w:val="continue"/>
            <w:tcBorders>
              <w:right w:val="single" w:color="000000" w:sz="4" w:space="0"/>
            </w:tcBorders>
            <w:vAlign w:val="center"/>
          </w:tcPr>
          <w:p w14:paraId="77C1DC0A">
            <w:pPr>
              <w:pStyle w:val="18"/>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vAlign w:val="center"/>
          </w:tcPr>
          <w:p w14:paraId="49A85C1B">
            <w:pPr>
              <w:keepNext w:val="0"/>
              <w:keepLines w:val="0"/>
              <w:pageBreakBefore w:val="0"/>
              <w:widowControl/>
              <w:suppressLineNumbers w:val="0"/>
              <w:kinsoku/>
              <w:wordWrap/>
              <w:overflowPunct/>
              <w:topLinePunct w:val="0"/>
              <w:bidi w:val="0"/>
              <w:spacing w:line="340" w:lineRule="exact"/>
              <w:ind w:right="0" w:rightChars="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安全管理体系与措施</w:t>
            </w:r>
          </w:p>
          <w:p w14:paraId="392B2C45">
            <w:pPr>
              <w:keepNext w:val="0"/>
              <w:keepLines w:val="0"/>
              <w:pageBreakBefore w:val="0"/>
              <w:widowControl/>
              <w:kinsoku/>
              <w:wordWrap/>
              <w:overflowPunct/>
              <w:topLinePunct w:val="0"/>
              <w:bidi w:val="0"/>
              <w:spacing w:line="340" w:lineRule="exact"/>
              <w:ind w:right="0" w:rightChars="0"/>
              <w:jc w:val="center"/>
              <w:textAlignment w:val="center"/>
              <w:rPr>
                <w:rFonts w:ascii="仿宋" w:hAnsi="仿宋" w:eastAsia="仿宋" w:cs="仿宋"/>
                <w:color w:val="auto"/>
                <w:kern w:val="0"/>
                <w:szCs w:val="21"/>
                <w:highlight w:val="none"/>
                <w:lang w:bidi="ar"/>
              </w:rPr>
            </w:pPr>
          </w:p>
        </w:tc>
        <w:tc>
          <w:tcPr>
            <w:tcW w:w="567" w:type="dxa"/>
            <w:vAlign w:val="center"/>
          </w:tcPr>
          <w:p w14:paraId="51DD6070">
            <w:pPr>
              <w:pStyle w:val="18"/>
              <w:keepNext w:val="0"/>
              <w:keepLines w:val="0"/>
              <w:pageBreakBefore w:val="0"/>
              <w:kinsoku/>
              <w:wordWrap/>
              <w:overflowPunct/>
              <w:topLinePunct w:val="0"/>
              <w:bidi w:val="0"/>
              <w:spacing w:line="340" w:lineRule="exact"/>
              <w:ind w:right="0" w:rightChars="0"/>
              <w:jc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6</w:t>
            </w:r>
          </w:p>
        </w:tc>
        <w:tc>
          <w:tcPr>
            <w:tcW w:w="6367" w:type="dxa"/>
            <w:vAlign w:val="center"/>
          </w:tcPr>
          <w:p w14:paraId="1D74EDD0">
            <w:pPr>
              <w:keepNext w:val="0"/>
              <w:keepLines w:val="0"/>
              <w:pageBreakBefore w:val="0"/>
              <w:kinsoku/>
              <w:wordWrap/>
              <w:overflowPunct/>
              <w:topLinePunct w:val="0"/>
              <w:bidi w:val="0"/>
              <w:adjustRightInd w:val="0"/>
              <w:snapToGrid w:val="0"/>
              <w:spacing w:line="340" w:lineRule="exact"/>
              <w:ind w:right="0" w:rightChars="0"/>
              <w:jc w:val="left"/>
              <w:rPr>
                <w:rFonts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根据投标人针对本项目提供的安全管理体系与措施进行评审，内容至少包含：（1）安全生产管理目标（2）安全管理体系及职责划分（3）安全技术措施（4）安全应急救援预案。方案完整包含以上内容且满足本项目要求得 6 分，每缺一项扣 1.5 分，每有一处不完整或不符合本项目特点或实际采购需求的扣 1 分，本项最多扣6分。</w:t>
            </w:r>
          </w:p>
        </w:tc>
      </w:tr>
      <w:tr w14:paraId="4AB0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75" w:type="dxa"/>
            <w:vMerge w:val="continue"/>
            <w:tcBorders>
              <w:right w:val="single" w:color="000000" w:sz="4" w:space="0"/>
            </w:tcBorders>
            <w:vAlign w:val="center"/>
          </w:tcPr>
          <w:p w14:paraId="0E55E674">
            <w:pPr>
              <w:pStyle w:val="18"/>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2C1B3754">
            <w:pPr>
              <w:keepNext w:val="0"/>
              <w:keepLines w:val="0"/>
              <w:pageBreakBefore w:val="0"/>
              <w:widowControl/>
              <w:suppressLineNumbers w:val="0"/>
              <w:kinsoku/>
              <w:wordWrap/>
              <w:overflowPunct/>
              <w:topLinePunct w:val="0"/>
              <w:bidi w:val="0"/>
              <w:spacing w:line="34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培训方案</w:t>
            </w:r>
          </w:p>
          <w:p w14:paraId="33EC707D">
            <w:pPr>
              <w:keepNext w:val="0"/>
              <w:keepLines w:val="0"/>
              <w:pageBreakBefore w:val="0"/>
              <w:widowControl/>
              <w:suppressLineNumbers w:val="0"/>
              <w:kinsoku/>
              <w:wordWrap/>
              <w:overflowPunct/>
              <w:topLinePunct w:val="0"/>
              <w:bidi w:val="0"/>
              <w:spacing w:line="340" w:lineRule="exact"/>
              <w:ind w:right="0" w:rightChars="0"/>
              <w:jc w:val="center"/>
              <w:rPr>
                <w:rFonts w:hint="eastAsia" w:ascii="仿宋" w:hAnsi="仿宋" w:eastAsia="仿宋" w:cs="仿宋"/>
                <w:color w:val="000000"/>
                <w:kern w:val="0"/>
                <w:sz w:val="21"/>
                <w:szCs w:val="21"/>
                <w:highlight w:val="none"/>
                <w:lang w:val="en-US" w:eastAsia="zh-CN" w:bidi="ar"/>
              </w:rPr>
            </w:pPr>
          </w:p>
        </w:tc>
        <w:tc>
          <w:tcPr>
            <w:tcW w:w="567" w:type="dxa"/>
            <w:shd w:val="clear" w:color="auto" w:fill="auto"/>
            <w:vAlign w:val="center"/>
          </w:tcPr>
          <w:p w14:paraId="42D0077E">
            <w:pPr>
              <w:keepNext w:val="0"/>
              <w:keepLines w:val="0"/>
              <w:pageBreakBefore w:val="0"/>
              <w:widowControl/>
              <w:suppressLineNumbers w:val="0"/>
              <w:kinsoku/>
              <w:wordWrap/>
              <w:overflowPunct/>
              <w:topLinePunct w:val="0"/>
              <w:bidi w:val="0"/>
              <w:spacing w:line="34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6</w:t>
            </w:r>
          </w:p>
        </w:tc>
        <w:tc>
          <w:tcPr>
            <w:tcW w:w="6367" w:type="dxa"/>
            <w:shd w:val="clear" w:color="auto" w:fill="auto"/>
            <w:vAlign w:val="center"/>
          </w:tcPr>
          <w:p w14:paraId="6C154EB2">
            <w:pPr>
              <w:keepNext w:val="0"/>
              <w:keepLines w:val="0"/>
              <w:pageBreakBefore w:val="0"/>
              <w:kinsoku/>
              <w:wordWrap/>
              <w:overflowPunct/>
              <w:topLinePunct w:val="0"/>
              <w:bidi w:val="0"/>
              <w:adjustRightInd w:val="0"/>
              <w:snapToGrid w:val="0"/>
              <w:spacing w:line="340" w:lineRule="exact"/>
              <w:ind w:right="0" w:rightChars="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根据投标人针对本项目提供的培训方案进行评审，方案内容至少包含</w:t>
            </w:r>
            <w:r>
              <w:rPr>
                <w:rFonts w:hint="eastAsia" w:ascii="仿宋" w:hAnsi="仿宋" w:eastAsia="仿宋" w:cs="仿宋"/>
                <w:color w:val="000000"/>
                <w:kern w:val="0"/>
                <w:sz w:val="21"/>
                <w:szCs w:val="21"/>
                <w:highlight w:val="none"/>
                <w:lang w:val="en-US" w:eastAsia="zh-CN" w:bidi="ar"/>
              </w:rPr>
              <w:t>①培训计划、②培训内容、③能否保证培训的质量，确保业主项目人员达到相关技术要求、④培训人员的专业性。</w:t>
            </w:r>
            <w:r>
              <w:rPr>
                <w:rFonts w:hint="eastAsia" w:ascii="仿宋" w:hAnsi="仿宋" w:eastAsia="仿宋" w:cs="仿宋"/>
                <w:color w:val="auto"/>
                <w:kern w:val="0"/>
                <w:sz w:val="21"/>
                <w:szCs w:val="21"/>
                <w:highlight w:val="none"/>
                <w:lang w:val="en-US" w:eastAsia="zh-CN" w:bidi="ar"/>
              </w:rPr>
              <w:t>方案完整包含以上内容且满足本项目要求得 6 分，每缺一项扣 1.5 分，每有一处不完整或不符合本项目特点或实际采购需求的扣 1 分，本项最多扣6分。</w:t>
            </w:r>
          </w:p>
        </w:tc>
      </w:tr>
      <w:tr w14:paraId="621B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675" w:type="dxa"/>
            <w:vMerge w:val="continue"/>
            <w:tcBorders>
              <w:right w:val="single" w:color="000000" w:sz="4" w:space="0"/>
            </w:tcBorders>
            <w:vAlign w:val="center"/>
          </w:tcPr>
          <w:p w14:paraId="13BB88E8">
            <w:pPr>
              <w:pStyle w:val="18"/>
              <w:ind w:right="638" w:rightChars="304"/>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27C02295">
            <w:pPr>
              <w:keepNext w:val="0"/>
              <w:keepLines w:val="0"/>
              <w:widowControl/>
              <w:suppressLineNumbers w:val="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售后服务方案</w:t>
            </w:r>
          </w:p>
        </w:tc>
        <w:tc>
          <w:tcPr>
            <w:tcW w:w="567" w:type="dxa"/>
            <w:shd w:val="clear" w:color="auto" w:fill="auto"/>
            <w:vAlign w:val="center"/>
          </w:tcPr>
          <w:p w14:paraId="3295A9D0">
            <w:pPr>
              <w:keepNext w:val="0"/>
              <w:keepLines w:val="0"/>
              <w:pageBreakBefore w:val="0"/>
              <w:widowControl/>
              <w:suppressLineNumbers w:val="0"/>
              <w:kinsoku/>
              <w:wordWrap/>
              <w:overflowPunct/>
              <w:topLinePunct w:val="0"/>
              <w:bidi w:val="0"/>
              <w:spacing w:line="34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6</w:t>
            </w:r>
          </w:p>
        </w:tc>
        <w:tc>
          <w:tcPr>
            <w:tcW w:w="6367" w:type="dxa"/>
            <w:shd w:val="clear" w:color="auto" w:fill="auto"/>
            <w:vAlign w:val="center"/>
          </w:tcPr>
          <w:p w14:paraId="7F341BA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根据投标人针对本项目提供的售后服务方案进行评审，</w:t>
            </w:r>
            <w:r>
              <w:rPr>
                <w:rFonts w:hint="default" w:ascii="仿宋" w:hAnsi="仿宋" w:eastAsia="仿宋" w:cs="仿宋"/>
                <w:color w:val="000000"/>
                <w:kern w:val="0"/>
                <w:sz w:val="21"/>
                <w:szCs w:val="21"/>
                <w:highlight w:val="none"/>
                <w:lang w:val="en-US" w:eastAsia="zh-CN" w:bidi="ar"/>
              </w:rPr>
              <w:t>方案内容至少包含：（1）</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服务人员配置（2）</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服务内容及计划安排（3）</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服务质量保障措施（4）响应时间及问题处理措施。</w:t>
            </w:r>
            <w:r>
              <w:rPr>
                <w:rFonts w:hint="eastAsia" w:ascii="仿宋" w:hAnsi="仿宋" w:eastAsia="仿宋" w:cs="仿宋"/>
                <w:color w:val="auto"/>
                <w:kern w:val="0"/>
                <w:sz w:val="21"/>
                <w:szCs w:val="21"/>
                <w:highlight w:val="none"/>
                <w:lang w:val="en-US" w:eastAsia="zh-CN" w:bidi="ar"/>
              </w:rPr>
              <w:t>方案完整包含以上内容且满足本项目要求得 6 分，每缺一项扣 1.5 分，每有一处不完整或不符合本项目特点或实际采购需求的扣 1 分，本项最多扣6分。</w:t>
            </w:r>
          </w:p>
        </w:tc>
      </w:tr>
    </w:tbl>
    <w:p w14:paraId="6B40D81B">
      <w:pPr>
        <w:numPr>
          <w:ilvl w:val="1"/>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评标委员会每位成员独立对每个有效</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的投标文件进行评价、打分；然后汇总每个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的得分，计算得分平均值，以平均值由高到低进行排序，按排序顺序推荐中标候选人。分值计算保留小数点后二位，第三位四舍五入。</w:t>
      </w:r>
    </w:p>
    <w:p w14:paraId="34338D4E">
      <w:pPr>
        <w:numPr>
          <w:ilvl w:val="1"/>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落实中小企业政府采购政策的价格调整：</w:t>
      </w:r>
    </w:p>
    <w:p w14:paraId="4B1D0D86">
      <w:pPr>
        <w:pStyle w:val="11"/>
        <w:keepNext w:val="0"/>
        <w:keepLines w:val="0"/>
        <w:pageBreakBefore w:val="0"/>
        <w:widowControl w:val="0"/>
        <w:numPr>
          <w:ilvl w:val="2"/>
          <w:numId w:val="11"/>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，其投标报价扣除</w:t>
      </w:r>
      <w:r>
        <w:rPr>
          <w:rFonts w:hint="eastAsia" w:ascii="仿宋" w:hAnsi="仿宋" w:eastAsia="仿宋" w:cs="仿宋_GB2312"/>
          <w:color w:val="auto"/>
          <w:sz w:val="24"/>
          <w:highlight w:val="none"/>
          <w:u w:val="single"/>
        </w:rPr>
        <w:t xml:space="preserve"> 10 % </w:t>
      </w:r>
      <w:r>
        <w:rPr>
          <w:rFonts w:hint="eastAsia" w:ascii="仿宋" w:hAnsi="仿宋" w:eastAsia="仿宋" w:cs="仿宋_GB2312"/>
          <w:color w:val="auto"/>
          <w:sz w:val="24"/>
          <w:highlight w:val="none"/>
        </w:rPr>
        <w:t>后参与评审。对于同时属于小微企业、监狱企业或残疾人福利性单位的，不重复进行投标报价扣除。</w:t>
      </w:r>
      <w:r>
        <w:rPr>
          <w:rFonts w:hint="eastAsia" w:ascii="仿宋" w:hAnsi="仿宋" w:eastAsia="仿宋" w:cs="仿宋_GB2312"/>
          <w:color w:val="auto"/>
          <w:sz w:val="24"/>
          <w:highlight w:val="none"/>
          <w:lang w:val="en-US" w:eastAsia="zh-CN"/>
        </w:rPr>
        <w:t>是否属于该类项目详见</w:t>
      </w:r>
      <w:r>
        <w:rPr>
          <w:rFonts w:hint="eastAsia" w:ascii="仿宋" w:hAnsi="仿宋" w:eastAsia="仿宋" w:cs="仿宋_GB2312"/>
          <w:b/>
          <w:bCs/>
          <w:color w:val="auto"/>
          <w:sz w:val="24"/>
          <w:highlight w:val="none"/>
          <w:u w:val="single"/>
          <w:lang w:val="en-US" w:eastAsia="zh-CN"/>
        </w:rPr>
        <w:t>投标须知前附表</w:t>
      </w:r>
      <w:r>
        <w:rPr>
          <w:rFonts w:hint="eastAsia" w:ascii="仿宋" w:hAnsi="仿宋" w:eastAsia="仿宋" w:cs="仿宋_GB2312"/>
          <w:b/>
          <w:bCs/>
          <w:color w:val="auto"/>
          <w:sz w:val="24"/>
          <w:highlight w:val="none"/>
          <w:u w:val="none"/>
          <w:lang w:val="en-US" w:eastAsia="zh-CN"/>
        </w:rPr>
        <w:t>。</w:t>
      </w:r>
    </w:p>
    <w:p w14:paraId="652D74CA">
      <w:pPr>
        <w:pStyle w:val="11"/>
        <w:keepNext w:val="0"/>
        <w:keepLines w:val="0"/>
        <w:pageBreakBefore w:val="0"/>
        <w:widowControl w:val="0"/>
        <w:numPr>
          <w:ilvl w:val="2"/>
          <w:numId w:val="11"/>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仿宋" w:hAnsi="仿宋" w:eastAsia="仿宋" w:cs="仿宋_GB2312"/>
          <w:color w:val="auto"/>
          <w:sz w:val="24"/>
          <w:highlight w:val="none"/>
          <w:u w:val="single"/>
        </w:rPr>
        <w:t xml:space="preserve"> 4% </w:t>
      </w:r>
      <w:r>
        <w:rPr>
          <w:rFonts w:hint="eastAsia" w:ascii="仿宋" w:hAnsi="仿宋" w:eastAsia="仿宋" w:cs="仿宋_GB2312"/>
          <w:color w:val="auto"/>
          <w:sz w:val="24"/>
          <w:highlight w:val="none"/>
        </w:rPr>
        <w:t>的扣除，用扣除后的价格参加评审。</w:t>
      </w:r>
      <w:r>
        <w:rPr>
          <w:rFonts w:hint="eastAsia" w:ascii="仿宋" w:hAnsi="仿宋" w:eastAsia="仿宋" w:cs="仿宋_GB2312"/>
          <w:color w:val="auto"/>
          <w:sz w:val="24"/>
          <w:highlight w:val="none"/>
          <w:lang w:val="en-US" w:eastAsia="zh-CN"/>
        </w:rPr>
        <w:t>是否属于该类项目详见</w:t>
      </w:r>
      <w:r>
        <w:rPr>
          <w:rFonts w:hint="eastAsia" w:ascii="仿宋" w:hAnsi="仿宋" w:eastAsia="仿宋" w:cs="仿宋_GB2312"/>
          <w:b/>
          <w:bCs/>
          <w:color w:val="auto"/>
          <w:sz w:val="24"/>
          <w:highlight w:val="none"/>
          <w:u w:val="single"/>
          <w:lang w:val="en-US" w:eastAsia="zh-CN"/>
        </w:rPr>
        <w:t>投标须知前附表</w:t>
      </w:r>
      <w:r>
        <w:rPr>
          <w:rFonts w:hint="eastAsia" w:ascii="仿宋" w:hAnsi="仿宋" w:eastAsia="仿宋" w:cs="仿宋_GB2312"/>
          <w:b/>
          <w:bCs/>
          <w:color w:val="auto"/>
          <w:sz w:val="24"/>
          <w:highlight w:val="none"/>
          <w:u w:val="none"/>
          <w:lang w:val="en-US" w:eastAsia="zh-CN"/>
        </w:rPr>
        <w:t>。</w:t>
      </w:r>
    </w:p>
    <w:p w14:paraId="35569ED3">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组成联合体或者接受分包的小微企业与联合体内其他企业、分包企业之间存在直接控股、管理关系的，不享受价格扣除优惠政策。</w:t>
      </w:r>
    </w:p>
    <w:p w14:paraId="6FC5B70F">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价格扣除比例对小型企业和微型企业同等对待，不作区分。</w:t>
      </w:r>
    </w:p>
    <w:p w14:paraId="6620AFAB">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中小企业参加政府采购活动，应当按照招标文件给定的格式出具《中小企业声明函》，否则不得享受相关中小企业扶持政策。</w:t>
      </w:r>
    </w:p>
    <w:p w14:paraId="084347DC">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监狱企业提供了由省级以上监狱管理局、戒毒管理局（含新疆生产建设兵团）出具的属于监狱企业的证明文件的，视同小微企业。</w:t>
      </w:r>
    </w:p>
    <w:p w14:paraId="1A63E2C0">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残疾人福利性单位按招标文件要求提供了《残疾人福利性单位声明函》（见附件）的，视同小微企业。</w:t>
      </w:r>
    </w:p>
    <w:p w14:paraId="7B86A298">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同时属于小型或微型企业、监狱企业、残疾人福利性单位中的两种及以上，将不重复享受小微企业价格扣减的优惠政策。</w:t>
      </w:r>
    </w:p>
    <w:p w14:paraId="6AE7B6D7">
      <w:pPr>
        <w:numPr>
          <w:ilvl w:val="1"/>
          <w:numId w:val="10"/>
        </w:numPr>
        <w:spacing w:line="500" w:lineRule="exac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_GB2312"/>
          <w:color w:val="auto"/>
          <w:sz w:val="24"/>
          <w:highlight w:val="none"/>
          <w:u w:val="single"/>
        </w:rPr>
        <w:t>综合得分相同时排名优先。</w:t>
      </w:r>
    </w:p>
    <w:p w14:paraId="4C27EE71">
      <w:pPr>
        <w:numPr>
          <w:ilvl w:val="1"/>
          <w:numId w:val="10"/>
        </w:numPr>
        <w:spacing w:line="500" w:lineRule="exac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如采购人所采购产品为政府强制采购的节能产品，</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所投产品的品牌及型号必须为清单中有效期内产品并提供证明文件，否则其投标将作为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被拒绝。</w:t>
      </w:r>
    </w:p>
    <w:p w14:paraId="425244AD">
      <w:pPr>
        <w:numPr>
          <w:ilvl w:val="1"/>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所投产品列入无线局域网产品清单，应提供相关证明，在评标时予以优先采购，具体优惠措施为：</w:t>
      </w:r>
      <w:r>
        <w:rPr>
          <w:rFonts w:hint="eastAsia" w:ascii="仿宋" w:hAnsi="仿宋" w:eastAsia="仿宋" w:cs="仿宋_GB2312"/>
          <w:color w:val="auto"/>
          <w:sz w:val="24"/>
          <w:highlight w:val="none"/>
          <w:u w:val="single"/>
        </w:rPr>
        <w:t>综合得分相同时排名优先 。</w:t>
      </w:r>
    </w:p>
    <w:p w14:paraId="28B15466">
      <w:pPr>
        <w:numPr>
          <w:ilvl w:val="1"/>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同品牌处理办法：</w:t>
      </w:r>
    </w:p>
    <w:p w14:paraId="15B3C23A">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如采用最低评标办法，则：</w:t>
      </w:r>
      <w:r>
        <w:rPr>
          <w:rFonts w:hint="eastAsia" w:ascii="仿宋" w:hAnsi="仿宋" w:eastAsia="仿宋" w:cs="仿宋_GB2312"/>
          <w:color w:val="auto"/>
          <w:sz w:val="24"/>
          <w:highlight w:val="none"/>
          <w:u w:val="single"/>
        </w:rPr>
        <w:t>提供相同品牌产品的不同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以其中通过资格审查、符合性审查且报价最低的参加评标；报价相同的，由评标委员会采取随机抽取方式确定，其他同品牌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不作为中标候选人。</w:t>
      </w:r>
    </w:p>
    <w:p w14:paraId="4E5E273B">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如采用综合评标法，则：</w:t>
      </w:r>
      <w:r>
        <w:rPr>
          <w:rFonts w:hint="eastAsia" w:ascii="仿宋" w:hAnsi="仿宋" w:eastAsia="仿宋" w:cs="仿宋_GB2312"/>
          <w:color w:val="auto"/>
          <w:sz w:val="24"/>
          <w:highlight w:val="none"/>
          <w:u w:val="single"/>
        </w:rPr>
        <w:t>提供相同品牌产品且通过资格审查、符合性审查的不同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，按一家</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计算，评审后得分最高的同品牌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不作为中标候选人</w:t>
      </w:r>
      <w:r>
        <w:rPr>
          <w:rFonts w:hint="eastAsia" w:ascii="仿宋" w:hAnsi="仿宋" w:eastAsia="仿宋" w:cs="仿宋_GB2312"/>
          <w:color w:val="auto"/>
          <w:sz w:val="24"/>
          <w:highlight w:val="none"/>
        </w:rPr>
        <w:t>。</w:t>
      </w:r>
    </w:p>
    <w:p w14:paraId="48924E70">
      <w:pPr>
        <w:numPr>
          <w:ilvl w:val="1"/>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如一个分包内包含多种产品的，采购人或采购代理机构将在</w:t>
      </w:r>
      <w:r>
        <w:rPr>
          <w:rFonts w:hint="eastAsia" w:ascii="仿宋" w:hAnsi="仿宋" w:eastAsia="仿宋" w:cs="仿宋_GB2312"/>
          <w:color w:val="auto"/>
          <w:sz w:val="24"/>
          <w:highlight w:val="none"/>
          <w:u w:val="single"/>
          <w:lang w:eastAsia="zh-CN"/>
        </w:rPr>
        <w:t>投标须知前附表</w:t>
      </w:r>
      <w:r>
        <w:rPr>
          <w:rFonts w:hint="eastAsia" w:ascii="仿宋" w:hAnsi="仿宋" w:eastAsia="仿宋" w:cs="仿宋_GB2312"/>
          <w:color w:val="auto"/>
          <w:sz w:val="24"/>
          <w:highlight w:val="none"/>
        </w:rPr>
        <w:t>中载明核心产品，多家</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提供的所有核心产品品牌均相同的，按第六章  评标程序、评标方法和评标标准第6.6条规定处理。 </w:t>
      </w:r>
    </w:p>
    <w:p w14:paraId="6C4DAECB">
      <w:pPr>
        <w:numPr>
          <w:ilvl w:val="1"/>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确定中标候选人名单</w:t>
      </w:r>
    </w:p>
    <w:p w14:paraId="4A097B45">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采用综合评分法时，评标结果按评审后得分由高到低顺序排列。评审得分最高的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为排名第一的中标候选人。综合评审得分相同的,投标报价最低优先，如报价相同则技术部分得分最高优先，投标报价相同且技术部分得分也相同的，由评标委员会现场采取随机抽取方式确定。</w:t>
      </w:r>
    </w:p>
    <w:p w14:paraId="17C808E5">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采用最低评标价法时，评标结果按投标报价由低到高顺序排列。投标文件满足招标文件全部实质性要求且投标报价最低的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为排名第一的中标候选人。投标报价相同的评标委员会随机抽取的方式确定排名。</w:t>
      </w:r>
    </w:p>
    <w:p w14:paraId="0313B2D1">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评标委员会要对评分汇总情况进行复核，特别是对排名第一的、报价最低的、投标或响应文件被认定为无效的情形进行重点复核。</w:t>
      </w:r>
    </w:p>
    <w:p w14:paraId="33779D60">
      <w:pPr>
        <w:numPr>
          <w:ilvl w:val="2"/>
          <w:numId w:val="10"/>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评标委员会将根据各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的评标排序，依次推荐本项目（各采购包）的中标候选人，起草并签署评标报告。本项目（各采购包）评标委员会共（各）推荐三名中标候选人。</w:t>
      </w:r>
    </w:p>
    <w:p w14:paraId="03FBB7B4">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24963FB1">
      <w:pPr>
        <w:pStyle w:val="2"/>
        <w:numPr>
          <w:ilvl w:val="0"/>
          <w:numId w:val="1"/>
        </w:numPr>
        <w:jc w:val="center"/>
        <w:rPr>
          <w:rFonts w:ascii="仿宋" w:hAnsi="仿宋" w:eastAsia="仿宋" w:cs="仿宋_GB2312"/>
          <w:color w:val="auto"/>
          <w:sz w:val="32"/>
          <w:szCs w:val="32"/>
          <w:highlight w:val="none"/>
        </w:rPr>
      </w:pPr>
      <w:bookmarkStart w:id="25" w:name="_Toc31337"/>
      <w:r>
        <w:rPr>
          <w:rFonts w:hint="eastAsia" w:ascii="仿宋" w:hAnsi="仿宋" w:eastAsia="仿宋" w:cs="仿宋_GB2312"/>
          <w:color w:val="auto"/>
          <w:sz w:val="32"/>
          <w:szCs w:val="32"/>
          <w:highlight w:val="none"/>
        </w:rPr>
        <w:t>投标文件格式</w:t>
      </w:r>
      <w:bookmarkEnd w:id="25"/>
    </w:p>
    <w:p w14:paraId="60195F18">
      <w:p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rPr>
        <w:t>编制文件须知</w:t>
      </w:r>
    </w:p>
    <w:p w14:paraId="29E7D89F">
      <w:pPr>
        <w:numPr>
          <w:ilvl w:val="0"/>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为保证评标工作的顺利进行，各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需参照如下的格式，认真进行投标文件的编写工作。需建立详细的目录。</w:t>
      </w:r>
    </w:p>
    <w:p w14:paraId="5D6ECB34">
      <w:pPr>
        <w:numPr>
          <w:ilvl w:val="0"/>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提交文件中涉及商业机密的，应明确标明，采购人及最终用户将给予保密处理，否则视为公开资料。</w:t>
      </w:r>
    </w:p>
    <w:p w14:paraId="59B04E53">
      <w:pPr>
        <w:numPr>
          <w:ilvl w:val="0"/>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全部声明和问题的回答及所附材料必须是真实的、准确的和完整的。</w:t>
      </w:r>
    </w:p>
    <w:p w14:paraId="5D107BE7">
      <w:pPr>
        <w:numPr>
          <w:ilvl w:val="0"/>
          <w:numId w:val="12"/>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 </w:t>
      </w:r>
    </w:p>
    <w:p w14:paraId="3A45DF22">
      <w:pPr>
        <w:numPr>
          <w:ilvl w:val="0"/>
          <w:numId w:val="12"/>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“法定代表人（单位负责人）”指供应商营业执照或登记证书载明的“法定代表人”、“负责人”、“执行事务合伙人”、“投资人”等。 </w:t>
      </w:r>
    </w:p>
    <w:p w14:paraId="7526DE3E">
      <w:pPr>
        <w:numPr>
          <w:ilvl w:val="0"/>
          <w:numId w:val="12"/>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 以联合体参加的，除采购文件格式中要求外，采购文件要求的供应商盖章处应按加盖联合体协议中约定的联合体牵头人公章或所有联合体成员公章</w:t>
      </w:r>
    </w:p>
    <w:p w14:paraId="38389118">
      <w:pPr>
        <w:spacing w:line="500" w:lineRule="exact"/>
        <w:rPr>
          <w:rFonts w:ascii="仿宋" w:hAnsi="仿宋" w:eastAsia="仿宋" w:cs="仿宋_GB2312"/>
          <w:color w:val="auto"/>
          <w:sz w:val="24"/>
          <w:highlight w:val="none"/>
        </w:rPr>
      </w:pPr>
    </w:p>
    <w:p w14:paraId="6FDD0909">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6A75E2AE">
      <w:pPr>
        <w:widowControl/>
        <w:jc w:val="left"/>
        <w:rPr>
          <w:rFonts w:ascii="仿宋" w:hAnsi="仿宋" w:eastAsia="仿宋" w:cs="仿宋_GB2312"/>
          <w:b/>
          <w:bCs/>
          <w:color w:val="auto"/>
          <w:kern w:val="0"/>
          <w:sz w:val="24"/>
          <w:highlight w:val="none"/>
          <w:lang w:bidi="ar"/>
        </w:rPr>
      </w:pPr>
    </w:p>
    <w:p w14:paraId="3A333CBA">
      <w:pPr>
        <w:widowControl/>
        <w:jc w:val="left"/>
        <w:outlineLvl w:val="1"/>
        <w:rPr>
          <w:rFonts w:ascii="仿宋" w:hAnsi="仿宋" w:eastAsia="仿宋" w:cs="仿宋_GB2312"/>
          <w:b/>
          <w:bCs/>
          <w:color w:val="auto"/>
          <w:kern w:val="0"/>
          <w:sz w:val="24"/>
          <w:highlight w:val="none"/>
          <w:lang w:bidi="ar"/>
        </w:rPr>
      </w:pPr>
      <w:bookmarkStart w:id="26" w:name="_Toc10196"/>
      <w:r>
        <w:rPr>
          <w:rFonts w:hint="eastAsia" w:ascii="仿宋" w:hAnsi="仿宋" w:eastAsia="仿宋" w:cs="仿宋_GB2312"/>
          <w:b/>
          <w:bCs/>
          <w:color w:val="auto"/>
          <w:kern w:val="0"/>
          <w:sz w:val="24"/>
          <w:highlight w:val="none"/>
          <w:lang w:bidi="ar"/>
        </w:rPr>
        <w:t>投标文件封面（参考格式）</w:t>
      </w:r>
      <w:bookmarkEnd w:id="26"/>
    </w:p>
    <w:p w14:paraId="7C675FC2">
      <w:pPr>
        <w:widowControl/>
        <w:jc w:val="left"/>
        <w:rPr>
          <w:rFonts w:ascii="仿宋" w:hAnsi="仿宋" w:eastAsia="仿宋" w:cs="仿宋_GB2312"/>
          <w:b/>
          <w:bCs/>
          <w:color w:val="auto"/>
          <w:kern w:val="0"/>
          <w:sz w:val="84"/>
          <w:szCs w:val="84"/>
          <w:highlight w:val="none"/>
          <w:lang w:bidi="ar"/>
        </w:rPr>
      </w:pPr>
    </w:p>
    <w:p w14:paraId="1F30F921">
      <w:pPr>
        <w:widowControl/>
        <w:jc w:val="left"/>
        <w:rPr>
          <w:rFonts w:ascii="仿宋" w:hAnsi="仿宋" w:eastAsia="仿宋" w:cs="仿宋_GB2312"/>
          <w:b/>
          <w:bCs/>
          <w:color w:val="auto"/>
          <w:kern w:val="0"/>
          <w:sz w:val="84"/>
          <w:szCs w:val="84"/>
          <w:highlight w:val="none"/>
          <w:lang w:bidi="ar"/>
        </w:rPr>
      </w:pPr>
    </w:p>
    <w:p w14:paraId="1003C42E">
      <w:pPr>
        <w:widowControl/>
        <w:jc w:val="center"/>
        <w:rPr>
          <w:rFonts w:ascii="仿宋" w:hAnsi="仿宋" w:eastAsia="仿宋" w:cs="仿宋_GB2312"/>
          <w:color w:val="auto"/>
          <w:highlight w:val="none"/>
        </w:rPr>
      </w:pPr>
      <w:r>
        <w:rPr>
          <w:rFonts w:hint="eastAsia" w:ascii="仿宋" w:hAnsi="仿宋" w:eastAsia="仿宋" w:cs="仿宋_GB2312"/>
          <w:b/>
          <w:bCs/>
          <w:color w:val="auto"/>
          <w:kern w:val="0"/>
          <w:sz w:val="84"/>
          <w:szCs w:val="84"/>
          <w:highlight w:val="none"/>
          <w:lang w:bidi="ar"/>
        </w:rPr>
        <w:t>投标文件</w:t>
      </w:r>
    </w:p>
    <w:p w14:paraId="6AEE6E31">
      <w:pPr>
        <w:widowControl/>
        <w:jc w:val="left"/>
        <w:rPr>
          <w:rFonts w:ascii="仿宋" w:hAnsi="仿宋" w:eastAsia="仿宋" w:cs="仿宋_GB2312"/>
          <w:b/>
          <w:bCs/>
          <w:color w:val="auto"/>
          <w:kern w:val="0"/>
          <w:sz w:val="52"/>
          <w:szCs w:val="52"/>
          <w:highlight w:val="none"/>
          <w:lang w:bidi="ar"/>
        </w:rPr>
      </w:pPr>
    </w:p>
    <w:p w14:paraId="73902E84">
      <w:pPr>
        <w:widowControl/>
        <w:jc w:val="left"/>
        <w:rPr>
          <w:rFonts w:ascii="仿宋" w:hAnsi="仿宋" w:eastAsia="仿宋" w:cs="仿宋_GB2312"/>
          <w:b/>
          <w:bCs/>
          <w:color w:val="auto"/>
          <w:kern w:val="0"/>
          <w:sz w:val="52"/>
          <w:szCs w:val="52"/>
          <w:highlight w:val="none"/>
          <w:lang w:bidi="ar"/>
        </w:rPr>
      </w:pPr>
    </w:p>
    <w:p w14:paraId="0C93C401">
      <w:pPr>
        <w:widowControl/>
        <w:jc w:val="left"/>
        <w:rPr>
          <w:rFonts w:ascii="仿宋" w:hAnsi="仿宋" w:eastAsia="仿宋" w:cs="仿宋_GB2312"/>
          <w:color w:val="auto"/>
          <w:highlight w:val="none"/>
        </w:rPr>
      </w:pPr>
      <w:r>
        <w:rPr>
          <w:rFonts w:hint="eastAsia" w:ascii="仿宋" w:hAnsi="仿宋" w:eastAsia="仿宋" w:cs="仿宋_GB2312"/>
          <w:b/>
          <w:bCs/>
          <w:color w:val="auto"/>
          <w:kern w:val="0"/>
          <w:sz w:val="52"/>
          <w:szCs w:val="52"/>
          <w:highlight w:val="none"/>
          <w:lang w:bidi="ar"/>
        </w:rPr>
        <w:t xml:space="preserve"> </w:t>
      </w:r>
    </w:p>
    <w:p w14:paraId="197CCB09">
      <w:pPr>
        <w:widowControl/>
        <w:jc w:val="left"/>
        <w:rPr>
          <w:rFonts w:ascii="仿宋" w:hAnsi="仿宋" w:eastAsia="仿宋" w:cs="仿宋_GB2312"/>
          <w:b/>
          <w:bCs/>
          <w:color w:val="auto"/>
          <w:kern w:val="0"/>
          <w:sz w:val="31"/>
          <w:szCs w:val="31"/>
          <w:highlight w:val="none"/>
          <w:lang w:bidi="ar"/>
        </w:rPr>
      </w:pPr>
    </w:p>
    <w:p w14:paraId="408FBF16">
      <w:pPr>
        <w:widowControl/>
        <w:jc w:val="left"/>
        <w:rPr>
          <w:rFonts w:ascii="仿宋" w:hAnsi="仿宋" w:eastAsia="仿宋" w:cs="仿宋_GB2312"/>
          <w:b/>
          <w:bCs/>
          <w:color w:val="auto"/>
          <w:kern w:val="0"/>
          <w:sz w:val="31"/>
          <w:szCs w:val="31"/>
          <w:highlight w:val="none"/>
          <w:lang w:bidi="ar"/>
        </w:rPr>
      </w:pPr>
    </w:p>
    <w:p w14:paraId="63AD4DA0">
      <w:pPr>
        <w:widowControl/>
        <w:jc w:val="left"/>
        <w:rPr>
          <w:rFonts w:ascii="仿宋" w:hAnsi="仿宋" w:eastAsia="仿宋" w:cs="仿宋_GB2312"/>
          <w:color w:val="auto"/>
          <w:highlight w:val="none"/>
        </w:rPr>
      </w:pPr>
      <w:r>
        <w:rPr>
          <w:rFonts w:hint="eastAsia" w:ascii="仿宋" w:hAnsi="仿宋" w:eastAsia="仿宋" w:cs="仿宋_GB2312"/>
          <w:b/>
          <w:bCs/>
          <w:color w:val="auto"/>
          <w:kern w:val="0"/>
          <w:sz w:val="31"/>
          <w:szCs w:val="31"/>
          <w:highlight w:val="none"/>
          <w:lang w:bidi="ar"/>
        </w:rPr>
        <w:t xml:space="preserve">项目名称: </w:t>
      </w:r>
    </w:p>
    <w:p w14:paraId="7A7C5485">
      <w:pPr>
        <w:widowControl/>
        <w:jc w:val="left"/>
        <w:rPr>
          <w:rFonts w:hint="eastAsia"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bidi="ar"/>
        </w:rPr>
        <w:t>项目编号：</w:t>
      </w:r>
    </w:p>
    <w:p w14:paraId="166B2B1B">
      <w:pPr>
        <w:widowControl/>
        <w:jc w:val="left"/>
        <w:rPr>
          <w:rFonts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val="en-US" w:eastAsia="zh-CN" w:bidi="ar"/>
        </w:rPr>
        <w:t>标项(包)名称：</w:t>
      </w:r>
    </w:p>
    <w:p w14:paraId="6702891A">
      <w:pPr>
        <w:widowControl/>
        <w:jc w:val="left"/>
        <w:rPr>
          <w:rFonts w:ascii="仿宋" w:hAnsi="仿宋" w:eastAsia="仿宋" w:cs="仿宋_GB2312"/>
          <w:b/>
          <w:bCs/>
          <w:color w:val="auto"/>
          <w:kern w:val="0"/>
          <w:sz w:val="31"/>
          <w:szCs w:val="31"/>
          <w:highlight w:val="none"/>
          <w:lang w:bidi="ar"/>
        </w:rPr>
      </w:pPr>
    </w:p>
    <w:p w14:paraId="36682F72">
      <w:pPr>
        <w:widowControl/>
        <w:jc w:val="left"/>
        <w:rPr>
          <w:rFonts w:ascii="仿宋" w:hAnsi="仿宋" w:eastAsia="仿宋" w:cs="仿宋_GB2312"/>
          <w:b/>
          <w:bCs/>
          <w:color w:val="auto"/>
          <w:kern w:val="0"/>
          <w:sz w:val="31"/>
          <w:szCs w:val="31"/>
          <w:highlight w:val="none"/>
          <w:lang w:bidi="ar"/>
        </w:rPr>
      </w:pPr>
    </w:p>
    <w:p w14:paraId="0FEE8509">
      <w:pPr>
        <w:widowControl/>
        <w:jc w:val="left"/>
        <w:rPr>
          <w:rFonts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eastAsia="zh-CN" w:bidi="ar"/>
        </w:rPr>
        <w:t>投标人</w:t>
      </w:r>
      <w:r>
        <w:rPr>
          <w:rFonts w:hint="eastAsia" w:ascii="仿宋" w:hAnsi="仿宋" w:eastAsia="仿宋" w:cs="仿宋_GB2312"/>
          <w:b/>
          <w:bCs/>
          <w:color w:val="auto"/>
          <w:kern w:val="0"/>
          <w:sz w:val="31"/>
          <w:szCs w:val="31"/>
          <w:highlight w:val="none"/>
          <w:lang w:bidi="ar"/>
        </w:rPr>
        <w:t>名称（</w:t>
      </w:r>
      <w:r>
        <w:rPr>
          <w:rFonts w:hint="eastAsia" w:ascii="仿宋" w:hAnsi="仿宋" w:eastAsia="仿宋" w:cs="仿宋_GB2312"/>
          <w:b/>
          <w:bCs/>
          <w:color w:val="auto"/>
          <w:kern w:val="0"/>
          <w:sz w:val="31"/>
          <w:szCs w:val="31"/>
          <w:highlight w:val="none"/>
          <w:lang w:val="en-US" w:eastAsia="zh-CN" w:bidi="ar"/>
        </w:rPr>
        <w:t>盖公章</w:t>
      </w:r>
      <w:r>
        <w:rPr>
          <w:rFonts w:hint="eastAsia" w:ascii="仿宋" w:hAnsi="仿宋" w:eastAsia="仿宋" w:cs="仿宋_GB2312"/>
          <w:b/>
          <w:bCs/>
          <w:color w:val="auto"/>
          <w:kern w:val="0"/>
          <w:sz w:val="31"/>
          <w:szCs w:val="31"/>
          <w:highlight w:val="none"/>
          <w:lang w:bidi="ar"/>
        </w:rPr>
        <w:t>）：</w:t>
      </w:r>
    </w:p>
    <w:p w14:paraId="62331E27">
      <w:pPr>
        <w:widowControl/>
        <w:jc w:val="left"/>
        <w:rPr>
          <w:rFonts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bidi="ar"/>
        </w:rPr>
        <w:t>法定代表人或其授权代表</w:t>
      </w:r>
      <w:r>
        <w:rPr>
          <w:rFonts w:hint="eastAsia" w:ascii="仿宋" w:hAnsi="仿宋" w:eastAsia="仿宋" w:cs="仿宋_GB2312"/>
          <w:b/>
          <w:bCs/>
          <w:color w:val="auto"/>
          <w:kern w:val="0"/>
          <w:sz w:val="31"/>
          <w:szCs w:val="31"/>
          <w:highlight w:val="none"/>
          <w:lang w:eastAsia="zh-CN" w:bidi="ar"/>
        </w:rPr>
        <w:t>（</w:t>
      </w:r>
      <w:r>
        <w:rPr>
          <w:rFonts w:hint="eastAsia" w:ascii="仿宋" w:hAnsi="仿宋" w:eastAsia="仿宋" w:cs="仿宋_GB2312"/>
          <w:b/>
          <w:bCs/>
          <w:color w:val="auto"/>
          <w:kern w:val="0"/>
          <w:sz w:val="31"/>
          <w:szCs w:val="31"/>
          <w:highlight w:val="none"/>
          <w:lang w:val="en-US" w:eastAsia="zh-CN" w:bidi="ar"/>
        </w:rPr>
        <w:t>签字或印鉴</w:t>
      </w:r>
      <w:r>
        <w:rPr>
          <w:rFonts w:hint="eastAsia" w:ascii="仿宋" w:hAnsi="仿宋" w:eastAsia="仿宋" w:cs="仿宋_GB2312"/>
          <w:b/>
          <w:bCs/>
          <w:color w:val="auto"/>
          <w:kern w:val="0"/>
          <w:sz w:val="31"/>
          <w:szCs w:val="31"/>
          <w:highlight w:val="none"/>
          <w:lang w:eastAsia="zh-CN" w:bidi="ar"/>
        </w:rPr>
        <w:t>）</w:t>
      </w:r>
      <w:r>
        <w:rPr>
          <w:rFonts w:hint="eastAsia" w:ascii="仿宋" w:hAnsi="仿宋" w:eastAsia="仿宋" w:cs="仿宋_GB2312"/>
          <w:b/>
          <w:bCs/>
          <w:color w:val="auto"/>
          <w:kern w:val="0"/>
          <w:sz w:val="31"/>
          <w:szCs w:val="31"/>
          <w:highlight w:val="none"/>
          <w:lang w:bidi="ar"/>
        </w:rPr>
        <w:t>：</w:t>
      </w:r>
    </w:p>
    <w:p w14:paraId="6EBDE7F5">
      <w:pPr>
        <w:widowControl/>
        <w:jc w:val="left"/>
        <w:rPr>
          <w:rFonts w:ascii="仿宋" w:hAnsi="仿宋" w:eastAsia="仿宋" w:cs="仿宋_GB2312"/>
          <w:b/>
          <w:bCs/>
          <w:color w:val="auto"/>
          <w:kern w:val="0"/>
          <w:sz w:val="31"/>
          <w:szCs w:val="31"/>
          <w:highlight w:val="none"/>
          <w:lang w:bidi="ar"/>
        </w:rPr>
      </w:pPr>
    </w:p>
    <w:p w14:paraId="6B6BB774">
      <w:pPr>
        <w:widowControl/>
        <w:jc w:val="left"/>
        <w:rPr>
          <w:rFonts w:ascii="仿宋" w:hAnsi="仿宋" w:eastAsia="仿宋" w:cs="仿宋_GB2312"/>
          <w:b/>
          <w:bCs/>
          <w:color w:val="auto"/>
          <w:kern w:val="0"/>
          <w:sz w:val="31"/>
          <w:szCs w:val="31"/>
          <w:highlight w:val="none"/>
          <w:lang w:bidi="ar"/>
        </w:rPr>
      </w:pPr>
    </w:p>
    <w:p w14:paraId="4449588D">
      <w:pP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br w:type="page"/>
      </w:r>
    </w:p>
    <w:p w14:paraId="23B7D7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一、资格证明文件</w:t>
      </w:r>
    </w:p>
    <w:p w14:paraId="4251670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2"/>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1、满足《中华人民共和国政府采购法》第二十二条规定及法律法规的其他规定 </w:t>
      </w:r>
    </w:p>
    <w:p w14:paraId="3AAA8F7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14:paraId="143C605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outlineLvl w:val="3"/>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法人或者其他组织的营业执照等证明文件或自然人的身份证明扫描件;</w:t>
      </w:r>
    </w:p>
    <w:p w14:paraId="77F6309A">
      <w:pPr>
        <w:pStyle w:val="9"/>
        <w:spacing w:line="374" w:lineRule="auto"/>
        <w:ind w:right="1145"/>
        <w:outlineLvl w:val="9"/>
        <w:rPr>
          <w:rFonts w:hint="eastAsia" w:ascii="仿宋" w:hAnsi="仿宋" w:eastAsia="仿宋" w:cs="仿宋"/>
          <w:color w:val="auto"/>
          <w:sz w:val="21"/>
          <w:szCs w:val="21"/>
          <w:highlight w:val="none"/>
        </w:rPr>
      </w:pPr>
    </w:p>
    <w:p w14:paraId="077E1E1E">
      <w:pPr>
        <w:pStyle w:val="9"/>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说明：1.提供有效的营业执照等证明文件</w:t>
      </w:r>
      <w:r>
        <w:rPr>
          <w:rFonts w:hint="eastAsia" w:ascii="仿宋" w:hAnsi="仿宋" w:eastAsia="仿宋" w:cs="仿宋"/>
          <w:color w:val="auto"/>
          <w:sz w:val="24"/>
          <w:szCs w:val="24"/>
          <w:highlight w:val="none"/>
          <w:lang w:eastAsia="zh-CN"/>
        </w:rPr>
        <w:t>扫描件加盖本单位公章</w:t>
      </w:r>
    </w:p>
    <w:p w14:paraId="2E68D3DF">
      <w:pPr>
        <w:pStyle w:val="9"/>
        <w:spacing w:line="374" w:lineRule="auto"/>
        <w:ind w:right="1145" w:firstLine="720" w:firstLineChars="300"/>
        <w:outlineLvl w:val="9"/>
        <w:rPr>
          <w:rFonts w:hint="eastAsia" w:ascii="仿宋" w:hAnsi="仿宋" w:eastAsia="仿宋" w:cs="仿宋"/>
          <w:color w:val="auto"/>
          <w:sz w:val="24"/>
          <w:szCs w:val="24"/>
          <w:highlight w:val="none"/>
        </w:rPr>
      </w:pPr>
      <w:bookmarkStart w:id="27" w:name="_Toc27013"/>
      <w:bookmarkStart w:id="28" w:name="_Toc1278"/>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为自然人的，应提供身份证明的</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bookmarkEnd w:id="27"/>
      <w:bookmarkEnd w:id="28"/>
    </w:p>
    <w:p w14:paraId="07A905D5">
      <w:pPr>
        <w:pStyle w:val="9"/>
        <w:tabs>
          <w:tab w:val="left" w:pos="1560"/>
          <w:tab w:val="left" w:pos="2040"/>
        </w:tabs>
        <w:spacing w:before="66"/>
        <w:ind w:firstLine="720" w:firstLineChars="300"/>
        <w:outlineLvl w:val="9"/>
        <w:rPr>
          <w:rFonts w:hint="eastAsia" w:ascii="仿宋" w:hAnsi="仿宋" w:eastAsia="仿宋" w:cs="仿宋"/>
          <w:color w:val="auto"/>
          <w:sz w:val="24"/>
          <w:szCs w:val="24"/>
          <w:highlight w:val="none"/>
        </w:rPr>
      </w:pPr>
      <w:bookmarkStart w:id="29" w:name="_Toc18314"/>
      <w:bookmarkStart w:id="30" w:name="_Toc3454"/>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联合体投标应提供联合体各方满足以上要求的证明文件。</w:t>
      </w:r>
      <w:bookmarkEnd w:id="29"/>
      <w:bookmarkEnd w:id="30"/>
    </w:p>
    <w:p w14:paraId="46DA479B">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36FA3391">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21898C8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18FB2D3">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2</w:t>
      </w:r>
      <w:r>
        <w:rPr>
          <w:rFonts w:hint="eastAsia" w:ascii="仿宋" w:hAnsi="仿宋" w:eastAsia="仿宋" w:cs="仿宋"/>
          <w:color w:val="auto"/>
          <w:kern w:val="0"/>
          <w:sz w:val="24"/>
          <w:highlight w:val="none"/>
          <w:u w:val="none"/>
          <w:lang w:bidi="ar"/>
        </w:rPr>
        <w:t xml:space="preserve"> 投标人具有良好的商业信誉和健全的财务会计制度的证明文件</w:t>
      </w:r>
    </w:p>
    <w:p w14:paraId="78AAE2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0088EB56">
      <w:pPr>
        <w:pStyle w:val="9"/>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1、证明文件</w:t>
      </w:r>
      <w:r>
        <w:rPr>
          <w:rFonts w:hint="eastAsia" w:ascii="仿宋" w:hAnsi="仿宋" w:eastAsia="仿宋" w:cs="仿宋"/>
          <w:color w:val="auto"/>
          <w:sz w:val="24"/>
          <w:szCs w:val="24"/>
          <w:highlight w:val="none"/>
          <w:lang w:eastAsia="zh-CN"/>
        </w:rPr>
        <w:t>扫描件加盖本单位公章</w:t>
      </w:r>
    </w:p>
    <w:p w14:paraId="193174CE">
      <w:pPr>
        <w:pStyle w:val="9"/>
        <w:spacing w:line="360" w:lineRule="auto"/>
        <w:ind w:righ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、若提供的是</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，采购人、采购代理机构保留审核原件的权利。</w:t>
      </w:r>
    </w:p>
    <w:p w14:paraId="33135A37">
      <w:pPr>
        <w:pStyle w:val="9"/>
        <w:spacing w:line="360" w:lineRule="auto"/>
        <w:ind w:righ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如果是联合体投标，联合体各方均需提供上述证明</w:t>
      </w:r>
      <w:r>
        <w:rPr>
          <w:rFonts w:hint="eastAsia" w:ascii="仿宋" w:hAnsi="仿宋" w:eastAsia="仿宋" w:cs="仿宋"/>
          <w:color w:val="auto"/>
          <w:sz w:val="24"/>
          <w:szCs w:val="24"/>
          <w:highlight w:val="none"/>
        </w:rPr>
        <w:t>。</w:t>
      </w:r>
    </w:p>
    <w:p w14:paraId="2640926E">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p>
    <w:p w14:paraId="1D2676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53ABD584">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3</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投标人缴纳税收的证明</w:t>
      </w:r>
    </w:p>
    <w:p w14:paraId="495F11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3A8F219B">
      <w:pPr>
        <w:pStyle w:val="9"/>
        <w:spacing w:line="360" w:lineRule="auto"/>
        <w:rPr>
          <w:rFonts w:hint="eastAsia" w:ascii="仿宋" w:hAnsi="仿宋" w:eastAsia="仿宋" w:cs="仿宋"/>
          <w:color w:val="auto"/>
          <w:sz w:val="24"/>
          <w:szCs w:val="24"/>
          <w:highlight w:val="none"/>
        </w:rPr>
      </w:pPr>
      <w:bookmarkStart w:id="31" w:name="_Toc8376"/>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缴纳税收的证明</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lang w:eastAsia="zh-CN"/>
        </w:rPr>
        <w:t>加盖本单位公章</w:t>
      </w:r>
    </w:p>
    <w:p w14:paraId="04BB6B1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w:t>
      </w:r>
      <w:r>
        <w:rPr>
          <w:rFonts w:hint="eastAsia" w:ascii="仿宋" w:hAnsi="仿宋" w:eastAsia="仿宋" w:cs="仿宋"/>
          <w:color w:val="auto"/>
          <w:kern w:val="0"/>
          <w:sz w:val="24"/>
          <w:highlight w:val="none"/>
          <w:u w:val="none"/>
          <w:lang w:eastAsia="zh-CN" w:bidi="ar"/>
        </w:rPr>
        <w:t>扫描件</w:t>
      </w:r>
      <w:r>
        <w:rPr>
          <w:rFonts w:hint="eastAsia" w:ascii="仿宋" w:hAnsi="仿宋" w:eastAsia="仿宋" w:cs="仿宋"/>
          <w:color w:val="auto"/>
          <w:kern w:val="0"/>
          <w:sz w:val="24"/>
          <w:highlight w:val="none"/>
          <w:u w:val="none"/>
          <w:lang w:bidi="ar"/>
        </w:rPr>
        <w:t>，采购人、采购代理机构保留审核原件的权利。</w:t>
      </w:r>
    </w:p>
    <w:p w14:paraId="21D1433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3、如果是联合体投标，联合体各方均需提供上述证明。</w:t>
      </w:r>
    </w:p>
    <w:p w14:paraId="35F3D939">
      <w:pPr>
        <w:pStyle w:val="9"/>
        <w:spacing w:line="360" w:lineRule="auto"/>
        <w:ind w:right="516"/>
        <w:rPr>
          <w:rFonts w:hint="eastAsia" w:ascii="仿宋" w:hAnsi="仿宋" w:eastAsia="仿宋" w:cs="仿宋"/>
          <w:color w:val="auto"/>
          <w:sz w:val="24"/>
          <w:szCs w:val="24"/>
          <w:highlight w:val="none"/>
          <w:lang w:eastAsia="zh-CN"/>
        </w:rPr>
      </w:pPr>
    </w:p>
    <w:p w14:paraId="3906E69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bookmarkEnd w:id="31"/>
    </w:p>
    <w:p w14:paraId="6F3F7368">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4</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投标人为职工缴纳社会保险的证明</w:t>
      </w:r>
    </w:p>
    <w:p w14:paraId="7E04C6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EBC4FD4">
      <w:pPr>
        <w:pStyle w:val="9"/>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highlight w:val="none"/>
          <w:u w:val="none"/>
          <w:lang w:bidi="ar"/>
        </w:rPr>
      </w:pPr>
      <w:bookmarkStart w:id="32" w:name="_Toc3006"/>
      <w:r>
        <w:rPr>
          <w:rFonts w:hint="eastAsia" w:ascii="仿宋" w:hAnsi="仿宋" w:eastAsia="仿宋" w:cs="仿宋"/>
          <w:color w:val="auto"/>
          <w:kern w:val="0"/>
          <w:sz w:val="24"/>
          <w:highlight w:val="none"/>
          <w:u w:val="none"/>
          <w:lang w:bidi="ar"/>
        </w:rPr>
        <w:t>1、</w:t>
      </w:r>
      <w:bookmarkEnd w:id="32"/>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为职工缴纳社会保险的</w:t>
      </w:r>
      <w:r>
        <w:rPr>
          <w:rFonts w:hint="eastAsia" w:ascii="仿宋" w:hAnsi="仿宋" w:eastAsia="仿宋" w:cs="仿宋"/>
          <w:color w:val="auto"/>
          <w:sz w:val="24"/>
          <w:szCs w:val="24"/>
          <w:highlight w:val="none"/>
          <w:lang w:val="en-US" w:eastAsia="zh-CN"/>
        </w:rPr>
        <w:t>证明文件</w:t>
      </w:r>
      <w:r>
        <w:rPr>
          <w:rFonts w:hint="eastAsia" w:ascii="仿宋" w:hAnsi="仿宋" w:eastAsia="仿宋" w:cs="仿宋"/>
          <w:color w:val="auto"/>
          <w:sz w:val="24"/>
          <w:szCs w:val="24"/>
          <w:highlight w:val="none"/>
          <w:lang w:eastAsia="zh-CN"/>
        </w:rPr>
        <w:t>扫描件加盖本单位公章</w:t>
      </w:r>
      <w:r>
        <w:rPr>
          <w:rFonts w:hint="eastAsia" w:ascii="仿宋" w:hAnsi="仿宋" w:eastAsia="仿宋" w:cs="仿宋"/>
          <w:color w:val="auto"/>
          <w:sz w:val="24"/>
          <w:szCs w:val="24"/>
          <w:highlight w:val="none"/>
        </w:rPr>
        <w:t>。</w:t>
      </w:r>
    </w:p>
    <w:p w14:paraId="59A18B1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w:t>
      </w:r>
      <w:r>
        <w:rPr>
          <w:rFonts w:hint="eastAsia" w:ascii="仿宋" w:hAnsi="仿宋" w:eastAsia="仿宋" w:cs="仿宋"/>
          <w:color w:val="auto"/>
          <w:kern w:val="0"/>
          <w:sz w:val="24"/>
          <w:highlight w:val="none"/>
          <w:u w:val="none"/>
          <w:lang w:eastAsia="zh-CN" w:bidi="ar"/>
        </w:rPr>
        <w:t>扫描件</w:t>
      </w:r>
      <w:r>
        <w:rPr>
          <w:rFonts w:hint="eastAsia" w:ascii="仿宋" w:hAnsi="仿宋" w:eastAsia="仿宋" w:cs="仿宋"/>
          <w:color w:val="auto"/>
          <w:kern w:val="0"/>
          <w:sz w:val="24"/>
          <w:highlight w:val="none"/>
          <w:u w:val="none"/>
          <w:lang w:bidi="ar"/>
        </w:rPr>
        <w:t>，采购人、采购代理机构保留审核原件的权利。</w:t>
      </w:r>
    </w:p>
    <w:p w14:paraId="1CDE8A5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bookmarkStart w:id="33" w:name="_Toc28907"/>
      <w:r>
        <w:rPr>
          <w:rFonts w:hint="eastAsia" w:ascii="仿宋" w:hAnsi="仿宋" w:eastAsia="仿宋" w:cs="仿宋"/>
          <w:color w:val="auto"/>
          <w:kern w:val="0"/>
          <w:sz w:val="24"/>
          <w:highlight w:val="none"/>
          <w:u w:val="none"/>
          <w:lang w:bidi="ar"/>
        </w:rPr>
        <w:t>3、如果是联合体投标，联合体各方均需提供上述证明。</w:t>
      </w:r>
      <w:bookmarkEnd w:id="33"/>
    </w:p>
    <w:p w14:paraId="38EE82C0">
      <w:pPr>
        <w:rPr>
          <w:rFonts w:hint="eastAsia" w:ascii="仿宋" w:hAnsi="仿宋" w:eastAsia="仿宋" w:cs="仿宋"/>
          <w:color w:val="auto"/>
          <w:kern w:val="0"/>
          <w:sz w:val="24"/>
          <w:highlight w:val="none"/>
          <w:u w:val="none"/>
          <w:lang w:bidi="ar"/>
        </w:rPr>
      </w:pPr>
    </w:p>
    <w:p w14:paraId="5BA352CF">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4ED011F7">
      <w:pPr>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5</w:t>
      </w:r>
      <w:r>
        <w:rPr>
          <w:rFonts w:hint="eastAsia" w:ascii="仿宋" w:hAnsi="仿宋" w:eastAsia="仿宋" w:cs="仿宋"/>
          <w:color w:val="auto"/>
          <w:kern w:val="0"/>
          <w:sz w:val="24"/>
          <w:highlight w:val="none"/>
          <w:u w:val="none"/>
          <w:lang w:bidi="ar"/>
        </w:rPr>
        <w:t xml:space="preserve"> 投标人资格声明书</w:t>
      </w:r>
    </w:p>
    <w:p w14:paraId="7A9E455F">
      <w:pPr>
        <w:rPr>
          <w:rFonts w:hint="eastAsia" w:ascii="仿宋" w:hAnsi="仿宋" w:eastAsia="仿宋" w:cs="仿宋"/>
          <w:color w:val="auto"/>
          <w:kern w:val="0"/>
          <w:sz w:val="24"/>
          <w:highlight w:val="none"/>
          <w:u w:val="none"/>
          <w:lang w:bidi="ar"/>
        </w:rPr>
      </w:pPr>
    </w:p>
    <w:p w14:paraId="7080D6F4">
      <w:pPr>
        <w:keepNext w:val="0"/>
        <w:keepLines w:val="0"/>
        <w:widowControl/>
        <w:suppressLineNumbers w:val="0"/>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0"/>
          <w:sz w:val="32"/>
          <w:szCs w:val="32"/>
          <w:highlight w:val="none"/>
          <w:lang w:val="en-US" w:eastAsia="zh-CN" w:bidi="ar"/>
        </w:rPr>
        <w:t>投标人资格声明书</w:t>
      </w:r>
    </w:p>
    <w:p w14:paraId="70D7B62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3C8C50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3E3EF87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28F8571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一、具备《中华人民共和国政府采购法》第二十二条第一款和本项目规定的条件：</w:t>
      </w:r>
    </w:p>
    <w:p w14:paraId="32B0DAD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（1）具有独立承担民事责任的能力； </w:t>
      </w:r>
    </w:p>
    <w:p w14:paraId="1AC90D3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（2）具有良好的商业信誉和健全的财务会计制度； </w:t>
      </w:r>
    </w:p>
    <w:p w14:paraId="421A751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（3）具有履行合同所必需的设备和专业技术能力； </w:t>
      </w:r>
    </w:p>
    <w:p w14:paraId="0C22B0C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（4）有依法缴纳税收和社会保障资金的良好记录； </w:t>
      </w:r>
    </w:p>
    <w:p w14:paraId="4D3BD0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41ABF0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（6）法律、行政法规规定的其他条件；</w:t>
      </w:r>
    </w:p>
    <w:p w14:paraId="181837E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（7）根据采购项目提出的特殊条件。</w:t>
      </w:r>
    </w:p>
    <w:p w14:paraId="2E9BE33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AA5AB3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三、参加本次招标采购活动，不存在与单位负责人为同一人或者存在直接控股、管理关系的其他供应商参与同一合同项下的政府采购活动的行为。</w:t>
      </w:r>
    </w:p>
    <w:p w14:paraId="090697F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四、参加本次招标采购活动，不存在和其他供应商在同一合同项下的采购项目中，同时委托同一个自然人、同一家庭的人员、同一单位的人员作为代理人的行为。</w:t>
      </w:r>
    </w:p>
    <w:p w14:paraId="2D0DC90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五、在行贿犯罪信息查询期限内，我单位及其现任法定代表人、主要负责人有（ ）没有（ ）行贿犯罪记录。</w:t>
      </w:r>
    </w:p>
    <w:p w14:paraId="41EBEBC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六、我单位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b/>
          <w:bCs/>
          <w:color w:val="auto"/>
          <w:kern w:val="0"/>
          <w:sz w:val="24"/>
          <w:szCs w:val="24"/>
          <w:highlight w:val="none"/>
          <w:u w:val="none"/>
          <w:lang w:val="en-US" w:eastAsia="zh-CN" w:bidi="ar"/>
        </w:rPr>
        <w:t>(填写“有”或“没有”)</w:t>
      </w:r>
      <w:r>
        <w:rPr>
          <w:rFonts w:hint="eastAsia" w:ascii="仿宋" w:hAnsi="仿宋" w:eastAsia="仿宋" w:cs="仿宋"/>
          <w:color w:val="auto"/>
          <w:kern w:val="0"/>
          <w:sz w:val="24"/>
          <w:szCs w:val="24"/>
          <w:highlight w:val="none"/>
          <w:lang w:val="en-US" w:eastAsia="zh-CN" w:bidi="ar"/>
        </w:rPr>
        <w:t>被列入失信被执行人、重大税收违法失信主体、政府采购严重违法失信行为记录名单（如投标人在参加政府采购活动前被禁止在一定期限内参加政府采购活动，期限届满的，可以参加政府采购活动），</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b/>
          <w:bCs/>
          <w:color w:val="auto"/>
          <w:kern w:val="0"/>
          <w:sz w:val="24"/>
          <w:szCs w:val="24"/>
          <w:highlight w:val="none"/>
          <w:u w:val="none"/>
          <w:lang w:val="en-US" w:eastAsia="zh-CN" w:bidi="ar"/>
        </w:rPr>
        <w:t>(填写“有”或“没有”)</w:t>
      </w:r>
      <w:r>
        <w:rPr>
          <w:rFonts w:hint="eastAsia" w:ascii="仿宋" w:hAnsi="仿宋" w:eastAsia="仿宋" w:cs="仿宋"/>
          <w:color w:val="auto"/>
          <w:kern w:val="0"/>
          <w:sz w:val="24"/>
          <w:szCs w:val="24"/>
          <w:highlight w:val="none"/>
          <w:lang w:val="en-US" w:eastAsia="zh-CN" w:bidi="ar"/>
        </w:rPr>
        <w:t>未依法缴纳税收和社会保障资金的不良记录，参加政府采购活动前三年内，在经营活动中</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b/>
          <w:bCs/>
          <w:color w:val="auto"/>
          <w:kern w:val="0"/>
          <w:sz w:val="24"/>
          <w:szCs w:val="24"/>
          <w:highlight w:val="none"/>
          <w:u w:val="none"/>
          <w:lang w:val="en-US" w:eastAsia="zh-CN" w:bidi="ar"/>
        </w:rPr>
        <w:t>(填写“有”或“没有”)</w:t>
      </w:r>
      <w:r>
        <w:rPr>
          <w:rFonts w:hint="eastAsia" w:ascii="仿宋" w:hAnsi="仿宋" w:eastAsia="仿宋" w:cs="仿宋"/>
          <w:color w:val="auto"/>
          <w:kern w:val="0"/>
          <w:sz w:val="24"/>
          <w:szCs w:val="24"/>
          <w:highlight w:val="none"/>
          <w:lang w:val="en-US" w:eastAsia="zh-CN" w:bidi="ar"/>
        </w:rPr>
        <w:t>重大违法记录（如投标人在参加政府采购活动前3年内因违法经营被禁止在一定期限内参加政府采购活动，期限届满的，可以参加政府采购活动）；</w:t>
      </w:r>
    </w:p>
    <w:p w14:paraId="10D783C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七、我单位不属于政府采购法律、行政法规规定的公益一类事业单位、或使用事业编制且由财政拨款保障的群团组织（仅适用于政府购买服务项目）； </w:t>
      </w:r>
    </w:p>
    <w:p w14:paraId="2FC2672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八、我单位不存在为采购项目提供整体设计、规范编制或者项目管理、监理、检测等服务后，再参加该采购项目的其他采购活动的情形（单一来源采购项目除外）； </w:t>
      </w:r>
    </w:p>
    <w:p w14:paraId="73A9384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九、与我单位存在“单位负责人为同一人或者存在直接控股、管理关系”的其他法人单位信息如下（如有，不论其是否参加同一合同项下的政府采购活动均须填写）：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7E99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26438B3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noWrap w:val="0"/>
            <w:vAlign w:val="center"/>
          </w:tcPr>
          <w:p w14:paraId="05A4037D">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noWrap w:val="0"/>
            <w:vAlign w:val="center"/>
          </w:tcPr>
          <w:p w14:paraId="33002165">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4206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77B8CA65">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noWrap w:val="0"/>
            <w:vAlign w:val="top"/>
          </w:tcPr>
          <w:p w14:paraId="136EB357">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noWrap w:val="0"/>
            <w:vAlign w:val="top"/>
          </w:tcPr>
          <w:p w14:paraId="44B86BA5">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575C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71BC941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noWrap w:val="0"/>
            <w:vAlign w:val="top"/>
          </w:tcPr>
          <w:p w14:paraId="11BBFE42">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noWrap w:val="0"/>
            <w:vAlign w:val="top"/>
          </w:tcPr>
          <w:p w14:paraId="6FEA3986">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204E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noWrap w:val="0"/>
            <w:vAlign w:val="center"/>
          </w:tcPr>
          <w:p w14:paraId="720EE556">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noWrap w:val="0"/>
            <w:vAlign w:val="top"/>
          </w:tcPr>
          <w:p w14:paraId="75D80007">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noWrap w:val="0"/>
            <w:vAlign w:val="top"/>
          </w:tcPr>
          <w:p w14:paraId="7223B83C">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455CC23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本公司对上述承诺的内容事项真实性负责。如经查实上述承诺的内容事项存在虚假，我公司愿意接受以提供虚假材料谋取中标追究法律责任。 </w:t>
      </w:r>
    </w:p>
    <w:p w14:paraId="51C1DB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6D8B3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4C2694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14:paraId="01DC83A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14:paraId="556D68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3865A0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6FF53D8E">
      <w:pPr>
        <w:rPr>
          <w:rFonts w:hint="eastAsia" w:ascii="仿宋" w:hAnsi="仿宋" w:eastAsia="仿宋" w:cs="仿宋"/>
          <w:color w:val="auto"/>
          <w:kern w:val="0"/>
          <w:sz w:val="24"/>
          <w:szCs w:val="24"/>
          <w:highlight w:val="none"/>
          <w:lang w:val="en-US" w:eastAsia="zh-CN" w:bidi="ar"/>
        </w:rPr>
      </w:pPr>
    </w:p>
    <w:p w14:paraId="4C46564A">
      <w:pPr>
        <w:spacing w:before="160" w:line="244" w:lineRule="auto"/>
        <w:ind w:right="869" w:rightChars="41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2CE94BA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1.自然人投标的签章或签字后上传。</w:t>
      </w:r>
    </w:p>
    <w:p w14:paraId="29DC63B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2.如果是联合体投标，联合体各方均需提供上述证明。</w:t>
      </w:r>
    </w:p>
    <w:p w14:paraId="24FD0FA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3.单位负责人为同一人或者存在直接控股、管理关系的不同供应商，不得参加同一合同项下的政府采购活动。 </w:t>
      </w:r>
    </w:p>
    <w:p w14:paraId="6C42967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4.本条所指单位负责人为同一人指单位法定代表人或者法律、行政法规规定代表单位行使职权的主要负责人。 </w:t>
      </w:r>
    </w:p>
    <w:p w14:paraId="7CC2FE5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5.本条所指控股关系指单位或股东的控股关系。控股股东指: </w:t>
      </w:r>
    </w:p>
    <w:p w14:paraId="6377BF2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a.出资额占有限责任公司资本总额百分之五十以上或者其持有的股份占股份有限公司股本总额百分之五十以上的股东； </w:t>
      </w:r>
    </w:p>
    <w:p w14:paraId="13AAB4D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b.出资额或者持有股份的比例不足百分之五十，但其出资额或者持有的股份所享有的表决权已足以对股东会、股东大会的决议产生重大影响的股东。 </w:t>
      </w:r>
    </w:p>
    <w:p w14:paraId="0579566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6.本条所指管理关系指不具有出资持股关系的其他单位之间存在的管理与被管理关系。 </w:t>
      </w:r>
    </w:p>
    <w:p w14:paraId="507E056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7.本条所指的控股、管理关系仅限于直接控股、直接管理关系，不包括间接控股或管理关系。 </w:t>
      </w:r>
    </w:p>
    <w:p w14:paraId="303D4CF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8.如无相关情况，请在相应栏填写“无”。</w:t>
      </w:r>
    </w:p>
    <w:p w14:paraId="7A2E4A8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9.投标人承诺不实的，依据《政府采购法》第七十七条“提供虚假材料谋取中标、成交的”有关规定予以处理。</w:t>
      </w:r>
    </w:p>
    <w:p w14:paraId="7108213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p>
    <w:p w14:paraId="6185B539">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9DAE1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color w:val="auto"/>
          <w:sz w:val="24"/>
          <w:szCs w:val="24"/>
          <w:highlight w:val="none"/>
        </w:rPr>
      </w:pPr>
      <w:bookmarkStart w:id="34" w:name="_Toc32152"/>
      <w:r>
        <w:rPr>
          <w:rFonts w:hint="eastAsia" w:ascii="仿宋" w:hAnsi="仿宋" w:eastAsia="仿宋" w:cs="仿宋"/>
          <w:b/>
          <w:bCs/>
          <w:color w:val="auto"/>
          <w:kern w:val="0"/>
          <w:sz w:val="24"/>
          <w:szCs w:val="24"/>
          <w:highlight w:val="none"/>
          <w:lang w:val="en-US" w:eastAsia="zh-CN" w:bidi="ar"/>
        </w:rPr>
        <w:t>2、落实政府采购政策需满足的资格要求（如有）</w:t>
      </w:r>
      <w:bookmarkEnd w:id="34"/>
      <w:r>
        <w:rPr>
          <w:rFonts w:hint="eastAsia" w:ascii="仿宋" w:hAnsi="仿宋" w:eastAsia="仿宋" w:cs="仿宋"/>
          <w:b/>
          <w:bCs/>
          <w:color w:val="auto"/>
          <w:kern w:val="0"/>
          <w:sz w:val="24"/>
          <w:szCs w:val="24"/>
          <w:highlight w:val="none"/>
          <w:lang w:val="en-US" w:eastAsia="zh-CN" w:bidi="ar"/>
        </w:rPr>
        <w:t xml:space="preserve"> </w:t>
      </w:r>
    </w:p>
    <w:p w14:paraId="1C55DD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2-1 中小企业声明函</w:t>
      </w:r>
      <w:r>
        <w:rPr>
          <w:rFonts w:hint="eastAsia" w:ascii="仿宋" w:hAnsi="仿宋" w:eastAsia="仿宋" w:cs="仿宋"/>
          <w:color w:val="auto"/>
          <w:kern w:val="0"/>
          <w:sz w:val="24"/>
          <w:szCs w:val="24"/>
          <w:highlight w:val="none"/>
          <w:lang w:val="en-US" w:eastAsia="zh-CN" w:bidi="ar"/>
        </w:rPr>
        <w:t xml:space="preserve"> </w:t>
      </w:r>
    </w:p>
    <w:p w14:paraId="7DAC2B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3547987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1.如本项目（包）不专门面向中小企业预留采购份额，资格证明文件部分无需提供《中小企业声明函》。 如在“商务、技术文件中提供”提供《中小企业声明函》享受相关政策，不享受相关政策的投标人无需提供。</w:t>
      </w:r>
    </w:p>
    <w:p w14:paraId="0ACFBC28">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2.如本项目（包）专门面向中小/小微企业采购，须提供《中小企业声明函》或《残疾人福利性单位声明函》，或提供由省级以上监狱管理局、戒毒管理局（含 新疆生产建设兵团）出具的属于监狱企业的证明文件。《中小企业声明函》或《残疾人福利性单位声明函》格式不得修改，否则不得享受相关中小企业扶持政策。</w:t>
      </w:r>
      <w:r>
        <w:rPr>
          <w:rFonts w:hint="eastAsia" w:ascii="仿宋" w:hAnsi="仿宋" w:eastAsia="仿宋" w:cs="仿宋"/>
          <w:b/>
          <w:bCs/>
          <w:color w:val="auto"/>
          <w:kern w:val="0"/>
          <w:sz w:val="24"/>
          <w:szCs w:val="24"/>
          <w:highlight w:val="none"/>
          <w:lang w:val="en-US" w:eastAsia="zh-CN" w:bidi="ar"/>
        </w:rPr>
        <w:t xml:space="preserve">供应商根据项目属性，从本采购文件投标文件格式“中小企业声明函（货物）”、“中小企业声明函（工程、服务）”选择一种申明函格式。 </w:t>
      </w:r>
    </w:p>
    <w:p w14:paraId="41D7B29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 </w:t>
      </w:r>
    </w:p>
    <w:p w14:paraId="697FEBF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4.如本项目（包）预留部分采购项目预算专门面向中小企业采购，且要求供应商以联合体形式参加采购活动，投标文件中除须提供《中小企业声明函》或《残疾人福利性单位声明函》或由省级以上监狱管理局、戒毒管理局（含新疆生产 建设兵团）出具的属于监狱企业的证明文件，还须同时提供《联合协议》。 </w:t>
      </w:r>
    </w:p>
    <w:p w14:paraId="2CCEE91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5.中小企业声明函填写注意事项 </w:t>
      </w:r>
    </w:p>
    <w:p w14:paraId="2BA0138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5CB6FDC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7334E9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2E06F8B7">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6.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8688B0C">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6A22DDD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27"/>
          <w:rFonts w:hint="eastAsia" w:ascii="仿宋" w:hAnsi="仿宋" w:eastAsia="仿宋" w:cs="仿宋"/>
          <w:i w:val="0"/>
          <w:iCs w:val="0"/>
          <w:caps w:val="0"/>
          <w:color w:val="auto"/>
          <w:spacing w:val="0"/>
          <w:sz w:val="32"/>
          <w:szCs w:val="32"/>
          <w:highlight w:val="none"/>
        </w:rPr>
        <w:t>中小企业声明函</w:t>
      </w:r>
      <w:r>
        <w:rPr>
          <w:rStyle w:val="27"/>
          <w:rFonts w:hint="eastAsia" w:ascii="仿宋" w:hAnsi="仿宋" w:eastAsia="仿宋" w:cs="仿宋"/>
          <w:i w:val="0"/>
          <w:iCs w:val="0"/>
          <w:caps w:val="0"/>
          <w:color w:val="auto"/>
          <w:spacing w:val="0"/>
          <w:sz w:val="32"/>
          <w:szCs w:val="32"/>
          <w:highlight w:val="none"/>
          <w:lang w:eastAsia="zh-CN"/>
        </w:rPr>
        <w:t>（</w:t>
      </w:r>
      <w:r>
        <w:rPr>
          <w:rStyle w:val="27"/>
          <w:rFonts w:hint="eastAsia" w:ascii="仿宋" w:hAnsi="仿宋" w:eastAsia="仿宋" w:cs="仿宋"/>
          <w:i w:val="0"/>
          <w:iCs w:val="0"/>
          <w:caps w:val="0"/>
          <w:color w:val="auto"/>
          <w:spacing w:val="0"/>
          <w:sz w:val="32"/>
          <w:szCs w:val="32"/>
          <w:highlight w:val="none"/>
        </w:rPr>
        <w:t>货物</w:t>
      </w:r>
      <w:r>
        <w:rPr>
          <w:rStyle w:val="27"/>
          <w:rFonts w:hint="eastAsia" w:ascii="仿宋" w:hAnsi="仿宋" w:eastAsia="仿宋" w:cs="仿宋"/>
          <w:i w:val="0"/>
          <w:iCs w:val="0"/>
          <w:caps w:val="0"/>
          <w:color w:val="auto"/>
          <w:spacing w:val="0"/>
          <w:sz w:val="32"/>
          <w:szCs w:val="32"/>
          <w:highlight w:val="none"/>
          <w:lang w:eastAsia="zh-CN"/>
        </w:rPr>
        <w:t>）</w:t>
      </w:r>
    </w:p>
    <w:p w14:paraId="2144D564">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46551F11">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4E09A3CB">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15A79DB8">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6BB1858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572DE212">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51D15224">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5ED0CFD2">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14:paraId="6E62F03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w:t>
      </w:r>
      <w:r>
        <w:rPr>
          <w:rFonts w:hint="eastAsia" w:ascii="仿宋" w:hAnsi="仿宋" w:eastAsia="仿宋" w:cs="仿宋"/>
          <w:color w:val="auto"/>
          <w:sz w:val="24"/>
          <w:highlight w:val="none"/>
          <w:lang w:val="en-US" w:eastAsia="zh-CN"/>
        </w:rPr>
        <w:t>盖章</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3D00954B">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8B52A16">
      <w:pPr>
        <w:rPr>
          <w:rFonts w:hint="eastAsia" w:ascii="仿宋" w:hAnsi="仿宋" w:eastAsia="仿宋" w:cs="仿宋"/>
          <w:b w:val="0"/>
          <w:bCs w:val="0"/>
          <w:color w:val="auto"/>
          <w:kern w:val="0"/>
          <w:sz w:val="21"/>
          <w:szCs w:val="21"/>
          <w:highlight w:val="none"/>
          <w:lang w:val="en-US" w:eastAsia="zh-CN" w:bidi="ar"/>
        </w:rPr>
      </w:pPr>
    </w:p>
    <w:p w14:paraId="764928AB">
      <w:pPr>
        <w:rPr>
          <w:rFonts w:hint="eastAsia" w:ascii="仿宋" w:hAnsi="仿宋" w:eastAsia="仿宋" w:cs="仿宋"/>
          <w:b w:val="0"/>
          <w:bCs w:val="0"/>
          <w:color w:val="auto"/>
          <w:kern w:val="0"/>
          <w:sz w:val="21"/>
          <w:szCs w:val="21"/>
          <w:highlight w:val="none"/>
          <w:lang w:val="en-US" w:eastAsia="zh-CN" w:bidi="ar"/>
        </w:rPr>
      </w:pPr>
    </w:p>
    <w:p w14:paraId="38C7C686">
      <w:pPr>
        <w:rPr>
          <w:rFonts w:hint="eastAsia" w:ascii="仿宋" w:hAnsi="仿宋" w:eastAsia="仿宋" w:cs="仿宋"/>
          <w:b w:val="0"/>
          <w:bCs w:val="0"/>
          <w:color w:val="auto"/>
          <w:kern w:val="0"/>
          <w:sz w:val="21"/>
          <w:szCs w:val="21"/>
          <w:highlight w:val="none"/>
          <w:lang w:val="en-US" w:eastAsia="zh-CN" w:bidi="ar"/>
        </w:rPr>
      </w:pPr>
    </w:p>
    <w:p w14:paraId="2B37B0C2">
      <w:pPr>
        <w:rPr>
          <w:rFonts w:hint="eastAsia" w:ascii="仿宋" w:hAnsi="仿宋" w:eastAsia="仿宋" w:cs="仿宋"/>
          <w:b w:val="0"/>
          <w:bCs w:val="0"/>
          <w:color w:val="auto"/>
          <w:kern w:val="0"/>
          <w:sz w:val="21"/>
          <w:szCs w:val="21"/>
          <w:highlight w:val="none"/>
          <w:lang w:val="en-US" w:eastAsia="zh-CN" w:bidi="ar"/>
        </w:rPr>
      </w:pPr>
    </w:p>
    <w:p w14:paraId="6008802D">
      <w:pPr>
        <w:rPr>
          <w:rFonts w:hint="eastAsia" w:ascii="仿宋" w:hAnsi="仿宋" w:eastAsia="仿宋" w:cs="仿宋"/>
          <w:b w:val="0"/>
          <w:bCs w:val="0"/>
          <w:color w:val="auto"/>
          <w:kern w:val="0"/>
          <w:sz w:val="21"/>
          <w:szCs w:val="21"/>
          <w:highlight w:val="none"/>
          <w:lang w:val="en-US" w:eastAsia="zh-CN" w:bidi="ar"/>
        </w:rPr>
      </w:pPr>
    </w:p>
    <w:p w14:paraId="0EC42A29">
      <w:pPr>
        <w:rPr>
          <w:rFonts w:hint="eastAsia" w:ascii="仿宋" w:hAnsi="仿宋" w:eastAsia="仿宋" w:cs="仿宋"/>
          <w:b w:val="0"/>
          <w:bCs w:val="0"/>
          <w:color w:val="auto"/>
          <w:kern w:val="0"/>
          <w:sz w:val="21"/>
          <w:szCs w:val="21"/>
          <w:highlight w:val="none"/>
          <w:lang w:val="en-US" w:eastAsia="zh-CN" w:bidi="ar"/>
        </w:rPr>
      </w:pPr>
    </w:p>
    <w:p w14:paraId="04781352">
      <w:pPr>
        <w:rPr>
          <w:rFonts w:hint="eastAsia" w:ascii="仿宋" w:hAnsi="仿宋" w:eastAsia="仿宋" w:cs="仿宋"/>
          <w:b w:val="0"/>
          <w:bCs w:val="0"/>
          <w:color w:val="auto"/>
          <w:kern w:val="0"/>
          <w:sz w:val="21"/>
          <w:szCs w:val="21"/>
          <w:highlight w:val="none"/>
          <w:lang w:val="en-US" w:eastAsia="zh-CN" w:bidi="ar"/>
        </w:rPr>
      </w:pPr>
    </w:p>
    <w:p w14:paraId="7E891154">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1CF67420">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941728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中小企业声明函（工程、服务）</w:t>
      </w:r>
    </w:p>
    <w:p w14:paraId="3FAB2B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3E4544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本公司（联合体）郑重声明，根据《政府采购促进中小企业发展管理办法》 </w:t>
      </w:r>
    </w:p>
    <w:p w14:paraId="7D0416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（财库﹝2020﹞46号）的规定，本公司（联合体）参加</w:t>
      </w:r>
      <w:r>
        <w:rPr>
          <w:rFonts w:hint="eastAsia" w:ascii="仿宋" w:hAnsi="仿宋" w:eastAsia="仿宋" w:cs="仿宋"/>
          <w:i/>
          <w:iCs/>
          <w:color w:val="auto"/>
          <w:kern w:val="0"/>
          <w:sz w:val="24"/>
          <w:szCs w:val="24"/>
          <w:highlight w:val="none"/>
          <w:u w:val="single"/>
          <w:lang w:val="en-US" w:eastAsia="zh-CN" w:bidi="ar"/>
        </w:rPr>
        <w:t>（单位名称）</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i/>
          <w:iCs/>
          <w:color w:val="auto"/>
          <w:kern w:val="0"/>
          <w:sz w:val="24"/>
          <w:szCs w:val="24"/>
          <w:highlight w:val="none"/>
          <w:u w:val="single"/>
          <w:lang w:val="en-US" w:eastAsia="zh-CN" w:bidi="ar"/>
        </w:rPr>
        <w:t>（项目名称）</w:t>
      </w:r>
      <w:r>
        <w:rPr>
          <w:rFonts w:hint="eastAsia" w:ascii="仿宋" w:hAnsi="仿宋" w:eastAsia="仿宋" w:cs="仿宋"/>
          <w:color w:val="auto"/>
          <w:kern w:val="0"/>
          <w:sz w:val="24"/>
          <w:szCs w:val="24"/>
          <w:highlight w:val="none"/>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6EA520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 </w:t>
      </w:r>
      <w:r>
        <w:rPr>
          <w:rFonts w:hint="eastAsia" w:ascii="仿宋" w:hAnsi="仿宋" w:eastAsia="仿宋" w:cs="仿宋"/>
          <w:i/>
          <w:iCs/>
          <w:color w:val="auto"/>
          <w:kern w:val="0"/>
          <w:sz w:val="24"/>
          <w:szCs w:val="24"/>
          <w:highlight w:val="none"/>
          <w:u w:val="single"/>
          <w:lang w:val="en-US" w:eastAsia="zh-CN" w:bidi="ar"/>
        </w:rPr>
        <w:t>（标的名称）</w:t>
      </w:r>
      <w:r>
        <w:rPr>
          <w:rFonts w:hint="eastAsia" w:ascii="仿宋" w:hAnsi="仿宋" w:eastAsia="仿宋" w:cs="仿宋"/>
          <w:color w:val="auto"/>
          <w:kern w:val="0"/>
          <w:sz w:val="24"/>
          <w:szCs w:val="24"/>
          <w:highlight w:val="none"/>
          <w:lang w:val="en-US" w:eastAsia="zh-CN" w:bidi="ar"/>
        </w:rPr>
        <w:t>，属于</w:t>
      </w:r>
      <w:r>
        <w:rPr>
          <w:rFonts w:hint="eastAsia" w:ascii="仿宋" w:hAnsi="仿宋" w:eastAsia="仿宋" w:cs="仿宋"/>
          <w:i/>
          <w:iCs/>
          <w:color w:val="auto"/>
          <w:kern w:val="0"/>
          <w:sz w:val="24"/>
          <w:szCs w:val="24"/>
          <w:highlight w:val="none"/>
          <w:u w:val="single"/>
          <w:lang w:val="en-US" w:eastAsia="zh-CN" w:bidi="ar"/>
        </w:rPr>
        <w:t>（采购文件中明确的所属行业）</w:t>
      </w:r>
      <w:r>
        <w:rPr>
          <w:rFonts w:hint="eastAsia" w:ascii="仿宋" w:hAnsi="仿宋" w:eastAsia="仿宋" w:cs="仿宋"/>
          <w:color w:val="auto"/>
          <w:kern w:val="0"/>
          <w:sz w:val="24"/>
          <w:szCs w:val="24"/>
          <w:highlight w:val="none"/>
          <w:lang w:val="en-US" w:eastAsia="zh-CN" w:bidi="ar"/>
        </w:rPr>
        <w:t xml:space="preserve">；承建（承接）企业 </w:t>
      </w:r>
    </w:p>
    <w:p w14:paraId="730737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为</w:t>
      </w:r>
      <w:r>
        <w:rPr>
          <w:rFonts w:hint="eastAsia" w:ascii="仿宋" w:hAnsi="仿宋" w:eastAsia="仿宋" w:cs="仿宋"/>
          <w:i/>
          <w:iCs/>
          <w:color w:val="auto"/>
          <w:kern w:val="0"/>
          <w:sz w:val="24"/>
          <w:szCs w:val="24"/>
          <w:highlight w:val="none"/>
          <w:u w:val="single"/>
          <w:lang w:val="en-US" w:eastAsia="zh-CN" w:bidi="ar"/>
        </w:rPr>
        <w:t>（企业名称）</w:t>
      </w:r>
      <w:r>
        <w:rPr>
          <w:rFonts w:hint="eastAsia" w:ascii="仿宋" w:hAnsi="仿宋" w:eastAsia="仿宋" w:cs="仿宋"/>
          <w:color w:val="auto"/>
          <w:kern w:val="0"/>
          <w:sz w:val="24"/>
          <w:szCs w:val="24"/>
          <w:highlight w:val="none"/>
          <w:lang w:val="en-US" w:eastAsia="zh-CN" w:bidi="ar"/>
        </w:rPr>
        <w:t>，从业人员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人，营业收入为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万元，资产总额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为万元，属于</w:t>
      </w:r>
      <w:r>
        <w:rPr>
          <w:rFonts w:hint="eastAsia" w:ascii="仿宋" w:hAnsi="仿宋" w:eastAsia="仿宋" w:cs="仿宋"/>
          <w:i/>
          <w:iCs/>
          <w:color w:val="auto"/>
          <w:kern w:val="0"/>
          <w:sz w:val="24"/>
          <w:szCs w:val="24"/>
          <w:highlight w:val="none"/>
          <w:u w:val="single"/>
          <w:lang w:val="en-US" w:eastAsia="zh-CN" w:bidi="ar"/>
        </w:rPr>
        <w:t>（中型企业、小型企业、微型企业）</w:t>
      </w:r>
      <w:r>
        <w:rPr>
          <w:rFonts w:hint="eastAsia" w:ascii="仿宋" w:hAnsi="仿宋" w:eastAsia="仿宋" w:cs="仿宋"/>
          <w:color w:val="auto"/>
          <w:kern w:val="0"/>
          <w:sz w:val="24"/>
          <w:szCs w:val="24"/>
          <w:highlight w:val="none"/>
          <w:lang w:val="en-US" w:eastAsia="zh-CN" w:bidi="ar"/>
        </w:rPr>
        <w:t xml:space="preserve">； </w:t>
      </w:r>
    </w:p>
    <w:p w14:paraId="4F85CA7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 </w:t>
      </w:r>
      <w:r>
        <w:rPr>
          <w:rFonts w:hint="eastAsia" w:ascii="仿宋" w:hAnsi="仿宋" w:eastAsia="仿宋" w:cs="仿宋"/>
          <w:i/>
          <w:iCs/>
          <w:color w:val="auto"/>
          <w:kern w:val="0"/>
          <w:sz w:val="24"/>
          <w:szCs w:val="24"/>
          <w:highlight w:val="none"/>
          <w:u w:val="single"/>
          <w:lang w:val="en-US" w:eastAsia="zh-CN" w:bidi="ar"/>
        </w:rPr>
        <w:t>（标的名称）</w:t>
      </w:r>
      <w:r>
        <w:rPr>
          <w:rFonts w:hint="eastAsia" w:ascii="仿宋" w:hAnsi="仿宋" w:eastAsia="仿宋" w:cs="仿宋"/>
          <w:color w:val="auto"/>
          <w:kern w:val="0"/>
          <w:sz w:val="24"/>
          <w:szCs w:val="24"/>
          <w:highlight w:val="none"/>
          <w:lang w:val="en-US" w:eastAsia="zh-CN" w:bidi="ar"/>
        </w:rPr>
        <w:t>，属于</w:t>
      </w:r>
      <w:r>
        <w:rPr>
          <w:rFonts w:hint="eastAsia" w:ascii="仿宋" w:hAnsi="仿宋" w:eastAsia="仿宋" w:cs="仿宋"/>
          <w:i/>
          <w:iCs/>
          <w:color w:val="auto"/>
          <w:kern w:val="0"/>
          <w:sz w:val="24"/>
          <w:szCs w:val="24"/>
          <w:highlight w:val="none"/>
          <w:u w:val="single"/>
          <w:lang w:val="en-US" w:eastAsia="zh-CN" w:bidi="ar"/>
        </w:rPr>
        <w:t>（采购文件中明确的所属行业）</w:t>
      </w:r>
      <w:r>
        <w:rPr>
          <w:rFonts w:hint="eastAsia" w:ascii="仿宋" w:hAnsi="仿宋" w:eastAsia="仿宋" w:cs="仿宋"/>
          <w:color w:val="auto"/>
          <w:kern w:val="0"/>
          <w:sz w:val="24"/>
          <w:szCs w:val="24"/>
          <w:highlight w:val="none"/>
          <w:lang w:val="en-US" w:eastAsia="zh-CN" w:bidi="ar"/>
        </w:rPr>
        <w:t>；承建（承接）企业</w:t>
      </w:r>
    </w:p>
    <w:p w14:paraId="20951CD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为</w:t>
      </w:r>
      <w:r>
        <w:rPr>
          <w:rFonts w:hint="eastAsia" w:ascii="仿宋" w:hAnsi="仿宋" w:eastAsia="仿宋" w:cs="仿宋"/>
          <w:i/>
          <w:iCs/>
          <w:color w:val="auto"/>
          <w:kern w:val="0"/>
          <w:sz w:val="24"/>
          <w:szCs w:val="24"/>
          <w:highlight w:val="none"/>
          <w:u w:val="single"/>
          <w:lang w:val="en-US" w:eastAsia="zh-CN" w:bidi="ar"/>
        </w:rPr>
        <w:t>（企业名称）</w:t>
      </w:r>
      <w:r>
        <w:rPr>
          <w:rFonts w:hint="eastAsia" w:ascii="仿宋" w:hAnsi="仿宋" w:eastAsia="仿宋" w:cs="仿宋"/>
          <w:color w:val="auto"/>
          <w:kern w:val="0"/>
          <w:sz w:val="24"/>
          <w:szCs w:val="24"/>
          <w:highlight w:val="none"/>
          <w:lang w:val="en-US" w:eastAsia="zh-CN" w:bidi="ar"/>
        </w:rPr>
        <w:t>，从业人员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人，营业收入为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万元，资产总额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为万元，属于</w:t>
      </w:r>
      <w:r>
        <w:rPr>
          <w:rFonts w:hint="eastAsia" w:ascii="仿宋" w:hAnsi="仿宋" w:eastAsia="仿宋" w:cs="仿宋"/>
          <w:i/>
          <w:iCs/>
          <w:color w:val="auto"/>
          <w:kern w:val="0"/>
          <w:sz w:val="24"/>
          <w:szCs w:val="24"/>
          <w:highlight w:val="none"/>
          <w:u w:val="single"/>
          <w:lang w:val="en-US" w:eastAsia="zh-CN" w:bidi="ar"/>
        </w:rPr>
        <w:t>（中型企业、小型企业、微型企业）</w:t>
      </w:r>
      <w:r>
        <w:rPr>
          <w:rFonts w:hint="eastAsia" w:ascii="仿宋" w:hAnsi="仿宋" w:eastAsia="仿宋" w:cs="仿宋"/>
          <w:color w:val="auto"/>
          <w:kern w:val="0"/>
          <w:sz w:val="24"/>
          <w:szCs w:val="24"/>
          <w:highlight w:val="none"/>
          <w:lang w:val="en-US" w:eastAsia="zh-CN" w:bidi="ar"/>
        </w:rPr>
        <w:t xml:space="preserve">；； </w:t>
      </w:r>
    </w:p>
    <w:p w14:paraId="48D86E0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w:t>
      </w:r>
    </w:p>
    <w:p w14:paraId="24B952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以上企业，不属于大企业的分支机构，不存在控股股东为大企业的情形， </w:t>
      </w:r>
    </w:p>
    <w:p w14:paraId="184B671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也不存在与大企业的负责人为同一人的情形。 </w:t>
      </w:r>
    </w:p>
    <w:p w14:paraId="6377F7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本企业对上述声明内容的真实性负责。如有虚假，将依法承担相应责任。</w:t>
      </w:r>
    </w:p>
    <w:p w14:paraId="16139C5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p>
    <w:p w14:paraId="4835FF3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w:t>
      </w:r>
      <w:r>
        <w:rPr>
          <w:rFonts w:hint="eastAsia" w:ascii="仿宋" w:hAnsi="仿宋" w:eastAsia="仿宋" w:cs="仿宋"/>
          <w:color w:val="auto"/>
          <w:sz w:val="24"/>
          <w:highlight w:val="none"/>
          <w:lang w:val="en-US" w:eastAsia="zh-CN"/>
        </w:rPr>
        <w:t>盖章</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22FDD6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72B85166">
      <w:pPr>
        <w:rPr>
          <w:rFonts w:hint="eastAsia" w:ascii="仿宋" w:hAnsi="仿宋" w:eastAsia="仿宋" w:cs="仿宋"/>
          <w:b w:val="0"/>
          <w:bCs w:val="0"/>
          <w:color w:val="auto"/>
          <w:kern w:val="0"/>
          <w:sz w:val="21"/>
          <w:szCs w:val="21"/>
          <w:highlight w:val="none"/>
          <w:lang w:val="en-US" w:eastAsia="zh-CN" w:bidi="ar"/>
        </w:rPr>
      </w:pPr>
    </w:p>
    <w:p w14:paraId="05FD3031">
      <w:pPr>
        <w:rPr>
          <w:rFonts w:hint="eastAsia" w:ascii="仿宋" w:hAnsi="仿宋" w:eastAsia="仿宋" w:cs="仿宋"/>
          <w:b w:val="0"/>
          <w:bCs w:val="0"/>
          <w:color w:val="auto"/>
          <w:kern w:val="0"/>
          <w:sz w:val="21"/>
          <w:szCs w:val="21"/>
          <w:highlight w:val="none"/>
          <w:lang w:val="en-US" w:eastAsia="zh-CN" w:bidi="ar"/>
        </w:rPr>
      </w:pPr>
    </w:p>
    <w:p w14:paraId="1914AD3D">
      <w:pPr>
        <w:rPr>
          <w:rFonts w:hint="eastAsia" w:ascii="仿宋" w:hAnsi="仿宋" w:eastAsia="仿宋" w:cs="仿宋"/>
          <w:b w:val="0"/>
          <w:bCs w:val="0"/>
          <w:color w:val="auto"/>
          <w:kern w:val="0"/>
          <w:sz w:val="21"/>
          <w:szCs w:val="21"/>
          <w:highlight w:val="none"/>
          <w:lang w:val="en-US" w:eastAsia="zh-CN" w:bidi="ar"/>
        </w:rPr>
      </w:pPr>
    </w:p>
    <w:p w14:paraId="473C23BA">
      <w:pPr>
        <w:rPr>
          <w:rFonts w:hint="eastAsia" w:ascii="仿宋" w:hAnsi="仿宋" w:eastAsia="仿宋" w:cs="仿宋"/>
          <w:b w:val="0"/>
          <w:bCs w:val="0"/>
          <w:color w:val="auto"/>
          <w:kern w:val="0"/>
          <w:sz w:val="21"/>
          <w:szCs w:val="21"/>
          <w:highlight w:val="none"/>
          <w:lang w:val="en-US" w:eastAsia="zh-CN" w:bidi="ar"/>
        </w:rPr>
      </w:pPr>
    </w:p>
    <w:p w14:paraId="5FCF8627">
      <w:pPr>
        <w:rPr>
          <w:rFonts w:hint="eastAsia" w:ascii="仿宋" w:hAnsi="仿宋" w:eastAsia="仿宋" w:cs="仿宋"/>
          <w:b w:val="0"/>
          <w:bCs w:val="0"/>
          <w:color w:val="auto"/>
          <w:kern w:val="0"/>
          <w:sz w:val="21"/>
          <w:szCs w:val="21"/>
          <w:highlight w:val="none"/>
          <w:lang w:val="en-US" w:eastAsia="zh-CN" w:bidi="ar"/>
        </w:rPr>
      </w:pPr>
    </w:p>
    <w:p w14:paraId="1814BB76">
      <w:pPr>
        <w:rPr>
          <w:rFonts w:hint="eastAsia" w:ascii="仿宋" w:hAnsi="仿宋" w:eastAsia="仿宋" w:cs="仿宋"/>
          <w:b w:val="0"/>
          <w:bCs w:val="0"/>
          <w:color w:val="auto"/>
          <w:kern w:val="0"/>
          <w:sz w:val="21"/>
          <w:szCs w:val="21"/>
          <w:highlight w:val="none"/>
          <w:lang w:val="en-US" w:eastAsia="zh-CN" w:bidi="ar"/>
        </w:rPr>
      </w:pPr>
    </w:p>
    <w:p w14:paraId="6BAD7928">
      <w:pPr>
        <w:rPr>
          <w:rFonts w:hint="eastAsia" w:ascii="仿宋" w:hAnsi="仿宋" w:eastAsia="仿宋" w:cs="仿宋"/>
          <w:b w:val="0"/>
          <w:bCs w:val="0"/>
          <w:color w:val="auto"/>
          <w:kern w:val="0"/>
          <w:sz w:val="21"/>
          <w:szCs w:val="21"/>
          <w:highlight w:val="none"/>
          <w:lang w:val="en-US" w:eastAsia="zh-CN" w:bidi="ar"/>
        </w:rPr>
      </w:pPr>
    </w:p>
    <w:p w14:paraId="4DFD0084">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6E3DDD96">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7637773">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残疾人福利性单位声明函格式</w:t>
      </w:r>
    </w:p>
    <w:p w14:paraId="3DC428CB">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p>
    <w:p w14:paraId="381E8DF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14:paraId="0BA52A5D">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14:paraId="6938AF5C">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510250F6">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14:paraId="102CB7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B1E3A7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20C044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kern w:val="0"/>
          <w:sz w:val="24"/>
          <w:szCs w:val="24"/>
          <w:highlight w:val="none"/>
          <w:lang w:val="en-US" w:eastAsia="zh-CN" w:bidi="ar"/>
        </w:rPr>
        <w:t>）：</w:t>
      </w:r>
    </w:p>
    <w:p w14:paraId="6E2BFAB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14:paraId="77D2FE1C">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2CF888F">
      <w:pPr>
        <w:spacing w:line="360" w:lineRule="auto"/>
        <w:jc w:val="left"/>
        <w:outlineLvl w:val="3"/>
        <w:rPr>
          <w:rFonts w:hint="eastAsia" w:ascii="仿宋" w:hAnsi="仿宋" w:eastAsia="仿宋" w:cs="仿宋"/>
          <w:b/>
          <w:color w:val="auto"/>
          <w:szCs w:val="21"/>
          <w:highlight w:val="none"/>
          <w:u w:val="none"/>
          <w:lang w:val="en-US"/>
        </w:rPr>
      </w:pPr>
      <w:r>
        <w:rPr>
          <w:rStyle w:val="42"/>
          <w:rFonts w:hint="eastAsia" w:ascii="仿宋" w:hAnsi="仿宋" w:eastAsia="仿宋" w:cs="仿宋"/>
          <w:color w:val="auto"/>
          <w:sz w:val="28"/>
          <w:szCs w:val="28"/>
          <w:highlight w:val="none"/>
          <w:u w:val="none"/>
          <w:lang w:val="en-US" w:eastAsia="zh-CN"/>
        </w:rPr>
        <w:t>2-2</w:t>
      </w:r>
      <w:r>
        <w:rPr>
          <w:rStyle w:val="42"/>
          <w:rFonts w:hint="eastAsia" w:ascii="仿宋" w:hAnsi="仿宋" w:eastAsia="仿宋" w:cs="仿宋"/>
          <w:color w:val="auto"/>
          <w:sz w:val="28"/>
          <w:szCs w:val="28"/>
          <w:highlight w:val="none"/>
          <w:u w:val="none"/>
          <w:lang w:val="en-US"/>
        </w:rPr>
        <w:t>联合体协议</w:t>
      </w:r>
      <w:r>
        <w:rPr>
          <w:rStyle w:val="42"/>
          <w:rFonts w:hint="eastAsia" w:ascii="仿宋" w:hAnsi="仿宋" w:eastAsia="仿宋" w:cs="仿宋"/>
          <w:color w:val="auto"/>
          <w:sz w:val="28"/>
          <w:szCs w:val="28"/>
          <w:highlight w:val="none"/>
          <w:u w:val="none"/>
          <w:lang w:val="en-US" w:eastAsia="zh-CN"/>
        </w:rPr>
        <w:t>（本项目不需提供）</w:t>
      </w:r>
    </w:p>
    <w:p w14:paraId="0F2DD56F">
      <w:pPr>
        <w:spacing w:line="360" w:lineRule="auto"/>
        <w:jc w:val="center"/>
        <w:rPr>
          <w:rFonts w:hint="eastAsia" w:ascii="仿宋" w:hAnsi="仿宋" w:eastAsia="仿宋" w:cs="仿宋"/>
          <w:b/>
          <w:color w:val="auto"/>
          <w:sz w:val="24"/>
          <w:szCs w:val="21"/>
          <w:highlight w:val="none"/>
        </w:rPr>
      </w:pPr>
      <w:r>
        <w:rPr>
          <w:rFonts w:hint="eastAsia" w:ascii="仿宋" w:hAnsi="仿宋" w:eastAsia="仿宋" w:cs="仿宋"/>
          <w:b/>
          <w:color w:val="auto"/>
          <w:sz w:val="32"/>
          <w:szCs w:val="32"/>
          <w:highlight w:val="none"/>
        </w:rPr>
        <w:t>联合体协议</w:t>
      </w:r>
      <w:r>
        <w:rPr>
          <w:rFonts w:hint="eastAsia" w:ascii="仿宋" w:hAnsi="仿宋" w:eastAsia="仿宋" w:cs="仿宋"/>
          <w:b/>
          <w:color w:val="auto"/>
          <w:sz w:val="32"/>
          <w:szCs w:val="32"/>
          <w:highlight w:val="none"/>
          <w:lang w:eastAsia="zh-CN"/>
        </w:rPr>
        <w:t>（如有）</w:t>
      </w:r>
      <w:r>
        <w:rPr>
          <w:rFonts w:hint="eastAsia" w:ascii="仿宋" w:hAnsi="仿宋" w:eastAsia="仿宋" w:cs="仿宋"/>
          <w:b/>
          <w:bCs/>
          <w:color w:val="auto"/>
          <w:sz w:val="32"/>
          <w:szCs w:val="32"/>
          <w:highlight w:val="none"/>
        </w:rPr>
        <w:t xml:space="preserve"> </w:t>
      </w:r>
    </w:p>
    <w:p w14:paraId="04FFCD2C">
      <w:pPr>
        <w:adjustRightInd w:val="0"/>
        <w:snapToGrid w:val="0"/>
        <w:spacing w:before="156" w:beforeLines="5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采购代理机构）：</w:t>
      </w:r>
    </w:p>
    <w:p w14:paraId="30A6DEDB">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经研究，我们决定自愿组成联合体共同申请参加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val="en-US" w:eastAsia="zh-CN"/>
        </w:rPr>
        <w:t>项目编号</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标项（包）名称</w:t>
      </w:r>
      <w:r>
        <w:rPr>
          <w:rFonts w:hint="eastAsia" w:ascii="仿宋" w:hAnsi="仿宋" w:eastAsia="仿宋" w:cs="仿宋"/>
          <w:color w:val="auto"/>
          <w:sz w:val="21"/>
          <w:szCs w:val="21"/>
          <w:highlight w:val="none"/>
        </w:rPr>
        <w:t>）</w:t>
      </w:r>
      <w:r>
        <w:rPr>
          <w:rFonts w:hint="eastAsia" w:ascii="仿宋" w:hAnsi="仿宋" w:eastAsia="仿宋" w:cs="仿宋"/>
          <w:color w:val="auto"/>
          <w:szCs w:val="21"/>
          <w:highlight w:val="none"/>
        </w:rPr>
        <w:t>项目的</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。现就联合体事宜订立如下协议：</w:t>
      </w:r>
    </w:p>
    <w:p w14:paraId="0AF39658">
      <w:pPr>
        <w:adjustRightInd w:val="0"/>
        <w:snapToGrid w:val="0"/>
        <w:spacing w:before="156" w:beforeLines="50"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一、联合体基本信息：</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（各方公司名称、地址、注册资金、营业执照、法定代表人姓名）。</w:t>
      </w:r>
    </w:p>
    <w:p w14:paraId="1C618F76">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（某成员单位名称）为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（联合体名称）牵头人。</w:t>
      </w:r>
    </w:p>
    <w:p w14:paraId="4F44D276">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三、联合体牵头人合法代表联合体各成员负责本项目</w:t>
      </w:r>
      <w:r>
        <w:rPr>
          <w:rFonts w:hint="eastAsia" w:ascii="仿宋" w:hAnsi="仿宋" w:eastAsia="仿宋" w:cs="仿宋"/>
          <w:color w:val="auto"/>
          <w:highlight w:val="none"/>
          <w:lang w:val="en-US" w:eastAsia="zh-CN"/>
        </w:rPr>
        <w:t>响应文件</w:t>
      </w:r>
      <w:r>
        <w:rPr>
          <w:rFonts w:hint="eastAsia" w:ascii="仿宋" w:hAnsi="仿宋" w:eastAsia="仿宋" w:cs="仿宋"/>
          <w:color w:val="auto"/>
          <w:szCs w:val="21"/>
          <w:highlight w:val="none"/>
        </w:rPr>
        <w:t>编制活动，代表联合体提交和接收相关的资料、信息及指示，并处理与</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和</w:t>
      </w:r>
      <w:r>
        <w:rPr>
          <w:rFonts w:hint="eastAsia" w:ascii="仿宋" w:hAnsi="仿宋" w:eastAsia="仿宋" w:cs="仿宋"/>
          <w:color w:val="auto"/>
          <w:szCs w:val="21"/>
          <w:highlight w:val="none"/>
          <w:lang w:val="en-US" w:eastAsia="zh-CN"/>
        </w:rPr>
        <w:t>成交</w:t>
      </w:r>
      <w:r>
        <w:rPr>
          <w:rFonts w:hint="eastAsia" w:ascii="仿宋" w:hAnsi="仿宋" w:eastAsia="仿宋" w:cs="仿宋"/>
          <w:color w:val="auto"/>
          <w:szCs w:val="21"/>
          <w:highlight w:val="none"/>
        </w:rPr>
        <w:t>有关的一切事务；联合体成交后，联合体牵头人负责合同订立和合同实施阶段的主办、组织和协调工作。</w:t>
      </w:r>
    </w:p>
    <w:p w14:paraId="541C0934">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四．联合体将严格按照</w:t>
      </w:r>
      <w:r>
        <w:rPr>
          <w:rFonts w:hint="eastAsia" w:ascii="仿宋" w:hAnsi="仿宋" w:eastAsia="仿宋" w:cs="仿宋"/>
          <w:color w:val="auto"/>
          <w:szCs w:val="21"/>
          <w:highlight w:val="none"/>
          <w:lang w:val="en-US" w:eastAsia="zh-CN"/>
        </w:rPr>
        <w:t>投标文件</w:t>
      </w:r>
      <w:r>
        <w:rPr>
          <w:rFonts w:hint="eastAsia" w:ascii="仿宋" w:hAnsi="仿宋" w:eastAsia="仿宋" w:cs="仿宋"/>
          <w:color w:val="auto"/>
          <w:szCs w:val="21"/>
          <w:highlight w:val="none"/>
        </w:rPr>
        <w:t>的各项要求，递交</w:t>
      </w:r>
      <w:r>
        <w:rPr>
          <w:rFonts w:hint="eastAsia" w:ascii="仿宋" w:hAnsi="仿宋" w:eastAsia="仿宋" w:cs="仿宋"/>
          <w:color w:val="auto"/>
          <w:highlight w:val="none"/>
          <w:lang w:val="en-US" w:eastAsia="zh-CN"/>
        </w:rPr>
        <w:t>投标</w:t>
      </w:r>
      <w:r>
        <w:rPr>
          <w:rFonts w:hint="eastAsia" w:ascii="仿宋" w:hAnsi="仿宋" w:eastAsia="仿宋" w:cs="仿宋"/>
          <w:color w:val="auto"/>
          <w:szCs w:val="21"/>
          <w:highlight w:val="none"/>
        </w:rPr>
        <w:t>文件，参加</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，履行成交义务和成交后的合同，并向采购人承担连带责任。</w:t>
      </w:r>
    </w:p>
    <w:p w14:paraId="0ED872B2">
      <w:pPr>
        <w:adjustRightInd w:val="0"/>
        <w:snapToGrid w:val="0"/>
        <w:spacing w:before="156" w:beforeLines="50"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五、联合体各成员单位内部的职责分工如下：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。按照本条上述分工，联合体成员单位各自所承担的合同工作量比例如下：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62AC1DE">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六、本协议书自签署之日起生效，合同履行完毕后自动失效。</w:t>
      </w:r>
    </w:p>
    <w:p w14:paraId="1B0FE1FE">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七、本协议书一式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份，联合体成员和采购人各执一份。</w:t>
      </w:r>
      <w:r>
        <w:rPr>
          <w:rFonts w:hint="eastAsia" w:ascii="仿宋" w:hAnsi="仿宋" w:eastAsia="仿宋" w:cs="仿宋"/>
          <w:color w:val="auto"/>
          <w:szCs w:val="21"/>
          <w:highlight w:val="none"/>
        </w:rPr>
        <w:tab/>
      </w:r>
    </w:p>
    <w:p w14:paraId="2949B255">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牵头人名称（</w:t>
      </w:r>
      <w:r>
        <w:rPr>
          <w:rFonts w:hint="eastAsia" w:ascii="仿宋" w:hAnsi="仿宋" w:eastAsia="仿宋" w:cs="仿宋"/>
          <w:color w:val="auto"/>
          <w:szCs w:val="21"/>
          <w:highlight w:val="none"/>
          <w:lang w:val="en-US" w:eastAsia="zh-CN"/>
        </w:rPr>
        <w:t>加盖公章</w:t>
      </w:r>
      <w:r>
        <w:rPr>
          <w:rFonts w:hint="eastAsia" w:ascii="仿宋" w:hAnsi="仿宋" w:eastAsia="仿宋" w:cs="仿宋"/>
          <w:color w:val="auto"/>
          <w:szCs w:val="21"/>
          <w:highlight w:val="none"/>
        </w:rPr>
        <w:t>）：</w:t>
      </w:r>
    </w:p>
    <w:p w14:paraId="11A5AC19">
      <w:pPr>
        <w:keepNext w:val="0"/>
        <w:keepLines w:val="0"/>
        <w:widowControl/>
        <w:suppressLineNumbers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法定代表人或其授权代表（</w:t>
      </w:r>
      <w:r>
        <w:rPr>
          <w:rFonts w:hint="eastAsia" w:ascii="仿宋" w:hAnsi="仿宋" w:eastAsia="仿宋" w:cs="仿宋"/>
          <w:color w:val="auto"/>
          <w:szCs w:val="21"/>
          <w:highlight w:val="none"/>
          <w:lang w:val="en-US" w:eastAsia="zh-CN"/>
        </w:rPr>
        <w:t>签字或印鉴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14:paraId="622123A1">
      <w:pPr>
        <w:adjustRightInd w:val="0"/>
        <w:snapToGrid w:val="0"/>
        <w:spacing w:line="360" w:lineRule="auto"/>
        <w:ind w:firstLine="1785" w:firstLineChars="850"/>
        <w:rPr>
          <w:rFonts w:hint="eastAsia" w:ascii="仿宋" w:hAnsi="仿宋" w:eastAsia="仿宋" w:cs="仿宋"/>
          <w:color w:val="auto"/>
          <w:szCs w:val="21"/>
          <w:highlight w:val="none"/>
        </w:rPr>
      </w:pPr>
    </w:p>
    <w:p w14:paraId="62185224">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成员二名称（</w:t>
      </w:r>
      <w:r>
        <w:rPr>
          <w:rFonts w:hint="eastAsia" w:ascii="仿宋" w:hAnsi="仿宋" w:eastAsia="仿宋" w:cs="仿宋"/>
          <w:color w:val="auto"/>
          <w:szCs w:val="21"/>
          <w:highlight w:val="none"/>
          <w:lang w:val="en-US" w:eastAsia="zh-CN"/>
        </w:rPr>
        <w:t>加盖公章</w:t>
      </w:r>
      <w:r>
        <w:rPr>
          <w:rFonts w:hint="eastAsia" w:ascii="仿宋" w:hAnsi="仿宋" w:eastAsia="仿宋" w:cs="仿宋"/>
          <w:color w:val="auto"/>
          <w:szCs w:val="21"/>
          <w:highlight w:val="none"/>
        </w:rPr>
        <w:t>）：</w:t>
      </w:r>
    </w:p>
    <w:p w14:paraId="10EC406A">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法定代表人或其授权代表（</w:t>
      </w:r>
      <w:r>
        <w:rPr>
          <w:rFonts w:hint="eastAsia" w:ascii="仿宋" w:hAnsi="仿宋" w:eastAsia="仿宋" w:cs="仿宋"/>
          <w:color w:val="auto"/>
          <w:szCs w:val="21"/>
          <w:highlight w:val="none"/>
          <w:lang w:val="en-US" w:eastAsia="zh-CN"/>
        </w:rPr>
        <w:t>签字或印鉴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14:paraId="200CA206">
      <w:pPr>
        <w:spacing w:line="360" w:lineRule="auto"/>
        <w:rPr>
          <w:rFonts w:hint="eastAsia" w:ascii="仿宋" w:hAnsi="仿宋" w:eastAsia="仿宋" w:cs="仿宋"/>
          <w:color w:val="auto"/>
          <w:highlight w:val="none"/>
        </w:rPr>
      </w:pPr>
    </w:p>
    <w:p w14:paraId="49BF86F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  </w:t>
      </w:r>
    </w:p>
    <w:p w14:paraId="24DF653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备注：本协议书由授权代表签字的，应附法定代表人签字的授权委托书。</w:t>
      </w:r>
    </w:p>
    <w:p w14:paraId="5E894A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bCs/>
          <w:color w:val="auto"/>
          <w:kern w:val="0"/>
          <w:sz w:val="24"/>
          <w:szCs w:val="24"/>
          <w:highlight w:val="none"/>
          <w:lang w:val="en-US" w:eastAsia="zh-CN" w:bidi="ar"/>
        </w:rPr>
        <w:t>2-3 拟分包情况说明及分包意向协议 （本项目不需提供）</w:t>
      </w:r>
    </w:p>
    <w:p w14:paraId="0A8387D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7A8F7A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拟分包情况说明</w:t>
      </w:r>
    </w:p>
    <w:p w14:paraId="7E4084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6F76B11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0DD434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（填写标项(包)名称） </w:t>
      </w:r>
      <w:r>
        <w:rPr>
          <w:rFonts w:hint="eastAsia" w:ascii="仿宋" w:hAnsi="仿宋" w:eastAsia="仿宋" w:cs="仿宋"/>
          <w:color w:val="auto"/>
          <w:kern w:val="0"/>
          <w:sz w:val="24"/>
          <w:szCs w:val="24"/>
          <w:highlight w:val="none"/>
          <w:lang w:val="en-US" w:eastAsia="zh-CN" w:bidi="ar"/>
        </w:rPr>
        <w:t xml:space="preserve">的投标。拟签订分包合同的单位情况如下表所示，我单位承诺一旦在该项目中获得采购合同将按下表所列情况进行分包，同时承诺分包承担主体不再次分包。 </w:t>
      </w:r>
    </w:p>
    <w:tbl>
      <w:tblPr>
        <w:tblStyle w:val="2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94"/>
        <w:gridCol w:w="1394"/>
        <w:gridCol w:w="794"/>
        <w:gridCol w:w="1165"/>
        <w:gridCol w:w="1482"/>
        <w:gridCol w:w="1359"/>
        <w:gridCol w:w="1359"/>
      </w:tblGrid>
      <w:tr w14:paraId="6932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7C7EEFB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序号</w:t>
            </w:r>
          </w:p>
        </w:tc>
        <w:tc>
          <w:tcPr>
            <w:tcW w:w="1094" w:type="dxa"/>
            <w:vAlign w:val="center"/>
          </w:tcPr>
          <w:p w14:paraId="5EB0CFC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分包承担</w:t>
            </w:r>
          </w:p>
          <w:p w14:paraId="287BDD5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主体名称</w:t>
            </w:r>
          </w:p>
        </w:tc>
        <w:tc>
          <w:tcPr>
            <w:tcW w:w="1394" w:type="dxa"/>
            <w:vAlign w:val="center"/>
          </w:tcPr>
          <w:p w14:paraId="58CC7A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分包承担</w:t>
            </w:r>
          </w:p>
          <w:p w14:paraId="1C3204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主体类型</w:t>
            </w:r>
          </w:p>
          <w:p w14:paraId="41B9C8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（勾选）</w:t>
            </w:r>
          </w:p>
        </w:tc>
        <w:tc>
          <w:tcPr>
            <w:tcW w:w="794" w:type="dxa"/>
            <w:vAlign w:val="center"/>
          </w:tcPr>
          <w:p w14:paraId="53B14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资质等级</w:t>
            </w:r>
          </w:p>
        </w:tc>
        <w:tc>
          <w:tcPr>
            <w:tcW w:w="1165" w:type="dxa"/>
            <w:vAlign w:val="center"/>
          </w:tcPr>
          <w:p w14:paraId="6A0E76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200C6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合同内容</w:t>
            </w:r>
          </w:p>
        </w:tc>
        <w:tc>
          <w:tcPr>
            <w:tcW w:w="1482" w:type="dxa"/>
            <w:vAlign w:val="center"/>
          </w:tcPr>
          <w:p w14:paraId="2E4CFD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3B7E1A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合同金额</w:t>
            </w:r>
          </w:p>
          <w:p w14:paraId="3F1F2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（人民币元）</w:t>
            </w:r>
          </w:p>
        </w:tc>
        <w:tc>
          <w:tcPr>
            <w:tcW w:w="1359" w:type="dxa"/>
            <w:vAlign w:val="center"/>
          </w:tcPr>
          <w:p w14:paraId="013513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合同总金额的</w:t>
            </w:r>
            <w:r>
              <w:rPr>
                <w:rFonts w:hint="eastAsia" w:ascii="仿宋" w:hAnsi="仿宋" w:eastAsia="仿宋" w:cs="仿宋"/>
                <w:color w:val="auto"/>
                <w:kern w:val="0"/>
                <w:sz w:val="21"/>
                <w:szCs w:val="21"/>
                <w:highlight w:val="none"/>
                <w:lang w:val="en-US" w:eastAsia="zh-CN" w:bidi="ar"/>
              </w:rPr>
              <w:t>比例（%）</w:t>
            </w:r>
          </w:p>
        </w:tc>
        <w:tc>
          <w:tcPr>
            <w:tcW w:w="1359" w:type="dxa"/>
            <w:vAlign w:val="center"/>
          </w:tcPr>
          <w:p w14:paraId="0B55852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预算金额的</w:t>
            </w:r>
            <w:r>
              <w:rPr>
                <w:rFonts w:hint="eastAsia" w:ascii="仿宋" w:hAnsi="仿宋" w:eastAsia="仿宋" w:cs="仿宋"/>
                <w:color w:val="auto"/>
                <w:kern w:val="0"/>
                <w:sz w:val="21"/>
                <w:szCs w:val="21"/>
                <w:highlight w:val="none"/>
                <w:lang w:val="en-US" w:eastAsia="zh-CN" w:bidi="ar"/>
              </w:rPr>
              <w:t>比例（%）</w:t>
            </w:r>
          </w:p>
        </w:tc>
      </w:tr>
      <w:tr w14:paraId="28EF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70E68A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094" w:type="dxa"/>
            <w:vAlign w:val="center"/>
          </w:tcPr>
          <w:p w14:paraId="685C22D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3F0A4F73">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2358B054">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794" w:type="dxa"/>
            <w:vAlign w:val="center"/>
          </w:tcPr>
          <w:p w14:paraId="49A3D78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04CDF67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48BE941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559F269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538A898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A82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6130F95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094" w:type="dxa"/>
            <w:vAlign w:val="center"/>
          </w:tcPr>
          <w:p w14:paraId="72D1B6C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582872C3">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629C1083">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794" w:type="dxa"/>
            <w:vAlign w:val="center"/>
          </w:tcPr>
          <w:p w14:paraId="4206653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5525C13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76AD41B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1C94A43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68A827A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72B0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73" w:type="dxa"/>
            <w:vAlign w:val="center"/>
          </w:tcPr>
          <w:p w14:paraId="0540A7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094" w:type="dxa"/>
            <w:vAlign w:val="center"/>
          </w:tcPr>
          <w:p w14:paraId="5EDBC40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0C372DA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794" w:type="dxa"/>
            <w:vAlign w:val="center"/>
          </w:tcPr>
          <w:p w14:paraId="4856E86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662F1AB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79CB20C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3A38794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7D4A64B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6C32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3F1A8A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中型企业合计</w:t>
            </w:r>
          </w:p>
        </w:tc>
        <w:tc>
          <w:tcPr>
            <w:tcW w:w="1482" w:type="dxa"/>
            <w:vAlign w:val="center"/>
          </w:tcPr>
          <w:p w14:paraId="34FDC5C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51E86DC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3D6FE56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9F7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6BEDB63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小微企业合计</w:t>
            </w:r>
          </w:p>
        </w:tc>
        <w:tc>
          <w:tcPr>
            <w:tcW w:w="1482" w:type="dxa"/>
            <w:vAlign w:val="center"/>
          </w:tcPr>
          <w:p w14:paraId="3A062B9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1341CD1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2D68E78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1A77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655001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中小微企业总计</w:t>
            </w:r>
          </w:p>
        </w:tc>
        <w:tc>
          <w:tcPr>
            <w:tcW w:w="1482" w:type="dxa"/>
            <w:vAlign w:val="center"/>
          </w:tcPr>
          <w:p w14:paraId="52A3D6A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27CCBD5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3592E99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200D48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u w:val="single"/>
          <w:lang w:val="en-US"/>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p>
    <w:p w14:paraId="00BB17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060AED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6D8BFDC6">
      <w:pPr>
        <w:keepNext w:val="0"/>
        <w:keepLines w:val="0"/>
        <w:pageBreakBefore w:val="0"/>
        <w:widowControl/>
        <w:numPr>
          <w:ilvl w:val="0"/>
          <w:numId w:val="13"/>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14:paraId="26BBFEE5">
      <w:pPr>
        <w:keepNext w:val="0"/>
        <w:keepLines w:val="0"/>
        <w:pageBreakBefore w:val="0"/>
        <w:widowControl/>
        <w:numPr>
          <w:ilvl w:val="0"/>
          <w:numId w:val="13"/>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如本招标文件《投标须知前附表》载明本项目分包承担主体应具备的相应资质条件，则投标人须在本表中列明分包承担主体的资质等级，并后附资质证书扫描件加盖投标人公章，否则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14:paraId="5F72B3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14:paraId="61ED63D4">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32AB6D33">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14:paraId="2D3D2BDA">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6AC1C3E2">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D5C798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14:paraId="39ADB66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EED2C5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（采购项目名称）、</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（标项(包)名称）</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14:paraId="6914AF9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35" w:name="_Toc22054"/>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35"/>
      <w:r>
        <w:rPr>
          <w:rFonts w:hint="eastAsia" w:ascii="仿宋" w:hAnsi="仿宋" w:eastAsia="仿宋" w:cs="仿宋"/>
          <w:color w:val="auto"/>
          <w:kern w:val="0"/>
          <w:sz w:val="24"/>
          <w:szCs w:val="24"/>
          <w:highlight w:val="none"/>
          <w:lang w:val="en-US" w:eastAsia="zh-CN" w:bidi="ar"/>
        </w:rPr>
        <w:t xml:space="preserve"> </w:t>
      </w:r>
    </w:p>
    <w:p w14:paraId="19C85A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%，该金额占该采购包合同总金额的比例为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48944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14:paraId="05ECFE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14:paraId="767E7E6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BA8CE6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4B2DA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6E0F63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9E4824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说明：本协议仅在投标人“为落实政府采购政策”而向中小企业分包时必须提供， </w:t>
      </w:r>
    </w:p>
    <w:p w14:paraId="5EB6BFA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否则投标无效；且投标人须与所有拟分包单位分别签订《分包意向协议》，每单 </w:t>
      </w:r>
    </w:p>
    <w:p w14:paraId="05C653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位签订一份，并在投标文件中提交全部协议原件的电子件，否则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w:t>
      </w:r>
    </w:p>
    <w:p w14:paraId="6CD504F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p>
    <w:p w14:paraId="2E3F6C06">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1EAEAAC">
      <w:pPr>
        <w:keepNext w:val="0"/>
        <w:keepLines w:val="0"/>
        <w:widowControl/>
        <w:suppressLineNumbers w:val="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2-4 其它落实政府采购政策的资格要求（如有）</w:t>
      </w:r>
    </w:p>
    <w:p w14:paraId="4F7424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43779E1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51EF31B0">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360621F">
      <w:pPr>
        <w:keepNext w:val="0"/>
        <w:keepLines w:val="0"/>
        <w:widowControl/>
        <w:suppressLineNumbers w:val="0"/>
        <w:jc w:val="left"/>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3、本项目的特定资格要求（如有） </w:t>
      </w:r>
    </w:p>
    <w:p w14:paraId="002F51B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EF236A0">
      <w:pP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特定资格要求</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证明文件</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加盖本单位公章</w:t>
      </w:r>
      <w:r>
        <w:rPr>
          <w:rFonts w:hint="eastAsia" w:ascii="仿宋" w:hAnsi="仿宋" w:eastAsia="仿宋" w:cs="仿宋"/>
          <w:color w:val="auto"/>
          <w:kern w:val="0"/>
          <w:sz w:val="24"/>
          <w:szCs w:val="24"/>
          <w:highlight w:val="none"/>
          <w:lang w:val="en-US" w:eastAsia="zh-CN" w:bidi="ar"/>
        </w:rPr>
        <w:br w:type="page"/>
      </w:r>
    </w:p>
    <w:p w14:paraId="0826A4DA">
      <w:pPr>
        <w:numPr>
          <w:ilvl w:val="0"/>
          <w:numId w:val="0"/>
        </w:numPr>
        <w:ind w:leftChars="0"/>
        <w:outlineLvl w:val="2"/>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4、其他资格要求</w:t>
      </w:r>
    </w:p>
    <w:p w14:paraId="1814F683">
      <w:pPr>
        <w:numPr>
          <w:ilvl w:val="0"/>
          <w:numId w:val="0"/>
        </w:numPr>
        <w:ind w:leftChars="0" w:firstLine="240" w:firstLineChars="100"/>
        <w:outlineLvl w:val="9"/>
        <w:rPr>
          <w:rFonts w:hint="default"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详见投标须知前附表1.3.3</w:t>
      </w:r>
    </w:p>
    <w:p w14:paraId="4A23699B">
      <w:pPr>
        <w:rPr>
          <w:rFonts w:hint="eastAsia" w:ascii="仿宋" w:hAnsi="仿宋" w:eastAsia="仿宋" w:cs="仿宋"/>
          <w:b w:val="0"/>
          <w:bCs w:val="0"/>
          <w:color w:val="auto"/>
          <w:kern w:val="0"/>
          <w:sz w:val="24"/>
          <w:szCs w:val="24"/>
          <w:highlight w:val="none"/>
          <w:lang w:val="en-US" w:eastAsia="zh-CN" w:bidi="ar"/>
        </w:rPr>
      </w:pPr>
    </w:p>
    <w:p w14:paraId="15EAE0D9">
      <w:pP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br w:type="page"/>
      </w:r>
    </w:p>
    <w:p w14:paraId="2643F93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1"/>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二、报价文件</w:t>
      </w:r>
    </w:p>
    <w:p w14:paraId="4EC9BB8C">
      <w:pPr>
        <w:outlineLvl w:val="2"/>
        <w:rPr>
          <w:rFonts w:hint="eastAsia" w:ascii="仿宋" w:hAnsi="仿宋" w:eastAsia="仿宋" w:cs="仿宋"/>
          <w:b/>
          <w:bCs/>
          <w:color w:val="auto"/>
          <w:sz w:val="24"/>
          <w:szCs w:val="24"/>
          <w:highlight w:val="none"/>
          <w:lang w:val="en-US" w:eastAsia="zh-CN"/>
        </w:rPr>
      </w:pPr>
      <w:bookmarkStart w:id="36" w:name="_Toc6076"/>
      <w:r>
        <w:rPr>
          <w:rFonts w:hint="eastAsia" w:ascii="仿宋" w:hAnsi="仿宋" w:eastAsia="仿宋" w:cs="仿宋"/>
          <w:b/>
          <w:bCs/>
          <w:color w:val="auto"/>
          <w:sz w:val="24"/>
          <w:szCs w:val="24"/>
          <w:highlight w:val="none"/>
          <w:lang w:val="en-US" w:eastAsia="zh-CN"/>
        </w:rPr>
        <w:t>5、开标一览表</w:t>
      </w:r>
    </w:p>
    <w:p w14:paraId="20A51DBE">
      <w:pPr>
        <w:rPr>
          <w:rFonts w:hint="eastAsia" w:ascii="仿宋" w:hAnsi="仿宋" w:eastAsia="仿宋" w:cs="仿宋"/>
          <w:color w:val="auto"/>
          <w:highlight w:val="none"/>
          <w:lang w:val="en-US" w:eastAsia="zh-CN"/>
        </w:rPr>
      </w:pPr>
    </w:p>
    <w:p w14:paraId="07E29167">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开标一览表</w:t>
      </w:r>
    </w:p>
    <w:p w14:paraId="616E5110">
      <w:pPr>
        <w:rPr>
          <w:rFonts w:hint="eastAsia" w:ascii="仿宋" w:hAnsi="仿宋" w:eastAsia="仿宋" w:cs="仿宋"/>
          <w:color w:val="auto"/>
          <w:highlight w:val="none"/>
          <w:lang w:val="en-US" w:eastAsia="zh-CN"/>
        </w:rPr>
      </w:pPr>
    </w:p>
    <w:p w14:paraId="2F27E965">
      <w:pPr>
        <w:rPr>
          <w:rFonts w:hint="eastAsia" w:ascii="仿宋" w:hAnsi="仿宋" w:eastAsia="仿宋" w:cs="仿宋"/>
          <w:color w:val="auto"/>
          <w:highlight w:val="none"/>
          <w:lang w:val="en-US" w:eastAsia="zh-CN"/>
        </w:rPr>
      </w:pPr>
    </w:p>
    <w:p w14:paraId="7D7738F8">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14:paraId="63174881">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报价单位：人民币元</w:t>
      </w:r>
    </w:p>
    <w:tbl>
      <w:tblPr>
        <w:tblStyle w:val="24"/>
        <w:tblpPr w:leftFromText="180" w:rightFromText="180" w:vertAnchor="text" w:horzAnchor="page" w:tblpX="1707" w:tblpY="344"/>
        <w:tblOverlap w:val="never"/>
        <w:tblW w:w="9075"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410"/>
        <w:gridCol w:w="6665"/>
      </w:tblGrid>
      <w:tr w14:paraId="4AA01B1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trPr>
        <w:tc>
          <w:tcPr>
            <w:tcW w:w="2410" w:type="dxa"/>
            <w:tcBorders>
              <w:bottom w:val="single" w:color="000000" w:sz="6" w:space="0"/>
              <w:right w:val="single" w:color="000000" w:sz="6" w:space="0"/>
            </w:tcBorders>
            <w:vAlign w:val="top"/>
          </w:tcPr>
          <w:p w14:paraId="54473419">
            <w:pPr>
              <w:pStyle w:val="35"/>
              <w:spacing w:before="142"/>
              <w:ind w:left="92"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总价</w:t>
            </w:r>
            <w:r>
              <w:rPr>
                <w:rFonts w:hint="eastAsia" w:ascii="仿宋" w:hAnsi="仿宋" w:eastAsia="仿宋" w:cs="仿宋"/>
                <w:color w:val="auto"/>
                <w:sz w:val="21"/>
                <w:szCs w:val="21"/>
                <w:highlight w:val="none"/>
                <w:vertAlign w:val="baseline"/>
                <w:lang w:val="en-US" w:eastAsia="zh-CN"/>
              </w:rPr>
              <w:t>（单价合计）</w:t>
            </w:r>
            <w:r>
              <w:rPr>
                <w:rFonts w:hint="eastAsia" w:ascii="仿宋" w:hAnsi="仿宋" w:eastAsia="仿宋" w:cs="仿宋"/>
                <w:color w:val="auto"/>
                <w:sz w:val="21"/>
                <w:szCs w:val="21"/>
                <w:highlight w:val="none"/>
              </w:rPr>
              <w:t>：</w:t>
            </w:r>
          </w:p>
        </w:tc>
        <w:tc>
          <w:tcPr>
            <w:tcW w:w="6665" w:type="dxa"/>
            <w:tcBorders>
              <w:left w:val="single" w:color="000000" w:sz="6" w:space="0"/>
              <w:bottom w:val="single" w:color="000000" w:sz="6" w:space="0"/>
            </w:tcBorders>
            <w:vAlign w:val="top"/>
          </w:tcPr>
          <w:p w14:paraId="735490D3">
            <w:pPr>
              <w:pStyle w:val="35"/>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大写</w:t>
            </w:r>
            <w:r>
              <w:rPr>
                <w:rFonts w:hint="eastAsia" w:ascii="仿宋" w:hAnsi="仿宋" w:eastAsia="仿宋" w:cs="仿宋"/>
                <w:color w:val="auto"/>
                <w:spacing w:val="-3"/>
                <w:sz w:val="21"/>
                <w:szCs w:val="21"/>
                <w:highlight w:val="none"/>
              </w:rPr>
              <w:t>：</w:t>
            </w:r>
            <w:r>
              <w:rPr>
                <w:rFonts w:hint="eastAsia" w:ascii="仿宋" w:hAnsi="仿宋" w:eastAsia="仿宋" w:cs="仿宋"/>
                <w:color w:val="auto"/>
                <w:spacing w:val="-3"/>
                <w:sz w:val="21"/>
                <w:szCs w:val="21"/>
                <w:highlight w:val="none"/>
                <w:u w:val="single"/>
              </w:rPr>
              <w:t xml:space="preserve"> </w:t>
            </w:r>
            <w:r>
              <w:rPr>
                <w:rFonts w:hint="eastAsia" w:ascii="仿宋" w:hAnsi="仿宋" w:eastAsia="仿宋" w:cs="仿宋"/>
                <w:color w:val="auto"/>
                <w:spacing w:val="-3"/>
                <w:sz w:val="21"/>
                <w:szCs w:val="21"/>
                <w:highlight w:val="none"/>
                <w:u w:val="single"/>
              </w:rPr>
              <w:tab/>
            </w:r>
            <w:r>
              <w:rPr>
                <w:rFonts w:hint="eastAsia" w:ascii="仿宋" w:hAnsi="仿宋" w:eastAsia="仿宋" w:cs="仿宋"/>
                <w:color w:val="auto"/>
                <w:spacing w:val="-3"/>
                <w:sz w:val="21"/>
                <w:szCs w:val="21"/>
                <w:highlight w:val="none"/>
              </w:rPr>
              <w:tab/>
            </w:r>
            <w:r>
              <w:rPr>
                <w:rFonts w:hint="eastAsia" w:ascii="仿宋" w:hAnsi="仿宋" w:eastAsia="仿宋" w:cs="仿宋"/>
                <w:color w:val="auto"/>
                <w:spacing w:val="-3"/>
                <w:sz w:val="21"/>
                <w:szCs w:val="21"/>
                <w:highlight w:val="none"/>
              </w:rPr>
              <w:t>小</w:t>
            </w:r>
            <w:r>
              <w:rPr>
                <w:rFonts w:hint="eastAsia" w:ascii="仿宋" w:hAnsi="仿宋" w:eastAsia="仿宋" w:cs="仿宋"/>
                <w:color w:val="auto"/>
                <w:spacing w:val="-1"/>
                <w:sz w:val="21"/>
                <w:szCs w:val="21"/>
                <w:highlight w:val="none"/>
              </w:rPr>
              <w:t>写</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none"/>
                <w:lang w:val="en-US" w:eastAsia="zh-CN"/>
              </w:rPr>
              <w:t>元</w:t>
            </w:r>
          </w:p>
        </w:tc>
      </w:tr>
      <w:tr w14:paraId="73862A4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410" w:type="dxa"/>
            <w:tcBorders>
              <w:top w:val="single" w:color="000000" w:sz="6" w:space="0"/>
              <w:bottom w:val="single" w:color="000000" w:sz="6" w:space="0"/>
              <w:right w:val="single" w:color="000000" w:sz="6" w:space="0"/>
            </w:tcBorders>
            <w:vAlign w:val="top"/>
          </w:tcPr>
          <w:p w14:paraId="2CE738EA">
            <w:pPr>
              <w:pStyle w:val="35"/>
              <w:spacing w:before="142"/>
              <w:ind w:left="92" w:left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合同履行期限</w:t>
            </w:r>
          </w:p>
        </w:tc>
        <w:tc>
          <w:tcPr>
            <w:tcW w:w="6665" w:type="dxa"/>
            <w:tcBorders>
              <w:top w:val="single" w:color="000000" w:sz="6" w:space="0"/>
              <w:left w:val="single" w:color="000000" w:sz="6" w:space="0"/>
              <w:bottom w:val="single" w:color="000000" w:sz="6" w:space="0"/>
            </w:tcBorders>
            <w:vAlign w:val="top"/>
          </w:tcPr>
          <w:p w14:paraId="08F56AE6">
            <w:pPr>
              <w:pStyle w:val="35"/>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p>
        </w:tc>
      </w:tr>
      <w:tr w14:paraId="6B4FEDF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410" w:type="dxa"/>
            <w:tcBorders>
              <w:top w:val="single" w:color="000000" w:sz="6" w:space="0"/>
              <w:bottom w:val="single" w:color="000000" w:sz="6" w:space="0"/>
              <w:right w:val="single" w:color="000000" w:sz="6" w:space="0"/>
            </w:tcBorders>
            <w:vAlign w:val="top"/>
          </w:tcPr>
          <w:p w14:paraId="446697A9">
            <w:pPr>
              <w:pStyle w:val="35"/>
              <w:spacing w:before="142"/>
              <w:ind w:left="92" w:left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交货（服务）地点</w:t>
            </w:r>
          </w:p>
        </w:tc>
        <w:tc>
          <w:tcPr>
            <w:tcW w:w="6665" w:type="dxa"/>
            <w:tcBorders>
              <w:top w:val="single" w:color="000000" w:sz="6" w:space="0"/>
              <w:left w:val="single" w:color="000000" w:sz="6" w:space="0"/>
              <w:bottom w:val="single" w:color="000000" w:sz="6" w:space="0"/>
            </w:tcBorders>
            <w:vAlign w:val="top"/>
          </w:tcPr>
          <w:p w14:paraId="72AE340E">
            <w:pPr>
              <w:pStyle w:val="35"/>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p>
        </w:tc>
      </w:tr>
      <w:tr w14:paraId="04C91D0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410" w:type="dxa"/>
            <w:tcBorders>
              <w:top w:val="single" w:color="000000" w:sz="6" w:space="0"/>
              <w:right w:val="single" w:color="000000" w:sz="6" w:space="0"/>
            </w:tcBorders>
          </w:tcPr>
          <w:p w14:paraId="7BC56CDF">
            <w:pPr>
              <w:pStyle w:val="35"/>
              <w:spacing w:before="142"/>
              <w:ind w:left="92"/>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c>
          <w:tcPr>
            <w:tcW w:w="6665" w:type="dxa"/>
            <w:tcBorders>
              <w:top w:val="single" w:color="000000" w:sz="6" w:space="0"/>
              <w:left w:val="single" w:color="000000" w:sz="6" w:space="0"/>
            </w:tcBorders>
          </w:tcPr>
          <w:p w14:paraId="77B5F3E5">
            <w:pPr>
              <w:pStyle w:val="35"/>
              <w:tabs>
                <w:tab w:val="left" w:pos="1837"/>
                <w:tab w:val="left" w:pos="2313"/>
                <w:tab w:val="left" w:pos="4040"/>
              </w:tabs>
              <w:spacing w:before="142"/>
              <w:ind w:left="107"/>
              <w:rPr>
                <w:rFonts w:hint="eastAsia" w:ascii="仿宋" w:hAnsi="仿宋" w:eastAsia="仿宋" w:cs="仿宋"/>
                <w:color w:val="auto"/>
                <w:sz w:val="21"/>
                <w:szCs w:val="21"/>
                <w:highlight w:val="none"/>
              </w:rPr>
            </w:pPr>
          </w:p>
        </w:tc>
      </w:tr>
    </w:tbl>
    <w:p w14:paraId="6623E87D">
      <w:pPr>
        <w:pStyle w:val="11"/>
        <w:rPr>
          <w:rFonts w:hint="eastAsia" w:ascii="仿宋" w:hAnsi="仿宋" w:eastAsia="仿宋" w:cs="仿宋"/>
          <w:color w:val="auto"/>
          <w:highlight w:val="none"/>
          <w:lang w:val="en-US" w:eastAsia="zh-CN"/>
        </w:rPr>
      </w:pPr>
    </w:p>
    <w:p w14:paraId="32939E0A">
      <w:pPr>
        <w:pStyle w:val="1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注：1.此表中，每包的投标报价应和《投标报价明细表》中的总价相一致。</w:t>
      </w:r>
      <w:bookmarkStart w:id="37" w:name="_Toc31128"/>
    </w:p>
    <w:p w14:paraId="07ECB7D6">
      <w:pPr>
        <w:pStyle w:val="1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2.本表必须按包分别填写。</w:t>
      </w:r>
      <w:bookmarkEnd w:id="37"/>
    </w:p>
    <w:p w14:paraId="70C90636">
      <w:pPr>
        <w:pStyle w:val="11"/>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3.投标总价为每个标项货物投标单价的总和。</w:t>
      </w:r>
    </w:p>
    <w:p w14:paraId="14ABD2C5">
      <w:pPr>
        <w:pStyle w:val="11"/>
        <w:rPr>
          <w:rFonts w:hint="eastAsia" w:ascii="仿宋" w:hAnsi="仿宋" w:eastAsia="仿宋" w:cs="仿宋"/>
          <w:color w:val="auto"/>
          <w:highlight w:val="none"/>
          <w:lang w:val="en-US" w:eastAsia="zh-CN"/>
        </w:rPr>
      </w:pPr>
    </w:p>
    <w:p w14:paraId="1919CBE5">
      <w:pPr>
        <w:pStyle w:val="11"/>
        <w:rPr>
          <w:rFonts w:hint="eastAsia" w:ascii="仿宋" w:hAnsi="仿宋" w:eastAsia="仿宋" w:cs="仿宋"/>
          <w:color w:val="auto"/>
          <w:highlight w:val="none"/>
          <w:lang w:val="en-US" w:eastAsia="zh-CN"/>
        </w:rPr>
      </w:pPr>
    </w:p>
    <w:p w14:paraId="1FDE5056">
      <w:pPr>
        <w:pStyle w:val="1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p>
    <w:p w14:paraId="13D76BEF">
      <w:pPr>
        <w:pStyle w:val="1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w:t>
      </w:r>
    </w:p>
    <w:p w14:paraId="2889C5F4">
      <w:pPr>
        <w:pStyle w:val="12"/>
        <w:rPr>
          <w:rFonts w:hint="eastAsia" w:ascii="仿宋" w:hAnsi="仿宋" w:eastAsia="仿宋" w:cs="仿宋"/>
          <w:color w:val="auto"/>
          <w:highlight w:val="none"/>
          <w:lang w:val="en-US" w:eastAsia="zh-CN"/>
        </w:rPr>
      </w:pPr>
    </w:p>
    <w:p w14:paraId="12703CF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47C97E2E">
      <w:pPr>
        <w:pStyle w:val="23"/>
        <w:ind w:left="0" w:leftChars="0" w:firstLine="0" w:firstLineChars="0"/>
        <w:outlineLvl w:val="2"/>
        <w:rPr>
          <w:rFonts w:hint="eastAsia" w:ascii="仿宋" w:hAnsi="仿宋" w:eastAsia="仿宋" w:cs="仿宋"/>
          <w:b/>
          <w:bCs/>
          <w:color w:val="auto"/>
          <w:sz w:val="24"/>
          <w:szCs w:val="24"/>
          <w:highlight w:val="none"/>
          <w:lang w:val="en-US" w:eastAsia="zh-CN"/>
        </w:rPr>
      </w:pPr>
      <w:bookmarkStart w:id="38" w:name="_Toc7007"/>
      <w:r>
        <w:rPr>
          <w:rFonts w:hint="eastAsia" w:ascii="仿宋" w:hAnsi="仿宋" w:eastAsia="仿宋" w:cs="仿宋"/>
          <w:b/>
          <w:bCs/>
          <w:color w:val="auto"/>
          <w:sz w:val="24"/>
          <w:szCs w:val="24"/>
          <w:highlight w:val="none"/>
          <w:lang w:val="en-US" w:eastAsia="zh-CN"/>
        </w:rPr>
        <w:t>6、投标报价明细表</w:t>
      </w:r>
      <w:bookmarkEnd w:id="38"/>
    </w:p>
    <w:p w14:paraId="30A15253">
      <w:pPr>
        <w:pStyle w:val="23"/>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投标报价明细表</w:t>
      </w:r>
    </w:p>
    <w:p w14:paraId="358D6A24">
      <w:pPr>
        <w:pStyle w:val="23"/>
        <w:ind w:left="0" w:leftChars="0" w:firstLine="0" w:firstLineChars="0"/>
        <w:jc w:val="center"/>
        <w:rPr>
          <w:rFonts w:hint="eastAsia" w:ascii="仿宋" w:hAnsi="仿宋" w:eastAsia="仿宋" w:cs="仿宋"/>
          <w:color w:val="auto"/>
          <w:highlight w:val="none"/>
          <w:lang w:val="en-US" w:eastAsia="zh-CN"/>
        </w:rPr>
      </w:pPr>
    </w:p>
    <w:p w14:paraId="47EE2C71">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14:paraId="50B9DC9E">
      <w:pPr>
        <w:rPr>
          <w:rFonts w:hint="eastAsia" w:ascii="仿宋" w:hAnsi="仿宋" w:eastAsia="仿宋" w:cs="仿宋"/>
          <w:color w:val="auto"/>
          <w:highlight w:val="none"/>
          <w:u w:val="none"/>
          <w:lang w:val="en-US" w:eastAsia="zh-CN"/>
        </w:rPr>
      </w:pPr>
    </w:p>
    <w:p w14:paraId="61A1D0D8">
      <w:pPr>
        <w:rPr>
          <w:rFonts w:hint="eastAsia"/>
          <w:color w:val="auto"/>
          <w:highlight w:val="non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报价单位：人民币元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13"/>
        <w:gridCol w:w="1285"/>
        <w:gridCol w:w="716"/>
        <w:gridCol w:w="800"/>
        <w:gridCol w:w="917"/>
        <w:gridCol w:w="967"/>
        <w:gridCol w:w="833"/>
        <w:gridCol w:w="948"/>
        <w:gridCol w:w="1156"/>
      </w:tblGrid>
      <w:tr w14:paraId="1C47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813ED57">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013" w:type="dxa"/>
            <w:vAlign w:val="center"/>
          </w:tcPr>
          <w:p w14:paraId="506D6763">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货物（或服务）名称</w:t>
            </w:r>
          </w:p>
        </w:tc>
        <w:tc>
          <w:tcPr>
            <w:tcW w:w="1285" w:type="dxa"/>
            <w:shd w:val="clear" w:color="auto" w:fill="auto"/>
            <w:vAlign w:val="center"/>
          </w:tcPr>
          <w:p w14:paraId="0417EBBA">
            <w:pPr>
              <w:pStyle w:val="11"/>
              <w:ind w:left="0" w:leftChars="0" w:firstLine="0" w:firstLineChars="0"/>
              <w:jc w:val="center"/>
              <w:rPr>
                <w:rFonts w:hint="eastAsia" w:ascii="仿宋" w:hAnsi="仿宋" w:eastAsia="仿宋" w:cs="仿宋"/>
                <w:color w:val="auto"/>
                <w:kern w:val="2"/>
                <w:sz w:val="21"/>
                <w:szCs w:val="21"/>
                <w:highlight w:val="none"/>
                <w:vertAlign w:val="baseline"/>
                <w:lang w:val="en-US" w:eastAsia="zh-CN" w:bidi="zh-CN"/>
              </w:rPr>
            </w:pPr>
            <w:r>
              <w:rPr>
                <w:rFonts w:hint="eastAsia" w:ascii="仿宋" w:hAnsi="仿宋" w:eastAsia="仿宋" w:cs="仿宋"/>
                <w:color w:val="auto"/>
                <w:sz w:val="21"/>
                <w:szCs w:val="21"/>
                <w:highlight w:val="none"/>
                <w:vertAlign w:val="baseline"/>
                <w:lang w:val="en-US" w:eastAsia="zh-CN"/>
              </w:rPr>
              <w:t>货物生产厂家（或服务承接方）</w:t>
            </w:r>
          </w:p>
        </w:tc>
        <w:tc>
          <w:tcPr>
            <w:tcW w:w="716" w:type="dxa"/>
            <w:shd w:val="clear" w:color="auto" w:fill="auto"/>
            <w:vAlign w:val="center"/>
          </w:tcPr>
          <w:p w14:paraId="0004234E">
            <w:pPr>
              <w:pStyle w:val="11"/>
              <w:ind w:left="0" w:leftChars="0" w:firstLine="0" w:firstLineChars="0"/>
              <w:jc w:val="center"/>
              <w:rPr>
                <w:rFonts w:hint="eastAsia" w:ascii="仿宋" w:hAnsi="仿宋" w:eastAsia="仿宋" w:cs="仿宋"/>
                <w:color w:val="auto"/>
                <w:kern w:val="2"/>
                <w:sz w:val="21"/>
                <w:szCs w:val="21"/>
                <w:highlight w:val="none"/>
                <w:vertAlign w:val="baseline"/>
                <w:lang w:val="en-US" w:eastAsia="zh-CN" w:bidi="zh-CN"/>
              </w:rPr>
            </w:pPr>
            <w:r>
              <w:rPr>
                <w:rFonts w:hint="eastAsia" w:ascii="仿宋" w:hAnsi="仿宋" w:eastAsia="仿宋" w:cs="仿宋"/>
                <w:color w:val="auto"/>
                <w:sz w:val="21"/>
                <w:szCs w:val="21"/>
                <w:highlight w:val="none"/>
                <w:vertAlign w:val="baseline"/>
                <w:lang w:val="en-US" w:eastAsia="zh-CN"/>
              </w:rPr>
              <w:t>品牌</w:t>
            </w:r>
          </w:p>
        </w:tc>
        <w:tc>
          <w:tcPr>
            <w:tcW w:w="800" w:type="dxa"/>
            <w:vAlign w:val="center"/>
          </w:tcPr>
          <w:p w14:paraId="3BD14C32">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型号</w:t>
            </w:r>
          </w:p>
        </w:tc>
        <w:tc>
          <w:tcPr>
            <w:tcW w:w="917" w:type="dxa"/>
            <w:vAlign w:val="center"/>
          </w:tcPr>
          <w:p w14:paraId="4F9BE13A">
            <w:pPr>
              <w:pStyle w:val="11"/>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规格</w:t>
            </w:r>
          </w:p>
        </w:tc>
        <w:tc>
          <w:tcPr>
            <w:tcW w:w="967" w:type="dxa"/>
            <w:vAlign w:val="center"/>
          </w:tcPr>
          <w:p w14:paraId="318FA9C9">
            <w:pPr>
              <w:pStyle w:val="11"/>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单位</w:t>
            </w:r>
          </w:p>
        </w:tc>
        <w:tc>
          <w:tcPr>
            <w:tcW w:w="833" w:type="dxa"/>
            <w:vAlign w:val="center"/>
          </w:tcPr>
          <w:p w14:paraId="161142C1">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数量</w:t>
            </w:r>
          </w:p>
        </w:tc>
        <w:tc>
          <w:tcPr>
            <w:tcW w:w="948" w:type="dxa"/>
            <w:vAlign w:val="center"/>
          </w:tcPr>
          <w:p w14:paraId="27663CC7">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1156" w:type="dxa"/>
            <w:vAlign w:val="center"/>
          </w:tcPr>
          <w:p w14:paraId="12421A08">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155F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D54ADFC">
            <w:pPr>
              <w:pStyle w:val="11"/>
              <w:jc w:val="center"/>
              <w:rPr>
                <w:rFonts w:hint="eastAsia" w:ascii="仿宋" w:hAnsi="仿宋" w:eastAsia="仿宋" w:cs="仿宋"/>
                <w:color w:val="auto"/>
                <w:sz w:val="21"/>
                <w:szCs w:val="21"/>
                <w:highlight w:val="none"/>
                <w:vertAlign w:val="baseline"/>
                <w:lang w:val="en-US" w:eastAsia="zh-CN"/>
              </w:rPr>
            </w:pPr>
          </w:p>
        </w:tc>
        <w:tc>
          <w:tcPr>
            <w:tcW w:w="1013" w:type="dxa"/>
            <w:vAlign w:val="center"/>
          </w:tcPr>
          <w:p w14:paraId="63754116">
            <w:pPr>
              <w:pStyle w:val="11"/>
              <w:jc w:val="center"/>
              <w:rPr>
                <w:rFonts w:hint="eastAsia" w:ascii="仿宋" w:hAnsi="仿宋" w:eastAsia="仿宋" w:cs="仿宋"/>
                <w:color w:val="auto"/>
                <w:sz w:val="21"/>
                <w:szCs w:val="21"/>
                <w:highlight w:val="none"/>
                <w:vertAlign w:val="baseline"/>
                <w:lang w:val="en-US" w:eastAsia="zh-CN"/>
              </w:rPr>
            </w:pPr>
          </w:p>
        </w:tc>
        <w:tc>
          <w:tcPr>
            <w:tcW w:w="1285" w:type="dxa"/>
            <w:vAlign w:val="center"/>
          </w:tcPr>
          <w:p w14:paraId="773C1251">
            <w:pPr>
              <w:pStyle w:val="11"/>
              <w:jc w:val="center"/>
              <w:rPr>
                <w:rFonts w:hint="eastAsia" w:ascii="仿宋" w:hAnsi="仿宋" w:eastAsia="仿宋" w:cs="仿宋"/>
                <w:color w:val="auto"/>
                <w:sz w:val="21"/>
                <w:szCs w:val="21"/>
                <w:highlight w:val="none"/>
                <w:vertAlign w:val="baseline"/>
                <w:lang w:val="en-US" w:eastAsia="zh-CN"/>
              </w:rPr>
            </w:pPr>
          </w:p>
        </w:tc>
        <w:tc>
          <w:tcPr>
            <w:tcW w:w="716" w:type="dxa"/>
            <w:vAlign w:val="center"/>
          </w:tcPr>
          <w:p w14:paraId="628306F0">
            <w:pPr>
              <w:pStyle w:val="11"/>
              <w:jc w:val="center"/>
              <w:rPr>
                <w:rFonts w:hint="eastAsia" w:ascii="仿宋" w:hAnsi="仿宋" w:eastAsia="仿宋" w:cs="仿宋"/>
                <w:color w:val="auto"/>
                <w:sz w:val="21"/>
                <w:szCs w:val="21"/>
                <w:highlight w:val="none"/>
                <w:vertAlign w:val="baseline"/>
                <w:lang w:val="en-US" w:eastAsia="zh-CN"/>
              </w:rPr>
            </w:pPr>
          </w:p>
        </w:tc>
        <w:tc>
          <w:tcPr>
            <w:tcW w:w="800" w:type="dxa"/>
            <w:vAlign w:val="center"/>
          </w:tcPr>
          <w:p w14:paraId="4676265B">
            <w:pPr>
              <w:pStyle w:val="11"/>
              <w:jc w:val="center"/>
              <w:rPr>
                <w:rFonts w:hint="eastAsia" w:ascii="仿宋" w:hAnsi="仿宋" w:eastAsia="仿宋" w:cs="仿宋"/>
                <w:color w:val="auto"/>
                <w:sz w:val="21"/>
                <w:szCs w:val="21"/>
                <w:highlight w:val="none"/>
                <w:vertAlign w:val="baseline"/>
                <w:lang w:val="en-US" w:eastAsia="zh-CN"/>
              </w:rPr>
            </w:pPr>
          </w:p>
        </w:tc>
        <w:tc>
          <w:tcPr>
            <w:tcW w:w="917" w:type="dxa"/>
            <w:vAlign w:val="center"/>
          </w:tcPr>
          <w:p w14:paraId="22020AD2">
            <w:pPr>
              <w:pStyle w:val="11"/>
              <w:jc w:val="center"/>
              <w:rPr>
                <w:rFonts w:hint="eastAsia" w:ascii="仿宋" w:hAnsi="仿宋" w:eastAsia="仿宋" w:cs="仿宋"/>
                <w:color w:val="auto"/>
                <w:sz w:val="21"/>
                <w:szCs w:val="21"/>
                <w:highlight w:val="none"/>
                <w:vertAlign w:val="baseline"/>
                <w:lang w:val="en-US" w:eastAsia="zh-CN"/>
              </w:rPr>
            </w:pPr>
          </w:p>
        </w:tc>
        <w:tc>
          <w:tcPr>
            <w:tcW w:w="967" w:type="dxa"/>
            <w:vAlign w:val="center"/>
          </w:tcPr>
          <w:p w14:paraId="4DF6CC2D">
            <w:pPr>
              <w:pStyle w:val="11"/>
              <w:jc w:val="center"/>
              <w:rPr>
                <w:rFonts w:hint="eastAsia" w:ascii="仿宋" w:hAnsi="仿宋" w:eastAsia="仿宋" w:cs="仿宋"/>
                <w:color w:val="auto"/>
                <w:sz w:val="21"/>
                <w:szCs w:val="21"/>
                <w:highlight w:val="none"/>
                <w:vertAlign w:val="baseline"/>
                <w:lang w:val="en-US" w:eastAsia="zh-CN"/>
              </w:rPr>
            </w:pPr>
          </w:p>
        </w:tc>
        <w:tc>
          <w:tcPr>
            <w:tcW w:w="833" w:type="dxa"/>
            <w:vAlign w:val="center"/>
          </w:tcPr>
          <w:p w14:paraId="50011450">
            <w:pPr>
              <w:pStyle w:val="11"/>
              <w:jc w:val="center"/>
              <w:rPr>
                <w:rFonts w:hint="eastAsia" w:ascii="仿宋" w:hAnsi="仿宋" w:eastAsia="仿宋" w:cs="仿宋"/>
                <w:color w:val="auto"/>
                <w:sz w:val="21"/>
                <w:szCs w:val="21"/>
                <w:highlight w:val="none"/>
                <w:vertAlign w:val="baseline"/>
                <w:lang w:val="en-US" w:eastAsia="zh-CN"/>
              </w:rPr>
            </w:pPr>
          </w:p>
        </w:tc>
        <w:tc>
          <w:tcPr>
            <w:tcW w:w="948" w:type="dxa"/>
            <w:vAlign w:val="center"/>
          </w:tcPr>
          <w:p w14:paraId="65AF437E">
            <w:pPr>
              <w:pStyle w:val="11"/>
              <w:jc w:val="center"/>
              <w:rPr>
                <w:rFonts w:hint="eastAsia" w:ascii="仿宋" w:hAnsi="仿宋" w:eastAsia="仿宋" w:cs="仿宋"/>
                <w:color w:val="auto"/>
                <w:sz w:val="21"/>
                <w:szCs w:val="21"/>
                <w:highlight w:val="none"/>
                <w:vertAlign w:val="baseline"/>
                <w:lang w:val="en-US" w:eastAsia="zh-CN"/>
              </w:rPr>
            </w:pPr>
          </w:p>
        </w:tc>
        <w:tc>
          <w:tcPr>
            <w:tcW w:w="1156" w:type="dxa"/>
            <w:vAlign w:val="center"/>
          </w:tcPr>
          <w:p w14:paraId="6EF2F7B5">
            <w:pPr>
              <w:pStyle w:val="11"/>
              <w:jc w:val="center"/>
              <w:rPr>
                <w:rFonts w:hint="eastAsia" w:ascii="仿宋" w:hAnsi="仿宋" w:eastAsia="仿宋" w:cs="仿宋"/>
                <w:color w:val="auto"/>
                <w:sz w:val="21"/>
                <w:szCs w:val="21"/>
                <w:highlight w:val="none"/>
                <w:vertAlign w:val="baseline"/>
                <w:lang w:val="en-US" w:eastAsia="zh-CN"/>
              </w:rPr>
            </w:pPr>
          </w:p>
        </w:tc>
      </w:tr>
      <w:tr w14:paraId="7DC8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457B1FE">
            <w:pPr>
              <w:pStyle w:val="11"/>
              <w:jc w:val="center"/>
              <w:rPr>
                <w:rFonts w:hint="eastAsia" w:ascii="仿宋" w:hAnsi="仿宋" w:eastAsia="仿宋" w:cs="仿宋"/>
                <w:color w:val="auto"/>
                <w:sz w:val="21"/>
                <w:szCs w:val="21"/>
                <w:highlight w:val="none"/>
                <w:vertAlign w:val="baseline"/>
                <w:lang w:val="en-US" w:eastAsia="zh-CN"/>
              </w:rPr>
            </w:pPr>
          </w:p>
        </w:tc>
        <w:tc>
          <w:tcPr>
            <w:tcW w:w="1013" w:type="dxa"/>
            <w:vAlign w:val="center"/>
          </w:tcPr>
          <w:p w14:paraId="2FDCEFD9">
            <w:pPr>
              <w:pStyle w:val="11"/>
              <w:jc w:val="center"/>
              <w:rPr>
                <w:rFonts w:hint="eastAsia" w:ascii="仿宋" w:hAnsi="仿宋" w:eastAsia="仿宋" w:cs="仿宋"/>
                <w:color w:val="auto"/>
                <w:sz w:val="21"/>
                <w:szCs w:val="21"/>
                <w:highlight w:val="none"/>
                <w:vertAlign w:val="baseline"/>
                <w:lang w:val="en-US" w:eastAsia="zh-CN"/>
              </w:rPr>
            </w:pPr>
          </w:p>
        </w:tc>
        <w:tc>
          <w:tcPr>
            <w:tcW w:w="1285" w:type="dxa"/>
            <w:vAlign w:val="center"/>
          </w:tcPr>
          <w:p w14:paraId="15C95020">
            <w:pPr>
              <w:pStyle w:val="11"/>
              <w:jc w:val="center"/>
              <w:rPr>
                <w:rFonts w:hint="eastAsia" w:ascii="仿宋" w:hAnsi="仿宋" w:eastAsia="仿宋" w:cs="仿宋"/>
                <w:color w:val="auto"/>
                <w:sz w:val="21"/>
                <w:szCs w:val="21"/>
                <w:highlight w:val="none"/>
                <w:vertAlign w:val="baseline"/>
                <w:lang w:val="en-US" w:eastAsia="zh-CN"/>
              </w:rPr>
            </w:pPr>
          </w:p>
        </w:tc>
        <w:tc>
          <w:tcPr>
            <w:tcW w:w="716" w:type="dxa"/>
            <w:vAlign w:val="center"/>
          </w:tcPr>
          <w:p w14:paraId="54E2CDCB">
            <w:pPr>
              <w:pStyle w:val="11"/>
              <w:jc w:val="center"/>
              <w:rPr>
                <w:rFonts w:hint="eastAsia" w:ascii="仿宋" w:hAnsi="仿宋" w:eastAsia="仿宋" w:cs="仿宋"/>
                <w:color w:val="auto"/>
                <w:sz w:val="21"/>
                <w:szCs w:val="21"/>
                <w:highlight w:val="none"/>
                <w:vertAlign w:val="baseline"/>
                <w:lang w:val="en-US" w:eastAsia="zh-CN"/>
              </w:rPr>
            </w:pPr>
          </w:p>
        </w:tc>
        <w:tc>
          <w:tcPr>
            <w:tcW w:w="800" w:type="dxa"/>
            <w:vAlign w:val="center"/>
          </w:tcPr>
          <w:p w14:paraId="61889FEC">
            <w:pPr>
              <w:pStyle w:val="11"/>
              <w:jc w:val="center"/>
              <w:rPr>
                <w:rFonts w:hint="eastAsia" w:ascii="仿宋" w:hAnsi="仿宋" w:eastAsia="仿宋" w:cs="仿宋"/>
                <w:color w:val="auto"/>
                <w:sz w:val="21"/>
                <w:szCs w:val="21"/>
                <w:highlight w:val="none"/>
                <w:vertAlign w:val="baseline"/>
                <w:lang w:val="en-US" w:eastAsia="zh-CN"/>
              </w:rPr>
            </w:pPr>
          </w:p>
        </w:tc>
        <w:tc>
          <w:tcPr>
            <w:tcW w:w="917" w:type="dxa"/>
            <w:vAlign w:val="center"/>
          </w:tcPr>
          <w:p w14:paraId="732CAFE3">
            <w:pPr>
              <w:pStyle w:val="11"/>
              <w:jc w:val="center"/>
              <w:rPr>
                <w:rFonts w:hint="eastAsia" w:ascii="仿宋" w:hAnsi="仿宋" w:eastAsia="仿宋" w:cs="仿宋"/>
                <w:color w:val="auto"/>
                <w:sz w:val="21"/>
                <w:szCs w:val="21"/>
                <w:highlight w:val="none"/>
                <w:vertAlign w:val="baseline"/>
                <w:lang w:val="en-US" w:eastAsia="zh-CN"/>
              </w:rPr>
            </w:pPr>
          </w:p>
        </w:tc>
        <w:tc>
          <w:tcPr>
            <w:tcW w:w="967" w:type="dxa"/>
            <w:vAlign w:val="center"/>
          </w:tcPr>
          <w:p w14:paraId="3AF2B9B1">
            <w:pPr>
              <w:pStyle w:val="11"/>
              <w:jc w:val="center"/>
              <w:rPr>
                <w:rFonts w:hint="eastAsia" w:ascii="仿宋" w:hAnsi="仿宋" w:eastAsia="仿宋" w:cs="仿宋"/>
                <w:color w:val="auto"/>
                <w:sz w:val="21"/>
                <w:szCs w:val="21"/>
                <w:highlight w:val="none"/>
                <w:vertAlign w:val="baseline"/>
                <w:lang w:val="en-US" w:eastAsia="zh-CN"/>
              </w:rPr>
            </w:pPr>
          </w:p>
        </w:tc>
        <w:tc>
          <w:tcPr>
            <w:tcW w:w="833" w:type="dxa"/>
            <w:vAlign w:val="center"/>
          </w:tcPr>
          <w:p w14:paraId="058FBAC4">
            <w:pPr>
              <w:pStyle w:val="11"/>
              <w:jc w:val="center"/>
              <w:rPr>
                <w:rFonts w:hint="eastAsia" w:ascii="仿宋" w:hAnsi="仿宋" w:eastAsia="仿宋" w:cs="仿宋"/>
                <w:color w:val="auto"/>
                <w:sz w:val="21"/>
                <w:szCs w:val="21"/>
                <w:highlight w:val="none"/>
                <w:vertAlign w:val="baseline"/>
                <w:lang w:val="en-US" w:eastAsia="zh-CN"/>
              </w:rPr>
            </w:pPr>
          </w:p>
        </w:tc>
        <w:tc>
          <w:tcPr>
            <w:tcW w:w="948" w:type="dxa"/>
            <w:vAlign w:val="center"/>
          </w:tcPr>
          <w:p w14:paraId="00AAFAB3">
            <w:pPr>
              <w:pStyle w:val="11"/>
              <w:jc w:val="center"/>
              <w:rPr>
                <w:rFonts w:hint="eastAsia" w:ascii="仿宋" w:hAnsi="仿宋" w:eastAsia="仿宋" w:cs="仿宋"/>
                <w:color w:val="auto"/>
                <w:sz w:val="21"/>
                <w:szCs w:val="21"/>
                <w:highlight w:val="none"/>
                <w:vertAlign w:val="baseline"/>
                <w:lang w:val="en-US" w:eastAsia="zh-CN"/>
              </w:rPr>
            </w:pPr>
          </w:p>
        </w:tc>
        <w:tc>
          <w:tcPr>
            <w:tcW w:w="1156" w:type="dxa"/>
            <w:vAlign w:val="center"/>
          </w:tcPr>
          <w:p w14:paraId="2B634CFE">
            <w:pPr>
              <w:pStyle w:val="11"/>
              <w:jc w:val="center"/>
              <w:rPr>
                <w:rFonts w:hint="eastAsia" w:ascii="仿宋" w:hAnsi="仿宋" w:eastAsia="仿宋" w:cs="仿宋"/>
                <w:color w:val="auto"/>
                <w:sz w:val="21"/>
                <w:szCs w:val="21"/>
                <w:highlight w:val="none"/>
                <w:vertAlign w:val="baseline"/>
                <w:lang w:val="en-US" w:eastAsia="zh-CN"/>
              </w:rPr>
            </w:pPr>
          </w:p>
        </w:tc>
      </w:tr>
      <w:tr w14:paraId="1525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476DCD2">
            <w:pPr>
              <w:pStyle w:val="11"/>
              <w:jc w:val="center"/>
              <w:rPr>
                <w:rFonts w:hint="eastAsia" w:ascii="仿宋" w:hAnsi="仿宋" w:eastAsia="仿宋" w:cs="仿宋"/>
                <w:color w:val="auto"/>
                <w:sz w:val="21"/>
                <w:szCs w:val="21"/>
                <w:highlight w:val="none"/>
                <w:vertAlign w:val="baseline"/>
                <w:lang w:val="en-US" w:eastAsia="zh-CN"/>
              </w:rPr>
            </w:pPr>
          </w:p>
        </w:tc>
        <w:tc>
          <w:tcPr>
            <w:tcW w:w="1013" w:type="dxa"/>
            <w:vAlign w:val="center"/>
          </w:tcPr>
          <w:p w14:paraId="4A8A55AA">
            <w:pPr>
              <w:pStyle w:val="11"/>
              <w:jc w:val="center"/>
              <w:rPr>
                <w:rFonts w:hint="eastAsia" w:ascii="仿宋" w:hAnsi="仿宋" w:eastAsia="仿宋" w:cs="仿宋"/>
                <w:color w:val="auto"/>
                <w:sz w:val="21"/>
                <w:szCs w:val="21"/>
                <w:highlight w:val="none"/>
                <w:vertAlign w:val="baseline"/>
                <w:lang w:val="en-US" w:eastAsia="zh-CN"/>
              </w:rPr>
            </w:pPr>
          </w:p>
        </w:tc>
        <w:tc>
          <w:tcPr>
            <w:tcW w:w="1285" w:type="dxa"/>
            <w:vAlign w:val="center"/>
          </w:tcPr>
          <w:p w14:paraId="765B457F">
            <w:pPr>
              <w:pStyle w:val="11"/>
              <w:jc w:val="center"/>
              <w:rPr>
                <w:rFonts w:hint="eastAsia" w:ascii="仿宋" w:hAnsi="仿宋" w:eastAsia="仿宋" w:cs="仿宋"/>
                <w:color w:val="auto"/>
                <w:sz w:val="21"/>
                <w:szCs w:val="21"/>
                <w:highlight w:val="none"/>
                <w:vertAlign w:val="baseline"/>
                <w:lang w:val="en-US" w:eastAsia="zh-CN"/>
              </w:rPr>
            </w:pPr>
          </w:p>
        </w:tc>
        <w:tc>
          <w:tcPr>
            <w:tcW w:w="716" w:type="dxa"/>
            <w:vAlign w:val="center"/>
          </w:tcPr>
          <w:p w14:paraId="5643F932">
            <w:pPr>
              <w:pStyle w:val="11"/>
              <w:jc w:val="center"/>
              <w:rPr>
                <w:rFonts w:hint="eastAsia" w:ascii="仿宋" w:hAnsi="仿宋" w:eastAsia="仿宋" w:cs="仿宋"/>
                <w:color w:val="auto"/>
                <w:sz w:val="21"/>
                <w:szCs w:val="21"/>
                <w:highlight w:val="none"/>
                <w:vertAlign w:val="baseline"/>
                <w:lang w:val="en-US" w:eastAsia="zh-CN"/>
              </w:rPr>
            </w:pPr>
          </w:p>
        </w:tc>
        <w:tc>
          <w:tcPr>
            <w:tcW w:w="800" w:type="dxa"/>
            <w:vAlign w:val="center"/>
          </w:tcPr>
          <w:p w14:paraId="1A76922F">
            <w:pPr>
              <w:pStyle w:val="11"/>
              <w:jc w:val="center"/>
              <w:rPr>
                <w:rFonts w:hint="eastAsia" w:ascii="仿宋" w:hAnsi="仿宋" w:eastAsia="仿宋" w:cs="仿宋"/>
                <w:color w:val="auto"/>
                <w:sz w:val="21"/>
                <w:szCs w:val="21"/>
                <w:highlight w:val="none"/>
                <w:vertAlign w:val="baseline"/>
                <w:lang w:val="en-US" w:eastAsia="zh-CN"/>
              </w:rPr>
            </w:pPr>
          </w:p>
        </w:tc>
        <w:tc>
          <w:tcPr>
            <w:tcW w:w="917" w:type="dxa"/>
            <w:vAlign w:val="center"/>
          </w:tcPr>
          <w:p w14:paraId="100D5F31">
            <w:pPr>
              <w:pStyle w:val="11"/>
              <w:jc w:val="center"/>
              <w:rPr>
                <w:rFonts w:hint="eastAsia" w:ascii="仿宋" w:hAnsi="仿宋" w:eastAsia="仿宋" w:cs="仿宋"/>
                <w:color w:val="auto"/>
                <w:sz w:val="21"/>
                <w:szCs w:val="21"/>
                <w:highlight w:val="none"/>
                <w:vertAlign w:val="baseline"/>
                <w:lang w:val="en-US" w:eastAsia="zh-CN"/>
              </w:rPr>
            </w:pPr>
          </w:p>
        </w:tc>
        <w:tc>
          <w:tcPr>
            <w:tcW w:w="967" w:type="dxa"/>
            <w:vAlign w:val="center"/>
          </w:tcPr>
          <w:p w14:paraId="3407E5FE">
            <w:pPr>
              <w:pStyle w:val="11"/>
              <w:jc w:val="center"/>
              <w:rPr>
                <w:rFonts w:hint="eastAsia" w:ascii="仿宋" w:hAnsi="仿宋" w:eastAsia="仿宋" w:cs="仿宋"/>
                <w:color w:val="auto"/>
                <w:sz w:val="21"/>
                <w:szCs w:val="21"/>
                <w:highlight w:val="none"/>
                <w:vertAlign w:val="baseline"/>
                <w:lang w:val="en-US" w:eastAsia="zh-CN"/>
              </w:rPr>
            </w:pPr>
          </w:p>
        </w:tc>
        <w:tc>
          <w:tcPr>
            <w:tcW w:w="833" w:type="dxa"/>
            <w:vAlign w:val="center"/>
          </w:tcPr>
          <w:p w14:paraId="0691BE56">
            <w:pPr>
              <w:pStyle w:val="11"/>
              <w:jc w:val="center"/>
              <w:rPr>
                <w:rFonts w:hint="eastAsia" w:ascii="仿宋" w:hAnsi="仿宋" w:eastAsia="仿宋" w:cs="仿宋"/>
                <w:color w:val="auto"/>
                <w:sz w:val="21"/>
                <w:szCs w:val="21"/>
                <w:highlight w:val="none"/>
                <w:vertAlign w:val="baseline"/>
                <w:lang w:val="en-US" w:eastAsia="zh-CN"/>
              </w:rPr>
            </w:pPr>
          </w:p>
        </w:tc>
        <w:tc>
          <w:tcPr>
            <w:tcW w:w="948" w:type="dxa"/>
            <w:vAlign w:val="center"/>
          </w:tcPr>
          <w:p w14:paraId="6184DE33">
            <w:pPr>
              <w:pStyle w:val="11"/>
              <w:jc w:val="center"/>
              <w:rPr>
                <w:rFonts w:hint="eastAsia" w:ascii="仿宋" w:hAnsi="仿宋" w:eastAsia="仿宋" w:cs="仿宋"/>
                <w:color w:val="auto"/>
                <w:sz w:val="21"/>
                <w:szCs w:val="21"/>
                <w:highlight w:val="none"/>
                <w:vertAlign w:val="baseline"/>
                <w:lang w:val="en-US" w:eastAsia="zh-CN"/>
              </w:rPr>
            </w:pPr>
          </w:p>
        </w:tc>
        <w:tc>
          <w:tcPr>
            <w:tcW w:w="1156" w:type="dxa"/>
            <w:vAlign w:val="center"/>
          </w:tcPr>
          <w:p w14:paraId="05132EB1">
            <w:pPr>
              <w:pStyle w:val="11"/>
              <w:jc w:val="center"/>
              <w:rPr>
                <w:rFonts w:hint="eastAsia" w:ascii="仿宋" w:hAnsi="仿宋" w:eastAsia="仿宋" w:cs="仿宋"/>
                <w:color w:val="auto"/>
                <w:sz w:val="21"/>
                <w:szCs w:val="21"/>
                <w:highlight w:val="none"/>
                <w:vertAlign w:val="baseline"/>
                <w:lang w:val="en-US" w:eastAsia="zh-CN"/>
              </w:rPr>
            </w:pPr>
          </w:p>
        </w:tc>
      </w:tr>
      <w:tr w14:paraId="66EE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6398144">
            <w:pPr>
              <w:pStyle w:val="11"/>
              <w:jc w:val="center"/>
              <w:rPr>
                <w:rFonts w:hint="eastAsia" w:ascii="仿宋" w:hAnsi="仿宋" w:eastAsia="仿宋" w:cs="仿宋"/>
                <w:color w:val="auto"/>
                <w:sz w:val="21"/>
                <w:szCs w:val="21"/>
                <w:highlight w:val="none"/>
                <w:vertAlign w:val="baseline"/>
                <w:lang w:val="en-US" w:eastAsia="zh-CN"/>
              </w:rPr>
            </w:pPr>
          </w:p>
        </w:tc>
        <w:tc>
          <w:tcPr>
            <w:tcW w:w="1013" w:type="dxa"/>
            <w:vAlign w:val="center"/>
          </w:tcPr>
          <w:p w14:paraId="4F4C9F4F">
            <w:pPr>
              <w:pStyle w:val="11"/>
              <w:jc w:val="center"/>
              <w:rPr>
                <w:rFonts w:hint="eastAsia" w:ascii="仿宋" w:hAnsi="仿宋" w:eastAsia="仿宋" w:cs="仿宋"/>
                <w:color w:val="auto"/>
                <w:sz w:val="21"/>
                <w:szCs w:val="21"/>
                <w:highlight w:val="none"/>
                <w:vertAlign w:val="baseline"/>
                <w:lang w:val="en-US" w:eastAsia="zh-CN"/>
              </w:rPr>
            </w:pPr>
          </w:p>
        </w:tc>
        <w:tc>
          <w:tcPr>
            <w:tcW w:w="1285" w:type="dxa"/>
            <w:vAlign w:val="center"/>
          </w:tcPr>
          <w:p w14:paraId="10736266">
            <w:pPr>
              <w:pStyle w:val="11"/>
              <w:jc w:val="center"/>
              <w:rPr>
                <w:rFonts w:hint="eastAsia" w:ascii="仿宋" w:hAnsi="仿宋" w:eastAsia="仿宋" w:cs="仿宋"/>
                <w:color w:val="auto"/>
                <w:sz w:val="21"/>
                <w:szCs w:val="21"/>
                <w:highlight w:val="none"/>
                <w:vertAlign w:val="baseline"/>
                <w:lang w:val="en-US" w:eastAsia="zh-CN"/>
              </w:rPr>
            </w:pPr>
          </w:p>
        </w:tc>
        <w:tc>
          <w:tcPr>
            <w:tcW w:w="716" w:type="dxa"/>
            <w:vAlign w:val="center"/>
          </w:tcPr>
          <w:p w14:paraId="18C8E34D">
            <w:pPr>
              <w:pStyle w:val="11"/>
              <w:jc w:val="center"/>
              <w:rPr>
                <w:rFonts w:hint="eastAsia" w:ascii="仿宋" w:hAnsi="仿宋" w:eastAsia="仿宋" w:cs="仿宋"/>
                <w:color w:val="auto"/>
                <w:sz w:val="21"/>
                <w:szCs w:val="21"/>
                <w:highlight w:val="none"/>
                <w:vertAlign w:val="baseline"/>
                <w:lang w:val="en-US" w:eastAsia="zh-CN"/>
              </w:rPr>
            </w:pPr>
          </w:p>
        </w:tc>
        <w:tc>
          <w:tcPr>
            <w:tcW w:w="800" w:type="dxa"/>
            <w:vAlign w:val="center"/>
          </w:tcPr>
          <w:p w14:paraId="3DFFA95F">
            <w:pPr>
              <w:pStyle w:val="11"/>
              <w:jc w:val="center"/>
              <w:rPr>
                <w:rFonts w:hint="eastAsia" w:ascii="仿宋" w:hAnsi="仿宋" w:eastAsia="仿宋" w:cs="仿宋"/>
                <w:color w:val="auto"/>
                <w:sz w:val="21"/>
                <w:szCs w:val="21"/>
                <w:highlight w:val="none"/>
                <w:vertAlign w:val="baseline"/>
                <w:lang w:val="en-US" w:eastAsia="zh-CN"/>
              </w:rPr>
            </w:pPr>
          </w:p>
        </w:tc>
        <w:tc>
          <w:tcPr>
            <w:tcW w:w="917" w:type="dxa"/>
            <w:vAlign w:val="center"/>
          </w:tcPr>
          <w:p w14:paraId="2E7F24DB">
            <w:pPr>
              <w:pStyle w:val="11"/>
              <w:jc w:val="center"/>
              <w:rPr>
                <w:rFonts w:hint="eastAsia" w:ascii="仿宋" w:hAnsi="仿宋" w:eastAsia="仿宋" w:cs="仿宋"/>
                <w:color w:val="auto"/>
                <w:sz w:val="21"/>
                <w:szCs w:val="21"/>
                <w:highlight w:val="none"/>
                <w:vertAlign w:val="baseline"/>
                <w:lang w:val="en-US" w:eastAsia="zh-CN"/>
              </w:rPr>
            </w:pPr>
          </w:p>
        </w:tc>
        <w:tc>
          <w:tcPr>
            <w:tcW w:w="967" w:type="dxa"/>
            <w:vAlign w:val="center"/>
          </w:tcPr>
          <w:p w14:paraId="72DC40AF">
            <w:pPr>
              <w:pStyle w:val="11"/>
              <w:jc w:val="center"/>
              <w:rPr>
                <w:rFonts w:hint="eastAsia" w:ascii="仿宋" w:hAnsi="仿宋" w:eastAsia="仿宋" w:cs="仿宋"/>
                <w:color w:val="auto"/>
                <w:sz w:val="21"/>
                <w:szCs w:val="21"/>
                <w:highlight w:val="none"/>
                <w:vertAlign w:val="baseline"/>
                <w:lang w:val="en-US" w:eastAsia="zh-CN"/>
              </w:rPr>
            </w:pPr>
          </w:p>
        </w:tc>
        <w:tc>
          <w:tcPr>
            <w:tcW w:w="833" w:type="dxa"/>
            <w:vAlign w:val="center"/>
          </w:tcPr>
          <w:p w14:paraId="373BF580">
            <w:pPr>
              <w:pStyle w:val="11"/>
              <w:jc w:val="center"/>
              <w:rPr>
                <w:rFonts w:hint="eastAsia" w:ascii="仿宋" w:hAnsi="仿宋" w:eastAsia="仿宋" w:cs="仿宋"/>
                <w:color w:val="auto"/>
                <w:sz w:val="21"/>
                <w:szCs w:val="21"/>
                <w:highlight w:val="none"/>
                <w:vertAlign w:val="baseline"/>
                <w:lang w:val="en-US" w:eastAsia="zh-CN"/>
              </w:rPr>
            </w:pPr>
          </w:p>
        </w:tc>
        <w:tc>
          <w:tcPr>
            <w:tcW w:w="948" w:type="dxa"/>
            <w:vAlign w:val="center"/>
          </w:tcPr>
          <w:p w14:paraId="5FF706CE">
            <w:pPr>
              <w:pStyle w:val="11"/>
              <w:jc w:val="center"/>
              <w:rPr>
                <w:rFonts w:hint="eastAsia" w:ascii="仿宋" w:hAnsi="仿宋" w:eastAsia="仿宋" w:cs="仿宋"/>
                <w:color w:val="auto"/>
                <w:sz w:val="21"/>
                <w:szCs w:val="21"/>
                <w:highlight w:val="none"/>
                <w:vertAlign w:val="baseline"/>
                <w:lang w:val="en-US" w:eastAsia="zh-CN"/>
              </w:rPr>
            </w:pPr>
          </w:p>
        </w:tc>
        <w:tc>
          <w:tcPr>
            <w:tcW w:w="1156" w:type="dxa"/>
            <w:vAlign w:val="center"/>
          </w:tcPr>
          <w:p w14:paraId="7805A5E1">
            <w:pPr>
              <w:pStyle w:val="11"/>
              <w:jc w:val="center"/>
              <w:rPr>
                <w:rFonts w:hint="eastAsia" w:ascii="仿宋" w:hAnsi="仿宋" w:eastAsia="仿宋" w:cs="仿宋"/>
                <w:color w:val="auto"/>
                <w:sz w:val="21"/>
                <w:szCs w:val="21"/>
                <w:highlight w:val="none"/>
                <w:vertAlign w:val="baseline"/>
                <w:lang w:val="en-US" w:eastAsia="zh-CN"/>
              </w:rPr>
            </w:pPr>
          </w:p>
        </w:tc>
      </w:tr>
      <w:tr w14:paraId="32DA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7" w:type="dxa"/>
            <w:gridSpan w:val="8"/>
            <w:vAlign w:val="center"/>
          </w:tcPr>
          <w:p w14:paraId="5FD35CAC">
            <w:pPr>
              <w:pStyle w:val="11"/>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投标总价（单价合计）</w:t>
            </w:r>
          </w:p>
        </w:tc>
        <w:tc>
          <w:tcPr>
            <w:tcW w:w="948" w:type="dxa"/>
            <w:vAlign w:val="center"/>
          </w:tcPr>
          <w:p w14:paraId="32E463CA">
            <w:pPr>
              <w:pStyle w:val="11"/>
              <w:jc w:val="center"/>
              <w:rPr>
                <w:rFonts w:hint="eastAsia" w:ascii="仿宋" w:hAnsi="仿宋" w:eastAsia="仿宋" w:cs="仿宋"/>
                <w:color w:val="auto"/>
                <w:sz w:val="21"/>
                <w:szCs w:val="21"/>
                <w:highlight w:val="none"/>
                <w:vertAlign w:val="baseline"/>
                <w:lang w:val="en-US" w:eastAsia="zh-CN"/>
              </w:rPr>
            </w:pPr>
          </w:p>
        </w:tc>
        <w:tc>
          <w:tcPr>
            <w:tcW w:w="1156" w:type="dxa"/>
            <w:vAlign w:val="center"/>
          </w:tcPr>
          <w:p w14:paraId="014F3C70">
            <w:pPr>
              <w:pStyle w:val="11"/>
              <w:jc w:val="center"/>
              <w:rPr>
                <w:rFonts w:hint="eastAsia" w:ascii="仿宋" w:hAnsi="仿宋" w:eastAsia="仿宋" w:cs="仿宋"/>
                <w:color w:val="auto"/>
                <w:sz w:val="21"/>
                <w:szCs w:val="21"/>
                <w:highlight w:val="none"/>
                <w:vertAlign w:val="baseline"/>
                <w:lang w:val="en-US" w:eastAsia="zh-CN"/>
              </w:rPr>
            </w:pPr>
          </w:p>
        </w:tc>
      </w:tr>
    </w:tbl>
    <w:p w14:paraId="349ACF4B">
      <w:pPr>
        <w:pStyle w:val="11"/>
        <w:ind w:left="0" w:leftChars="0" w:firstLine="0" w:firstLineChars="0"/>
        <w:rPr>
          <w:rFonts w:hint="eastAsia" w:ascii="仿宋" w:hAnsi="仿宋" w:eastAsia="仿宋" w:cs="仿宋"/>
          <w:color w:val="auto"/>
          <w:highlight w:val="none"/>
          <w:lang w:val="en-US" w:eastAsia="zh-CN"/>
        </w:rPr>
      </w:pPr>
    </w:p>
    <w:p w14:paraId="0389E59C">
      <w:pPr>
        <w:pStyle w:val="12"/>
        <w:rPr>
          <w:rFonts w:hint="eastAsia" w:ascii="仿宋" w:hAnsi="仿宋" w:eastAsia="仿宋" w:cs="仿宋"/>
          <w:color w:val="auto"/>
          <w:highlight w:val="none"/>
          <w:lang w:val="en-US" w:eastAsia="zh-CN"/>
        </w:rPr>
      </w:pPr>
    </w:p>
    <w:p w14:paraId="6A35704C">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w:t>
      </w:r>
    </w:p>
    <w:p w14:paraId="26098E3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2.如果不提供投标报价明细表将视为没有实质性响应招标文件。</w:t>
      </w:r>
    </w:p>
    <w:p w14:paraId="475FFBDC">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3A8B5DFE">
      <w:pP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4、投标报价（单价）不得超过每个货物的单价最高限价，否则</w:t>
      </w:r>
      <w:r>
        <w:rPr>
          <w:rFonts w:hint="eastAsia" w:ascii="仿宋" w:hAnsi="仿宋" w:eastAsia="仿宋" w:cs="仿宋"/>
          <w:b/>
          <w:bCs/>
          <w:color w:val="auto"/>
          <w:sz w:val="24"/>
          <w:szCs w:val="24"/>
          <w:highlight w:val="none"/>
          <w:lang w:val="en-US" w:eastAsia="zh-CN"/>
        </w:rPr>
        <w:t>投标无效</w:t>
      </w:r>
    </w:p>
    <w:p w14:paraId="234AAB35">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5、数量均为“1”</w:t>
      </w:r>
    </w:p>
    <w:p w14:paraId="52EF16BE">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6、表格中第二列填写货物名称时、第三列对应填写货物生产商；第二列填写服务名称时、第三列对应填写</w:t>
      </w:r>
      <w:r>
        <w:rPr>
          <w:rFonts w:hint="eastAsia" w:ascii="仿宋" w:hAnsi="仿宋" w:eastAsia="仿宋" w:cs="仿宋"/>
          <w:color w:val="auto"/>
          <w:sz w:val="21"/>
          <w:szCs w:val="21"/>
          <w:highlight w:val="none"/>
          <w:vertAlign w:val="baseline"/>
          <w:lang w:val="en-US" w:eastAsia="zh-CN"/>
        </w:rPr>
        <w:t>服务承接方。货物类采购项目</w:t>
      </w:r>
      <w:r>
        <w:rPr>
          <w:rFonts w:hint="eastAsia" w:ascii="仿宋" w:hAnsi="仿宋" w:eastAsia="仿宋" w:cs="仿宋"/>
          <w:color w:val="auto"/>
          <w:sz w:val="24"/>
          <w:szCs w:val="24"/>
          <w:highlight w:val="none"/>
          <w:lang w:val="en-US" w:eastAsia="zh-CN"/>
        </w:rPr>
        <w:t>除采购需求明确要求填写货物伴随服务外，无需填写货物伴随服务的服务名称、服务承接方，此费用包含在货物单价中。</w:t>
      </w:r>
    </w:p>
    <w:p w14:paraId="3428417D">
      <w:pPr>
        <w:spacing w:line="360" w:lineRule="auto"/>
        <w:rPr>
          <w:rFonts w:hint="eastAsia" w:ascii="仿宋" w:hAnsi="仿宋" w:eastAsia="仿宋" w:cs="仿宋"/>
          <w:color w:val="auto"/>
          <w:sz w:val="24"/>
          <w:szCs w:val="24"/>
          <w:highlight w:val="none"/>
          <w:lang w:val="en-US" w:eastAsia="zh-CN"/>
        </w:rPr>
      </w:pPr>
    </w:p>
    <w:p w14:paraId="2437AEBF">
      <w:pPr>
        <w:spacing w:line="360" w:lineRule="auto"/>
        <w:rPr>
          <w:rFonts w:hint="eastAsia" w:ascii="仿宋" w:hAnsi="仿宋" w:eastAsia="仿宋" w:cs="仿宋"/>
          <w:color w:val="auto"/>
          <w:sz w:val="24"/>
          <w:szCs w:val="24"/>
          <w:highlight w:val="none"/>
          <w:lang w:val="en-US" w:eastAsia="zh-CN"/>
        </w:rPr>
      </w:pPr>
    </w:p>
    <w:p w14:paraId="2968058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）：____________</w:t>
      </w:r>
    </w:p>
    <w:p w14:paraId="5682101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3349D286">
      <w:pPr>
        <w:pStyle w:val="23"/>
        <w:rPr>
          <w:rFonts w:hint="eastAsia" w:ascii="仿宋" w:hAnsi="仿宋" w:eastAsia="仿宋" w:cs="仿宋"/>
          <w:color w:val="auto"/>
          <w:sz w:val="24"/>
          <w:szCs w:val="24"/>
          <w:highlight w:val="none"/>
          <w:lang w:val="en-US" w:eastAsia="zh-CN"/>
        </w:rPr>
      </w:pPr>
    </w:p>
    <w:p w14:paraId="27B36621">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3793320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三、商务技术文件</w:t>
      </w:r>
    </w:p>
    <w:p w14:paraId="509C11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bCs/>
          <w:color w:val="auto"/>
          <w:highlight w:val="none"/>
        </w:rPr>
      </w:pPr>
      <w:r>
        <w:rPr>
          <w:rFonts w:hint="eastAsia" w:ascii="仿宋" w:hAnsi="仿宋" w:eastAsia="仿宋" w:cs="仿宋"/>
          <w:b/>
          <w:bCs/>
          <w:color w:val="auto"/>
          <w:kern w:val="0"/>
          <w:sz w:val="24"/>
          <w:szCs w:val="24"/>
          <w:highlight w:val="none"/>
          <w:lang w:val="en-US" w:eastAsia="zh-CN" w:bidi="ar"/>
        </w:rPr>
        <w:t xml:space="preserve">7、投标书 </w:t>
      </w:r>
    </w:p>
    <w:p w14:paraId="5D25F8A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4C88CDF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投标书</w:t>
      </w:r>
    </w:p>
    <w:p w14:paraId="6568E3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0DD14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32DB010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（采购项目名称）、</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（标项(包)名称）</w:t>
      </w:r>
      <w:r>
        <w:rPr>
          <w:rFonts w:hint="eastAsia" w:ascii="仿宋" w:hAnsi="仿宋" w:eastAsia="仿宋" w:cs="仿宋"/>
          <w:color w:val="auto"/>
          <w:kern w:val="0"/>
          <w:sz w:val="24"/>
          <w:szCs w:val="24"/>
          <w:highlight w:val="none"/>
          <w:lang w:val="en-US" w:eastAsia="zh-CN" w:bidi="ar"/>
        </w:rPr>
        <w:t xml:space="preserve">组织的招标活动，并对此项目进行投标。 </w:t>
      </w:r>
    </w:p>
    <w:p w14:paraId="1F5DC2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39" w:name="_Toc30504"/>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39"/>
      <w:r>
        <w:rPr>
          <w:rFonts w:hint="eastAsia" w:ascii="仿宋" w:hAnsi="仿宋" w:eastAsia="仿宋" w:cs="仿宋"/>
          <w:color w:val="auto"/>
          <w:kern w:val="0"/>
          <w:sz w:val="24"/>
          <w:szCs w:val="24"/>
          <w:highlight w:val="none"/>
          <w:lang w:val="en-US" w:eastAsia="zh-CN" w:bidi="ar"/>
        </w:rPr>
        <w:t xml:space="preserve"> </w:t>
      </w:r>
    </w:p>
    <w:p w14:paraId="7D5026F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14:paraId="3662FF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14:paraId="5A7B22E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14:paraId="2E5AC9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2DC00C3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40" w:name="_Toc24785"/>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0"/>
      <w:r>
        <w:rPr>
          <w:rFonts w:hint="eastAsia" w:ascii="仿宋" w:hAnsi="仿宋" w:eastAsia="仿宋" w:cs="仿宋"/>
          <w:color w:val="auto"/>
          <w:kern w:val="0"/>
          <w:sz w:val="24"/>
          <w:szCs w:val="24"/>
          <w:highlight w:val="none"/>
          <w:lang w:val="en-US" w:eastAsia="zh-CN" w:bidi="ar"/>
        </w:rPr>
        <w:t xml:space="preserve"> </w:t>
      </w:r>
    </w:p>
    <w:p w14:paraId="2C8E98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14:paraId="765A22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8F275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DA2F1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060E20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3FED33AA">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1FB560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8、授权委托书</w:t>
      </w:r>
      <w:bookmarkEnd w:id="36"/>
      <w:r>
        <w:rPr>
          <w:rFonts w:hint="eastAsia" w:ascii="仿宋" w:hAnsi="仿宋" w:eastAsia="仿宋" w:cs="仿宋"/>
          <w:b/>
          <w:bCs/>
          <w:color w:val="auto"/>
          <w:kern w:val="0"/>
          <w:sz w:val="24"/>
          <w:szCs w:val="24"/>
          <w:highlight w:val="none"/>
          <w:lang w:val="en-US" w:eastAsia="zh-CN" w:bidi="ar"/>
        </w:rPr>
        <w:t xml:space="preserve"> </w:t>
      </w:r>
    </w:p>
    <w:p w14:paraId="5105F76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32"/>
          <w:szCs w:val="32"/>
          <w:highlight w:val="none"/>
          <w:lang w:val="en-US" w:eastAsia="zh-CN" w:bidi="ar"/>
        </w:rPr>
      </w:pPr>
    </w:p>
    <w:p w14:paraId="5F239B8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授权委托书</w:t>
      </w:r>
    </w:p>
    <w:p w14:paraId="6281374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14:paraId="00C1F69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14:paraId="4B11283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代理人无转委托权。 </w:t>
      </w:r>
    </w:p>
    <w:p w14:paraId="6AB558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3B014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6C5FD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0AAC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16D7104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2D2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69DB9E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3CAF44B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338639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39B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7E30F21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04F3192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1138D4E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说明：1.若投标人为事业单位或其他组织或分支机构（仅当招标文件注明允许分支机构投标的），则法定代表人（单位负责人）处的签署人可为单位负责人。 </w:t>
      </w:r>
    </w:p>
    <w:p w14:paraId="499E452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4D3B6CA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41" w:name="_Toc18807"/>
      <w:r>
        <w:rPr>
          <w:rFonts w:hint="eastAsia" w:ascii="仿宋" w:hAnsi="仿宋" w:eastAsia="仿宋" w:cs="仿宋"/>
          <w:color w:val="auto"/>
          <w:kern w:val="0"/>
          <w:sz w:val="24"/>
          <w:szCs w:val="24"/>
          <w:highlight w:val="none"/>
          <w:lang w:val="en-US" w:eastAsia="zh-CN" w:bidi="ar"/>
        </w:rPr>
        <w:t>3.投标人为自然人的情形，可不提供本《授权委托书》。</w:t>
      </w:r>
      <w:bookmarkEnd w:id="41"/>
    </w:p>
    <w:p w14:paraId="3ABA40FB">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E64B94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附：法定代表人（单位负责人）身份证明</w:t>
      </w:r>
    </w:p>
    <w:p w14:paraId="3319E8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3FFB6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082EC63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14:paraId="211FBE3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14:paraId="6E1F413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14:paraId="7B4F230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884F70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30C37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89D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276C419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14:paraId="30A3CD1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2192B40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5CE81CB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1C37D8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2C3C5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2369F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17B20B2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68A30086">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728EF0BC">
      <w:pPr>
        <w:keepNext w:val="0"/>
        <w:keepLines w:val="0"/>
        <w:widowControl/>
        <w:suppressLineNumbers w:val="0"/>
        <w:jc w:val="left"/>
        <w:outlineLvl w:val="2"/>
        <w:rPr>
          <w:rFonts w:hint="eastAsia" w:ascii="仿宋" w:hAnsi="仿宋" w:eastAsia="仿宋" w:cs="仿宋"/>
          <w:b/>
          <w:bCs/>
          <w:color w:val="auto"/>
          <w:kern w:val="0"/>
          <w:sz w:val="24"/>
          <w:szCs w:val="24"/>
          <w:highlight w:val="none"/>
          <w:lang w:val="en-US" w:eastAsia="zh-CN" w:bidi="ar"/>
        </w:rPr>
      </w:pPr>
      <w:bookmarkStart w:id="42" w:name="_Toc23107"/>
      <w:r>
        <w:rPr>
          <w:rFonts w:hint="eastAsia" w:ascii="仿宋" w:hAnsi="仿宋" w:eastAsia="仿宋" w:cs="仿宋"/>
          <w:b/>
          <w:bCs/>
          <w:color w:val="auto"/>
          <w:kern w:val="0"/>
          <w:sz w:val="24"/>
          <w:szCs w:val="24"/>
          <w:highlight w:val="none"/>
          <w:lang w:val="en-US" w:eastAsia="zh-CN" w:bidi="ar"/>
        </w:rPr>
        <w:t>9、投标保证金凭证/交款单据电子件</w:t>
      </w:r>
    </w:p>
    <w:p w14:paraId="3E97178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01A0423">
      <w:pPr>
        <w:pStyle w:val="6"/>
        <w:rPr>
          <w:rFonts w:hint="eastAsia" w:ascii="仿宋" w:hAnsi="仿宋" w:eastAsia="仿宋" w:cs="仿宋"/>
          <w:color w:val="auto"/>
          <w:highlight w:val="none"/>
        </w:rPr>
      </w:pPr>
    </w:p>
    <w:bookmarkEnd w:id="42"/>
    <w:p w14:paraId="5F5AAFD3">
      <w:pPr>
        <w:pStyle w:val="12"/>
        <w:ind w:left="0" w:leftChars="0" w:firstLine="0" w:firstLineChars="0"/>
        <w:jc w:val="left"/>
        <w:outlineLvl w:val="2"/>
        <w:rPr>
          <w:rFonts w:hint="eastAsia" w:ascii="仿宋" w:hAnsi="仿宋" w:eastAsia="仿宋" w:cs="仿宋"/>
          <w:b/>
          <w:bCs/>
          <w:color w:val="auto"/>
          <w:sz w:val="24"/>
          <w:szCs w:val="24"/>
          <w:highlight w:val="none"/>
          <w:lang w:val="en-US" w:eastAsia="zh-CN"/>
        </w:rPr>
      </w:pPr>
      <w:bookmarkStart w:id="43" w:name="_Toc6119"/>
      <w:r>
        <w:rPr>
          <w:rFonts w:hint="eastAsia" w:ascii="仿宋" w:hAnsi="仿宋" w:eastAsia="仿宋" w:cs="仿宋"/>
          <w:b/>
          <w:bCs/>
          <w:color w:val="auto"/>
          <w:sz w:val="24"/>
          <w:szCs w:val="24"/>
          <w:highlight w:val="none"/>
          <w:lang w:val="en-US" w:eastAsia="zh-CN"/>
        </w:rPr>
        <w:t>10、合同条款偏离表</w:t>
      </w:r>
      <w:bookmarkEnd w:id="43"/>
    </w:p>
    <w:p w14:paraId="2123F04B">
      <w:pPr>
        <w:pStyle w:val="12"/>
        <w:ind w:left="0" w:leftChars="0" w:firstLine="0" w:firstLineChars="0"/>
        <w:jc w:val="center"/>
        <w:rPr>
          <w:rFonts w:hint="eastAsia" w:ascii="仿宋" w:hAnsi="仿宋" w:eastAsia="仿宋" w:cs="仿宋"/>
          <w:color w:val="auto"/>
          <w:sz w:val="32"/>
          <w:szCs w:val="32"/>
          <w:highlight w:val="none"/>
          <w:lang w:val="en-US" w:eastAsia="zh-CN"/>
        </w:rPr>
      </w:pPr>
    </w:p>
    <w:p w14:paraId="23E2F951">
      <w:pPr>
        <w:pStyle w:val="12"/>
        <w:ind w:left="0" w:leftChars="0" w:firstLine="0" w:firstLineChars="0"/>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合同条款偏离表</w:t>
      </w:r>
    </w:p>
    <w:p w14:paraId="7D64C2B3">
      <w:pPr>
        <w:rPr>
          <w:rFonts w:hint="eastAsia" w:ascii="仿宋" w:hAnsi="仿宋" w:eastAsia="仿宋" w:cs="仿宋"/>
          <w:color w:val="auto"/>
          <w:highlight w:val="none"/>
          <w:lang w:val="en-US" w:eastAsia="zh-CN"/>
        </w:rPr>
      </w:pPr>
    </w:p>
    <w:p w14:paraId="5CE18EF5">
      <w:pPr>
        <w:pStyle w:val="12"/>
        <w:ind w:left="0" w:leftChars="0" w:firstLine="0" w:firstLineChars="0"/>
        <w:jc w:val="lef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项目编号</w:t>
      </w:r>
      <w:r>
        <w:rPr>
          <w:rFonts w:hint="eastAsia" w:ascii="仿宋" w:hAnsi="仿宋" w:eastAsia="仿宋" w:cs="仿宋"/>
          <w:color w:val="auto"/>
          <w:highlight w:val="none"/>
          <w:u w:val="single"/>
          <w:lang w:val="en-US" w:eastAsia="zh-CN"/>
        </w:rPr>
        <w:t xml:space="preserve">                        </w:t>
      </w:r>
    </w:p>
    <w:p w14:paraId="172CD3C2">
      <w:pPr>
        <w:rPr>
          <w:rFonts w:hint="default"/>
          <w:color w:val="auto"/>
          <w:highlight w:val="none"/>
          <w:lang w:val="en-US" w:eastAsia="zh-CN"/>
        </w:rPr>
      </w:pPr>
      <w:r>
        <w:rPr>
          <w:rFonts w:hint="eastAsia" w:ascii="仿宋" w:hAnsi="仿宋" w:eastAsia="仿宋" w:cs="仿宋"/>
          <w:color w:val="auto"/>
          <w:highlight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5F94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6904DEBC">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对本项目合同条款的偏离情况（请进行勾选）：</w:t>
            </w:r>
          </w:p>
          <w:p w14:paraId="6B6C08E3">
            <w:pPr>
              <w:keepNext w:val="0"/>
              <w:keepLines w:val="0"/>
              <w:widowControl/>
              <w:suppressLineNumbers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（如无偏离，仅勾选无偏离即可</w:t>
            </w:r>
            <w:r>
              <w:rPr>
                <w:rFonts w:ascii="仿宋_GB2312" w:hAnsi="仿宋_GB2312" w:eastAsia="仿宋_GB2312" w:cs="仿宋_GB2312"/>
                <w:color w:val="auto"/>
                <w:kern w:val="0"/>
                <w:sz w:val="24"/>
                <w:szCs w:val="24"/>
                <w:highlight w:val="none"/>
                <w:lang w:val="en-US" w:eastAsia="zh-CN" w:bidi="ar"/>
              </w:rPr>
              <w:t>；</w:t>
            </w:r>
            <w:r>
              <w:rPr>
                <w:rFonts w:hint="eastAsia" w:ascii="仿宋" w:hAnsi="仿宋" w:eastAsia="仿宋" w:cs="仿宋"/>
                <w:color w:val="auto"/>
                <w:sz w:val="24"/>
                <w:szCs w:val="24"/>
                <w:highlight w:val="none"/>
                <w:vertAlign w:val="baseline"/>
                <w:lang w:val="en-US" w:eastAsia="zh-CN"/>
              </w:rPr>
              <w:t xml:space="preserve">无偏离即为对合同条款中的所有要求， </w:t>
            </w:r>
          </w:p>
          <w:p w14:paraId="51623202">
            <w:pPr>
              <w:keepNext w:val="0"/>
              <w:keepLines w:val="0"/>
              <w:widowControl/>
              <w:suppressLineNumbers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均视作供应商已对之理解和响应。）</w:t>
            </w:r>
          </w:p>
          <w:p w14:paraId="40C37085">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1B49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76BECF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3BA78FC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089BF36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3E1F5C9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0DA37C0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63ED410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501286C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3661F00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675C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1BB9A3BE">
            <w:pPr>
              <w:rPr>
                <w:rFonts w:hint="eastAsia" w:ascii="仿宋" w:hAnsi="仿宋" w:eastAsia="仿宋" w:cs="仿宋"/>
                <w:color w:val="auto"/>
                <w:sz w:val="24"/>
                <w:szCs w:val="24"/>
                <w:highlight w:val="none"/>
                <w:vertAlign w:val="baseline"/>
                <w:lang w:val="en-US" w:eastAsia="zh-CN"/>
              </w:rPr>
            </w:pPr>
          </w:p>
        </w:tc>
        <w:tc>
          <w:tcPr>
            <w:tcW w:w="1421" w:type="dxa"/>
          </w:tcPr>
          <w:p w14:paraId="3DF1541E">
            <w:pPr>
              <w:rPr>
                <w:rFonts w:hint="eastAsia" w:ascii="仿宋" w:hAnsi="仿宋" w:eastAsia="仿宋" w:cs="仿宋"/>
                <w:color w:val="auto"/>
                <w:sz w:val="24"/>
                <w:szCs w:val="24"/>
                <w:highlight w:val="none"/>
                <w:vertAlign w:val="baseline"/>
                <w:lang w:val="en-US" w:eastAsia="zh-CN"/>
              </w:rPr>
            </w:pPr>
          </w:p>
        </w:tc>
        <w:tc>
          <w:tcPr>
            <w:tcW w:w="1901" w:type="dxa"/>
          </w:tcPr>
          <w:p w14:paraId="187B1733">
            <w:pPr>
              <w:rPr>
                <w:rFonts w:hint="eastAsia" w:ascii="仿宋" w:hAnsi="仿宋" w:eastAsia="仿宋" w:cs="仿宋"/>
                <w:color w:val="auto"/>
                <w:sz w:val="24"/>
                <w:szCs w:val="24"/>
                <w:highlight w:val="none"/>
                <w:vertAlign w:val="baseline"/>
                <w:lang w:val="en-US" w:eastAsia="zh-CN"/>
              </w:rPr>
            </w:pPr>
          </w:p>
        </w:tc>
        <w:tc>
          <w:tcPr>
            <w:tcW w:w="1753" w:type="dxa"/>
          </w:tcPr>
          <w:p w14:paraId="7F4C3B84">
            <w:pPr>
              <w:rPr>
                <w:rFonts w:hint="eastAsia" w:ascii="仿宋" w:hAnsi="仿宋" w:eastAsia="仿宋" w:cs="仿宋"/>
                <w:color w:val="auto"/>
                <w:sz w:val="24"/>
                <w:szCs w:val="24"/>
                <w:highlight w:val="none"/>
                <w:vertAlign w:val="baseline"/>
                <w:lang w:val="en-US" w:eastAsia="zh-CN"/>
              </w:rPr>
            </w:pPr>
          </w:p>
        </w:tc>
        <w:tc>
          <w:tcPr>
            <w:tcW w:w="1561" w:type="dxa"/>
          </w:tcPr>
          <w:p w14:paraId="75D5E495">
            <w:pPr>
              <w:rPr>
                <w:rFonts w:hint="eastAsia" w:ascii="仿宋" w:hAnsi="仿宋" w:eastAsia="仿宋" w:cs="仿宋"/>
                <w:color w:val="auto"/>
                <w:sz w:val="24"/>
                <w:szCs w:val="24"/>
                <w:highlight w:val="none"/>
                <w:vertAlign w:val="baseline"/>
                <w:lang w:val="en-US" w:eastAsia="zh-CN"/>
              </w:rPr>
            </w:pPr>
          </w:p>
        </w:tc>
        <w:tc>
          <w:tcPr>
            <w:tcW w:w="1052" w:type="dxa"/>
          </w:tcPr>
          <w:p w14:paraId="051BDE1C">
            <w:pPr>
              <w:rPr>
                <w:rFonts w:hint="eastAsia" w:ascii="仿宋" w:hAnsi="仿宋" w:eastAsia="仿宋" w:cs="仿宋"/>
                <w:color w:val="auto"/>
                <w:sz w:val="24"/>
                <w:szCs w:val="24"/>
                <w:highlight w:val="none"/>
                <w:vertAlign w:val="baseline"/>
                <w:lang w:val="en-US" w:eastAsia="zh-CN"/>
              </w:rPr>
            </w:pPr>
          </w:p>
        </w:tc>
      </w:tr>
      <w:tr w14:paraId="2A60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75DE93F4">
            <w:pPr>
              <w:rPr>
                <w:rFonts w:hint="eastAsia" w:ascii="仿宋" w:hAnsi="仿宋" w:eastAsia="仿宋" w:cs="仿宋"/>
                <w:color w:val="auto"/>
                <w:sz w:val="24"/>
                <w:szCs w:val="24"/>
                <w:highlight w:val="none"/>
                <w:vertAlign w:val="baseline"/>
                <w:lang w:val="en-US" w:eastAsia="zh-CN"/>
              </w:rPr>
            </w:pPr>
          </w:p>
        </w:tc>
        <w:tc>
          <w:tcPr>
            <w:tcW w:w="1421" w:type="dxa"/>
          </w:tcPr>
          <w:p w14:paraId="45955BB6">
            <w:pPr>
              <w:rPr>
                <w:rFonts w:hint="eastAsia" w:ascii="仿宋" w:hAnsi="仿宋" w:eastAsia="仿宋" w:cs="仿宋"/>
                <w:color w:val="auto"/>
                <w:sz w:val="24"/>
                <w:szCs w:val="24"/>
                <w:highlight w:val="none"/>
                <w:vertAlign w:val="baseline"/>
                <w:lang w:val="en-US" w:eastAsia="zh-CN"/>
              </w:rPr>
            </w:pPr>
          </w:p>
        </w:tc>
        <w:tc>
          <w:tcPr>
            <w:tcW w:w="1901" w:type="dxa"/>
          </w:tcPr>
          <w:p w14:paraId="14359C04">
            <w:pPr>
              <w:rPr>
                <w:rFonts w:hint="eastAsia" w:ascii="仿宋" w:hAnsi="仿宋" w:eastAsia="仿宋" w:cs="仿宋"/>
                <w:color w:val="auto"/>
                <w:sz w:val="24"/>
                <w:szCs w:val="24"/>
                <w:highlight w:val="none"/>
                <w:vertAlign w:val="baseline"/>
                <w:lang w:val="en-US" w:eastAsia="zh-CN"/>
              </w:rPr>
            </w:pPr>
          </w:p>
        </w:tc>
        <w:tc>
          <w:tcPr>
            <w:tcW w:w="1753" w:type="dxa"/>
          </w:tcPr>
          <w:p w14:paraId="48D999F5">
            <w:pPr>
              <w:rPr>
                <w:rFonts w:hint="eastAsia" w:ascii="仿宋" w:hAnsi="仿宋" w:eastAsia="仿宋" w:cs="仿宋"/>
                <w:color w:val="auto"/>
                <w:sz w:val="24"/>
                <w:szCs w:val="24"/>
                <w:highlight w:val="none"/>
                <w:vertAlign w:val="baseline"/>
                <w:lang w:val="en-US" w:eastAsia="zh-CN"/>
              </w:rPr>
            </w:pPr>
          </w:p>
        </w:tc>
        <w:tc>
          <w:tcPr>
            <w:tcW w:w="1561" w:type="dxa"/>
          </w:tcPr>
          <w:p w14:paraId="67C79EA9">
            <w:pPr>
              <w:rPr>
                <w:rFonts w:hint="eastAsia" w:ascii="仿宋" w:hAnsi="仿宋" w:eastAsia="仿宋" w:cs="仿宋"/>
                <w:color w:val="auto"/>
                <w:sz w:val="24"/>
                <w:szCs w:val="24"/>
                <w:highlight w:val="none"/>
                <w:vertAlign w:val="baseline"/>
                <w:lang w:val="en-US" w:eastAsia="zh-CN"/>
              </w:rPr>
            </w:pPr>
          </w:p>
        </w:tc>
        <w:tc>
          <w:tcPr>
            <w:tcW w:w="1052" w:type="dxa"/>
          </w:tcPr>
          <w:p w14:paraId="23664EE1">
            <w:pPr>
              <w:rPr>
                <w:rFonts w:hint="eastAsia" w:ascii="仿宋" w:hAnsi="仿宋" w:eastAsia="仿宋" w:cs="仿宋"/>
                <w:color w:val="auto"/>
                <w:sz w:val="24"/>
                <w:szCs w:val="24"/>
                <w:highlight w:val="none"/>
                <w:vertAlign w:val="baseline"/>
                <w:lang w:val="en-US" w:eastAsia="zh-CN"/>
              </w:rPr>
            </w:pPr>
          </w:p>
        </w:tc>
      </w:tr>
      <w:tr w14:paraId="499C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3F7943DD">
            <w:pPr>
              <w:rPr>
                <w:rFonts w:hint="eastAsia" w:ascii="仿宋" w:hAnsi="仿宋" w:eastAsia="仿宋" w:cs="仿宋"/>
                <w:color w:val="auto"/>
                <w:sz w:val="24"/>
                <w:szCs w:val="24"/>
                <w:highlight w:val="none"/>
                <w:vertAlign w:val="baseline"/>
                <w:lang w:val="en-US" w:eastAsia="zh-CN"/>
              </w:rPr>
            </w:pPr>
          </w:p>
        </w:tc>
        <w:tc>
          <w:tcPr>
            <w:tcW w:w="1421" w:type="dxa"/>
          </w:tcPr>
          <w:p w14:paraId="5B69781E">
            <w:pPr>
              <w:rPr>
                <w:rFonts w:hint="eastAsia" w:ascii="仿宋" w:hAnsi="仿宋" w:eastAsia="仿宋" w:cs="仿宋"/>
                <w:color w:val="auto"/>
                <w:sz w:val="24"/>
                <w:szCs w:val="24"/>
                <w:highlight w:val="none"/>
                <w:vertAlign w:val="baseline"/>
                <w:lang w:val="en-US" w:eastAsia="zh-CN"/>
              </w:rPr>
            </w:pPr>
          </w:p>
        </w:tc>
        <w:tc>
          <w:tcPr>
            <w:tcW w:w="1901" w:type="dxa"/>
          </w:tcPr>
          <w:p w14:paraId="1D33B5AF">
            <w:pPr>
              <w:rPr>
                <w:rFonts w:hint="eastAsia" w:ascii="仿宋" w:hAnsi="仿宋" w:eastAsia="仿宋" w:cs="仿宋"/>
                <w:color w:val="auto"/>
                <w:sz w:val="24"/>
                <w:szCs w:val="24"/>
                <w:highlight w:val="none"/>
                <w:vertAlign w:val="baseline"/>
                <w:lang w:val="en-US" w:eastAsia="zh-CN"/>
              </w:rPr>
            </w:pPr>
          </w:p>
        </w:tc>
        <w:tc>
          <w:tcPr>
            <w:tcW w:w="1753" w:type="dxa"/>
          </w:tcPr>
          <w:p w14:paraId="5CFC706C">
            <w:pPr>
              <w:rPr>
                <w:rFonts w:hint="eastAsia" w:ascii="仿宋" w:hAnsi="仿宋" w:eastAsia="仿宋" w:cs="仿宋"/>
                <w:color w:val="auto"/>
                <w:sz w:val="24"/>
                <w:szCs w:val="24"/>
                <w:highlight w:val="none"/>
                <w:vertAlign w:val="baseline"/>
                <w:lang w:val="en-US" w:eastAsia="zh-CN"/>
              </w:rPr>
            </w:pPr>
          </w:p>
        </w:tc>
        <w:tc>
          <w:tcPr>
            <w:tcW w:w="1561" w:type="dxa"/>
          </w:tcPr>
          <w:p w14:paraId="5148A8A1">
            <w:pPr>
              <w:rPr>
                <w:rFonts w:hint="eastAsia" w:ascii="仿宋" w:hAnsi="仿宋" w:eastAsia="仿宋" w:cs="仿宋"/>
                <w:color w:val="auto"/>
                <w:sz w:val="24"/>
                <w:szCs w:val="24"/>
                <w:highlight w:val="none"/>
                <w:vertAlign w:val="baseline"/>
                <w:lang w:val="en-US" w:eastAsia="zh-CN"/>
              </w:rPr>
            </w:pPr>
          </w:p>
        </w:tc>
        <w:tc>
          <w:tcPr>
            <w:tcW w:w="1052" w:type="dxa"/>
          </w:tcPr>
          <w:p w14:paraId="4DA8323F">
            <w:pPr>
              <w:rPr>
                <w:rFonts w:hint="eastAsia" w:ascii="仿宋" w:hAnsi="仿宋" w:eastAsia="仿宋" w:cs="仿宋"/>
                <w:color w:val="auto"/>
                <w:sz w:val="24"/>
                <w:szCs w:val="24"/>
                <w:highlight w:val="none"/>
                <w:vertAlign w:val="baseline"/>
                <w:lang w:val="en-US" w:eastAsia="zh-CN"/>
              </w:rPr>
            </w:pPr>
          </w:p>
        </w:tc>
      </w:tr>
      <w:tr w14:paraId="3B3B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27ED1598">
            <w:pPr>
              <w:rPr>
                <w:rFonts w:hint="eastAsia" w:ascii="仿宋" w:hAnsi="仿宋" w:eastAsia="仿宋" w:cs="仿宋"/>
                <w:color w:val="auto"/>
                <w:sz w:val="24"/>
                <w:szCs w:val="24"/>
                <w:highlight w:val="none"/>
                <w:vertAlign w:val="baseline"/>
                <w:lang w:val="en-US" w:eastAsia="zh-CN"/>
              </w:rPr>
            </w:pPr>
          </w:p>
        </w:tc>
        <w:tc>
          <w:tcPr>
            <w:tcW w:w="1421" w:type="dxa"/>
          </w:tcPr>
          <w:p w14:paraId="06B5254A">
            <w:pPr>
              <w:rPr>
                <w:rFonts w:hint="eastAsia" w:ascii="仿宋" w:hAnsi="仿宋" w:eastAsia="仿宋" w:cs="仿宋"/>
                <w:color w:val="auto"/>
                <w:sz w:val="24"/>
                <w:szCs w:val="24"/>
                <w:highlight w:val="none"/>
                <w:vertAlign w:val="baseline"/>
                <w:lang w:val="en-US" w:eastAsia="zh-CN"/>
              </w:rPr>
            </w:pPr>
          </w:p>
        </w:tc>
        <w:tc>
          <w:tcPr>
            <w:tcW w:w="1901" w:type="dxa"/>
          </w:tcPr>
          <w:p w14:paraId="748D7152">
            <w:pPr>
              <w:rPr>
                <w:rFonts w:hint="eastAsia" w:ascii="仿宋" w:hAnsi="仿宋" w:eastAsia="仿宋" w:cs="仿宋"/>
                <w:color w:val="auto"/>
                <w:sz w:val="24"/>
                <w:szCs w:val="24"/>
                <w:highlight w:val="none"/>
                <w:vertAlign w:val="baseline"/>
                <w:lang w:val="en-US" w:eastAsia="zh-CN"/>
              </w:rPr>
            </w:pPr>
          </w:p>
        </w:tc>
        <w:tc>
          <w:tcPr>
            <w:tcW w:w="1753" w:type="dxa"/>
          </w:tcPr>
          <w:p w14:paraId="6685DAC3">
            <w:pPr>
              <w:rPr>
                <w:rFonts w:hint="eastAsia" w:ascii="仿宋" w:hAnsi="仿宋" w:eastAsia="仿宋" w:cs="仿宋"/>
                <w:color w:val="auto"/>
                <w:sz w:val="24"/>
                <w:szCs w:val="24"/>
                <w:highlight w:val="none"/>
                <w:vertAlign w:val="baseline"/>
                <w:lang w:val="en-US" w:eastAsia="zh-CN"/>
              </w:rPr>
            </w:pPr>
          </w:p>
        </w:tc>
        <w:tc>
          <w:tcPr>
            <w:tcW w:w="1561" w:type="dxa"/>
          </w:tcPr>
          <w:p w14:paraId="5F4A7D95">
            <w:pPr>
              <w:rPr>
                <w:rFonts w:hint="eastAsia" w:ascii="仿宋" w:hAnsi="仿宋" w:eastAsia="仿宋" w:cs="仿宋"/>
                <w:color w:val="auto"/>
                <w:sz w:val="24"/>
                <w:szCs w:val="24"/>
                <w:highlight w:val="none"/>
                <w:vertAlign w:val="baseline"/>
                <w:lang w:val="en-US" w:eastAsia="zh-CN"/>
              </w:rPr>
            </w:pPr>
          </w:p>
        </w:tc>
        <w:tc>
          <w:tcPr>
            <w:tcW w:w="1052" w:type="dxa"/>
          </w:tcPr>
          <w:p w14:paraId="0F8163A7">
            <w:pPr>
              <w:rPr>
                <w:rFonts w:hint="eastAsia" w:ascii="仿宋" w:hAnsi="仿宋" w:eastAsia="仿宋" w:cs="仿宋"/>
                <w:color w:val="auto"/>
                <w:sz w:val="24"/>
                <w:szCs w:val="24"/>
                <w:highlight w:val="none"/>
                <w:vertAlign w:val="baseline"/>
                <w:lang w:val="en-US" w:eastAsia="zh-CN"/>
              </w:rPr>
            </w:pPr>
          </w:p>
        </w:tc>
      </w:tr>
      <w:tr w14:paraId="7AD1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05B22934">
            <w:pPr>
              <w:rPr>
                <w:rFonts w:hint="eastAsia" w:ascii="仿宋" w:hAnsi="仿宋" w:eastAsia="仿宋" w:cs="仿宋"/>
                <w:color w:val="auto"/>
                <w:sz w:val="24"/>
                <w:szCs w:val="24"/>
                <w:highlight w:val="none"/>
                <w:vertAlign w:val="baseline"/>
                <w:lang w:val="en-US" w:eastAsia="zh-CN"/>
              </w:rPr>
            </w:pPr>
          </w:p>
        </w:tc>
        <w:tc>
          <w:tcPr>
            <w:tcW w:w="1421" w:type="dxa"/>
          </w:tcPr>
          <w:p w14:paraId="7943DEA4">
            <w:pPr>
              <w:rPr>
                <w:rFonts w:hint="eastAsia" w:ascii="仿宋" w:hAnsi="仿宋" w:eastAsia="仿宋" w:cs="仿宋"/>
                <w:color w:val="auto"/>
                <w:sz w:val="24"/>
                <w:szCs w:val="24"/>
                <w:highlight w:val="none"/>
                <w:vertAlign w:val="baseline"/>
                <w:lang w:val="en-US" w:eastAsia="zh-CN"/>
              </w:rPr>
            </w:pPr>
          </w:p>
        </w:tc>
        <w:tc>
          <w:tcPr>
            <w:tcW w:w="1901" w:type="dxa"/>
          </w:tcPr>
          <w:p w14:paraId="31DD6279">
            <w:pPr>
              <w:rPr>
                <w:rFonts w:hint="eastAsia" w:ascii="仿宋" w:hAnsi="仿宋" w:eastAsia="仿宋" w:cs="仿宋"/>
                <w:color w:val="auto"/>
                <w:sz w:val="24"/>
                <w:szCs w:val="24"/>
                <w:highlight w:val="none"/>
                <w:vertAlign w:val="baseline"/>
                <w:lang w:val="en-US" w:eastAsia="zh-CN"/>
              </w:rPr>
            </w:pPr>
          </w:p>
        </w:tc>
        <w:tc>
          <w:tcPr>
            <w:tcW w:w="1753" w:type="dxa"/>
          </w:tcPr>
          <w:p w14:paraId="227BA9A4">
            <w:pPr>
              <w:rPr>
                <w:rFonts w:hint="eastAsia" w:ascii="仿宋" w:hAnsi="仿宋" w:eastAsia="仿宋" w:cs="仿宋"/>
                <w:color w:val="auto"/>
                <w:sz w:val="24"/>
                <w:szCs w:val="24"/>
                <w:highlight w:val="none"/>
                <w:vertAlign w:val="baseline"/>
                <w:lang w:val="en-US" w:eastAsia="zh-CN"/>
              </w:rPr>
            </w:pPr>
          </w:p>
        </w:tc>
        <w:tc>
          <w:tcPr>
            <w:tcW w:w="1561" w:type="dxa"/>
          </w:tcPr>
          <w:p w14:paraId="480BDD4D">
            <w:pPr>
              <w:rPr>
                <w:rFonts w:hint="eastAsia" w:ascii="仿宋" w:hAnsi="仿宋" w:eastAsia="仿宋" w:cs="仿宋"/>
                <w:color w:val="auto"/>
                <w:sz w:val="24"/>
                <w:szCs w:val="24"/>
                <w:highlight w:val="none"/>
                <w:vertAlign w:val="baseline"/>
                <w:lang w:val="en-US" w:eastAsia="zh-CN"/>
              </w:rPr>
            </w:pPr>
          </w:p>
        </w:tc>
        <w:tc>
          <w:tcPr>
            <w:tcW w:w="1052" w:type="dxa"/>
          </w:tcPr>
          <w:p w14:paraId="4E38C906">
            <w:pPr>
              <w:rPr>
                <w:rFonts w:hint="eastAsia" w:ascii="仿宋" w:hAnsi="仿宋" w:eastAsia="仿宋" w:cs="仿宋"/>
                <w:color w:val="auto"/>
                <w:sz w:val="24"/>
                <w:szCs w:val="24"/>
                <w:highlight w:val="none"/>
                <w:vertAlign w:val="baseline"/>
                <w:lang w:val="en-US" w:eastAsia="zh-CN"/>
              </w:rPr>
            </w:pPr>
          </w:p>
        </w:tc>
      </w:tr>
    </w:tbl>
    <w:p w14:paraId="3DF586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8D7EC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对合同条款中的所有要求，除本表所列明的所有偏离外，均视作投标人已对之理解和响应。</w:t>
      </w:r>
    </w:p>
    <w:p w14:paraId="57879F11">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4"/>
          <w:szCs w:val="24"/>
          <w:highlight w:val="none"/>
          <w:lang w:val="en-US" w:eastAsia="zh-CN"/>
        </w:rPr>
      </w:pPr>
      <w:bookmarkStart w:id="44" w:name="_Toc6441"/>
      <w:r>
        <w:rPr>
          <w:rFonts w:hint="eastAsia" w:ascii="仿宋" w:hAnsi="仿宋" w:eastAsia="仿宋" w:cs="仿宋"/>
          <w:color w:val="auto"/>
          <w:sz w:val="24"/>
          <w:szCs w:val="24"/>
          <w:highlight w:val="none"/>
          <w:lang w:val="en-US" w:eastAsia="zh-CN"/>
        </w:rPr>
        <w:t>2. “偏离情况”列应据实填写“正偏离”或“负偏离”。</w:t>
      </w:r>
      <w:bookmarkEnd w:id="44"/>
    </w:p>
    <w:p w14:paraId="7AB2C0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54946D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6C41F3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xml:space="preserve">）： </w:t>
      </w:r>
    </w:p>
    <w:p w14:paraId="569F34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21B702DC">
      <w:pPr>
        <w:pStyle w:val="23"/>
        <w:rPr>
          <w:rFonts w:hint="eastAsia" w:ascii="仿宋" w:hAnsi="仿宋" w:eastAsia="仿宋" w:cs="仿宋"/>
          <w:color w:val="auto"/>
          <w:sz w:val="24"/>
          <w:szCs w:val="24"/>
          <w:highlight w:val="none"/>
          <w:lang w:val="en-US" w:eastAsia="zh-CN"/>
        </w:rPr>
      </w:pPr>
    </w:p>
    <w:p w14:paraId="591B9E3D">
      <w:pPr>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br w:type="page"/>
      </w:r>
    </w:p>
    <w:p w14:paraId="06967701">
      <w:pPr>
        <w:pStyle w:val="12"/>
        <w:ind w:left="0" w:leftChars="0" w:firstLine="0" w:firstLineChars="0"/>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11、采购需求偏离表</w:t>
      </w:r>
    </w:p>
    <w:p w14:paraId="41D5757D">
      <w:pPr>
        <w:pStyle w:val="12"/>
        <w:ind w:left="0" w:leftChars="0" w:firstLine="0" w:firstLineChars="0"/>
        <w:rPr>
          <w:rFonts w:hint="eastAsia" w:ascii="仿宋" w:hAnsi="仿宋" w:eastAsia="仿宋" w:cs="仿宋"/>
          <w:color w:val="auto"/>
          <w:sz w:val="24"/>
          <w:szCs w:val="24"/>
          <w:highlight w:val="none"/>
          <w:lang w:val="en-US" w:eastAsia="zh-CN"/>
        </w:rPr>
      </w:pPr>
    </w:p>
    <w:p w14:paraId="31762417">
      <w:pPr>
        <w:pStyle w:val="12"/>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采购需求偏离表</w:t>
      </w:r>
    </w:p>
    <w:p w14:paraId="13D0F15A">
      <w:pPr>
        <w:pStyle w:val="12"/>
        <w:ind w:left="0" w:leftChars="0" w:firstLine="0" w:firstLineChars="0"/>
        <w:rPr>
          <w:rFonts w:hint="eastAsia" w:ascii="仿宋" w:hAnsi="仿宋" w:eastAsia="仿宋" w:cs="仿宋"/>
          <w:color w:val="auto"/>
          <w:sz w:val="24"/>
          <w:szCs w:val="24"/>
          <w:highlight w:val="none"/>
          <w:lang w:val="en-US" w:eastAsia="zh-CN"/>
        </w:rPr>
      </w:pPr>
    </w:p>
    <w:p w14:paraId="4CBBACF3">
      <w:pPr>
        <w:pStyle w:val="12"/>
        <w:ind w:left="0" w:leftChars="0" w:firstLine="0" w:firstLineChars="0"/>
        <w:jc w:val="lef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项目编号</w:t>
      </w:r>
      <w:r>
        <w:rPr>
          <w:rFonts w:hint="eastAsia" w:ascii="仿宋" w:hAnsi="仿宋" w:eastAsia="仿宋" w:cs="仿宋"/>
          <w:color w:val="auto"/>
          <w:highlight w:val="none"/>
          <w:u w:val="single"/>
          <w:lang w:val="en-US" w:eastAsia="zh-CN"/>
        </w:rPr>
        <w:t xml:space="preserve">                        </w:t>
      </w:r>
    </w:p>
    <w:p w14:paraId="46F66138">
      <w:pPr>
        <w:rPr>
          <w:rFonts w:hint="default"/>
          <w:color w:val="auto"/>
          <w:highlight w:val="none"/>
          <w:lang w:val="en-US" w:eastAsia="zh-CN"/>
        </w:rPr>
      </w:pPr>
      <w:r>
        <w:rPr>
          <w:rFonts w:hint="eastAsia" w:ascii="仿宋" w:hAnsi="仿宋" w:eastAsia="仿宋" w:cs="仿宋"/>
          <w:color w:val="auto"/>
          <w:highlight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w:t>
      </w:r>
    </w:p>
    <w:p w14:paraId="5A10A380">
      <w:pPr>
        <w:pStyle w:val="12"/>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2900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6E2C4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1AF5D0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30AEBE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64F11B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1E82A1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3C2BF2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14:paraId="398219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7DA8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BE2A9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444975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41CA01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7E6A8F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60E97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2FA58E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5232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04B7B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C9AA7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076962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F7E74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6987E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FCE62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582C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CEBD3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61DF86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27158D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DB02A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89DC3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3756E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0EC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8F2DA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FC622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FECF2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5C1C5E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BF30B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24A0E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ECC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38F7A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3A1CA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BC082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61720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42A22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1F6E5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B15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B3D39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00ABB5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6675D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62CFA9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759B3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78395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1D3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5C2BE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1591D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47132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F29E0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3646C3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906EF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471934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3C7AF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 投标人应对招标文件第五章采购需求的内容给予逐条响应，以投标产品和服务所能达到的内容予以填写，有具体参数的应填写具体参数。 </w:t>
      </w:r>
    </w:p>
    <w:p w14:paraId="051846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2.在本表中未对招标文件第五章采购需求的内容给予逐条响应的视为没有实质上响应招标文件的要求，</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 此表中仅标注“全部满足”、“全部响应”等，无法体现投标人实质性响应的；或无任何文字说明，内容为空白的，其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w:t>
      </w:r>
    </w:p>
    <w:p w14:paraId="6B5022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投标人应按照招标文件第五章采购需求中要求提供投标产品技术支持资料（或证明材料），并在采购需求响应及偏离表中给予文件名称、所处投标文件页码或位置等必要说明</w:t>
      </w:r>
    </w:p>
    <w:p w14:paraId="0679A1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4.“偏离情况”列应据实填写“正偏离”、“负偏离”或“无偏离”。</w:t>
      </w:r>
    </w:p>
    <w:p w14:paraId="466593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____________</w:t>
      </w:r>
    </w:p>
    <w:p w14:paraId="12E1DA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374DAB47">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0280761">
      <w:pPr>
        <w:pStyle w:val="12"/>
        <w:ind w:left="0" w:leftChars="0" w:firstLine="0" w:firstLineChars="0"/>
        <w:outlineLvl w:val="2"/>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24"/>
          <w:szCs w:val="24"/>
          <w:highlight w:val="none"/>
          <w:lang w:val="en-US" w:eastAsia="zh-CN"/>
        </w:rPr>
        <w:t>12、投标产品品牌、型号明细表</w:t>
      </w:r>
    </w:p>
    <w:p w14:paraId="39CC6AE2">
      <w:pPr>
        <w:pStyle w:val="23"/>
        <w:ind w:left="0" w:leftChars="0" w:firstLine="0" w:firstLineChars="0"/>
        <w:jc w:val="center"/>
        <w:rPr>
          <w:rFonts w:hint="eastAsia" w:ascii="仿宋" w:hAnsi="仿宋" w:eastAsia="仿宋" w:cs="仿宋"/>
          <w:b/>
          <w:bCs/>
          <w:color w:val="auto"/>
          <w:sz w:val="32"/>
          <w:szCs w:val="32"/>
          <w:highlight w:val="none"/>
          <w:lang w:val="en-US" w:eastAsia="zh-CN"/>
        </w:rPr>
      </w:pPr>
    </w:p>
    <w:p w14:paraId="2E24E9E3">
      <w:pPr>
        <w:pStyle w:val="23"/>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投标产品品牌、型号明细表</w:t>
      </w:r>
    </w:p>
    <w:p w14:paraId="3F6B3C42">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14:paraId="79CE25DA">
      <w:pPr>
        <w:rPr>
          <w:rFonts w:hint="eastAsia" w:ascii="仿宋" w:hAnsi="仿宋" w:eastAsia="仿宋" w:cs="仿宋"/>
          <w:color w:val="auto"/>
          <w:highlight w:val="none"/>
          <w:u w:val="none"/>
          <w:lang w:val="en-US" w:eastAsia="zh-CN"/>
        </w:rPr>
      </w:pPr>
    </w:p>
    <w:p w14:paraId="0A38D314">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p>
    <w:p w14:paraId="46B6C81A">
      <w:pPr>
        <w:rPr>
          <w:rFonts w:hint="eastAsia" w:ascii="仿宋" w:hAnsi="仿宋" w:eastAsia="仿宋" w:cs="仿宋"/>
          <w:color w:val="auto"/>
          <w:highlight w:val="none"/>
          <w:u w:val="single"/>
          <w:lang w:val="en-US" w:eastAsia="zh-CN"/>
        </w:rPr>
      </w:pPr>
    </w:p>
    <w:tbl>
      <w:tblPr>
        <w:tblStyle w:val="25"/>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2661"/>
        <w:gridCol w:w="1410"/>
        <w:gridCol w:w="1554"/>
        <w:gridCol w:w="1857"/>
      </w:tblGrid>
      <w:tr w14:paraId="455B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69635242">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2661" w:type="dxa"/>
            <w:vAlign w:val="center"/>
          </w:tcPr>
          <w:p w14:paraId="3E3AE2F0">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货物（或服务）名称</w:t>
            </w:r>
          </w:p>
        </w:tc>
        <w:tc>
          <w:tcPr>
            <w:tcW w:w="1410" w:type="dxa"/>
            <w:vAlign w:val="center"/>
          </w:tcPr>
          <w:p w14:paraId="539E1A42">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1554" w:type="dxa"/>
            <w:vAlign w:val="center"/>
          </w:tcPr>
          <w:p w14:paraId="2564346B">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型号</w:t>
            </w:r>
          </w:p>
        </w:tc>
        <w:tc>
          <w:tcPr>
            <w:tcW w:w="1857" w:type="dxa"/>
            <w:vAlign w:val="center"/>
          </w:tcPr>
          <w:p w14:paraId="092918E5">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13E4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1F9302EB">
            <w:pPr>
              <w:pStyle w:val="11"/>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14:paraId="59EBC1F0">
            <w:pPr>
              <w:pStyle w:val="11"/>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4E3BAF34">
            <w:pPr>
              <w:pStyle w:val="11"/>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14:paraId="1E9DCB7C">
            <w:pPr>
              <w:pStyle w:val="11"/>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14:paraId="21CC4B7A">
            <w:pPr>
              <w:pStyle w:val="11"/>
              <w:jc w:val="center"/>
              <w:rPr>
                <w:rFonts w:hint="eastAsia" w:ascii="仿宋" w:hAnsi="仿宋" w:eastAsia="仿宋" w:cs="仿宋"/>
                <w:color w:val="auto"/>
                <w:sz w:val="21"/>
                <w:szCs w:val="21"/>
                <w:highlight w:val="none"/>
                <w:vertAlign w:val="baseline"/>
                <w:lang w:val="en-US" w:eastAsia="zh-CN"/>
              </w:rPr>
            </w:pPr>
          </w:p>
        </w:tc>
      </w:tr>
      <w:tr w14:paraId="4779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43245CA9">
            <w:pPr>
              <w:pStyle w:val="11"/>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14:paraId="116E81BC">
            <w:pPr>
              <w:pStyle w:val="11"/>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3815357E">
            <w:pPr>
              <w:pStyle w:val="11"/>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14:paraId="633ADBB7">
            <w:pPr>
              <w:pStyle w:val="11"/>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14:paraId="13AB3D77">
            <w:pPr>
              <w:pStyle w:val="11"/>
              <w:jc w:val="center"/>
              <w:rPr>
                <w:rFonts w:hint="eastAsia" w:ascii="仿宋" w:hAnsi="仿宋" w:eastAsia="仿宋" w:cs="仿宋"/>
                <w:color w:val="auto"/>
                <w:sz w:val="21"/>
                <w:szCs w:val="21"/>
                <w:highlight w:val="none"/>
                <w:vertAlign w:val="baseline"/>
                <w:lang w:val="en-US" w:eastAsia="zh-CN"/>
              </w:rPr>
            </w:pPr>
          </w:p>
        </w:tc>
      </w:tr>
      <w:tr w14:paraId="0F1E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417C4076">
            <w:pPr>
              <w:pStyle w:val="11"/>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14:paraId="0302FFBB">
            <w:pPr>
              <w:pStyle w:val="11"/>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25831745">
            <w:pPr>
              <w:pStyle w:val="11"/>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14:paraId="50BE876C">
            <w:pPr>
              <w:pStyle w:val="11"/>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14:paraId="1F87A671">
            <w:pPr>
              <w:pStyle w:val="11"/>
              <w:jc w:val="center"/>
              <w:rPr>
                <w:rFonts w:hint="eastAsia" w:ascii="仿宋" w:hAnsi="仿宋" w:eastAsia="仿宋" w:cs="仿宋"/>
                <w:color w:val="auto"/>
                <w:sz w:val="21"/>
                <w:szCs w:val="21"/>
                <w:highlight w:val="none"/>
                <w:vertAlign w:val="baseline"/>
                <w:lang w:val="en-US" w:eastAsia="zh-CN"/>
              </w:rPr>
            </w:pPr>
          </w:p>
        </w:tc>
      </w:tr>
      <w:tr w14:paraId="2FC1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72848ACE">
            <w:pPr>
              <w:pStyle w:val="11"/>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14:paraId="3E563B68">
            <w:pPr>
              <w:pStyle w:val="11"/>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6D7B73F0">
            <w:pPr>
              <w:pStyle w:val="11"/>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14:paraId="582EE526">
            <w:pPr>
              <w:pStyle w:val="11"/>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14:paraId="47957C75">
            <w:pPr>
              <w:pStyle w:val="11"/>
              <w:jc w:val="center"/>
              <w:rPr>
                <w:rFonts w:hint="eastAsia" w:ascii="仿宋" w:hAnsi="仿宋" w:eastAsia="仿宋" w:cs="仿宋"/>
                <w:color w:val="auto"/>
                <w:sz w:val="21"/>
                <w:szCs w:val="21"/>
                <w:highlight w:val="none"/>
                <w:vertAlign w:val="baseline"/>
                <w:lang w:val="en-US" w:eastAsia="zh-CN"/>
              </w:rPr>
            </w:pPr>
          </w:p>
        </w:tc>
      </w:tr>
    </w:tbl>
    <w:p w14:paraId="5A02C422">
      <w:pPr>
        <w:rPr>
          <w:rFonts w:hint="eastAsia" w:ascii="仿宋" w:hAnsi="仿宋" w:eastAsia="仿宋" w:cs="仿宋"/>
          <w:b/>
          <w:bCs/>
          <w:color w:val="auto"/>
          <w:sz w:val="24"/>
          <w:szCs w:val="24"/>
          <w:highlight w:val="none"/>
          <w:lang w:val="en-US" w:eastAsia="zh-CN"/>
        </w:rPr>
      </w:pPr>
    </w:p>
    <w:p w14:paraId="0C32F805">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val="0"/>
          <w:bCs w:val="0"/>
          <w:color w:val="auto"/>
          <w:sz w:val="24"/>
          <w:szCs w:val="24"/>
          <w:highlight w:val="none"/>
          <w:lang w:val="en-US" w:eastAsia="zh-CN"/>
        </w:rPr>
        <w:t>1、本表中与“投标报价明细表”相同内容应相互一致，否则</w:t>
      </w:r>
      <w:r>
        <w:rPr>
          <w:rFonts w:hint="eastAsia" w:ascii="仿宋" w:hAnsi="仿宋" w:eastAsia="仿宋" w:cs="仿宋"/>
          <w:b/>
          <w:bCs/>
          <w:color w:val="auto"/>
          <w:sz w:val="24"/>
          <w:szCs w:val="24"/>
          <w:highlight w:val="none"/>
          <w:lang w:val="en-US" w:eastAsia="zh-CN"/>
        </w:rPr>
        <w:t>投标无效。</w:t>
      </w:r>
    </w:p>
    <w:p w14:paraId="519B5D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658CB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19A1F5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xml:space="preserve">）： </w:t>
      </w:r>
    </w:p>
    <w:p w14:paraId="2D6C43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51E6EF10">
      <w:pPr>
        <w:rPr>
          <w:rFonts w:hint="eastAsia" w:ascii="仿宋" w:hAnsi="仿宋" w:eastAsia="仿宋" w:cs="仿宋"/>
          <w:b/>
          <w:bCs/>
          <w:color w:val="auto"/>
          <w:sz w:val="24"/>
          <w:szCs w:val="24"/>
          <w:highlight w:val="none"/>
          <w:lang w:val="en-US" w:eastAsia="zh-CN"/>
        </w:rPr>
      </w:pPr>
    </w:p>
    <w:p w14:paraId="7A2780B1">
      <w:pPr>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16FFC513">
      <w:pPr>
        <w:keepNext w:val="0"/>
        <w:keepLines w:val="0"/>
        <w:pageBreakBefore w:val="0"/>
        <w:kinsoku/>
        <w:wordWrap/>
        <w:overflowPunct/>
        <w:topLinePunct w:val="0"/>
        <w:autoSpaceDE/>
        <w:autoSpaceDN/>
        <w:bidi w:val="0"/>
        <w:spacing w:line="360" w:lineRule="auto"/>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13、招标文件要求提供或投标人认为应附的其他商务技术文件</w:t>
      </w:r>
    </w:p>
    <w:p w14:paraId="00744B37">
      <w:pPr>
        <w:pStyle w:val="3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投标人应根据招标文件的规定自行编写， 详细叙述拟提供产品/服务情况。</w:t>
      </w:r>
    </w:p>
    <w:p w14:paraId="48F50EF7">
      <w:pPr>
        <w:pStyle w:val="3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CEA9D6C">
      <w:pPr>
        <w:keepNext/>
        <w:keepLines/>
        <w:widowControl w:val="0"/>
        <w:spacing w:before="0" w:after="260" w:line="240" w:lineRule="atLeast"/>
        <w:jc w:val="both"/>
        <w:outlineLvl w:val="2"/>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1</w:t>
      </w:r>
      <w:bookmarkStart w:id="45" w:name="_Hlt520273973"/>
      <w:bookmarkEnd w:id="45"/>
      <w:bookmarkStart w:id="46" w:name="_Hlt520274065"/>
      <w:bookmarkEnd w:id="46"/>
      <w:bookmarkStart w:id="47" w:name="_Hlt520343000"/>
      <w:bookmarkEnd w:id="47"/>
      <w:bookmarkStart w:id="48" w:name="_Hlt520271212"/>
      <w:bookmarkEnd w:id="48"/>
      <w:bookmarkStart w:id="49" w:name="_Hlt520350918"/>
      <w:bookmarkEnd w:id="49"/>
      <w:bookmarkStart w:id="50" w:name="_Hlt520274911"/>
      <w:bookmarkEnd w:id="50"/>
      <w:bookmarkStart w:id="51" w:name="_Hlt520343392"/>
      <w:bookmarkEnd w:id="51"/>
      <w:bookmarkStart w:id="52" w:name="_Hlt520274393"/>
      <w:bookmarkEnd w:id="52"/>
      <w:bookmarkStart w:id="53" w:name="_Hlt520273711"/>
      <w:bookmarkEnd w:id="53"/>
      <w:bookmarkStart w:id="54" w:name="_Hlt520350957"/>
      <w:bookmarkEnd w:id="54"/>
      <w:bookmarkStart w:id="55" w:name="_Hlt520274407"/>
      <w:bookmarkEnd w:id="55"/>
      <w:bookmarkStart w:id="56" w:name="_Toc216582821"/>
      <w:bookmarkStart w:id="57" w:name="_Toc216513801"/>
      <w:r>
        <w:rPr>
          <w:rFonts w:hint="eastAsia" w:ascii="仿宋" w:hAnsi="仿宋" w:eastAsia="仿宋" w:cs="仿宋"/>
          <w:b/>
          <w:bCs/>
          <w:color w:val="auto"/>
          <w:kern w:val="2"/>
          <w:sz w:val="24"/>
          <w:szCs w:val="32"/>
          <w:highlight w:val="none"/>
          <w:lang w:val="en-US" w:eastAsia="zh-CN" w:bidi="ar-SA"/>
        </w:rPr>
        <w:t>4、中标服务费承诺书</w:t>
      </w:r>
    </w:p>
    <w:p w14:paraId="0B5B11F0">
      <w:pPr>
        <w:spacing w:line="240" w:lineRule="atLeast"/>
        <w:ind w:left="1080" w:leftChars="257" w:hanging="540"/>
        <w:rPr>
          <w:rFonts w:hint="eastAsia" w:ascii="仿宋" w:hAnsi="仿宋" w:eastAsia="仿宋" w:cs="仿宋"/>
          <w:b/>
          <w:color w:val="auto"/>
          <w:sz w:val="24"/>
          <w:highlight w:val="none"/>
        </w:rPr>
      </w:pPr>
    </w:p>
    <w:p w14:paraId="31B0D4D3">
      <w:pPr>
        <w:spacing w:line="240" w:lineRule="atLeast"/>
        <w:ind w:left="1080" w:leftChars="257" w:hanging="54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中标服务费承诺书</w:t>
      </w:r>
    </w:p>
    <w:p w14:paraId="3269CCBD">
      <w:pPr>
        <w:spacing w:line="440" w:lineRule="exact"/>
        <w:ind w:left="1080" w:hanging="1080"/>
        <w:rPr>
          <w:rFonts w:hint="eastAsia" w:ascii="仿宋" w:hAnsi="仿宋" w:eastAsia="仿宋" w:cs="仿宋"/>
          <w:color w:val="auto"/>
          <w:sz w:val="24"/>
          <w:highlight w:val="none"/>
        </w:rPr>
      </w:pPr>
    </w:p>
    <w:p w14:paraId="1CE81B0E">
      <w:pPr>
        <w:spacing w:line="44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新疆世纪星工程咨询有限公司</w:t>
      </w:r>
    </w:p>
    <w:p w14:paraId="6E373937">
      <w:pPr>
        <w:spacing w:line="440" w:lineRule="exact"/>
        <w:ind w:left="1080" w:leftChars="257" w:hanging="540"/>
        <w:rPr>
          <w:rFonts w:hint="eastAsia" w:ascii="仿宋" w:hAnsi="仿宋" w:eastAsia="仿宋" w:cs="仿宋"/>
          <w:color w:val="auto"/>
          <w:sz w:val="24"/>
          <w:highlight w:val="none"/>
        </w:rPr>
      </w:pPr>
    </w:p>
    <w:p w14:paraId="22C9860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我们在贵公司组织的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项目名称、项目编号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项目招标中若获得中标资格，我们保证在领取中标通知书的同时按招标文件的规定，以支票、电汇等形式，向贵公司一次性支付应由我们交纳的中标服务费用。</w:t>
      </w:r>
    </w:p>
    <w:p w14:paraId="06DE0699">
      <w:pPr>
        <w:spacing w:line="44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42470B3">
      <w:pPr>
        <w:spacing w:line="440" w:lineRule="exact"/>
        <w:ind w:left="1080" w:leftChars="257" w:hanging="540"/>
        <w:rPr>
          <w:rFonts w:hint="eastAsia" w:ascii="仿宋" w:hAnsi="仿宋" w:eastAsia="仿宋" w:cs="仿宋"/>
          <w:color w:val="auto"/>
          <w:sz w:val="24"/>
          <w:highlight w:val="none"/>
        </w:rPr>
      </w:pPr>
    </w:p>
    <w:p w14:paraId="64469A61">
      <w:pPr>
        <w:spacing w:line="440" w:lineRule="exact"/>
        <w:ind w:left="1080" w:leftChars="257" w:hanging="540"/>
        <w:rPr>
          <w:rFonts w:hint="eastAsia" w:ascii="仿宋" w:hAnsi="仿宋" w:eastAsia="仿宋" w:cs="仿宋"/>
          <w:color w:val="auto"/>
          <w:sz w:val="24"/>
          <w:highlight w:val="none"/>
        </w:rPr>
      </w:pPr>
    </w:p>
    <w:p w14:paraId="2BCA1C9A">
      <w:pPr>
        <w:spacing w:line="440" w:lineRule="exact"/>
        <w:ind w:left="1080" w:leftChars="257" w:hanging="540"/>
        <w:rPr>
          <w:rFonts w:hint="eastAsia" w:ascii="仿宋" w:hAnsi="仿宋" w:eastAsia="仿宋" w:cs="仿宋"/>
          <w:color w:val="auto"/>
          <w:sz w:val="24"/>
          <w:highlight w:val="none"/>
        </w:rPr>
      </w:pPr>
    </w:p>
    <w:p w14:paraId="090BE07B">
      <w:pPr>
        <w:spacing w:line="440" w:lineRule="exact"/>
        <w:ind w:left="1080" w:leftChars="257" w:hanging="540"/>
        <w:rPr>
          <w:rFonts w:hint="eastAsia" w:ascii="仿宋" w:hAnsi="仿宋" w:eastAsia="仿宋" w:cs="仿宋"/>
          <w:color w:val="auto"/>
          <w:sz w:val="24"/>
          <w:highlight w:val="none"/>
        </w:rPr>
      </w:pPr>
    </w:p>
    <w:p w14:paraId="08E47E2F">
      <w:pPr>
        <w:spacing w:line="440" w:lineRule="exact"/>
        <w:ind w:left="1080" w:hanging="1080"/>
        <w:rPr>
          <w:rFonts w:hint="eastAsia" w:ascii="仿宋" w:hAnsi="仿宋" w:eastAsia="仿宋" w:cs="仿宋"/>
          <w:color w:val="auto"/>
          <w:sz w:val="24"/>
          <w:highlight w:val="none"/>
        </w:rPr>
      </w:pPr>
    </w:p>
    <w:p w14:paraId="16930E31">
      <w:pPr>
        <w:spacing w:line="440" w:lineRule="exact"/>
        <w:ind w:left="1413" w:leftChars="273"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30567016">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3C000B75">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5BA47C0E">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404AEA0B">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w:t>
      </w:r>
      <w:r>
        <w:rPr>
          <w:rFonts w:hint="eastAsia" w:ascii="仿宋" w:hAnsi="仿宋" w:eastAsia="仿宋" w:cs="仿宋"/>
          <w:color w:val="auto"/>
          <w:sz w:val="24"/>
          <w:highlight w:val="none"/>
          <w:lang w:val="en-US" w:eastAsia="zh-CN"/>
        </w:rPr>
        <w:t>法定代表人或法定代表人授权代表（</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3EF49FB6">
      <w:pPr>
        <w:spacing w:line="440" w:lineRule="exact"/>
        <w:ind w:left="1620" w:leftChars="257" w:hanging="10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bookmarkEnd w:id="56"/>
      <w:bookmarkEnd w:id="57"/>
    </w:p>
    <w:p w14:paraId="19FCD7C7">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14:paraId="1915BFFE">
      <w:pPr>
        <w:widowControl w:val="0"/>
        <w:spacing w:before="1"/>
        <w:jc w:val="both"/>
        <w:outlineLvl w:val="2"/>
        <w:rPr>
          <w:rFonts w:hint="eastAsia" w:ascii="仿宋" w:hAnsi="仿宋" w:eastAsia="仿宋" w:cs="仿宋"/>
          <w:b/>
          <w:bCs/>
          <w:color w:val="auto"/>
          <w:kern w:val="2"/>
          <w:sz w:val="24"/>
          <w:szCs w:val="24"/>
          <w:highlight w:val="none"/>
          <w:lang w:val="zh-CN" w:eastAsia="zh-CN" w:bidi="zh-CN"/>
        </w:rPr>
      </w:pPr>
      <w:bookmarkStart w:id="58" w:name="_Toc15106"/>
      <w:bookmarkStart w:id="59" w:name="_Toc20782"/>
      <w:bookmarkStart w:id="60" w:name="_Toc17899"/>
      <w:bookmarkStart w:id="61" w:name="_Toc24678"/>
      <w:bookmarkStart w:id="62" w:name="_Toc8649"/>
      <w:r>
        <w:rPr>
          <w:rFonts w:hint="eastAsia" w:ascii="仿宋" w:hAnsi="仿宋" w:eastAsia="仿宋" w:cs="仿宋"/>
          <w:b/>
          <w:bCs/>
          <w:color w:val="auto"/>
          <w:kern w:val="2"/>
          <w:sz w:val="24"/>
          <w:szCs w:val="24"/>
          <w:highlight w:val="none"/>
          <w:lang w:val="en-US" w:eastAsia="zh-CN" w:bidi="zh-CN"/>
        </w:rPr>
        <w:t>15、</w:t>
      </w:r>
      <w:r>
        <w:rPr>
          <w:rFonts w:hint="eastAsia" w:ascii="仿宋" w:hAnsi="仿宋" w:eastAsia="仿宋" w:cs="仿宋"/>
          <w:b/>
          <w:bCs/>
          <w:color w:val="auto"/>
          <w:kern w:val="2"/>
          <w:sz w:val="24"/>
          <w:szCs w:val="24"/>
          <w:highlight w:val="none"/>
          <w:lang w:val="zh-CN" w:eastAsia="zh-CN" w:bidi="zh-CN"/>
        </w:rPr>
        <w:t>保证金信息表（</w:t>
      </w:r>
      <w:r>
        <w:rPr>
          <w:rFonts w:hint="eastAsia" w:ascii="仿宋" w:hAnsi="仿宋" w:eastAsia="仿宋" w:cs="仿宋"/>
          <w:b/>
          <w:bCs/>
          <w:color w:val="auto"/>
          <w:kern w:val="2"/>
          <w:sz w:val="24"/>
          <w:szCs w:val="24"/>
          <w:highlight w:val="none"/>
          <w:lang w:val="en-US" w:eastAsia="zh-CN" w:bidi="zh-CN"/>
        </w:rPr>
        <w:t>保函方式提交的无需提供</w:t>
      </w:r>
      <w:r>
        <w:rPr>
          <w:rFonts w:hint="eastAsia" w:ascii="仿宋" w:hAnsi="仿宋" w:eastAsia="仿宋" w:cs="仿宋"/>
          <w:b/>
          <w:bCs/>
          <w:color w:val="auto"/>
          <w:kern w:val="2"/>
          <w:sz w:val="24"/>
          <w:szCs w:val="24"/>
          <w:highlight w:val="none"/>
          <w:lang w:val="zh-CN" w:eastAsia="zh-CN" w:bidi="zh-CN"/>
        </w:rPr>
        <w:t>）</w:t>
      </w:r>
      <w:bookmarkEnd w:id="58"/>
      <w:bookmarkEnd w:id="59"/>
      <w:bookmarkEnd w:id="60"/>
      <w:bookmarkEnd w:id="61"/>
      <w:bookmarkEnd w:id="62"/>
    </w:p>
    <w:p w14:paraId="728C5CCD">
      <w:pPr>
        <w:pStyle w:val="18"/>
        <w:spacing w:line="440" w:lineRule="exact"/>
        <w:jc w:val="center"/>
        <w:outlineLvl w:val="9"/>
        <w:rPr>
          <w:rFonts w:hint="eastAsia" w:ascii="仿宋" w:hAnsi="仿宋" w:eastAsia="仿宋" w:cs="仿宋"/>
          <w:b/>
          <w:color w:val="auto"/>
          <w:sz w:val="32"/>
          <w:szCs w:val="32"/>
          <w:highlight w:val="none"/>
        </w:rPr>
      </w:pPr>
    </w:p>
    <w:p w14:paraId="64E7D2B6">
      <w:pPr>
        <w:pStyle w:val="18"/>
        <w:spacing w:line="440" w:lineRule="exact"/>
        <w:jc w:val="center"/>
        <w:outlineLvl w:val="9"/>
        <w:rPr>
          <w:rFonts w:hint="eastAsia" w:ascii="仿宋" w:hAnsi="仿宋" w:eastAsia="仿宋" w:cs="仿宋"/>
          <w:b/>
          <w:color w:val="auto"/>
          <w:sz w:val="32"/>
          <w:szCs w:val="32"/>
          <w:highlight w:val="none"/>
        </w:rPr>
      </w:pPr>
      <w:bookmarkStart w:id="63" w:name="_Toc28181"/>
      <w:bookmarkStart w:id="64" w:name="_Toc25967"/>
      <w:bookmarkStart w:id="65" w:name="_Toc4940"/>
      <w:bookmarkStart w:id="66" w:name="_Toc16938"/>
      <w:bookmarkStart w:id="67" w:name="_Toc31463"/>
      <w:bookmarkStart w:id="68" w:name="_Toc14307"/>
      <w:bookmarkStart w:id="69" w:name="_Toc27316"/>
      <w:r>
        <w:rPr>
          <w:rFonts w:hint="eastAsia" w:ascii="仿宋" w:hAnsi="仿宋" w:eastAsia="仿宋" w:cs="仿宋"/>
          <w:b/>
          <w:color w:val="auto"/>
          <w:sz w:val="24"/>
          <w:szCs w:val="24"/>
          <w:highlight w:val="none"/>
        </w:rPr>
        <w:t>退还保证金申请函</w:t>
      </w:r>
      <w:bookmarkEnd w:id="63"/>
      <w:bookmarkEnd w:id="64"/>
      <w:bookmarkEnd w:id="65"/>
      <w:bookmarkEnd w:id="66"/>
      <w:bookmarkEnd w:id="67"/>
      <w:bookmarkEnd w:id="68"/>
      <w:bookmarkEnd w:id="69"/>
    </w:p>
    <w:p w14:paraId="7B4494F2">
      <w:pPr>
        <w:spacing w:line="360" w:lineRule="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eastAsia="zh-CN"/>
        </w:rPr>
        <w:t>新疆世纪星工程咨询有限公司</w:t>
      </w:r>
    </w:p>
    <w:p w14:paraId="0112D2B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投标人</w:t>
      </w:r>
      <w:r>
        <w:rPr>
          <w:rFonts w:hint="eastAsia" w:ascii="仿宋" w:hAnsi="仿宋" w:eastAsia="仿宋" w:cs="仿宋"/>
          <w:color w:val="auto"/>
          <w:sz w:val="21"/>
          <w:szCs w:val="21"/>
          <w:highlight w:val="none"/>
          <w:u w:val="single"/>
        </w:rPr>
        <w:t xml:space="preserve">全称) </w:t>
      </w:r>
      <w:r>
        <w:rPr>
          <w:rFonts w:hint="eastAsia" w:ascii="仿宋" w:hAnsi="仿宋" w:eastAsia="仿宋" w:cs="仿宋"/>
          <w:color w:val="auto"/>
          <w:sz w:val="21"/>
          <w:szCs w:val="21"/>
          <w:highlight w:val="none"/>
        </w:rPr>
        <w:t>参加贵方组织的，</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采购活动。按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文件的规定，已通过</w:t>
      </w:r>
      <w:r>
        <w:rPr>
          <w:rFonts w:hint="eastAsia" w:ascii="仿宋" w:hAnsi="仿宋" w:eastAsia="仿宋" w:cs="仿宋"/>
          <w:color w:val="auto"/>
          <w:sz w:val="21"/>
          <w:szCs w:val="21"/>
          <w:highlight w:val="none"/>
          <w:u w:val="single"/>
        </w:rPr>
        <w:t>银行转帐/银行汇款</w:t>
      </w:r>
      <w:r>
        <w:rPr>
          <w:rFonts w:hint="eastAsia" w:ascii="仿宋" w:hAnsi="仿宋" w:eastAsia="仿宋" w:cs="仿宋"/>
          <w:color w:val="auto"/>
          <w:sz w:val="21"/>
          <w:szCs w:val="21"/>
          <w:highlight w:val="none"/>
        </w:rPr>
        <w:t>形式缴纳人民币</w:t>
      </w:r>
      <w:r>
        <w:rPr>
          <w:rFonts w:hint="eastAsia" w:ascii="仿宋" w:hAnsi="仿宋" w:eastAsia="仿宋" w:cs="仿宋"/>
          <w:color w:val="auto"/>
          <w:sz w:val="21"/>
          <w:szCs w:val="21"/>
          <w:highlight w:val="none"/>
          <w:u w:val="single"/>
        </w:rPr>
        <w:t xml:space="preserve">（大写）  　　  </w:t>
      </w:r>
      <w:r>
        <w:rPr>
          <w:rFonts w:hint="eastAsia" w:ascii="仿宋" w:hAnsi="仿宋" w:eastAsia="仿宋" w:cs="仿宋"/>
          <w:color w:val="auto"/>
          <w:sz w:val="21"/>
          <w:szCs w:val="21"/>
          <w:highlight w:val="none"/>
        </w:rPr>
        <w:t>元的保证金。</w:t>
      </w:r>
    </w:p>
    <w:p w14:paraId="47A0A74F">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退还保证金时请按以下内容划入我方帐户。若因内容不全、错误、字迹潦草模糊导致该项目保证金未能及时退还或退还过程中发生错误，我方将承担全部责任和损失。</w:t>
      </w:r>
    </w:p>
    <w:p w14:paraId="432A764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i/>
          <w:iCs/>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01263F6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p>
    <w:p w14:paraId="0F55E84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开户银行行号：</w:t>
      </w:r>
      <w:r>
        <w:rPr>
          <w:rFonts w:hint="eastAsia" w:ascii="仿宋" w:hAnsi="仿宋" w:eastAsia="仿宋" w:cs="仿宋"/>
          <w:color w:val="auto"/>
          <w:sz w:val="21"/>
          <w:szCs w:val="21"/>
          <w:highlight w:val="none"/>
          <w:u w:val="single"/>
        </w:rPr>
        <w:t xml:space="preserve">                         </w:t>
      </w:r>
    </w:p>
    <w:p w14:paraId="70C1B0D6">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银行帐号：</w:t>
      </w:r>
      <w:r>
        <w:rPr>
          <w:rFonts w:hint="eastAsia" w:ascii="仿宋" w:hAnsi="仿宋" w:eastAsia="仿宋" w:cs="仿宋"/>
          <w:color w:val="auto"/>
          <w:sz w:val="21"/>
          <w:szCs w:val="21"/>
          <w:highlight w:val="none"/>
          <w:u w:val="single"/>
        </w:rPr>
        <w:t xml:space="preserve">                             </w:t>
      </w:r>
    </w:p>
    <w:p w14:paraId="6581A10B">
      <w:pPr>
        <w:adjustRightInd w:val="0"/>
        <w:snapToGrid w:val="0"/>
        <w:spacing w:line="360" w:lineRule="auto"/>
        <w:rPr>
          <w:rFonts w:hint="eastAsia" w:ascii="仿宋" w:hAnsi="仿宋" w:eastAsia="仿宋" w:cs="仿宋"/>
          <w:color w:val="auto"/>
          <w:sz w:val="21"/>
          <w:szCs w:val="21"/>
          <w:highlight w:val="none"/>
        </w:rPr>
      </w:pPr>
    </w:p>
    <w:p w14:paraId="05B960BC">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359BFE5C">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1"/>
          <w:szCs w:val="21"/>
          <w:highlight w:val="none"/>
        </w:rPr>
        <w:t>）：</w:t>
      </w:r>
    </w:p>
    <w:p w14:paraId="24C66FB0">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   年   月   日</w:t>
      </w:r>
    </w:p>
    <w:p w14:paraId="69BF6BB4">
      <w:pPr>
        <w:pStyle w:val="18"/>
        <w:spacing w:line="440" w:lineRule="exact"/>
        <w:jc w:val="both"/>
        <w:rPr>
          <w:rFonts w:hint="eastAsia" w:ascii="仿宋" w:hAnsi="仿宋" w:eastAsia="仿宋" w:cs="仿宋"/>
          <w:bCs/>
          <w:color w:val="auto"/>
          <w:sz w:val="21"/>
          <w:szCs w:val="21"/>
          <w:highlight w:val="none"/>
        </w:rPr>
      </w:pPr>
    </w:p>
    <w:p w14:paraId="7A750B47">
      <w:pPr>
        <w:pStyle w:val="18"/>
        <w:spacing w:line="440" w:lineRule="exact"/>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注：为方便代理机构后续退款事宜，请</w:t>
      </w:r>
      <w:r>
        <w:rPr>
          <w:rFonts w:hint="eastAsia" w:ascii="仿宋" w:hAnsi="仿宋" w:eastAsia="仿宋" w:cs="仿宋"/>
          <w:b/>
          <w:color w:val="auto"/>
          <w:sz w:val="21"/>
          <w:szCs w:val="21"/>
          <w:highlight w:val="none"/>
          <w:lang w:val="en-US" w:eastAsia="zh-CN"/>
        </w:rPr>
        <w:t>投标人</w:t>
      </w:r>
      <w:r>
        <w:rPr>
          <w:rFonts w:hint="eastAsia" w:ascii="仿宋" w:hAnsi="仿宋" w:eastAsia="仿宋" w:cs="仿宋"/>
          <w:b/>
          <w:color w:val="auto"/>
          <w:sz w:val="21"/>
          <w:szCs w:val="21"/>
          <w:highlight w:val="none"/>
        </w:rPr>
        <w:t>认真填写此函信息，并后附转帐或汇款的银行凭证</w:t>
      </w:r>
      <w:r>
        <w:rPr>
          <w:rFonts w:hint="eastAsia" w:ascii="仿宋" w:hAnsi="仿宋" w:eastAsia="仿宋" w:cs="仿宋"/>
          <w:b/>
          <w:color w:val="auto"/>
          <w:sz w:val="21"/>
          <w:szCs w:val="21"/>
          <w:highlight w:val="none"/>
          <w:lang w:eastAsia="zh-CN"/>
        </w:rPr>
        <w:t>扫描件</w:t>
      </w:r>
      <w:r>
        <w:rPr>
          <w:rFonts w:hint="eastAsia" w:ascii="仿宋" w:hAnsi="仿宋" w:eastAsia="仿宋" w:cs="仿宋"/>
          <w:b/>
          <w:color w:val="auto"/>
          <w:sz w:val="21"/>
          <w:szCs w:val="21"/>
          <w:highlight w:val="none"/>
        </w:rPr>
        <w:t>。</w:t>
      </w:r>
    </w:p>
    <w:tbl>
      <w:tblPr>
        <w:tblStyle w:val="2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3F23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205EB23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w:t>
            </w:r>
            <w:r>
              <w:rPr>
                <w:rFonts w:hint="eastAsia" w:ascii="仿宋" w:hAnsi="仿宋" w:eastAsia="仿宋" w:cs="仿宋"/>
                <w:color w:val="auto"/>
                <w:sz w:val="21"/>
                <w:szCs w:val="21"/>
                <w:highlight w:val="none"/>
                <w:lang w:eastAsia="zh-CN"/>
              </w:rPr>
              <w:t>扫描件</w:t>
            </w:r>
            <w:r>
              <w:rPr>
                <w:rFonts w:hint="eastAsia" w:ascii="仿宋" w:hAnsi="仿宋" w:eastAsia="仿宋" w:cs="仿宋"/>
                <w:color w:val="auto"/>
                <w:sz w:val="21"/>
                <w:szCs w:val="21"/>
                <w:highlight w:val="none"/>
              </w:rPr>
              <w:t>）</w:t>
            </w:r>
          </w:p>
        </w:tc>
      </w:tr>
    </w:tbl>
    <w:p w14:paraId="31CEAD1B">
      <w:pPr>
        <w:pStyle w:val="9"/>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highlight w:val="none"/>
        </w:rPr>
      </w:pPr>
    </w:p>
    <w:p w14:paraId="4C78B6B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04E88ECE">
      <w:pPr>
        <w:widowControl w:val="0"/>
        <w:tabs>
          <w:tab w:val="left" w:pos="1325"/>
        </w:tabs>
        <w:spacing w:before="90"/>
        <w:jc w:val="both"/>
        <w:outlineLvl w:val="2"/>
        <w:rPr>
          <w:rFonts w:hint="eastAsia" w:ascii="仿宋" w:hAnsi="仿宋" w:eastAsia="仿宋" w:cs="仿宋"/>
          <w:b/>
          <w:bCs/>
          <w:color w:val="auto"/>
          <w:kern w:val="2"/>
          <w:sz w:val="24"/>
          <w:szCs w:val="24"/>
          <w:highlight w:val="none"/>
          <w:lang w:val="zh-CN" w:eastAsia="zh-CN" w:bidi="zh-CN"/>
        </w:rPr>
      </w:pPr>
      <w:bookmarkStart w:id="70" w:name="_Toc8576"/>
      <w:bookmarkStart w:id="71" w:name="_Toc17857"/>
      <w:bookmarkStart w:id="72" w:name="_Toc2994"/>
      <w:bookmarkStart w:id="73" w:name="_Toc28409"/>
      <w:bookmarkStart w:id="74" w:name="_Toc8651"/>
      <w:bookmarkStart w:id="75" w:name="_Toc19434"/>
      <w:bookmarkStart w:id="76" w:name="_Toc21100"/>
      <w:r>
        <w:rPr>
          <w:rFonts w:hint="eastAsia" w:ascii="仿宋" w:hAnsi="仿宋" w:eastAsia="仿宋" w:cs="仿宋"/>
          <w:b/>
          <w:bCs/>
          <w:color w:val="auto"/>
          <w:kern w:val="2"/>
          <w:sz w:val="24"/>
          <w:szCs w:val="24"/>
          <w:highlight w:val="none"/>
          <w:lang w:val="en-US" w:eastAsia="zh-CN" w:bidi="zh-CN"/>
        </w:rPr>
        <w:t>16、开票信息</w:t>
      </w:r>
      <w:r>
        <w:rPr>
          <w:rFonts w:hint="eastAsia" w:ascii="仿宋" w:hAnsi="仿宋" w:eastAsia="仿宋" w:cs="仿宋"/>
          <w:b/>
          <w:bCs/>
          <w:color w:val="auto"/>
          <w:kern w:val="2"/>
          <w:sz w:val="24"/>
          <w:szCs w:val="24"/>
          <w:highlight w:val="none"/>
          <w:lang w:val="zh-CN" w:eastAsia="zh-CN" w:bidi="zh-CN"/>
        </w:rPr>
        <w:t>（统一格式）</w:t>
      </w:r>
      <w:bookmarkEnd w:id="70"/>
      <w:bookmarkEnd w:id="71"/>
      <w:bookmarkEnd w:id="72"/>
      <w:bookmarkEnd w:id="73"/>
      <w:bookmarkEnd w:id="74"/>
      <w:bookmarkEnd w:id="75"/>
      <w:bookmarkEnd w:id="76"/>
    </w:p>
    <w:p w14:paraId="1C3F39AB">
      <w:pPr>
        <w:pStyle w:val="18"/>
        <w:spacing w:line="440" w:lineRule="exact"/>
        <w:ind w:firstLine="480" w:firstLineChars="200"/>
        <w:jc w:val="both"/>
        <w:rPr>
          <w:rFonts w:hint="eastAsia" w:ascii="仿宋" w:hAnsi="仿宋" w:eastAsia="仿宋" w:cs="仿宋"/>
          <w:bCs/>
          <w:color w:val="auto"/>
          <w:sz w:val="24"/>
          <w:highlight w:val="none"/>
        </w:rPr>
      </w:pPr>
    </w:p>
    <w:p w14:paraId="52E77DE2">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新疆世纪星工程咨询有限公司</w:t>
      </w:r>
      <w:r>
        <w:rPr>
          <w:rFonts w:hint="eastAsia" w:ascii="仿宋" w:hAnsi="仿宋" w:eastAsia="仿宋" w:cs="仿宋"/>
          <w:bCs/>
          <w:color w:val="auto"/>
          <w:sz w:val="21"/>
          <w:szCs w:val="21"/>
          <w:highlight w:val="none"/>
        </w:rPr>
        <w:t>：</w:t>
      </w:r>
    </w:p>
    <w:p w14:paraId="22DFC815">
      <w:pPr>
        <w:pStyle w:val="18"/>
        <w:spacing w:line="44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投标人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公司在参加在贵司进行的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招标，我司缴纳标书费和代理服务费后开具发票的事宜，我司声明如下： </w:t>
      </w:r>
    </w:p>
    <w:p w14:paraId="007045B0">
      <w:pPr>
        <w:pStyle w:val="18"/>
        <w:spacing w:line="440" w:lineRule="exact"/>
        <w:ind w:firstLine="420" w:firstLineChars="200"/>
        <w:jc w:val="both"/>
        <w:rPr>
          <w:rFonts w:hint="eastAsia" w:ascii="仿宋" w:hAnsi="仿宋" w:eastAsia="仿宋" w:cs="仿宋"/>
          <w:color w:val="auto"/>
          <w:sz w:val="21"/>
          <w:szCs w:val="21"/>
          <w:highlight w:val="none"/>
        </w:rPr>
      </w:pPr>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03AC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62" w:type="dxa"/>
            <w:gridSpan w:val="4"/>
            <w:vAlign w:val="center"/>
          </w:tcPr>
          <w:p w14:paraId="000FA8F2">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增值税发票开票信息</w:t>
            </w:r>
          </w:p>
        </w:tc>
      </w:tr>
      <w:tr w14:paraId="0791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CE5D643">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增值税发票开票种类</w:t>
            </w:r>
          </w:p>
        </w:tc>
        <w:tc>
          <w:tcPr>
            <w:tcW w:w="7472" w:type="dxa"/>
            <w:gridSpan w:val="3"/>
            <w:vAlign w:val="center"/>
          </w:tcPr>
          <w:p w14:paraId="08163014">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（请在此处注明增值税专用发票或增值税普通发票）</w:t>
            </w:r>
          </w:p>
        </w:tc>
      </w:tr>
      <w:tr w14:paraId="16AA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08CBA95">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单位名称</w:t>
            </w:r>
          </w:p>
        </w:tc>
        <w:tc>
          <w:tcPr>
            <w:tcW w:w="7472" w:type="dxa"/>
            <w:gridSpan w:val="3"/>
            <w:vAlign w:val="center"/>
          </w:tcPr>
          <w:p w14:paraId="0085B71D">
            <w:pPr>
              <w:pStyle w:val="18"/>
              <w:spacing w:line="440" w:lineRule="exact"/>
              <w:jc w:val="center"/>
              <w:rPr>
                <w:rFonts w:hint="eastAsia" w:ascii="仿宋" w:hAnsi="仿宋" w:eastAsia="仿宋" w:cs="仿宋"/>
                <w:bCs/>
                <w:color w:val="auto"/>
                <w:sz w:val="21"/>
                <w:szCs w:val="21"/>
                <w:highlight w:val="none"/>
              </w:rPr>
            </w:pPr>
          </w:p>
        </w:tc>
      </w:tr>
      <w:tr w14:paraId="557C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497D118">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单位地址</w:t>
            </w:r>
          </w:p>
        </w:tc>
        <w:tc>
          <w:tcPr>
            <w:tcW w:w="7472" w:type="dxa"/>
            <w:gridSpan w:val="3"/>
            <w:vAlign w:val="center"/>
          </w:tcPr>
          <w:p w14:paraId="0ED756BA">
            <w:pPr>
              <w:pStyle w:val="18"/>
              <w:spacing w:line="440" w:lineRule="exact"/>
              <w:jc w:val="center"/>
              <w:rPr>
                <w:rFonts w:hint="eastAsia" w:ascii="仿宋" w:hAnsi="仿宋" w:eastAsia="仿宋" w:cs="仿宋"/>
                <w:bCs/>
                <w:color w:val="auto"/>
                <w:sz w:val="21"/>
                <w:szCs w:val="21"/>
                <w:highlight w:val="none"/>
              </w:rPr>
            </w:pPr>
          </w:p>
        </w:tc>
      </w:tr>
      <w:tr w14:paraId="35ED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903E555">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纳税人识别号</w:t>
            </w:r>
          </w:p>
        </w:tc>
        <w:tc>
          <w:tcPr>
            <w:tcW w:w="3576" w:type="dxa"/>
            <w:vAlign w:val="center"/>
          </w:tcPr>
          <w:p w14:paraId="5FE3549B">
            <w:pPr>
              <w:pStyle w:val="18"/>
              <w:spacing w:line="440" w:lineRule="exact"/>
              <w:jc w:val="center"/>
              <w:rPr>
                <w:rFonts w:hint="eastAsia" w:ascii="仿宋" w:hAnsi="仿宋" w:eastAsia="仿宋" w:cs="仿宋"/>
                <w:bCs/>
                <w:color w:val="auto"/>
                <w:sz w:val="21"/>
                <w:szCs w:val="21"/>
                <w:highlight w:val="none"/>
              </w:rPr>
            </w:pPr>
          </w:p>
        </w:tc>
        <w:tc>
          <w:tcPr>
            <w:tcW w:w="1791" w:type="dxa"/>
            <w:vAlign w:val="center"/>
          </w:tcPr>
          <w:p w14:paraId="0D1331EC">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固定电话</w:t>
            </w:r>
          </w:p>
        </w:tc>
        <w:tc>
          <w:tcPr>
            <w:tcW w:w="2105" w:type="dxa"/>
            <w:vAlign w:val="center"/>
          </w:tcPr>
          <w:p w14:paraId="69CBFD26">
            <w:pPr>
              <w:pStyle w:val="18"/>
              <w:spacing w:line="440" w:lineRule="exact"/>
              <w:jc w:val="center"/>
              <w:rPr>
                <w:rFonts w:hint="eastAsia" w:ascii="仿宋" w:hAnsi="仿宋" w:eastAsia="仿宋" w:cs="仿宋"/>
                <w:bCs/>
                <w:color w:val="auto"/>
                <w:sz w:val="21"/>
                <w:szCs w:val="21"/>
                <w:highlight w:val="none"/>
              </w:rPr>
            </w:pPr>
          </w:p>
        </w:tc>
      </w:tr>
      <w:tr w14:paraId="66BF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AAA03CB">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开户银行名称</w:t>
            </w:r>
          </w:p>
        </w:tc>
        <w:tc>
          <w:tcPr>
            <w:tcW w:w="3576" w:type="dxa"/>
            <w:vAlign w:val="center"/>
          </w:tcPr>
          <w:p w14:paraId="0A957596">
            <w:pPr>
              <w:pStyle w:val="18"/>
              <w:spacing w:line="440" w:lineRule="exact"/>
              <w:jc w:val="center"/>
              <w:rPr>
                <w:rFonts w:hint="eastAsia" w:ascii="仿宋" w:hAnsi="仿宋" w:eastAsia="仿宋" w:cs="仿宋"/>
                <w:bCs/>
                <w:color w:val="auto"/>
                <w:sz w:val="21"/>
                <w:szCs w:val="21"/>
                <w:highlight w:val="none"/>
              </w:rPr>
            </w:pPr>
          </w:p>
        </w:tc>
        <w:tc>
          <w:tcPr>
            <w:tcW w:w="1791" w:type="dxa"/>
            <w:vAlign w:val="center"/>
          </w:tcPr>
          <w:p w14:paraId="5023AC3D">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联系人姓名</w:t>
            </w:r>
          </w:p>
        </w:tc>
        <w:tc>
          <w:tcPr>
            <w:tcW w:w="2105" w:type="dxa"/>
            <w:vAlign w:val="center"/>
          </w:tcPr>
          <w:p w14:paraId="016D84A4">
            <w:pPr>
              <w:pStyle w:val="18"/>
              <w:spacing w:line="440" w:lineRule="exact"/>
              <w:jc w:val="center"/>
              <w:rPr>
                <w:rFonts w:hint="eastAsia" w:ascii="仿宋" w:hAnsi="仿宋" w:eastAsia="仿宋" w:cs="仿宋"/>
                <w:bCs/>
                <w:color w:val="auto"/>
                <w:sz w:val="21"/>
                <w:szCs w:val="21"/>
                <w:highlight w:val="none"/>
              </w:rPr>
            </w:pPr>
          </w:p>
        </w:tc>
      </w:tr>
      <w:tr w14:paraId="40D5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30E9B76">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开户银行账号</w:t>
            </w:r>
          </w:p>
        </w:tc>
        <w:tc>
          <w:tcPr>
            <w:tcW w:w="3576" w:type="dxa"/>
            <w:vAlign w:val="center"/>
          </w:tcPr>
          <w:p w14:paraId="2601F270">
            <w:pPr>
              <w:pStyle w:val="18"/>
              <w:spacing w:line="440" w:lineRule="exact"/>
              <w:jc w:val="center"/>
              <w:rPr>
                <w:rFonts w:hint="eastAsia" w:ascii="仿宋" w:hAnsi="仿宋" w:eastAsia="仿宋" w:cs="仿宋"/>
                <w:bCs/>
                <w:color w:val="auto"/>
                <w:sz w:val="21"/>
                <w:szCs w:val="21"/>
                <w:highlight w:val="none"/>
              </w:rPr>
            </w:pPr>
          </w:p>
        </w:tc>
        <w:tc>
          <w:tcPr>
            <w:tcW w:w="1791" w:type="dxa"/>
            <w:vAlign w:val="center"/>
          </w:tcPr>
          <w:p w14:paraId="01C5EADD">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联系人电话</w:t>
            </w:r>
          </w:p>
        </w:tc>
        <w:tc>
          <w:tcPr>
            <w:tcW w:w="2105" w:type="dxa"/>
            <w:vAlign w:val="center"/>
          </w:tcPr>
          <w:p w14:paraId="06BA3AED">
            <w:pPr>
              <w:pStyle w:val="18"/>
              <w:spacing w:line="440" w:lineRule="exact"/>
              <w:jc w:val="center"/>
              <w:rPr>
                <w:rFonts w:hint="eastAsia" w:ascii="仿宋" w:hAnsi="仿宋" w:eastAsia="仿宋" w:cs="仿宋"/>
                <w:bCs/>
                <w:color w:val="auto"/>
                <w:sz w:val="21"/>
                <w:szCs w:val="21"/>
                <w:highlight w:val="none"/>
              </w:rPr>
            </w:pPr>
          </w:p>
        </w:tc>
      </w:tr>
      <w:tr w14:paraId="1347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F4E176D">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电子发票收件</w:t>
            </w:r>
          </w:p>
          <w:p w14:paraId="128D3FE7">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电子邮箱</w:t>
            </w:r>
          </w:p>
        </w:tc>
        <w:tc>
          <w:tcPr>
            <w:tcW w:w="7472" w:type="dxa"/>
            <w:gridSpan w:val="3"/>
            <w:vAlign w:val="center"/>
          </w:tcPr>
          <w:p w14:paraId="58D2CDC5">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Email:</w:t>
            </w:r>
          </w:p>
        </w:tc>
      </w:tr>
      <w:tr w14:paraId="2F58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7723F972">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发票邮寄地址：</w:t>
            </w:r>
          </w:p>
        </w:tc>
        <w:tc>
          <w:tcPr>
            <w:tcW w:w="7472" w:type="dxa"/>
            <w:gridSpan w:val="3"/>
            <w:vAlign w:val="center"/>
          </w:tcPr>
          <w:p w14:paraId="3E1BF027">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地址：</w:t>
            </w:r>
          </w:p>
          <w:p w14:paraId="53505493">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收件人：                电话：</w:t>
            </w:r>
          </w:p>
        </w:tc>
      </w:tr>
    </w:tbl>
    <w:p w14:paraId="549C39ED">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我公司提供的上述开票信息准确无误，如果因我公司提供上述信息错误，导致发票无效的，将由我公司承担相应后果。</w:t>
      </w:r>
    </w:p>
    <w:p w14:paraId="71C3A702">
      <w:pPr>
        <w:pStyle w:val="18"/>
        <w:spacing w:line="440" w:lineRule="exact"/>
        <w:jc w:val="both"/>
        <w:rPr>
          <w:rFonts w:hint="eastAsia" w:ascii="仿宋" w:hAnsi="仿宋" w:eastAsia="仿宋" w:cs="仿宋"/>
          <w:bCs/>
          <w:color w:val="auto"/>
          <w:sz w:val="21"/>
          <w:szCs w:val="21"/>
          <w:highlight w:val="none"/>
        </w:rPr>
      </w:pPr>
    </w:p>
    <w:p w14:paraId="301C730D">
      <w:pPr>
        <w:pStyle w:val="18"/>
        <w:spacing w:line="440" w:lineRule="exact"/>
        <w:ind w:firstLine="420" w:firstLineChars="2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需要采购代理机构开具增值税发票的，请在上表中填写相关信息，</w:t>
      </w:r>
      <w:r>
        <w:rPr>
          <w:rFonts w:hint="eastAsia" w:ascii="仿宋" w:hAnsi="仿宋" w:eastAsia="仿宋" w:cs="仿宋"/>
          <w:b/>
          <w:color w:val="auto"/>
          <w:sz w:val="21"/>
          <w:szCs w:val="21"/>
          <w:highlight w:val="none"/>
        </w:rPr>
        <w:t>如</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需要开具增值税专用发票的须附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开户许可证、一般纳税人认定文件的清晰</w:t>
      </w:r>
      <w:r>
        <w:rPr>
          <w:rFonts w:hint="eastAsia" w:ascii="仿宋" w:hAnsi="仿宋" w:eastAsia="仿宋" w:cs="仿宋"/>
          <w:b/>
          <w:color w:val="auto"/>
          <w:sz w:val="21"/>
          <w:szCs w:val="21"/>
          <w:highlight w:val="none"/>
          <w:lang w:eastAsia="zh-CN"/>
        </w:rPr>
        <w:t>扫描件</w:t>
      </w:r>
      <w:r>
        <w:rPr>
          <w:rFonts w:hint="eastAsia" w:ascii="仿宋" w:hAnsi="仿宋" w:eastAsia="仿宋" w:cs="仿宋"/>
          <w:b/>
          <w:color w:val="auto"/>
          <w:sz w:val="21"/>
          <w:szCs w:val="21"/>
          <w:highlight w:val="none"/>
        </w:rPr>
        <w:t>加盖公章，以及开票信息（见上表）。</w:t>
      </w:r>
      <w:r>
        <w:rPr>
          <w:rFonts w:hint="eastAsia" w:ascii="仿宋" w:hAnsi="仿宋" w:eastAsia="仿宋" w:cs="仿宋"/>
          <w:bCs/>
          <w:color w:val="auto"/>
          <w:sz w:val="21"/>
          <w:szCs w:val="21"/>
          <w:highlight w:val="none"/>
        </w:rPr>
        <w:t>如</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在开票信息中未注明开具</w:t>
      </w:r>
      <w:r>
        <w:rPr>
          <w:rFonts w:hint="eastAsia" w:ascii="仿宋" w:hAnsi="仿宋" w:eastAsia="仿宋" w:cs="仿宋"/>
          <w:b/>
          <w:color w:val="auto"/>
          <w:sz w:val="21"/>
          <w:szCs w:val="21"/>
          <w:highlight w:val="none"/>
        </w:rPr>
        <w:t>增值税专用发票</w:t>
      </w:r>
      <w:r>
        <w:rPr>
          <w:rFonts w:hint="eastAsia" w:ascii="仿宋" w:hAnsi="仿宋" w:eastAsia="仿宋" w:cs="仿宋"/>
          <w:bCs/>
          <w:color w:val="auto"/>
          <w:sz w:val="21"/>
          <w:szCs w:val="21"/>
          <w:highlight w:val="none"/>
        </w:rPr>
        <w:t>且未提供上述材料，代理机构将默认开具增值税普通发票。</w:t>
      </w:r>
    </w:p>
    <w:p w14:paraId="18141496">
      <w:pPr>
        <w:pStyle w:val="18"/>
        <w:spacing w:line="440" w:lineRule="exact"/>
        <w:jc w:val="both"/>
        <w:rPr>
          <w:rFonts w:hint="eastAsia" w:ascii="仿宋" w:hAnsi="仿宋" w:eastAsia="仿宋" w:cs="仿宋"/>
          <w:bCs/>
          <w:color w:val="auto"/>
          <w:sz w:val="21"/>
          <w:szCs w:val="21"/>
          <w:highlight w:val="none"/>
        </w:rPr>
      </w:pPr>
    </w:p>
    <w:p w14:paraId="108979EE">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7F8C3165">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1"/>
          <w:szCs w:val="21"/>
          <w:highlight w:val="none"/>
        </w:rPr>
        <w:t>）：</w:t>
      </w:r>
    </w:p>
    <w:p w14:paraId="21600283">
      <w:pPr>
        <w:pStyle w:val="18"/>
        <w:spacing w:line="440" w:lineRule="exact"/>
        <w:jc w:val="both"/>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rPr>
        <w:t>日期：   年   月   日</w:t>
      </w:r>
    </w:p>
    <w:p w14:paraId="5D5745F6">
      <w:pPr>
        <w:rPr>
          <w:rFonts w:hint="eastAsia" w:ascii="仿宋" w:hAnsi="仿宋" w:eastAsia="仿宋" w:cs="仿宋"/>
          <w:b/>
          <w:bCs/>
          <w:color w:val="auto"/>
          <w:kern w:val="2"/>
          <w:sz w:val="24"/>
          <w:szCs w:val="32"/>
          <w:highlight w:val="none"/>
          <w:lang w:val="en-US" w:eastAsia="zh-CN" w:bidi="ar-SA"/>
        </w:rPr>
      </w:pPr>
    </w:p>
    <w:sectPr>
      <w:headerReference r:id="rId5" w:type="default"/>
      <w:footerReference r:id="rId6" w:type="default"/>
      <w:pgSz w:w="11906" w:h="16838"/>
      <w:pgMar w:top="1701" w:right="1474" w:bottom="1701" w:left="1587" w:header="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29AEFC-4CCF-4CF9-B43C-168274825D9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525685A-E580-4C94-AECB-DCE22D048347}"/>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embedRegular r:id="rId3" w:fontKey="{102CA9A2-82B8-4A86-965D-A7E8B8B1A5C5}"/>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4" w:fontKey="{931E4A20-124D-4300-AF43-A806C9FE052B}"/>
  </w:font>
  <w:font w:name="___WRD_EMBED_SUB_41">
    <w:panose1 w:val="02010609030101010101"/>
    <w:charset w:val="86"/>
    <w:family w:val="auto"/>
    <w:pitch w:val="default"/>
    <w:sig w:usb0="00000001" w:usb1="080E0000" w:usb2="00000000" w:usb3="00000000" w:csb0="00040000" w:csb1="00000000"/>
    <w:embedRegular r:id="rId5" w:fontKey="{A4469634-DE3E-4A5B-8B59-4E792CB1FD00}"/>
  </w:font>
  <w:font w:name="浠垮畫">
    <w:altName w:val="Segoe Print"/>
    <w:panose1 w:val="00000000000000000000"/>
    <w:charset w:val="00"/>
    <w:family w:val="auto"/>
    <w:pitch w:val="default"/>
    <w:sig w:usb0="00000000" w:usb1="00000000" w:usb2="00000000" w:usb3="00000000" w:csb0="00000000" w:csb1="00000000"/>
    <w:embedRegular r:id="rId6" w:fontKey="{DBB9F52F-446A-47E8-8291-E8DB17506946}"/>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548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24E73">
    <w:pPr>
      <w:pStyle w:val="18"/>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19229">
                          <w:pPr>
                            <w:pStyle w:val="18"/>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B719229">
                    <w:pPr>
                      <w:pStyle w:val="18"/>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77EE4">
    <w:pPr>
      <w:pStyle w:val="20"/>
      <w:ind w:firstLine="840" w:firstLineChars="300"/>
      <w:rPr>
        <w:rFonts w:hint="eastAsia" w:ascii="仿宋_GB2312" w:hAnsi="仿宋_GB2312" w:eastAsia="仿宋_GB2312" w:cs="仿宋_GB2312"/>
        <w:sz w:val="28"/>
        <w:szCs w:val="28"/>
      </w:rPr>
    </w:pPr>
  </w:p>
  <w:p w14:paraId="77586DE6">
    <w:pPr>
      <w:pStyle w:val="20"/>
      <w:ind w:firstLine="840" w:firstLineChars="300"/>
      <w:rPr>
        <w:rFonts w:hint="eastAsia" w:ascii="仿宋_GB2312" w:hAnsi="仿宋_GB2312" w:eastAsia="仿宋_GB2312" w:cs="仿宋_GB2312"/>
        <w:sz w:val="28"/>
        <w:szCs w:val="28"/>
      </w:rPr>
    </w:pPr>
  </w:p>
  <w:p w14:paraId="0B28286D">
    <w:pPr>
      <w:pStyle w:val="20"/>
      <w:ind w:firstLine="840" w:firstLineChars="300"/>
      <w:rPr>
        <w:rFonts w:hint="eastAsia" w:ascii="仿宋" w:hAnsi="仿宋" w:eastAsia="仿宋" w:cs="仿宋"/>
      </w:rPr>
    </w:pPr>
    <w:r>
      <w:rPr>
        <w:rFonts w:hint="eastAsia" w:ascii="仿宋" w:hAnsi="仿宋" w:eastAsia="仿宋" w:cs="仿宋"/>
        <w:sz w:val="28"/>
        <w:szCs w:val="28"/>
      </w:rPr>
      <w:drawing>
        <wp:anchor distT="0" distB="0" distL="114300" distR="114300" simplePos="0" relativeHeight="25166438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_GB2312" w:hAnsi="仿宋_GB2312" w:eastAsia="仿宋_GB2312" w:cs="仿宋_GB2312"/>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1"/>
        <w:szCs w:val="21"/>
      </w:rPr>
      <w:t>新疆乌鲁木齐市黄山街德港大厦20层</w:t>
    </w:r>
  </w:p>
  <w:p w14:paraId="70F813E5">
    <w:pPr>
      <w:pStyle w:val="20"/>
      <w:pBdr>
        <w:bottom w:val="single" w:color="auto" w:sz="4" w:space="1"/>
      </w:pBdr>
      <w:ind w:firstLine="1040" w:firstLineChars="800"/>
      <w:rPr>
        <w:rFonts w:hint="eastAsia" w:ascii="仿宋" w:hAnsi="仿宋" w:eastAsia="仿宋" w:cs="仿宋"/>
        <w:lang w:eastAsia="zh-CN"/>
      </w:rPr>
    </w:pPr>
    <w:r>
      <w:rPr>
        <w:rFonts w:hint="eastAsia" w:ascii="仿宋" w:hAnsi="仿宋" w:eastAsia="仿宋" w:cs="仿宋"/>
        <w:sz w:val="13"/>
        <w:szCs w:val="20"/>
      </w:rPr>
      <w:t>Xinjiang Century Star Engineering Consulting Co., Ltd.</w:t>
    </w:r>
    <w:r>
      <w:rPr>
        <w:rFonts w:hint="eastAsia" w:ascii="仿宋" w:hAnsi="仿宋" w:eastAsia="仿宋" w:cs="仿宋"/>
      </w:rPr>
      <w:t xml:space="preserve">     TEL：</w:t>
    </w:r>
    <w:r>
      <w:rPr>
        <w:rFonts w:hint="eastAsia" w:ascii="仿宋" w:hAnsi="仿宋" w:eastAsia="仿宋" w:cs="仿宋"/>
        <w:lang w:eastAsia="zh-CN"/>
      </w:rPr>
      <w:t>13999295080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BFCF5">
    <w:pPr>
      <w:pStyle w:val="20"/>
      <w:ind w:firstLine="840" w:firstLineChars="300"/>
      <w:rPr>
        <w:rFonts w:hint="eastAsia" w:ascii="仿宋_GB2312" w:hAnsi="仿宋_GB2312" w:eastAsia="仿宋_GB2312" w:cs="仿宋_GB2312"/>
        <w:sz w:val="28"/>
        <w:szCs w:val="28"/>
      </w:rPr>
    </w:pPr>
  </w:p>
  <w:p w14:paraId="4D482159">
    <w:pPr>
      <w:pStyle w:val="20"/>
      <w:ind w:firstLine="840" w:firstLineChars="300"/>
      <w:rPr>
        <w:rFonts w:hint="eastAsia" w:ascii="仿宋_GB2312" w:hAnsi="仿宋_GB2312" w:eastAsia="仿宋_GB2312" w:cs="仿宋_GB2312"/>
        <w:sz w:val="28"/>
        <w:szCs w:val="28"/>
      </w:rPr>
    </w:pPr>
  </w:p>
  <w:p w14:paraId="33ECDF56">
    <w:pPr>
      <w:pStyle w:val="20"/>
      <w:ind w:firstLine="840" w:firstLineChars="300"/>
      <w:rPr>
        <w:rFonts w:hint="eastAsia" w:ascii="仿宋" w:hAnsi="仿宋" w:eastAsia="仿宋" w:cs="仿宋"/>
      </w:rPr>
    </w:pPr>
    <w:r>
      <w:rPr>
        <w:rFonts w:hint="eastAsia" w:ascii="仿宋" w:hAnsi="仿宋" w:eastAsia="仿宋" w:cs="仿宋"/>
        <w:sz w:val="28"/>
        <w:szCs w:val="28"/>
      </w:rPr>
      <w:drawing>
        <wp:anchor distT="0" distB="0" distL="114300" distR="114300" simplePos="0" relativeHeight="251665408"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7" name="图片 7"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_GB2312" w:hAnsi="仿宋_GB2312" w:eastAsia="仿宋_GB2312" w:cs="仿宋_GB2312"/>
        <w:sz w:val="28"/>
        <w:szCs w:val="28"/>
      </w:rPr>
      <w:t xml:space="preserve">  </w:t>
    </w:r>
    <w:r>
      <w:rPr>
        <w:rFonts w:hint="eastAsia" w:ascii="仿宋" w:hAnsi="仿宋" w:eastAsia="仿宋" w:cs="仿宋"/>
        <w:sz w:val="21"/>
        <w:szCs w:val="21"/>
      </w:rPr>
      <w:t>新疆乌鲁木齐市黄山街德港大厦20层</w:t>
    </w:r>
  </w:p>
  <w:p w14:paraId="0B97ECF2">
    <w:pPr>
      <w:pStyle w:val="20"/>
      <w:pBdr>
        <w:bottom w:val="single" w:color="auto" w:sz="4" w:space="1"/>
      </w:pBdr>
      <w:ind w:firstLine="1040" w:firstLineChars="800"/>
      <w:rPr>
        <w:rFonts w:hint="eastAsia" w:ascii="仿宋" w:hAnsi="仿宋" w:eastAsia="仿宋" w:cs="仿宋"/>
        <w:lang w:eastAsia="zh-CN"/>
      </w:rPr>
    </w:pPr>
    <w:r>
      <w:rPr>
        <w:rFonts w:hint="eastAsia" w:ascii="仿宋" w:hAnsi="仿宋" w:eastAsia="仿宋" w:cs="仿宋"/>
        <w:sz w:val="13"/>
        <w:szCs w:val="20"/>
      </w:rPr>
      <w:t>Xinjiang Century Star Engineering Consulting Co., Ltd.</w:t>
    </w:r>
    <w:r>
      <w:rPr>
        <w:rFonts w:hint="eastAsia" w:ascii="仿宋" w:hAnsi="仿宋" w:eastAsia="仿宋" w:cs="仿宋"/>
      </w:rPr>
      <w:t xml:space="preserve">     TEL：</w:t>
    </w:r>
    <w:r>
      <w:rPr>
        <w:rFonts w:hint="eastAsia" w:ascii="仿宋" w:hAnsi="仿宋" w:eastAsia="仿宋" w:cs="仿宋"/>
        <w:lang w:eastAsia="zh-CN"/>
      </w:rPr>
      <w:t>13999295080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bCs/>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CB60E306"/>
    <w:multiLevelType w:val="singleLevel"/>
    <w:tmpl w:val="CB60E306"/>
    <w:lvl w:ilvl="0" w:tentative="0">
      <w:start w:val="1"/>
      <w:numFmt w:val="decimal"/>
      <w:suff w:val="nothing"/>
      <w:lvlText w:val="（%1）"/>
      <w:lvlJc w:val="left"/>
    </w:lvl>
  </w:abstractNum>
  <w:abstractNum w:abstractNumId="3">
    <w:nsid w:val="05AF2A39"/>
    <w:multiLevelType w:val="multilevel"/>
    <w:tmpl w:val="05AF2A39"/>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05FE2DA7"/>
    <w:multiLevelType w:val="singleLevel"/>
    <w:tmpl w:val="05FE2DA7"/>
    <w:lvl w:ilvl="0" w:tentative="0">
      <w:start w:val="1"/>
      <w:numFmt w:val="chineseCounting"/>
      <w:suff w:val="space"/>
      <w:lvlText w:val="第%1章"/>
      <w:lvlJc w:val="left"/>
      <w:rPr>
        <w:rFonts w:hint="eastAsia"/>
      </w:rPr>
    </w:lvl>
  </w:abstractNum>
  <w:abstractNum w:abstractNumId="5">
    <w:nsid w:val="068BF1D4"/>
    <w:multiLevelType w:val="multilevel"/>
    <w:tmpl w:val="068BF1D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09E5A242"/>
    <w:multiLevelType w:val="singleLevel"/>
    <w:tmpl w:val="09E5A242"/>
    <w:lvl w:ilvl="0" w:tentative="0">
      <w:start w:val="2"/>
      <w:numFmt w:val="chineseCounting"/>
      <w:suff w:val="nothing"/>
      <w:lvlText w:val="%1、"/>
      <w:lvlJc w:val="left"/>
      <w:rPr>
        <w:rFonts w:hint="eastAsia"/>
      </w:rPr>
    </w:lvl>
  </w:abstractNum>
  <w:abstractNum w:abstractNumId="7">
    <w:nsid w:val="3BC6F39C"/>
    <w:multiLevelType w:val="singleLevel"/>
    <w:tmpl w:val="3BC6F39C"/>
    <w:lvl w:ilvl="0" w:tentative="0">
      <w:start w:val="1"/>
      <w:numFmt w:val="decimal"/>
      <w:suff w:val="space"/>
      <w:lvlText w:val="%1."/>
      <w:lvlJc w:val="left"/>
    </w:lvl>
  </w:abstractNum>
  <w:abstractNum w:abstractNumId="8">
    <w:nsid w:val="42407CBF"/>
    <w:multiLevelType w:val="singleLevel"/>
    <w:tmpl w:val="42407CBF"/>
    <w:lvl w:ilvl="0" w:tentative="0">
      <w:start w:val="2"/>
      <w:numFmt w:val="chineseCounting"/>
      <w:suff w:val="nothing"/>
      <w:lvlText w:val="%1、"/>
      <w:lvlJc w:val="left"/>
      <w:rPr>
        <w:rFonts w:hint="eastAsia"/>
      </w:rPr>
    </w:lvl>
  </w:abstractNum>
  <w:abstractNum w:abstractNumId="9">
    <w:nsid w:val="4F6EEF3E"/>
    <w:multiLevelType w:val="singleLevel"/>
    <w:tmpl w:val="4F6EEF3E"/>
    <w:lvl w:ilvl="0" w:tentative="0">
      <w:start w:val="2"/>
      <w:numFmt w:val="decimal"/>
      <w:suff w:val="nothing"/>
      <w:lvlText w:val="%1、"/>
      <w:lvlJc w:val="left"/>
    </w:lvl>
  </w:abstractNum>
  <w:abstractNum w:abstractNumId="10">
    <w:nsid w:val="63862E25"/>
    <w:multiLevelType w:val="singleLevel"/>
    <w:tmpl w:val="63862E25"/>
    <w:lvl w:ilvl="0" w:tentative="0">
      <w:start w:val="1"/>
      <w:numFmt w:val="decimal"/>
      <w:suff w:val="space"/>
      <w:lvlText w:val="（%1）"/>
      <w:lvlJc w:val="left"/>
    </w:lvl>
  </w:abstractNum>
  <w:abstractNum w:abstractNumId="11">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7354C3BC"/>
    <w:multiLevelType w:val="multilevel"/>
    <w:tmpl w:val="7354C3BC"/>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4"/>
  </w:num>
  <w:num w:numId="2">
    <w:abstractNumId w:val="9"/>
  </w:num>
  <w:num w:numId="3">
    <w:abstractNumId w:val="12"/>
  </w:num>
  <w:num w:numId="4">
    <w:abstractNumId w:val="5"/>
  </w:num>
  <w:num w:numId="5">
    <w:abstractNumId w:val="2"/>
  </w:num>
  <w:num w:numId="6">
    <w:abstractNumId w:val="10"/>
  </w:num>
  <w:num w:numId="7">
    <w:abstractNumId w:val="1"/>
  </w:num>
  <w:num w:numId="8">
    <w:abstractNumId w:val="6"/>
  </w:num>
  <w:num w:numId="9">
    <w:abstractNumId w:val="8"/>
  </w:num>
  <w:num w:numId="10">
    <w:abstractNumId w:val="11"/>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ZDQ0OWVmMWVjZmE4YWE2Y2UyMTEzNjM2YzcwZjcifQ=="/>
  </w:docVars>
  <w:rsids>
    <w:rsidRoot w:val="00BA0C5C"/>
    <w:rsid w:val="0003268A"/>
    <w:rsid w:val="00103EA7"/>
    <w:rsid w:val="00115425"/>
    <w:rsid w:val="0017253F"/>
    <w:rsid w:val="00174014"/>
    <w:rsid w:val="001A3307"/>
    <w:rsid w:val="002234F9"/>
    <w:rsid w:val="002D3DC4"/>
    <w:rsid w:val="00310660"/>
    <w:rsid w:val="00312D5C"/>
    <w:rsid w:val="003377BE"/>
    <w:rsid w:val="00343E85"/>
    <w:rsid w:val="003664ED"/>
    <w:rsid w:val="00394A86"/>
    <w:rsid w:val="00397689"/>
    <w:rsid w:val="003B68BB"/>
    <w:rsid w:val="003E4666"/>
    <w:rsid w:val="00436CC4"/>
    <w:rsid w:val="004E3D08"/>
    <w:rsid w:val="0050558C"/>
    <w:rsid w:val="00551438"/>
    <w:rsid w:val="00556F52"/>
    <w:rsid w:val="005A43DA"/>
    <w:rsid w:val="005D6835"/>
    <w:rsid w:val="00703734"/>
    <w:rsid w:val="007E64FC"/>
    <w:rsid w:val="00822E85"/>
    <w:rsid w:val="00827D67"/>
    <w:rsid w:val="00846E07"/>
    <w:rsid w:val="008D14B8"/>
    <w:rsid w:val="008F668B"/>
    <w:rsid w:val="009074B0"/>
    <w:rsid w:val="00961B46"/>
    <w:rsid w:val="009F2BA7"/>
    <w:rsid w:val="00A208A9"/>
    <w:rsid w:val="00A40DF2"/>
    <w:rsid w:val="00A542E6"/>
    <w:rsid w:val="00BA0C5C"/>
    <w:rsid w:val="00BA4FD8"/>
    <w:rsid w:val="00C978CA"/>
    <w:rsid w:val="00D0352C"/>
    <w:rsid w:val="00D93C2D"/>
    <w:rsid w:val="00DB4C57"/>
    <w:rsid w:val="00DE61E9"/>
    <w:rsid w:val="00DF4F62"/>
    <w:rsid w:val="00E3082E"/>
    <w:rsid w:val="00F8672D"/>
    <w:rsid w:val="01137C69"/>
    <w:rsid w:val="016076FB"/>
    <w:rsid w:val="01D86637"/>
    <w:rsid w:val="02D36DFE"/>
    <w:rsid w:val="03052180"/>
    <w:rsid w:val="047A79AD"/>
    <w:rsid w:val="04A22F2C"/>
    <w:rsid w:val="04BD178C"/>
    <w:rsid w:val="04D836CC"/>
    <w:rsid w:val="04DF1A8A"/>
    <w:rsid w:val="052E656D"/>
    <w:rsid w:val="06A64F55"/>
    <w:rsid w:val="06CB0C06"/>
    <w:rsid w:val="074044CC"/>
    <w:rsid w:val="07AF3996"/>
    <w:rsid w:val="083500E3"/>
    <w:rsid w:val="08B374B6"/>
    <w:rsid w:val="08FE75D7"/>
    <w:rsid w:val="09322AD0"/>
    <w:rsid w:val="0A7D5FCD"/>
    <w:rsid w:val="0B383CE3"/>
    <w:rsid w:val="0B3A5C6C"/>
    <w:rsid w:val="0C4D409E"/>
    <w:rsid w:val="0CB97065"/>
    <w:rsid w:val="0CD15854"/>
    <w:rsid w:val="0D166265"/>
    <w:rsid w:val="0D2F0B75"/>
    <w:rsid w:val="0D3861DB"/>
    <w:rsid w:val="0D5A25F6"/>
    <w:rsid w:val="0D5D1B80"/>
    <w:rsid w:val="0D973AC2"/>
    <w:rsid w:val="0E3D7B44"/>
    <w:rsid w:val="0F5B4092"/>
    <w:rsid w:val="0FAC4A5B"/>
    <w:rsid w:val="108571AB"/>
    <w:rsid w:val="10EC6CF5"/>
    <w:rsid w:val="11ED63EA"/>
    <w:rsid w:val="12371157"/>
    <w:rsid w:val="12986F2D"/>
    <w:rsid w:val="12AF5192"/>
    <w:rsid w:val="147C72F5"/>
    <w:rsid w:val="15673B02"/>
    <w:rsid w:val="159348F7"/>
    <w:rsid w:val="15A4220D"/>
    <w:rsid w:val="15E348F4"/>
    <w:rsid w:val="16651E05"/>
    <w:rsid w:val="17991F6C"/>
    <w:rsid w:val="17A50911"/>
    <w:rsid w:val="18143099"/>
    <w:rsid w:val="18316649"/>
    <w:rsid w:val="1890336F"/>
    <w:rsid w:val="18C32807"/>
    <w:rsid w:val="197C38F4"/>
    <w:rsid w:val="199A7764"/>
    <w:rsid w:val="19E477BD"/>
    <w:rsid w:val="1AB53523"/>
    <w:rsid w:val="1AC00AF1"/>
    <w:rsid w:val="1B6521E6"/>
    <w:rsid w:val="1CED6B25"/>
    <w:rsid w:val="1CFC7225"/>
    <w:rsid w:val="1D331864"/>
    <w:rsid w:val="1D6C4848"/>
    <w:rsid w:val="1D8B7ED2"/>
    <w:rsid w:val="1DA41EF8"/>
    <w:rsid w:val="1DD023A9"/>
    <w:rsid w:val="1DE91501"/>
    <w:rsid w:val="1E4C7D38"/>
    <w:rsid w:val="1E657AB2"/>
    <w:rsid w:val="1E88173F"/>
    <w:rsid w:val="1F6506BA"/>
    <w:rsid w:val="1FBD647C"/>
    <w:rsid w:val="20370574"/>
    <w:rsid w:val="207B66B3"/>
    <w:rsid w:val="20B828AD"/>
    <w:rsid w:val="20BD60EA"/>
    <w:rsid w:val="20F6500E"/>
    <w:rsid w:val="22AE6BBC"/>
    <w:rsid w:val="22C96D6A"/>
    <w:rsid w:val="232D5214"/>
    <w:rsid w:val="2354668A"/>
    <w:rsid w:val="23623B5A"/>
    <w:rsid w:val="23876FCD"/>
    <w:rsid w:val="25615A93"/>
    <w:rsid w:val="25BF5294"/>
    <w:rsid w:val="262319BC"/>
    <w:rsid w:val="262E678A"/>
    <w:rsid w:val="267500A1"/>
    <w:rsid w:val="26B446CD"/>
    <w:rsid w:val="26DB2065"/>
    <w:rsid w:val="27513699"/>
    <w:rsid w:val="27862302"/>
    <w:rsid w:val="27B82FD7"/>
    <w:rsid w:val="280B21CD"/>
    <w:rsid w:val="28292E99"/>
    <w:rsid w:val="28560F12"/>
    <w:rsid w:val="28BE1833"/>
    <w:rsid w:val="29001E4B"/>
    <w:rsid w:val="29125543"/>
    <w:rsid w:val="29171B54"/>
    <w:rsid w:val="29361D11"/>
    <w:rsid w:val="293715E5"/>
    <w:rsid w:val="29C84966"/>
    <w:rsid w:val="2A331DAD"/>
    <w:rsid w:val="2A9E034F"/>
    <w:rsid w:val="2AC218F2"/>
    <w:rsid w:val="2AF07C9E"/>
    <w:rsid w:val="2B1E1887"/>
    <w:rsid w:val="2B944ACD"/>
    <w:rsid w:val="2BC5737C"/>
    <w:rsid w:val="2D7B32EC"/>
    <w:rsid w:val="2E393998"/>
    <w:rsid w:val="2E4072A5"/>
    <w:rsid w:val="2E9668C9"/>
    <w:rsid w:val="2F601055"/>
    <w:rsid w:val="2F7B5016"/>
    <w:rsid w:val="2F835584"/>
    <w:rsid w:val="2FFD5337"/>
    <w:rsid w:val="30007685"/>
    <w:rsid w:val="30C75897"/>
    <w:rsid w:val="31177A3B"/>
    <w:rsid w:val="317015F4"/>
    <w:rsid w:val="31A13915"/>
    <w:rsid w:val="31AE739B"/>
    <w:rsid w:val="320F318C"/>
    <w:rsid w:val="32393423"/>
    <w:rsid w:val="324F629D"/>
    <w:rsid w:val="32A76652"/>
    <w:rsid w:val="33380434"/>
    <w:rsid w:val="337C0B48"/>
    <w:rsid w:val="33954170"/>
    <w:rsid w:val="33B01385"/>
    <w:rsid w:val="33E77B1C"/>
    <w:rsid w:val="341A78AC"/>
    <w:rsid w:val="343926B5"/>
    <w:rsid w:val="345778E0"/>
    <w:rsid w:val="34B5006A"/>
    <w:rsid w:val="35A82B7A"/>
    <w:rsid w:val="364B6127"/>
    <w:rsid w:val="3671332B"/>
    <w:rsid w:val="367F4CF7"/>
    <w:rsid w:val="36BD504E"/>
    <w:rsid w:val="36F54F2A"/>
    <w:rsid w:val="37AE6143"/>
    <w:rsid w:val="383B0BFC"/>
    <w:rsid w:val="38562905"/>
    <w:rsid w:val="38C47EF7"/>
    <w:rsid w:val="38C500B3"/>
    <w:rsid w:val="39245D1B"/>
    <w:rsid w:val="39317DFF"/>
    <w:rsid w:val="39AB434B"/>
    <w:rsid w:val="3AE03859"/>
    <w:rsid w:val="3C2009F0"/>
    <w:rsid w:val="3C2E6878"/>
    <w:rsid w:val="3CB443D2"/>
    <w:rsid w:val="3CFB4C5D"/>
    <w:rsid w:val="3D126E87"/>
    <w:rsid w:val="3DC56D68"/>
    <w:rsid w:val="3E502AD5"/>
    <w:rsid w:val="3E895FE7"/>
    <w:rsid w:val="3ED03C16"/>
    <w:rsid w:val="3EEA2593"/>
    <w:rsid w:val="3F7647BE"/>
    <w:rsid w:val="3F942E96"/>
    <w:rsid w:val="3FC90D91"/>
    <w:rsid w:val="40022408"/>
    <w:rsid w:val="400973E0"/>
    <w:rsid w:val="40185875"/>
    <w:rsid w:val="40D00628"/>
    <w:rsid w:val="40EA10BB"/>
    <w:rsid w:val="41330B8F"/>
    <w:rsid w:val="418B7884"/>
    <w:rsid w:val="41E910AE"/>
    <w:rsid w:val="4206121C"/>
    <w:rsid w:val="42FB507E"/>
    <w:rsid w:val="43064193"/>
    <w:rsid w:val="43DB6C78"/>
    <w:rsid w:val="44001F52"/>
    <w:rsid w:val="445D7CFA"/>
    <w:rsid w:val="44C55FAF"/>
    <w:rsid w:val="44CA7AE2"/>
    <w:rsid w:val="44F3065E"/>
    <w:rsid w:val="453B6B56"/>
    <w:rsid w:val="456F23DB"/>
    <w:rsid w:val="45731F21"/>
    <w:rsid w:val="4597548E"/>
    <w:rsid w:val="45CF4C28"/>
    <w:rsid w:val="47491190"/>
    <w:rsid w:val="475573AE"/>
    <w:rsid w:val="47AB3636"/>
    <w:rsid w:val="47EE10EA"/>
    <w:rsid w:val="47F45954"/>
    <w:rsid w:val="49445EED"/>
    <w:rsid w:val="494C2EFE"/>
    <w:rsid w:val="49771967"/>
    <w:rsid w:val="49C5081B"/>
    <w:rsid w:val="49F11963"/>
    <w:rsid w:val="4BD71EB9"/>
    <w:rsid w:val="4C0E2F1B"/>
    <w:rsid w:val="4C3A1DFD"/>
    <w:rsid w:val="4CAC2D4A"/>
    <w:rsid w:val="4DC833C7"/>
    <w:rsid w:val="4E9826B7"/>
    <w:rsid w:val="4EC72CD6"/>
    <w:rsid w:val="4F146003"/>
    <w:rsid w:val="4FB6700D"/>
    <w:rsid w:val="50A00524"/>
    <w:rsid w:val="50DE5959"/>
    <w:rsid w:val="50EC48E0"/>
    <w:rsid w:val="51085492"/>
    <w:rsid w:val="52134933"/>
    <w:rsid w:val="538A16BC"/>
    <w:rsid w:val="548D4BCC"/>
    <w:rsid w:val="54E35FFA"/>
    <w:rsid w:val="550C692B"/>
    <w:rsid w:val="55D65293"/>
    <w:rsid w:val="56277D9C"/>
    <w:rsid w:val="565F6B1B"/>
    <w:rsid w:val="56AD4B11"/>
    <w:rsid w:val="56C703BD"/>
    <w:rsid w:val="5718372F"/>
    <w:rsid w:val="57807D09"/>
    <w:rsid w:val="57BE5F52"/>
    <w:rsid w:val="57D52571"/>
    <w:rsid w:val="57F86260"/>
    <w:rsid w:val="585B059D"/>
    <w:rsid w:val="585C72B2"/>
    <w:rsid w:val="58A106A5"/>
    <w:rsid w:val="5A366373"/>
    <w:rsid w:val="5A380B96"/>
    <w:rsid w:val="5A8855DA"/>
    <w:rsid w:val="5B2E691F"/>
    <w:rsid w:val="5B4D241F"/>
    <w:rsid w:val="5B9B762E"/>
    <w:rsid w:val="5BF27C69"/>
    <w:rsid w:val="5C3507AE"/>
    <w:rsid w:val="5CFF0787"/>
    <w:rsid w:val="5E8C1E05"/>
    <w:rsid w:val="5F182D44"/>
    <w:rsid w:val="61170069"/>
    <w:rsid w:val="617A7CE6"/>
    <w:rsid w:val="61AD0CB9"/>
    <w:rsid w:val="62347F47"/>
    <w:rsid w:val="626A7694"/>
    <w:rsid w:val="627C4C03"/>
    <w:rsid w:val="62F31AFE"/>
    <w:rsid w:val="63293771"/>
    <w:rsid w:val="634646AD"/>
    <w:rsid w:val="634C1682"/>
    <w:rsid w:val="635B76A3"/>
    <w:rsid w:val="63C96D02"/>
    <w:rsid w:val="63E409DD"/>
    <w:rsid w:val="63E678B4"/>
    <w:rsid w:val="63ED100B"/>
    <w:rsid w:val="64320204"/>
    <w:rsid w:val="648B2741"/>
    <w:rsid w:val="648F5856"/>
    <w:rsid w:val="64CD45D0"/>
    <w:rsid w:val="64EA5B56"/>
    <w:rsid w:val="65085608"/>
    <w:rsid w:val="65907AD8"/>
    <w:rsid w:val="65B03220"/>
    <w:rsid w:val="671E1113"/>
    <w:rsid w:val="672E75A8"/>
    <w:rsid w:val="6784541A"/>
    <w:rsid w:val="67902011"/>
    <w:rsid w:val="67B65075"/>
    <w:rsid w:val="67BB4BB4"/>
    <w:rsid w:val="67ED07E2"/>
    <w:rsid w:val="684562C4"/>
    <w:rsid w:val="68A13DAA"/>
    <w:rsid w:val="68DE2467"/>
    <w:rsid w:val="69795319"/>
    <w:rsid w:val="69FF522C"/>
    <w:rsid w:val="6A07121D"/>
    <w:rsid w:val="6A372C18"/>
    <w:rsid w:val="6AA819B9"/>
    <w:rsid w:val="6B7E03D2"/>
    <w:rsid w:val="6B7E5F10"/>
    <w:rsid w:val="6C163F72"/>
    <w:rsid w:val="6CF0263A"/>
    <w:rsid w:val="6CFA1CDB"/>
    <w:rsid w:val="6D363C7B"/>
    <w:rsid w:val="6EEE32D1"/>
    <w:rsid w:val="6F5B5771"/>
    <w:rsid w:val="6F6E5A96"/>
    <w:rsid w:val="6F7414F1"/>
    <w:rsid w:val="6FC54073"/>
    <w:rsid w:val="7064403B"/>
    <w:rsid w:val="71445C1A"/>
    <w:rsid w:val="71527F65"/>
    <w:rsid w:val="716A5681"/>
    <w:rsid w:val="71C51DA1"/>
    <w:rsid w:val="71DE7825"/>
    <w:rsid w:val="71DF40F7"/>
    <w:rsid w:val="728118F5"/>
    <w:rsid w:val="73025EB3"/>
    <w:rsid w:val="73577AD8"/>
    <w:rsid w:val="73E0232D"/>
    <w:rsid w:val="748E002A"/>
    <w:rsid w:val="74BB2697"/>
    <w:rsid w:val="74BD280E"/>
    <w:rsid w:val="75094995"/>
    <w:rsid w:val="752B5127"/>
    <w:rsid w:val="75514864"/>
    <w:rsid w:val="75F776FF"/>
    <w:rsid w:val="76004A17"/>
    <w:rsid w:val="76737809"/>
    <w:rsid w:val="77E06D61"/>
    <w:rsid w:val="78121B46"/>
    <w:rsid w:val="78643CC5"/>
    <w:rsid w:val="788B1CC4"/>
    <w:rsid w:val="790A14F7"/>
    <w:rsid w:val="796D330F"/>
    <w:rsid w:val="79A951B4"/>
    <w:rsid w:val="7B147F0E"/>
    <w:rsid w:val="7B2014A6"/>
    <w:rsid w:val="7B292109"/>
    <w:rsid w:val="7BCC0E79"/>
    <w:rsid w:val="7C6620E0"/>
    <w:rsid w:val="7C733558"/>
    <w:rsid w:val="7C7868EA"/>
    <w:rsid w:val="7CE00EA0"/>
    <w:rsid w:val="7D513B99"/>
    <w:rsid w:val="7D586B9B"/>
    <w:rsid w:val="7D6F0804"/>
    <w:rsid w:val="7E370AD3"/>
    <w:rsid w:val="7E665422"/>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link w:val="42"/>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6"/>
    <w:basedOn w:val="1"/>
    <w:next w:val="1"/>
    <w:autoRedefine/>
    <w:qFormat/>
    <w:uiPriority w:val="1"/>
    <w:pPr>
      <w:spacing w:before="61"/>
      <w:outlineLvl w:val="5"/>
    </w:pPr>
    <w:rPr>
      <w:rFonts w:ascii="仿宋" w:hAnsi="仿宋" w:eastAsia="仿宋" w:cs="仿宋"/>
      <w:sz w:val="28"/>
      <w:szCs w:val="28"/>
      <w:lang w:val="zh-CN" w:bidi="zh-CN"/>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0"/>
    <w:pPr>
      <w:ind w:firstLine="420" w:firstLineChars="200"/>
    </w:pPr>
    <w:rPr>
      <w:rFonts w:ascii="Calibri" w:hAnsi="Calibri"/>
      <w:szCs w:val="22"/>
    </w:rPr>
  </w:style>
  <w:style w:type="paragraph" w:styleId="7">
    <w:name w:val="annotation text"/>
    <w:basedOn w:val="1"/>
    <w:link w:val="38"/>
    <w:autoRedefine/>
    <w:qFormat/>
    <w:uiPriority w:val="99"/>
    <w:pPr>
      <w:jc w:val="left"/>
    </w:pPr>
  </w:style>
  <w:style w:type="paragraph" w:styleId="8">
    <w:name w:val="Body Text 3"/>
    <w:basedOn w:val="1"/>
    <w:next w:val="1"/>
    <w:qFormat/>
    <w:uiPriority w:val="0"/>
    <w:pPr>
      <w:spacing w:line="500" w:lineRule="exact"/>
    </w:pPr>
    <w:rPr>
      <w:b/>
      <w:sz w:val="24"/>
    </w:rPr>
  </w:style>
  <w:style w:type="paragraph" w:styleId="9">
    <w:name w:val="Body Text"/>
    <w:basedOn w:val="1"/>
    <w:autoRedefine/>
    <w:qFormat/>
    <w:uiPriority w:val="1"/>
    <w:pPr>
      <w:widowControl w:val="0"/>
      <w:jc w:val="both"/>
    </w:pPr>
    <w:rPr>
      <w:rFonts w:ascii="楷体" w:hAnsi="楷体" w:eastAsia="楷体" w:cs="楷体"/>
      <w:kern w:val="2"/>
      <w:sz w:val="24"/>
      <w:szCs w:val="24"/>
      <w:lang w:val="zh-CN" w:eastAsia="zh-CN" w:bidi="zh-CN"/>
    </w:rPr>
  </w:style>
  <w:style w:type="paragraph" w:styleId="10">
    <w:name w:val="Body Text Indent"/>
    <w:basedOn w:val="1"/>
    <w:next w:val="11"/>
    <w:autoRedefine/>
    <w:qFormat/>
    <w:uiPriority w:val="0"/>
    <w:pPr>
      <w:widowControl w:val="0"/>
      <w:ind w:left="-360" w:firstLine="360"/>
      <w:jc w:val="both"/>
    </w:pPr>
    <w:rPr>
      <w:rFonts w:ascii="Times New Roman" w:hAnsi="Times New Roman" w:eastAsiaTheme="minorEastAsia" w:cstheme="minorBidi"/>
      <w:sz w:val="21"/>
      <w:szCs w:val="24"/>
      <w:lang w:val="en-US" w:eastAsia="zh-CN" w:bidi="ar-SA"/>
    </w:rPr>
  </w:style>
  <w:style w:type="paragraph" w:styleId="11">
    <w:name w:val="Body Text First Indent"/>
    <w:basedOn w:val="9"/>
    <w:next w:val="12"/>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12">
    <w:name w:val="toc 6"/>
    <w:next w:val="1"/>
    <w:autoRedefine/>
    <w:unhideWhenUsed/>
    <w:qFormat/>
    <w:uiPriority w:val="39"/>
    <w:pPr>
      <w:widowControl w:val="0"/>
      <w:ind w:left="2100" w:leftChars="1000"/>
      <w:jc w:val="both"/>
    </w:pPr>
    <w:rPr>
      <w:rFonts w:asciiTheme="minorHAnsi" w:hAnsiTheme="minorHAnsi" w:eastAsiaTheme="minorEastAsia" w:cstheme="minorBidi"/>
      <w:kern w:val="2"/>
      <w:sz w:val="21"/>
      <w:szCs w:val="22"/>
      <w:lang w:val="en-US" w:eastAsia="zh-CN" w:bidi="ar-SA"/>
    </w:rPr>
  </w:style>
  <w:style w:type="paragraph" w:styleId="13">
    <w:name w:val="List 2"/>
    <w:basedOn w:val="1"/>
    <w:next w:val="14"/>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4">
    <w:name w:val="Plain Text"/>
    <w:basedOn w:val="1"/>
    <w:autoRedefine/>
    <w:qFormat/>
    <w:uiPriority w:val="0"/>
    <w:rPr>
      <w:rFonts w:ascii="宋体" w:hAnsi="Calibri" w:eastAsia="宋体" w:cs="Times New Roman"/>
      <w:szCs w:val="20"/>
    </w:rPr>
  </w:style>
  <w:style w:type="paragraph" w:styleId="15">
    <w:name w:val="toc 8"/>
    <w:next w:val="1"/>
    <w:autoRedefine/>
    <w:unhideWhenUsed/>
    <w:qFormat/>
    <w:uiPriority w:val="39"/>
    <w:pPr>
      <w:widowControl w:val="0"/>
      <w:ind w:left="2940" w:leftChars="1400"/>
      <w:jc w:val="both"/>
    </w:pPr>
    <w:rPr>
      <w:rFonts w:asciiTheme="minorHAnsi" w:hAnsiTheme="minorHAnsi" w:eastAsiaTheme="minorEastAsia" w:cstheme="minorBidi"/>
      <w:kern w:val="2"/>
      <w:sz w:val="21"/>
      <w:szCs w:val="22"/>
      <w:lang w:val="en-US" w:eastAsia="zh-CN" w:bidi="ar-SA"/>
    </w:rPr>
  </w:style>
  <w:style w:type="paragraph" w:styleId="16">
    <w:name w:val="Body Text Indent 2"/>
    <w:basedOn w:val="1"/>
    <w:link w:val="41"/>
    <w:autoRedefine/>
    <w:qFormat/>
    <w:uiPriority w:val="99"/>
    <w:pPr>
      <w:spacing w:after="120" w:line="480" w:lineRule="auto"/>
      <w:ind w:left="420" w:leftChars="200"/>
    </w:pPr>
  </w:style>
  <w:style w:type="paragraph" w:styleId="17">
    <w:name w:val="Balloon Text"/>
    <w:basedOn w:val="1"/>
    <w:link w:val="40"/>
    <w:autoRedefine/>
    <w:qFormat/>
    <w:uiPriority w:val="0"/>
    <w:rPr>
      <w:sz w:val="18"/>
      <w:szCs w:val="18"/>
    </w:rPr>
  </w:style>
  <w:style w:type="paragraph" w:styleId="18">
    <w:name w:val="footer"/>
    <w:basedOn w:val="1"/>
    <w:autoRedefine/>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19">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annotation subject"/>
    <w:basedOn w:val="7"/>
    <w:next w:val="7"/>
    <w:link w:val="39"/>
    <w:autoRedefine/>
    <w:qFormat/>
    <w:uiPriority w:val="0"/>
    <w:rPr>
      <w:b/>
      <w:bCs/>
    </w:rPr>
  </w:style>
  <w:style w:type="paragraph" w:styleId="23">
    <w:name w:val="Body Text First Indent 2"/>
    <w:basedOn w:val="10"/>
    <w:next w:val="1"/>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sz w:val="21"/>
      <w:szCs w:val="24"/>
      <w:lang w:val="en-US" w:eastAsia="zh-CN" w:bidi="ar-SA"/>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character" w:styleId="28">
    <w:name w:val="Hyperlink"/>
    <w:autoRedefine/>
    <w:qFormat/>
    <w:uiPriority w:val="99"/>
    <w:rPr>
      <w:color w:val="136EC2"/>
      <w:u w:val="single"/>
    </w:rPr>
  </w:style>
  <w:style w:type="character" w:styleId="29">
    <w:name w:val="annotation reference"/>
    <w:basedOn w:val="26"/>
    <w:autoRedefine/>
    <w:qFormat/>
    <w:uiPriority w:val="0"/>
    <w:rPr>
      <w:sz w:val="21"/>
      <w:szCs w:val="21"/>
    </w:rPr>
  </w:style>
  <w:style w:type="paragraph" w:customStyle="1" w:styleId="3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1">
    <w:name w:val="正文格式11"/>
    <w:basedOn w:val="1"/>
    <w:next w:val="1"/>
    <w:autoRedefine/>
    <w:qFormat/>
    <w:uiPriority w:val="0"/>
    <w:pPr>
      <w:adjustRightInd w:val="0"/>
      <w:snapToGrid w:val="0"/>
      <w:textAlignment w:val="baseline"/>
    </w:pPr>
    <w:rPr>
      <w:rFonts w:ascii="新宋体" w:hAnsi="新宋体" w:cs="新宋体"/>
    </w:rPr>
  </w:style>
  <w:style w:type="paragraph" w:customStyle="1" w:styleId="32">
    <w:name w:val="表格文字2"/>
    <w:basedOn w:val="33"/>
    <w:autoRedefine/>
    <w:qFormat/>
    <w:uiPriority w:val="99"/>
    <w:pPr>
      <w:spacing w:before="25" w:after="25"/>
      <w:jc w:val="left"/>
    </w:pPr>
    <w:rPr>
      <w:bCs/>
      <w:spacing w:val="10"/>
      <w:kern w:val="0"/>
    </w:rPr>
  </w:style>
  <w:style w:type="paragraph" w:customStyle="1" w:styleId="33">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36">
    <w:name w:val="WPSOffice手动目录 1"/>
    <w:autoRedefine/>
    <w:qFormat/>
    <w:uiPriority w:val="0"/>
    <w:rPr>
      <w:rFonts w:ascii="Times New Roman" w:hAnsi="Times New Roman" w:eastAsia="宋体" w:cs="Times New Roman"/>
      <w:lang w:val="en-US" w:eastAsia="zh-CN" w:bidi="ar-SA"/>
    </w:rPr>
  </w:style>
  <w:style w:type="paragraph" w:customStyle="1" w:styleId="37">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8">
    <w:name w:val="批注文字 Char"/>
    <w:basedOn w:val="26"/>
    <w:link w:val="7"/>
    <w:autoRedefine/>
    <w:qFormat/>
    <w:uiPriority w:val="99"/>
    <w:rPr>
      <w:rFonts w:asciiTheme="minorHAnsi" w:hAnsiTheme="minorHAnsi" w:eastAsiaTheme="minorEastAsia" w:cstheme="minorBidi"/>
      <w:kern w:val="2"/>
      <w:sz w:val="21"/>
      <w:szCs w:val="24"/>
    </w:rPr>
  </w:style>
  <w:style w:type="character" w:customStyle="1" w:styleId="39">
    <w:name w:val="批注主题 Char"/>
    <w:basedOn w:val="38"/>
    <w:link w:val="22"/>
    <w:autoRedefine/>
    <w:qFormat/>
    <w:uiPriority w:val="0"/>
    <w:rPr>
      <w:rFonts w:asciiTheme="minorHAnsi" w:hAnsiTheme="minorHAnsi" w:eastAsiaTheme="minorEastAsia" w:cstheme="minorBidi"/>
      <w:b/>
      <w:bCs/>
      <w:kern w:val="2"/>
      <w:sz w:val="21"/>
      <w:szCs w:val="24"/>
    </w:rPr>
  </w:style>
  <w:style w:type="character" w:customStyle="1" w:styleId="40">
    <w:name w:val="批注框文本 Char"/>
    <w:basedOn w:val="26"/>
    <w:link w:val="17"/>
    <w:autoRedefine/>
    <w:qFormat/>
    <w:uiPriority w:val="0"/>
    <w:rPr>
      <w:rFonts w:asciiTheme="minorHAnsi" w:hAnsiTheme="minorHAnsi" w:eastAsiaTheme="minorEastAsia" w:cstheme="minorBidi"/>
      <w:kern w:val="2"/>
      <w:sz w:val="18"/>
      <w:szCs w:val="18"/>
    </w:rPr>
  </w:style>
  <w:style w:type="character" w:customStyle="1" w:styleId="41">
    <w:name w:val="正文文本缩进 2 Char"/>
    <w:basedOn w:val="26"/>
    <w:link w:val="16"/>
    <w:autoRedefine/>
    <w:qFormat/>
    <w:uiPriority w:val="99"/>
    <w:rPr>
      <w:rFonts w:asciiTheme="minorHAnsi" w:hAnsiTheme="minorHAnsi" w:eastAsiaTheme="minorEastAsia" w:cstheme="minorBidi"/>
      <w:kern w:val="2"/>
      <w:sz w:val="21"/>
      <w:szCs w:val="24"/>
    </w:rPr>
  </w:style>
  <w:style w:type="character" w:customStyle="1" w:styleId="42">
    <w:name w:val="标题 3 Char"/>
    <w:basedOn w:val="26"/>
    <w:link w:val="4"/>
    <w:autoRedefine/>
    <w:qFormat/>
    <w:uiPriority w:val="0"/>
    <w:rPr>
      <w:rFonts w:ascii="宋体"/>
      <w:b/>
      <w:kern w:val="0"/>
      <w:sz w:val="24"/>
      <w:szCs w:val="20"/>
      <w:u w:val="single"/>
    </w:rPr>
  </w:style>
  <w:style w:type="paragraph" w:styleId="43">
    <w:name w:val="List Paragraph"/>
    <w:basedOn w:val="1"/>
    <w:autoRedefine/>
    <w:qFormat/>
    <w:uiPriority w:val="34"/>
    <w:pPr>
      <w:ind w:firstLine="420" w:firstLineChars="200"/>
    </w:pPr>
  </w:style>
  <w:style w:type="character" w:customStyle="1" w:styleId="44">
    <w:name w:val="标题 1 Char1"/>
    <w:autoRedefine/>
    <w:qFormat/>
    <w:uiPriority w:val="0"/>
    <w:rPr>
      <w:rFonts w:ascii="Times New Roman" w:hAnsi="Times New Roman" w:eastAsia="宋体" w:cs="Times New Roman"/>
      <w:b/>
      <w:bCs/>
      <w:kern w:val="44"/>
      <w:sz w:val="32"/>
      <w:szCs w:val="44"/>
    </w:rPr>
  </w:style>
  <w:style w:type="paragraph" w:customStyle="1" w:styleId="45">
    <w:name w:val="Table Text"/>
    <w:basedOn w:val="1"/>
    <w:autoRedefine/>
    <w:semiHidden/>
    <w:qFormat/>
    <w:uiPriority w:val="0"/>
    <w:rPr>
      <w:rFonts w:ascii="微软雅黑" w:hAnsi="微软雅黑" w:eastAsia="微软雅黑" w:cs="微软雅黑"/>
      <w:sz w:val="24"/>
      <w:szCs w:val="24"/>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paragraph" w:customStyle="1" w:styleId="47">
    <w:name w:val="无间隔1"/>
    <w:autoRedefine/>
    <w:qFormat/>
    <w:uiPriority w:val="0"/>
    <w:pPr>
      <w:widowControl w:val="0"/>
      <w:spacing w:line="300" w:lineRule="auto"/>
    </w:pPr>
    <w:rPr>
      <w:rFonts w:ascii="Calibri" w:hAnsi="Calibri" w:eastAsia="华文仿宋" w:cs="Times New Roman"/>
      <w:kern w:val="2"/>
      <w:sz w:val="24"/>
      <w:szCs w:val="21"/>
      <w:lang w:val="en-US" w:eastAsia="zh-CN" w:bidi="ar-SA"/>
    </w:rPr>
  </w:style>
  <w:style w:type="character" w:customStyle="1" w:styleId="48">
    <w:name w:val="font31"/>
    <w:basedOn w:val="26"/>
    <w:autoRedefine/>
    <w:qFormat/>
    <w:uiPriority w:val="0"/>
    <w:rPr>
      <w:rFonts w:hint="eastAsia" w:ascii="仿宋" w:hAnsi="仿宋" w:eastAsia="仿宋" w:cs="仿宋"/>
      <w:color w:val="000000"/>
      <w:sz w:val="24"/>
      <w:szCs w:val="24"/>
      <w:u w:val="none"/>
    </w:rPr>
  </w:style>
  <w:style w:type="character" w:customStyle="1" w:styleId="49">
    <w:name w:val="font41"/>
    <w:basedOn w:val="26"/>
    <w:autoRedefine/>
    <w:qFormat/>
    <w:uiPriority w:val="0"/>
    <w:rPr>
      <w:rFonts w:hint="eastAsia" w:ascii="仿宋" w:hAnsi="仿宋" w:eastAsia="仿宋" w:cs="仿宋"/>
      <w:color w:val="000000"/>
      <w:sz w:val="20"/>
      <w:szCs w:val="20"/>
      <w:u w:val="none"/>
    </w:rPr>
  </w:style>
  <w:style w:type="paragraph" w:customStyle="1" w:styleId="50">
    <w:name w:val="列出段落1"/>
    <w:basedOn w:val="1"/>
    <w:autoRedefine/>
    <w:qFormat/>
    <w:uiPriority w:val="34"/>
    <w:pPr>
      <w:ind w:firstLine="420" w:firstLineChars="200"/>
    </w:pPr>
  </w:style>
  <w:style w:type="paragraph" w:customStyle="1" w:styleId="51">
    <w:name w:val="列表段落1"/>
    <w:basedOn w:val="1"/>
    <w:autoRedefine/>
    <w:qFormat/>
    <w:uiPriority w:val="34"/>
    <w:pPr>
      <w:ind w:firstLine="420" w:firstLineChars="200"/>
    </w:pPr>
  </w:style>
  <w:style w:type="paragraph" w:customStyle="1" w:styleId="52">
    <w:name w:val="Body text|1"/>
    <w:basedOn w:val="1"/>
    <w:autoRedefine/>
    <w:qFormat/>
    <w:uiPriority w:val="0"/>
    <w:pPr>
      <w:spacing w:line="396" w:lineRule="auto"/>
      <w:ind w:firstLine="400"/>
    </w:pPr>
    <w:rPr>
      <w:rFonts w:ascii="宋体" w:hAnsi="宋体" w:eastAsia="宋体" w:cs="宋体"/>
      <w:sz w:val="22"/>
      <w:szCs w:val="22"/>
      <w:lang w:val="zh-TW" w:eastAsia="zh-TW" w:bidi="zh-TW"/>
    </w:rPr>
  </w:style>
  <w:style w:type="character" w:customStyle="1" w:styleId="53">
    <w:name w:val="font11"/>
    <w:basedOn w:val="26"/>
    <w:autoRedefine/>
    <w:qFormat/>
    <w:uiPriority w:val="0"/>
    <w:rPr>
      <w:rFonts w:hint="eastAsia" w:ascii="宋体" w:hAnsi="宋体" w:eastAsia="宋体" w:cs="宋体"/>
      <w:color w:val="000000"/>
      <w:sz w:val="21"/>
      <w:szCs w:val="21"/>
      <w:u w:val="none"/>
    </w:rPr>
  </w:style>
  <w:style w:type="character" w:customStyle="1" w:styleId="54">
    <w:name w:val="NormalCharacter"/>
    <w:qFormat/>
    <w:uiPriority w:val="0"/>
  </w:style>
  <w:style w:type="paragraph" w:customStyle="1" w:styleId="55">
    <w:name w:val="_Style 3"/>
    <w:basedOn w:val="1"/>
    <w:next w:val="1"/>
    <w:qFormat/>
    <w:uiPriority w:val="0"/>
    <w:pPr>
      <w:ind w:firstLine="420"/>
    </w:pPr>
    <w:rPr>
      <w:rFonts w:ascii="Calibri" w:hAnsi="Calibri" w:eastAsia="Calibri"/>
      <w:sz w:val="20"/>
      <w:szCs w:val="20"/>
    </w:rPr>
  </w:style>
  <w:style w:type="character" w:customStyle="1" w:styleId="56">
    <w:name w:val="font51"/>
    <w:basedOn w:val="26"/>
    <w:qFormat/>
    <w:uiPriority w:val="0"/>
    <w:rPr>
      <w:rFonts w:hint="default" w:ascii="Arial" w:hAnsi="Arial" w:cs="Arial"/>
      <w:color w:val="000000"/>
      <w:sz w:val="24"/>
      <w:szCs w:val="24"/>
      <w:u w:val="none"/>
    </w:rPr>
  </w:style>
  <w:style w:type="character" w:customStyle="1" w:styleId="57">
    <w:name w:val="font61"/>
    <w:basedOn w:val="26"/>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1990</Words>
  <Characters>2245</Characters>
  <Lines>510</Lines>
  <Paragraphs>143</Paragraphs>
  <TotalTime>8</TotalTime>
  <ScaleCrop>false</ScaleCrop>
  <LinksUpToDate>false</LinksUpToDate>
  <CharactersWithSpaces>2365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agz</cp:lastModifiedBy>
  <dcterms:modified xsi:type="dcterms:W3CDTF">2025-06-25T05:36:02Z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650784BD9075403A92D813559A6A241F</vt:lpwstr>
  </property>
  <property fmtid="{D5CDD505-2E9C-101B-9397-08002B2CF9AE}" pid="4" name="KSOTemplateDocerSaveRecord">
    <vt:lpwstr>eyJoZGlkIjoiZTJlZDQ0OWVmMWVjZmE4YWE2Y2UyMTEzNjM2YzcwZjciLCJ1c2VySWQiOiI0NDIzNzU0MDYifQ==</vt:lpwstr>
  </property>
</Properties>
</file>