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CD8FF6">
      <w:pPr>
        <w:jc w:val="center"/>
        <w:rPr>
          <w:rFonts w:hint="eastAsia" w:ascii="仿宋" w:hAnsi="仿宋" w:eastAsia="仿宋" w:cs="仿宋"/>
          <w:b/>
          <w:sz w:val="72"/>
          <w:szCs w:val="72"/>
          <w:highlight w:val="none"/>
        </w:rPr>
      </w:pPr>
    </w:p>
    <w:p w14:paraId="03D2DAD2">
      <w:pPr>
        <w:jc w:val="center"/>
        <w:rPr>
          <w:rFonts w:hint="eastAsia" w:ascii="仿宋" w:hAnsi="仿宋" w:eastAsia="仿宋" w:cs="仿宋"/>
          <w:b/>
          <w:sz w:val="40"/>
          <w:szCs w:val="40"/>
          <w:highlight w:val="none"/>
        </w:rPr>
      </w:pPr>
    </w:p>
    <w:p w14:paraId="591D7CCD">
      <w:pPr>
        <w:jc w:val="center"/>
        <w:rPr>
          <w:rFonts w:hint="eastAsia" w:ascii="仿宋" w:hAnsi="仿宋" w:eastAsia="仿宋" w:cs="仿宋"/>
          <w:b/>
          <w:sz w:val="32"/>
          <w:szCs w:val="32"/>
          <w:highlight w:val="none"/>
          <w:lang w:val="en-US" w:eastAsia="zh-CN"/>
        </w:rPr>
      </w:pPr>
      <w:r>
        <w:rPr>
          <w:rFonts w:hint="eastAsia" w:ascii="仿宋" w:hAnsi="仿宋" w:eastAsia="仿宋" w:cs="仿宋"/>
          <w:b/>
          <w:sz w:val="32"/>
          <w:szCs w:val="32"/>
          <w:highlight w:val="none"/>
          <w:lang w:val="en-US" w:eastAsia="zh-CN"/>
        </w:rPr>
        <w:t xml:space="preserve">新疆维吾尔自治区教育考试院职工食堂蔬菜采购项目     </w:t>
      </w:r>
    </w:p>
    <w:p w14:paraId="66E20968">
      <w:pPr>
        <w:jc w:val="center"/>
        <w:rPr>
          <w:rFonts w:hint="default" w:ascii="仿宋" w:hAnsi="仿宋" w:eastAsia="仿宋" w:cs="仿宋"/>
          <w:b/>
          <w:sz w:val="32"/>
          <w:szCs w:val="32"/>
          <w:highlight w:val="none"/>
          <w:lang w:val="en-US" w:eastAsia="zh-CN"/>
        </w:rPr>
      </w:pPr>
      <w:r>
        <w:rPr>
          <w:rFonts w:hint="eastAsia" w:ascii="仿宋" w:hAnsi="仿宋" w:eastAsia="仿宋" w:cs="仿宋"/>
          <w:b/>
          <w:sz w:val="32"/>
          <w:szCs w:val="32"/>
          <w:highlight w:val="none"/>
        </w:rPr>
        <w:t>项目编号：</w:t>
      </w:r>
      <w:r>
        <w:rPr>
          <w:rFonts w:hint="eastAsia" w:ascii="仿宋" w:hAnsi="仿宋" w:eastAsia="仿宋" w:cs="仿宋"/>
          <w:b/>
          <w:sz w:val="32"/>
          <w:szCs w:val="32"/>
          <w:highlight w:val="none"/>
          <w:lang w:eastAsia="zh-CN"/>
        </w:rPr>
        <w:t>ZD（GK）2025-0</w:t>
      </w:r>
      <w:r>
        <w:rPr>
          <w:rFonts w:hint="eastAsia" w:ascii="仿宋" w:hAnsi="仿宋" w:eastAsia="仿宋" w:cs="仿宋"/>
          <w:b/>
          <w:sz w:val="32"/>
          <w:szCs w:val="32"/>
          <w:highlight w:val="none"/>
          <w:lang w:val="en-US" w:eastAsia="zh-CN"/>
        </w:rPr>
        <w:t>19</w:t>
      </w:r>
    </w:p>
    <w:p w14:paraId="6103A16D">
      <w:pPr>
        <w:rPr>
          <w:rFonts w:hint="eastAsia"/>
          <w:highlight w:val="none"/>
        </w:rPr>
      </w:pPr>
    </w:p>
    <w:p w14:paraId="27C88F6D">
      <w:pPr>
        <w:pStyle w:val="113"/>
        <w:ind w:firstLine="1446"/>
        <w:rPr>
          <w:rFonts w:hint="eastAsia" w:ascii="仿宋" w:hAnsi="仿宋" w:eastAsia="仿宋" w:cs="仿宋"/>
          <w:b/>
          <w:sz w:val="72"/>
          <w:szCs w:val="72"/>
          <w:highlight w:val="none"/>
        </w:rPr>
      </w:pPr>
    </w:p>
    <w:p w14:paraId="50C3D1A0">
      <w:pPr>
        <w:jc w:val="center"/>
        <w:rPr>
          <w:rFonts w:hint="eastAsia" w:ascii="仿宋" w:hAnsi="仿宋" w:eastAsia="仿宋" w:cs="仿宋"/>
          <w:bCs/>
          <w:sz w:val="32"/>
          <w:szCs w:val="32"/>
          <w:highlight w:val="none"/>
        </w:rPr>
      </w:pPr>
    </w:p>
    <w:p w14:paraId="27E39D73">
      <w:pPr>
        <w:jc w:val="center"/>
        <w:rPr>
          <w:rFonts w:hint="eastAsia" w:ascii="仿宋" w:hAnsi="仿宋" w:eastAsia="仿宋" w:cs="仿宋"/>
          <w:b/>
          <w:sz w:val="56"/>
          <w:szCs w:val="56"/>
          <w:highlight w:val="none"/>
        </w:rPr>
      </w:pPr>
      <w:r>
        <w:rPr>
          <w:rFonts w:hint="eastAsia" w:ascii="仿宋" w:hAnsi="仿宋" w:eastAsia="仿宋" w:cs="仿宋"/>
          <w:b/>
          <w:sz w:val="56"/>
          <w:szCs w:val="56"/>
          <w:highlight w:val="none"/>
        </w:rPr>
        <w:t>招 标 文 件</w:t>
      </w:r>
    </w:p>
    <w:p w14:paraId="72131B84">
      <w:pPr>
        <w:pStyle w:val="220"/>
        <w:spacing w:line="440" w:lineRule="exact"/>
        <w:jc w:val="center"/>
        <w:rPr>
          <w:rFonts w:hint="eastAsia" w:ascii="仿宋" w:hAnsi="仿宋" w:eastAsia="仿宋" w:cs="仿宋"/>
          <w:b/>
          <w:color w:val="auto"/>
          <w:spacing w:val="14"/>
          <w:kern w:val="2"/>
          <w:sz w:val="32"/>
          <w:szCs w:val="32"/>
          <w:highlight w:val="none"/>
        </w:rPr>
      </w:pPr>
    </w:p>
    <w:p w14:paraId="3C906A3D">
      <w:pPr>
        <w:pStyle w:val="220"/>
        <w:spacing w:line="440" w:lineRule="exact"/>
        <w:jc w:val="center"/>
        <w:rPr>
          <w:rFonts w:hint="eastAsia" w:ascii="仿宋" w:hAnsi="仿宋" w:eastAsia="仿宋" w:cs="仿宋"/>
          <w:b/>
          <w:color w:val="auto"/>
          <w:spacing w:val="14"/>
          <w:kern w:val="2"/>
          <w:sz w:val="32"/>
          <w:szCs w:val="32"/>
          <w:highlight w:val="none"/>
        </w:rPr>
      </w:pPr>
    </w:p>
    <w:p w14:paraId="0AC6983C">
      <w:pPr>
        <w:pStyle w:val="220"/>
        <w:spacing w:line="440" w:lineRule="exact"/>
        <w:jc w:val="center"/>
        <w:rPr>
          <w:rFonts w:hint="eastAsia" w:ascii="仿宋" w:hAnsi="仿宋" w:eastAsia="仿宋" w:cs="仿宋"/>
          <w:b/>
          <w:color w:val="auto"/>
          <w:spacing w:val="14"/>
          <w:kern w:val="2"/>
          <w:sz w:val="32"/>
          <w:szCs w:val="32"/>
          <w:highlight w:val="none"/>
        </w:rPr>
      </w:pPr>
    </w:p>
    <w:p w14:paraId="0352AD56">
      <w:pPr>
        <w:pStyle w:val="220"/>
        <w:spacing w:line="440" w:lineRule="exact"/>
        <w:jc w:val="center"/>
        <w:rPr>
          <w:rFonts w:hint="eastAsia" w:ascii="仿宋" w:hAnsi="仿宋" w:eastAsia="仿宋" w:cs="仿宋"/>
          <w:b/>
          <w:color w:val="auto"/>
          <w:spacing w:val="14"/>
          <w:kern w:val="2"/>
          <w:sz w:val="32"/>
          <w:szCs w:val="32"/>
          <w:highlight w:val="none"/>
        </w:rPr>
      </w:pPr>
      <w:r>
        <w:rPr>
          <w:rFonts w:hint="eastAsia" w:ascii="仿宋" w:hAnsi="仿宋" w:eastAsia="仿宋" w:cs="仿宋"/>
          <w:b/>
          <w:color w:val="auto"/>
          <w:spacing w:val="14"/>
          <w:kern w:val="2"/>
          <w:sz w:val="32"/>
          <w:szCs w:val="32"/>
          <w:highlight w:val="none"/>
        </w:rPr>
        <w:t xml:space="preserve">  </w:t>
      </w:r>
    </w:p>
    <w:tbl>
      <w:tblPr>
        <w:tblStyle w:val="41"/>
        <w:tblpPr w:leftFromText="180" w:rightFromText="180" w:vertAnchor="text" w:horzAnchor="page" w:tblpXSpec="center" w:tblpY="198"/>
        <w:tblW w:w="0" w:type="auto"/>
        <w:jc w:val="center"/>
        <w:tblLayout w:type="fixed"/>
        <w:tblCellMar>
          <w:top w:w="0" w:type="dxa"/>
          <w:left w:w="108" w:type="dxa"/>
          <w:bottom w:w="0" w:type="dxa"/>
          <w:right w:w="108" w:type="dxa"/>
        </w:tblCellMar>
      </w:tblPr>
      <w:tblGrid>
        <w:gridCol w:w="1231"/>
        <w:gridCol w:w="267"/>
        <w:gridCol w:w="7302"/>
      </w:tblGrid>
      <w:tr w14:paraId="14CC092F">
        <w:tblPrEx>
          <w:tblCellMar>
            <w:top w:w="0" w:type="dxa"/>
            <w:left w:w="108" w:type="dxa"/>
            <w:bottom w:w="0" w:type="dxa"/>
            <w:right w:w="108" w:type="dxa"/>
          </w:tblCellMar>
        </w:tblPrEx>
        <w:trPr>
          <w:trHeight w:val="567" w:hRule="atLeast"/>
          <w:jc w:val="center"/>
        </w:trPr>
        <w:tc>
          <w:tcPr>
            <w:tcW w:w="1231" w:type="dxa"/>
            <w:noWrap w:val="0"/>
            <w:vAlign w:val="center"/>
          </w:tcPr>
          <w:p w14:paraId="25877684">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采购人</w:t>
            </w:r>
          </w:p>
        </w:tc>
        <w:tc>
          <w:tcPr>
            <w:tcW w:w="267" w:type="dxa"/>
            <w:noWrap w:val="0"/>
            <w:vAlign w:val="center"/>
          </w:tcPr>
          <w:p w14:paraId="2D5460B9">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w:t>
            </w:r>
          </w:p>
        </w:tc>
        <w:tc>
          <w:tcPr>
            <w:tcW w:w="7302" w:type="dxa"/>
            <w:noWrap w:val="0"/>
            <w:vAlign w:val="center"/>
          </w:tcPr>
          <w:p w14:paraId="547FB693">
            <w:pPr>
              <w:spacing w:line="360" w:lineRule="auto"/>
              <w:rPr>
                <w:rFonts w:hint="eastAsia" w:ascii="仿宋" w:hAnsi="仿宋" w:eastAsia="仿宋" w:cs="仿宋"/>
                <w:b/>
                <w:sz w:val="24"/>
                <w:highlight w:val="none"/>
              </w:rPr>
            </w:pPr>
            <w:r>
              <w:rPr>
                <w:rFonts w:hint="eastAsia" w:ascii="仿宋_GB2312" w:hAnsi="仿宋_GB2312" w:eastAsia="仿宋_GB2312" w:cs="仿宋_GB2312"/>
                <w:b/>
                <w:sz w:val="24"/>
                <w:highlight w:val="none"/>
              </w:rPr>
              <w:t>新疆维吾尔自治区教育考试院</w:t>
            </w:r>
          </w:p>
        </w:tc>
      </w:tr>
      <w:tr w14:paraId="4503EDEA">
        <w:tblPrEx>
          <w:tblCellMar>
            <w:top w:w="0" w:type="dxa"/>
            <w:left w:w="108" w:type="dxa"/>
            <w:bottom w:w="0" w:type="dxa"/>
            <w:right w:w="108" w:type="dxa"/>
          </w:tblCellMar>
        </w:tblPrEx>
        <w:trPr>
          <w:trHeight w:val="567" w:hRule="atLeast"/>
          <w:jc w:val="center"/>
        </w:trPr>
        <w:tc>
          <w:tcPr>
            <w:tcW w:w="1231" w:type="dxa"/>
            <w:noWrap w:val="0"/>
            <w:vAlign w:val="center"/>
          </w:tcPr>
          <w:p w14:paraId="71E6CDD0">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代理机构</w:t>
            </w:r>
          </w:p>
        </w:tc>
        <w:tc>
          <w:tcPr>
            <w:tcW w:w="267" w:type="dxa"/>
            <w:noWrap w:val="0"/>
            <w:vAlign w:val="center"/>
          </w:tcPr>
          <w:p w14:paraId="1860B4AA">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w:t>
            </w:r>
          </w:p>
        </w:tc>
        <w:tc>
          <w:tcPr>
            <w:tcW w:w="7302" w:type="dxa"/>
            <w:noWrap w:val="0"/>
            <w:vAlign w:val="center"/>
          </w:tcPr>
          <w:p w14:paraId="03B97E12">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新疆中鼎远航招标有限公司</w:t>
            </w:r>
          </w:p>
        </w:tc>
      </w:tr>
      <w:tr w14:paraId="3AAD44EE">
        <w:tblPrEx>
          <w:tblCellMar>
            <w:top w:w="0" w:type="dxa"/>
            <w:left w:w="108" w:type="dxa"/>
            <w:bottom w:w="0" w:type="dxa"/>
            <w:right w:w="108" w:type="dxa"/>
          </w:tblCellMar>
        </w:tblPrEx>
        <w:trPr>
          <w:trHeight w:val="557" w:hRule="atLeast"/>
          <w:jc w:val="center"/>
        </w:trPr>
        <w:tc>
          <w:tcPr>
            <w:tcW w:w="1231" w:type="dxa"/>
            <w:noWrap w:val="0"/>
            <w:vAlign w:val="center"/>
          </w:tcPr>
          <w:p w14:paraId="3100EE08">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联系人</w:t>
            </w:r>
          </w:p>
        </w:tc>
        <w:tc>
          <w:tcPr>
            <w:tcW w:w="267" w:type="dxa"/>
            <w:noWrap w:val="0"/>
            <w:vAlign w:val="center"/>
          </w:tcPr>
          <w:p w14:paraId="3575F555">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w:t>
            </w:r>
          </w:p>
        </w:tc>
        <w:tc>
          <w:tcPr>
            <w:tcW w:w="7302" w:type="dxa"/>
            <w:noWrap w:val="0"/>
            <w:vAlign w:val="center"/>
          </w:tcPr>
          <w:p w14:paraId="0ECC51F1">
            <w:pPr>
              <w:spacing w:line="360" w:lineRule="auto"/>
              <w:rPr>
                <w:rFonts w:hint="eastAsia" w:ascii="仿宋" w:hAnsi="仿宋" w:eastAsia="仿宋" w:cs="仿宋"/>
                <w:b/>
                <w:sz w:val="24"/>
                <w:highlight w:val="none"/>
                <w:lang w:eastAsia="zh-CN"/>
              </w:rPr>
            </w:pPr>
            <w:r>
              <w:rPr>
                <w:rFonts w:hint="eastAsia" w:ascii="仿宋" w:hAnsi="仿宋" w:eastAsia="仿宋" w:cs="仿宋"/>
                <w:b/>
                <w:sz w:val="24"/>
                <w:highlight w:val="none"/>
                <w:lang w:eastAsia="zh-CN"/>
              </w:rPr>
              <w:t>王建刚</w:t>
            </w:r>
          </w:p>
        </w:tc>
      </w:tr>
      <w:tr w14:paraId="007C1C09">
        <w:tblPrEx>
          <w:tblCellMar>
            <w:top w:w="0" w:type="dxa"/>
            <w:left w:w="108" w:type="dxa"/>
            <w:bottom w:w="0" w:type="dxa"/>
            <w:right w:w="108" w:type="dxa"/>
          </w:tblCellMar>
        </w:tblPrEx>
        <w:trPr>
          <w:trHeight w:val="567" w:hRule="atLeast"/>
          <w:jc w:val="center"/>
        </w:trPr>
        <w:tc>
          <w:tcPr>
            <w:tcW w:w="1231" w:type="dxa"/>
            <w:noWrap w:val="0"/>
            <w:vAlign w:val="center"/>
          </w:tcPr>
          <w:p w14:paraId="1B52BDBB">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联系电话</w:t>
            </w:r>
          </w:p>
        </w:tc>
        <w:tc>
          <w:tcPr>
            <w:tcW w:w="267" w:type="dxa"/>
            <w:noWrap w:val="0"/>
            <w:vAlign w:val="center"/>
          </w:tcPr>
          <w:p w14:paraId="1B2B665F">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w:t>
            </w:r>
          </w:p>
        </w:tc>
        <w:tc>
          <w:tcPr>
            <w:tcW w:w="7302" w:type="dxa"/>
            <w:noWrap w:val="0"/>
            <w:vAlign w:val="center"/>
          </w:tcPr>
          <w:p w14:paraId="28553B1E">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0991-3663698</w:t>
            </w:r>
          </w:p>
        </w:tc>
      </w:tr>
      <w:tr w14:paraId="2ED56285">
        <w:tblPrEx>
          <w:tblCellMar>
            <w:top w:w="0" w:type="dxa"/>
            <w:left w:w="108" w:type="dxa"/>
            <w:bottom w:w="0" w:type="dxa"/>
            <w:right w:w="108" w:type="dxa"/>
          </w:tblCellMar>
        </w:tblPrEx>
        <w:trPr>
          <w:trHeight w:val="567" w:hRule="atLeast"/>
          <w:jc w:val="center"/>
        </w:trPr>
        <w:tc>
          <w:tcPr>
            <w:tcW w:w="1231" w:type="dxa"/>
            <w:noWrap w:val="0"/>
            <w:vAlign w:val="center"/>
          </w:tcPr>
          <w:p w14:paraId="286967ED">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联系地址</w:t>
            </w:r>
          </w:p>
        </w:tc>
        <w:tc>
          <w:tcPr>
            <w:tcW w:w="267" w:type="dxa"/>
            <w:noWrap w:val="0"/>
            <w:vAlign w:val="center"/>
          </w:tcPr>
          <w:p w14:paraId="7DB8696B">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w:t>
            </w:r>
          </w:p>
        </w:tc>
        <w:tc>
          <w:tcPr>
            <w:tcW w:w="7302" w:type="dxa"/>
            <w:noWrap w:val="0"/>
            <w:vAlign w:val="center"/>
          </w:tcPr>
          <w:p w14:paraId="6A87ED5B">
            <w:pPr>
              <w:spacing w:line="360" w:lineRule="auto"/>
              <w:rPr>
                <w:rFonts w:ascii="仿宋" w:hAnsi="仿宋" w:eastAsia="仿宋" w:cs="仿宋"/>
                <w:b/>
                <w:sz w:val="24"/>
                <w:highlight w:val="none"/>
              </w:rPr>
            </w:pPr>
            <w:r>
              <w:rPr>
                <w:rFonts w:hint="eastAsia" w:ascii="仿宋" w:hAnsi="仿宋" w:eastAsia="仿宋" w:cs="仿宋"/>
                <w:b/>
                <w:sz w:val="24"/>
                <w:highlight w:val="none"/>
              </w:rPr>
              <w:t>乌鲁木齐高新技术产业开发区（新市区）鲤鱼山北路298号（领世华府）2栋2108室</w:t>
            </w:r>
          </w:p>
        </w:tc>
      </w:tr>
      <w:tr w14:paraId="08116CD1">
        <w:tblPrEx>
          <w:tblCellMar>
            <w:top w:w="0" w:type="dxa"/>
            <w:left w:w="108" w:type="dxa"/>
            <w:bottom w:w="0" w:type="dxa"/>
            <w:right w:w="108" w:type="dxa"/>
          </w:tblCellMar>
        </w:tblPrEx>
        <w:trPr>
          <w:trHeight w:val="567" w:hRule="atLeast"/>
          <w:jc w:val="center"/>
        </w:trPr>
        <w:tc>
          <w:tcPr>
            <w:tcW w:w="1231" w:type="dxa"/>
            <w:noWrap w:val="0"/>
            <w:vAlign w:val="center"/>
          </w:tcPr>
          <w:p w14:paraId="01F03F8D">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日    期</w:t>
            </w:r>
          </w:p>
        </w:tc>
        <w:tc>
          <w:tcPr>
            <w:tcW w:w="267" w:type="dxa"/>
            <w:noWrap w:val="0"/>
            <w:vAlign w:val="center"/>
          </w:tcPr>
          <w:p w14:paraId="53AADA7A">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w:t>
            </w:r>
          </w:p>
        </w:tc>
        <w:tc>
          <w:tcPr>
            <w:tcW w:w="7302" w:type="dxa"/>
            <w:noWrap w:val="0"/>
            <w:vAlign w:val="center"/>
          </w:tcPr>
          <w:p w14:paraId="13709885">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202</w:t>
            </w:r>
            <w:r>
              <w:rPr>
                <w:rFonts w:hint="eastAsia" w:ascii="仿宋" w:hAnsi="仿宋" w:eastAsia="仿宋" w:cs="仿宋"/>
                <w:b/>
                <w:sz w:val="24"/>
                <w:highlight w:val="none"/>
                <w:lang w:val="en-US" w:eastAsia="zh-CN"/>
              </w:rPr>
              <w:t>5</w:t>
            </w:r>
            <w:r>
              <w:rPr>
                <w:rFonts w:hint="eastAsia" w:ascii="仿宋" w:hAnsi="仿宋" w:eastAsia="仿宋" w:cs="仿宋"/>
                <w:b/>
                <w:sz w:val="24"/>
                <w:highlight w:val="none"/>
              </w:rPr>
              <w:t>年</w:t>
            </w:r>
            <w:r>
              <w:rPr>
                <w:rFonts w:hint="eastAsia" w:ascii="仿宋" w:hAnsi="仿宋" w:eastAsia="仿宋" w:cs="仿宋"/>
                <w:b/>
                <w:sz w:val="24"/>
                <w:highlight w:val="none"/>
                <w:lang w:val="en-US" w:eastAsia="zh-CN"/>
              </w:rPr>
              <w:t>6</w:t>
            </w:r>
            <w:r>
              <w:rPr>
                <w:rFonts w:hint="eastAsia" w:ascii="仿宋" w:hAnsi="仿宋" w:eastAsia="仿宋" w:cs="仿宋"/>
                <w:b/>
                <w:sz w:val="24"/>
                <w:highlight w:val="none"/>
              </w:rPr>
              <w:t>月</w:t>
            </w:r>
          </w:p>
        </w:tc>
      </w:tr>
    </w:tbl>
    <w:p w14:paraId="3717E2C7">
      <w:pPr>
        <w:pStyle w:val="220"/>
        <w:spacing w:line="440" w:lineRule="exact"/>
        <w:jc w:val="center"/>
        <w:rPr>
          <w:rFonts w:hint="eastAsia" w:ascii="仿宋" w:hAnsi="仿宋" w:eastAsia="仿宋" w:cs="仿宋"/>
          <w:b/>
          <w:color w:val="auto"/>
          <w:spacing w:val="14"/>
          <w:kern w:val="2"/>
          <w:sz w:val="32"/>
          <w:szCs w:val="32"/>
          <w:highlight w:val="none"/>
        </w:rPr>
      </w:pPr>
    </w:p>
    <w:p w14:paraId="7743D184">
      <w:pPr>
        <w:pStyle w:val="27"/>
        <w:rPr>
          <w:rFonts w:hint="eastAsia" w:cs="仿宋"/>
          <w:highlight w:val="none"/>
        </w:rPr>
        <w:sectPr>
          <w:headerReference r:id="rId3" w:type="default"/>
          <w:footerReference r:id="rId4" w:type="default"/>
          <w:pgSz w:w="11850" w:h="16783"/>
          <w:pgMar w:top="1417" w:right="1701" w:bottom="1417" w:left="1701" w:header="850" w:footer="567" w:gutter="0"/>
          <w:pgNumType w:fmt="decimal" w:start="1"/>
          <w:cols w:space="0" w:num="1"/>
          <w:rtlGutter w:val="0"/>
          <w:docGrid w:type="lines" w:linePitch="377" w:charSpace="0"/>
        </w:sectPr>
      </w:pPr>
    </w:p>
    <w:p w14:paraId="781540E0">
      <w:pPr>
        <w:rPr>
          <w:rFonts w:hint="eastAsia" w:ascii="仿宋" w:hAnsi="仿宋" w:eastAsia="仿宋" w:cs="仿宋"/>
          <w:highlight w:val="none"/>
        </w:rPr>
      </w:pPr>
    </w:p>
    <w:p w14:paraId="1BB0E798">
      <w:pPr>
        <w:pStyle w:val="27"/>
        <w:rPr>
          <w:rFonts w:hint="eastAsia" w:cs="仿宋"/>
          <w:highlight w:val="none"/>
        </w:rPr>
      </w:pPr>
    </w:p>
    <w:p w14:paraId="13D2F781">
      <w:pPr>
        <w:pStyle w:val="27"/>
        <w:rPr>
          <w:rFonts w:hint="eastAsia" w:cs="仿宋"/>
          <w:sz w:val="36"/>
          <w:szCs w:val="36"/>
          <w:highlight w:val="none"/>
        </w:rPr>
      </w:pPr>
      <w:r>
        <w:rPr>
          <w:rFonts w:hint="eastAsia" w:cs="仿宋"/>
          <w:sz w:val="36"/>
          <w:szCs w:val="36"/>
          <w:highlight w:val="none"/>
        </w:rPr>
        <w:t>目   录</w:t>
      </w:r>
    </w:p>
    <w:p w14:paraId="42F9C2FB">
      <w:pPr>
        <w:rPr>
          <w:rFonts w:hint="eastAsia" w:ascii="仿宋" w:hAnsi="仿宋" w:eastAsia="仿宋" w:cs="仿宋"/>
          <w:highlight w:val="none"/>
        </w:rPr>
      </w:pPr>
    </w:p>
    <w:p w14:paraId="1C14ED6B">
      <w:pPr>
        <w:pStyle w:val="27"/>
        <w:tabs>
          <w:tab w:val="right" w:leader="dot" w:pos="8448"/>
          <w:tab w:val="clear" w:pos="9628"/>
        </w:tabs>
      </w:pPr>
      <w:r>
        <w:rPr>
          <w:rFonts w:hint="eastAsia" w:cs="仿宋"/>
          <w:sz w:val="28"/>
          <w:szCs w:val="28"/>
          <w:highlight w:val="none"/>
        </w:rPr>
        <w:fldChar w:fldCharType="begin"/>
      </w:r>
      <w:r>
        <w:rPr>
          <w:rFonts w:hint="eastAsia" w:cs="仿宋"/>
          <w:sz w:val="28"/>
          <w:szCs w:val="28"/>
          <w:highlight w:val="none"/>
        </w:rPr>
        <w:instrText xml:space="preserve">TOC \o "1-1" \h \u </w:instrText>
      </w:r>
      <w:r>
        <w:rPr>
          <w:rFonts w:hint="eastAsia" w:cs="仿宋"/>
          <w:sz w:val="28"/>
          <w:szCs w:val="28"/>
          <w:highlight w:val="none"/>
        </w:rPr>
        <w:fldChar w:fldCharType="separate"/>
      </w:r>
      <w:r>
        <w:rPr>
          <w:rFonts w:hint="eastAsia" w:cs="仿宋"/>
          <w:szCs w:val="28"/>
          <w:highlight w:val="none"/>
        </w:rPr>
        <w:fldChar w:fldCharType="begin"/>
      </w:r>
      <w:r>
        <w:rPr>
          <w:rFonts w:hint="eastAsia" w:cs="仿宋"/>
          <w:szCs w:val="28"/>
          <w:highlight w:val="none"/>
        </w:rPr>
        <w:instrText xml:space="preserve"> HYPERLINK \l _Toc30199 </w:instrText>
      </w:r>
      <w:r>
        <w:rPr>
          <w:rFonts w:hint="eastAsia" w:cs="仿宋"/>
          <w:szCs w:val="28"/>
          <w:highlight w:val="none"/>
        </w:rPr>
        <w:fldChar w:fldCharType="separate"/>
      </w:r>
      <w:r>
        <w:rPr>
          <w:rFonts w:hint="eastAsia" w:ascii="仿宋" w:hAnsi="仿宋" w:eastAsia="仿宋" w:cs="仿宋"/>
          <w:szCs w:val="32"/>
          <w:highlight w:val="none"/>
          <w:lang w:eastAsia="zh-CN"/>
        </w:rPr>
        <w:t>公开招标采购公告</w:t>
      </w:r>
      <w:r>
        <w:tab/>
      </w:r>
      <w:r>
        <w:fldChar w:fldCharType="begin"/>
      </w:r>
      <w:r>
        <w:instrText xml:space="preserve"> PAGEREF _Toc30199 \h </w:instrText>
      </w:r>
      <w:r>
        <w:fldChar w:fldCharType="separate"/>
      </w:r>
      <w:r>
        <w:t>3</w:t>
      </w:r>
      <w:r>
        <w:fldChar w:fldCharType="end"/>
      </w:r>
      <w:r>
        <w:rPr>
          <w:rFonts w:hint="eastAsia" w:cs="仿宋"/>
          <w:szCs w:val="28"/>
          <w:highlight w:val="none"/>
        </w:rPr>
        <w:fldChar w:fldCharType="end"/>
      </w:r>
    </w:p>
    <w:p w14:paraId="3002403E">
      <w:pPr>
        <w:pStyle w:val="27"/>
        <w:tabs>
          <w:tab w:val="right" w:leader="dot" w:pos="8448"/>
          <w:tab w:val="clear" w:pos="9628"/>
        </w:tabs>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_Toc17348 </w:instrText>
      </w:r>
      <w:r>
        <w:rPr>
          <w:rFonts w:hint="eastAsia" w:ascii="仿宋" w:hAnsi="仿宋" w:eastAsia="仿宋" w:cs="仿宋"/>
          <w:szCs w:val="28"/>
          <w:highlight w:val="none"/>
        </w:rPr>
        <w:fldChar w:fldCharType="separate"/>
      </w:r>
      <w:r>
        <w:rPr>
          <w:rFonts w:hint="eastAsia" w:ascii="仿宋" w:hAnsi="仿宋" w:eastAsia="仿宋" w:cs="仿宋"/>
        </w:rPr>
        <w:t xml:space="preserve">第一部分 </w:t>
      </w:r>
      <w:r>
        <w:rPr>
          <w:rFonts w:hint="eastAsia" w:ascii="仿宋" w:hAnsi="仿宋" w:eastAsia="仿宋" w:cs="仿宋"/>
          <w:highlight w:val="none"/>
        </w:rPr>
        <w:t>投标须知</w:t>
      </w:r>
      <w:r>
        <w:tab/>
      </w:r>
      <w:r>
        <w:fldChar w:fldCharType="begin"/>
      </w:r>
      <w:r>
        <w:instrText xml:space="preserve"> PAGEREF _Toc17348 \h </w:instrText>
      </w:r>
      <w:r>
        <w:fldChar w:fldCharType="separate"/>
      </w:r>
      <w:r>
        <w:t>7</w:t>
      </w:r>
      <w:r>
        <w:fldChar w:fldCharType="end"/>
      </w:r>
      <w:r>
        <w:rPr>
          <w:rFonts w:hint="eastAsia" w:ascii="仿宋" w:hAnsi="仿宋" w:eastAsia="仿宋" w:cs="仿宋"/>
          <w:szCs w:val="28"/>
          <w:highlight w:val="none"/>
        </w:rPr>
        <w:fldChar w:fldCharType="end"/>
      </w:r>
    </w:p>
    <w:p w14:paraId="43DACB20">
      <w:pPr>
        <w:pStyle w:val="27"/>
        <w:tabs>
          <w:tab w:val="right" w:leader="dot" w:pos="8448"/>
          <w:tab w:val="clear" w:pos="9628"/>
        </w:tabs>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_Toc7299 </w:instrText>
      </w:r>
      <w:r>
        <w:rPr>
          <w:rFonts w:hint="eastAsia" w:ascii="仿宋" w:hAnsi="仿宋" w:eastAsia="仿宋" w:cs="仿宋"/>
          <w:szCs w:val="28"/>
          <w:highlight w:val="none"/>
        </w:rPr>
        <w:fldChar w:fldCharType="separate"/>
      </w:r>
      <w:r>
        <w:rPr>
          <w:rFonts w:hint="eastAsia" w:ascii="仿宋" w:hAnsi="仿宋" w:eastAsia="仿宋" w:cs="仿宋"/>
        </w:rPr>
        <w:t xml:space="preserve">第二部分 </w:t>
      </w:r>
      <w:r>
        <w:rPr>
          <w:rFonts w:hint="eastAsia" w:ascii="仿宋" w:hAnsi="仿宋" w:eastAsia="仿宋" w:cs="仿宋"/>
          <w:highlight w:val="none"/>
        </w:rPr>
        <w:t>招标说明</w:t>
      </w:r>
      <w:r>
        <w:tab/>
      </w:r>
      <w:r>
        <w:fldChar w:fldCharType="begin"/>
      </w:r>
      <w:r>
        <w:instrText xml:space="preserve"> PAGEREF _Toc7299 \h </w:instrText>
      </w:r>
      <w:r>
        <w:fldChar w:fldCharType="separate"/>
      </w:r>
      <w:r>
        <w:t>16</w:t>
      </w:r>
      <w:r>
        <w:fldChar w:fldCharType="end"/>
      </w:r>
      <w:r>
        <w:rPr>
          <w:rFonts w:hint="eastAsia" w:ascii="仿宋" w:hAnsi="仿宋" w:eastAsia="仿宋" w:cs="仿宋"/>
          <w:szCs w:val="28"/>
          <w:highlight w:val="none"/>
        </w:rPr>
        <w:fldChar w:fldCharType="end"/>
      </w:r>
    </w:p>
    <w:p w14:paraId="2D1B6540">
      <w:pPr>
        <w:pStyle w:val="27"/>
        <w:tabs>
          <w:tab w:val="right" w:leader="dot" w:pos="8448"/>
          <w:tab w:val="clear" w:pos="9628"/>
        </w:tabs>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_Toc20225 </w:instrText>
      </w:r>
      <w:r>
        <w:rPr>
          <w:rFonts w:hint="eastAsia" w:ascii="仿宋" w:hAnsi="仿宋" w:eastAsia="仿宋" w:cs="仿宋"/>
          <w:szCs w:val="28"/>
          <w:highlight w:val="none"/>
        </w:rPr>
        <w:fldChar w:fldCharType="separate"/>
      </w:r>
      <w:r>
        <w:rPr>
          <w:rFonts w:hint="eastAsia" w:ascii="仿宋" w:hAnsi="仿宋" w:eastAsia="仿宋" w:cs="仿宋"/>
        </w:rPr>
        <w:t xml:space="preserve">第三部分 </w:t>
      </w:r>
      <w:r>
        <w:rPr>
          <w:rFonts w:hint="eastAsia" w:ascii="仿宋" w:hAnsi="仿宋" w:eastAsia="仿宋" w:cs="仿宋"/>
          <w:highlight w:val="none"/>
        </w:rPr>
        <w:t>投标说明</w:t>
      </w:r>
      <w:r>
        <w:tab/>
      </w:r>
      <w:r>
        <w:fldChar w:fldCharType="begin"/>
      </w:r>
      <w:r>
        <w:instrText xml:space="preserve"> PAGEREF _Toc20225 \h </w:instrText>
      </w:r>
      <w:r>
        <w:fldChar w:fldCharType="separate"/>
      </w:r>
      <w:r>
        <w:t>19</w:t>
      </w:r>
      <w:r>
        <w:fldChar w:fldCharType="end"/>
      </w:r>
      <w:r>
        <w:rPr>
          <w:rFonts w:hint="eastAsia" w:ascii="仿宋" w:hAnsi="仿宋" w:eastAsia="仿宋" w:cs="仿宋"/>
          <w:szCs w:val="28"/>
          <w:highlight w:val="none"/>
        </w:rPr>
        <w:fldChar w:fldCharType="end"/>
      </w:r>
    </w:p>
    <w:p w14:paraId="42E3B658">
      <w:pPr>
        <w:pStyle w:val="27"/>
        <w:tabs>
          <w:tab w:val="right" w:leader="dot" w:pos="8448"/>
          <w:tab w:val="clear" w:pos="9628"/>
        </w:tabs>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_Toc14278 </w:instrText>
      </w:r>
      <w:r>
        <w:rPr>
          <w:rFonts w:hint="eastAsia" w:ascii="仿宋" w:hAnsi="仿宋" w:eastAsia="仿宋" w:cs="仿宋"/>
          <w:szCs w:val="28"/>
          <w:highlight w:val="none"/>
        </w:rPr>
        <w:fldChar w:fldCharType="separate"/>
      </w:r>
      <w:r>
        <w:rPr>
          <w:rFonts w:hint="eastAsia" w:ascii="仿宋" w:hAnsi="仿宋" w:eastAsia="仿宋" w:cs="仿宋"/>
          <w:bCs/>
        </w:rPr>
        <w:t xml:space="preserve">第四部分 </w:t>
      </w:r>
      <w:r>
        <w:rPr>
          <w:rFonts w:hint="eastAsia" w:ascii="仿宋" w:hAnsi="仿宋" w:eastAsia="仿宋" w:cs="仿宋"/>
          <w:bCs/>
          <w:highlight w:val="none"/>
        </w:rPr>
        <w:t>采购内容及服务需求</w:t>
      </w:r>
      <w:r>
        <w:tab/>
      </w:r>
      <w:r>
        <w:fldChar w:fldCharType="begin"/>
      </w:r>
      <w:r>
        <w:instrText xml:space="preserve"> PAGEREF _Toc14278 \h </w:instrText>
      </w:r>
      <w:r>
        <w:fldChar w:fldCharType="separate"/>
      </w:r>
      <w:r>
        <w:t>36</w:t>
      </w:r>
      <w:r>
        <w:fldChar w:fldCharType="end"/>
      </w:r>
      <w:r>
        <w:rPr>
          <w:rFonts w:hint="eastAsia" w:ascii="仿宋" w:hAnsi="仿宋" w:eastAsia="仿宋" w:cs="仿宋"/>
          <w:szCs w:val="28"/>
          <w:highlight w:val="none"/>
        </w:rPr>
        <w:fldChar w:fldCharType="end"/>
      </w:r>
    </w:p>
    <w:p w14:paraId="015518A6">
      <w:pPr>
        <w:pStyle w:val="27"/>
        <w:tabs>
          <w:tab w:val="right" w:leader="dot" w:pos="8448"/>
          <w:tab w:val="clear" w:pos="9628"/>
        </w:tabs>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_Toc6506 </w:instrText>
      </w:r>
      <w:r>
        <w:rPr>
          <w:rFonts w:hint="eastAsia" w:ascii="仿宋" w:hAnsi="仿宋" w:eastAsia="仿宋" w:cs="仿宋"/>
          <w:szCs w:val="28"/>
          <w:highlight w:val="none"/>
        </w:rPr>
        <w:fldChar w:fldCharType="separate"/>
      </w:r>
      <w:r>
        <w:rPr>
          <w:rFonts w:hint="eastAsia" w:ascii="仿宋" w:hAnsi="仿宋" w:eastAsia="仿宋" w:cs="仿宋"/>
        </w:rPr>
        <w:t xml:space="preserve">第五部分 </w:t>
      </w:r>
      <w:r>
        <w:rPr>
          <w:rFonts w:hint="eastAsia" w:ascii="仿宋" w:hAnsi="仿宋" w:eastAsia="仿宋" w:cs="仿宋"/>
          <w:highlight w:val="none"/>
        </w:rPr>
        <w:t>合同样本（参考模板）</w:t>
      </w:r>
      <w:r>
        <w:tab/>
      </w:r>
      <w:r>
        <w:fldChar w:fldCharType="begin"/>
      </w:r>
      <w:r>
        <w:instrText xml:space="preserve"> PAGEREF _Toc6506 \h </w:instrText>
      </w:r>
      <w:r>
        <w:fldChar w:fldCharType="separate"/>
      </w:r>
      <w:r>
        <w:t>51</w:t>
      </w:r>
      <w:r>
        <w:fldChar w:fldCharType="end"/>
      </w:r>
      <w:r>
        <w:rPr>
          <w:rFonts w:hint="eastAsia" w:ascii="仿宋" w:hAnsi="仿宋" w:eastAsia="仿宋" w:cs="仿宋"/>
          <w:szCs w:val="28"/>
          <w:highlight w:val="none"/>
        </w:rPr>
        <w:fldChar w:fldCharType="end"/>
      </w:r>
    </w:p>
    <w:p w14:paraId="208AD69D">
      <w:pPr>
        <w:pStyle w:val="27"/>
        <w:tabs>
          <w:tab w:val="right" w:leader="dot" w:pos="8448"/>
          <w:tab w:val="clear" w:pos="9628"/>
        </w:tabs>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_Toc2712 </w:instrText>
      </w:r>
      <w:r>
        <w:rPr>
          <w:rFonts w:hint="eastAsia" w:ascii="仿宋" w:hAnsi="仿宋" w:eastAsia="仿宋" w:cs="仿宋"/>
          <w:szCs w:val="28"/>
          <w:highlight w:val="none"/>
        </w:rPr>
        <w:fldChar w:fldCharType="separate"/>
      </w:r>
      <w:r>
        <w:rPr>
          <w:rFonts w:hint="eastAsia" w:ascii="仿宋" w:hAnsi="仿宋" w:eastAsia="仿宋" w:cs="仿宋"/>
          <w:bCs/>
        </w:rPr>
        <w:t xml:space="preserve">第六部分 </w:t>
      </w:r>
      <w:r>
        <w:rPr>
          <w:rFonts w:hint="eastAsia" w:ascii="仿宋" w:hAnsi="仿宋" w:eastAsia="仿宋" w:cs="仿宋"/>
          <w:bCs/>
          <w:highlight w:val="none"/>
        </w:rPr>
        <w:t>投标格式及附件</w:t>
      </w:r>
      <w:r>
        <w:tab/>
      </w:r>
      <w:r>
        <w:fldChar w:fldCharType="begin"/>
      </w:r>
      <w:r>
        <w:instrText xml:space="preserve"> PAGEREF _Toc2712 \h </w:instrText>
      </w:r>
      <w:r>
        <w:fldChar w:fldCharType="separate"/>
      </w:r>
      <w:r>
        <w:t>54</w:t>
      </w:r>
      <w:r>
        <w:fldChar w:fldCharType="end"/>
      </w:r>
      <w:r>
        <w:rPr>
          <w:rFonts w:hint="eastAsia" w:ascii="仿宋" w:hAnsi="仿宋" w:eastAsia="仿宋" w:cs="仿宋"/>
          <w:szCs w:val="28"/>
          <w:highlight w:val="none"/>
        </w:rPr>
        <w:fldChar w:fldCharType="end"/>
      </w:r>
    </w:p>
    <w:p w14:paraId="04DF35DA">
      <w:pPr>
        <w:pStyle w:val="27"/>
        <w:tabs>
          <w:tab w:val="right" w:leader="dot" w:pos="8448"/>
          <w:tab w:val="clear" w:pos="9628"/>
        </w:tabs>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_Toc30446 </w:instrText>
      </w:r>
      <w:r>
        <w:rPr>
          <w:rFonts w:hint="eastAsia" w:ascii="仿宋" w:hAnsi="仿宋" w:eastAsia="仿宋" w:cs="仿宋"/>
          <w:szCs w:val="28"/>
          <w:highlight w:val="none"/>
        </w:rPr>
        <w:fldChar w:fldCharType="separate"/>
      </w:r>
      <w:r>
        <w:rPr>
          <w:rFonts w:hint="eastAsia" w:ascii="仿宋" w:hAnsi="仿宋" w:eastAsia="仿宋" w:cs="仿宋"/>
          <w:highlight w:val="none"/>
          <w:lang w:val="en-US" w:eastAsia="zh-CN" w:bidi="ar-SA"/>
        </w:rPr>
        <w:t>第七部分 评分标准</w:t>
      </w:r>
      <w:r>
        <w:tab/>
      </w:r>
      <w:r>
        <w:fldChar w:fldCharType="begin"/>
      </w:r>
      <w:r>
        <w:instrText xml:space="preserve"> PAGEREF _Toc30446 \h </w:instrText>
      </w:r>
      <w:r>
        <w:fldChar w:fldCharType="separate"/>
      </w:r>
      <w:r>
        <w:t>72</w:t>
      </w:r>
      <w:r>
        <w:fldChar w:fldCharType="end"/>
      </w:r>
      <w:r>
        <w:rPr>
          <w:rFonts w:hint="eastAsia" w:ascii="仿宋" w:hAnsi="仿宋" w:eastAsia="仿宋" w:cs="仿宋"/>
          <w:szCs w:val="28"/>
          <w:highlight w:val="none"/>
        </w:rPr>
        <w:fldChar w:fldCharType="end"/>
      </w:r>
    </w:p>
    <w:p w14:paraId="58D13E77">
      <w:pPr>
        <w:rPr>
          <w:rFonts w:hint="eastAsia" w:ascii="仿宋" w:hAnsi="仿宋" w:eastAsia="仿宋" w:cs="仿宋"/>
          <w:sz w:val="28"/>
          <w:szCs w:val="28"/>
          <w:highlight w:val="none"/>
        </w:rPr>
      </w:pPr>
      <w:r>
        <w:rPr>
          <w:rFonts w:hint="eastAsia" w:ascii="仿宋" w:hAnsi="仿宋" w:eastAsia="仿宋" w:cs="仿宋"/>
          <w:szCs w:val="28"/>
          <w:highlight w:val="none"/>
        </w:rPr>
        <w:fldChar w:fldCharType="end"/>
      </w:r>
    </w:p>
    <w:p w14:paraId="2469667F">
      <w:pPr>
        <w:rPr>
          <w:rFonts w:hint="eastAsia" w:ascii="仿宋" w:hAnsi="仿宋" w:eastAsia="仿宋" w:cs="仿宋"/>
          <w:highlight w:val="none"/>
        </w:rPr>
      </w:pPr>
      <w:bookmarkStart w:id="0" w:name="_Toc502882147"/>
    </w:p>
    <w:p w14:paraId="34882DD9">
      <w:pPr>
        <w:rPr>
          <w:rFonts w:hint="eastAsia" w:ascii="仿宋" w:hAnsi="仿宋" w:eastAsia="仿宋" w:cs="仿宋"/>
          <w:sz w:val="28"/>
          <w:szCs w:val="28"/>
          <w:highlight w:val="none"/>
        </w:rPr>
      </w:pPr>
    </w:p>
    <w:p w14:paraId="6ECD3040">
      <w:pPr>
        <w:rPr>
          <w:rFonts w:hint="eastAsia" w:ascii="仿宋" w:hAnsi="仿宋" w:eastAsia="仿宋" w:cs="仿宋"/>
          <w:sz w:val="28"/>
          <w:szCs w:val="28"/>
          <w:highlight w:val="none"/>
        </w:rPr>
      </w:pPr>
    </w:p>
    <w:p w14:paraId="0E2CC5A4">
      <w:pPr>
        <w:rPr>
          <w:rFonts w:hint="eastAsia" w:ascii="仿宋" w:hAnsi="仿宋" w:eastAsia="仿宋" w:cs="仿宋"/>
          <w:sz w:val="28"/>
          <w:szCs w:val="28"/>
          <w:highlight w:val="none"/>
        </w:rPr>
      </w:pPr>
    </w:p>
    <w:p w14:paraId="42F7FF17">
      <w:pPr>
        <w:rPr>
          <w:rFonts w:hint="eastAsia" w:ascii="仿宋" w:hAnsi="仿宋" w:eastAsia="仿宋" w:cs="仿宋"/>
          <w:highlight w:val="none"/>
        </w:rPr>
      </w:pPr>
    </w:p>
    <w:p w14:paraId="24C20110">
      <w:pPr>
        <w:pStyle w:val="2"/>
        <w:rPr>
          <w:rFonts w:hint="eastAsia" w:ascii="仿宋" w:hAnsi="仿宋" w:eastAsia="仿宋" w:cs="仿宋"/>
          <w:color w:val="auto"/>
          <w:highlight w:val="none"/>
        </w:rPr>
        <w:sectPr>
          <w:footerReference r:id="rId5" w:type="default"/>
          <w:pgSz w:w="11850" w:h="16783"/>
          <w:pgMar w:top="1417" w:right="1701" w:bottom="1417" w:left="1701" w:header="850" w:footer="567" w:gutter="0"/>
          <w:pgNumType w:fmt="decimal"/>
          <w:cols w:space="0" w:num="1"/>
          <w:rtlGutter w:val="0"/>
          <w:docGrid w:type="lines" w:linePitch="377" w:charSpace="0"/>
        </w:sectPr>
      </w:pPr>
    </w:p>
    <w:p w14:paraId="732BBE74">
      <w:pPr>
        <w:pageBreakBefore w:val="0"/>
        <w:widowControl w:val="0"/>
        <w:kinsoku/>
        <w:wordWrap/>
        <w:overflowPunct/>
        <w:topLinePunct w:val="0"/>
        <w:autoSpaceDE/>
        <w:autoSpaceDN/>
        <w:bidi w:val="0"/>
        <w:adjustRightInd/>
        <w:snapToGrid/>
        <w:spacing w:before="0" w:after="0" w:line="500" w:lineRule="exact"/>
        <w:jc w:val="center"/>
        <w:textAlignment w:val="auto"/>
        <w:outlineLvl w:val="9"/>
        <w:rPr>
          <w:rFonts w:hint="eastAsia" w:ascii="仿宋" w:hAnsi="仿宋" w:eastAsia="仿宋" w:cs="仿宋"/>
          <w:b/>
          <w:bCs/>
          <w:sz w:val="32"/>
          <w:szCs w:val="32"/>
          <w:highlight w:val="none"/>
          <w:lang w:eastAsia="zh-CN"/>
        </w:rPr>
      </w:pPr>
      <w:bookmarkStart w:id="1" w:name="_Toc3453"/>
      <w:bookmarkStart w:id="2" w:name="_Toc23737"/>
      <w:r>
        <w:rPr>
          <w:rFonts w:hint="eastAsia" w:ascii="仿宋" w:hAnsi="仿宋" w:eastAsia="仿宋" w:cs="仿宋"/>
          <w:b/>
          <w:bCs/>
          <w:sz w:val="32"/>
          <w:szCs w:val="32"/>
          <w:highlight w:val="none"/>
          <w:lang w:eastAsia="zh-CN"/>
        </w:rPr>
        <w:t>新疆维吾尔自治区教育考试院职工食堂蔬菜采购项目</w:t>
      </w:r>
    </w:p>
    <w:p w14:paraId="70DDFACE">
      <w:pPr>
        <w:pStyle w:val="2"/>
        <w:pageBreakBefore w:val="0"/>
        <w:widowControl w:val="0"/>
        <w:kinsoku/>
        <w:wordWrap/>
        <w:overflowPunct/>
        <w:topLinePunct w:val="0"/>
        <w:autoSpaceDE/>
        <w:autoSpaceDN/>
        <w:bidi w:val="0"/>
        <w:adjustRightInd/>
        <w:snapToGrid/>
        <w:spacing w:before="0" w:after="0" w:line="500" w:lineRule="exact"/>
        <w:textAlignment w:val="auto"/>
        <w:rPr>
          <w:rFonts w:hint="eastAsia" w:ascii="仿宋" w:hAnsi="仿宋" w:eastAsia="仿宋" w:cs="仿宋"/>
          <w:sz w:val="32"/>
          <w:szCs w:val="32"/>
          <w:highlight w:val="none"/>
        </w:rPr>
      </w:pPr>
      <w:bookmarkStart w:id="3" w:name="_Toc30199"/>
      <w:r>
        <w:rPr>
          <w:rFonts w:hint="eastAsia" w:ascii="仿宋" w:hAnsi="仿宋" w:eastAsia="仿宋" w:cs="仿宋"/>
          <w:sz w:val="32"/>
          <w:szCs w:val="32"/>
          <w:highlight w:val="none"/>
          <w:lang w:eastAsia="zh-CN"/>
        </w:rPr>
        <w:t>公开招标采购公告</w:t>
      </w:r>
      <w:bookmarkEnd w:id="1"/>
      <w:bookmarkEnd w:id="3"/>
    </w:p>
    <w:tbl>
      <w:tblPr>
        <w:tblStyle w:val="41"/>
        <w:tblpPr w:leftFromText="180" w:rightFromText="180" w:vertAnchor="text" w:horzAnchor="page" w:tblpX="1625" w:tblpY="10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0"/>
      </w:tblGrid>
      <w:tr w14:paraId="35F04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1" w:hRule="atLeast"/>
        </w:trPr>
        <w:tc>
          <w:tcPr>
            <w:tcW w:w="9380" w:type="dxa"/>
            <w:noWrap w:val="0"/>
            <w:vAlign w:val="top"/>
          </w:tcPr>
          <w:p w14:paraId="2401A32A">
            <w:pPr>
              <w:pStyle w:val="39"/>
              <w:spacing w:after="0" w:line="400" w:lineRule="exact"/>
              <w:ind w:left="0" w:leftChars="0" w:firstLine="0" w:firstLineChars="0"/>
              <w:rPr>
                <w:rFonts w:hint="eastAsia" w:ascii="仿宋" w:hAnsi="仿宋" w:eastAsia="仿宋" w:cs="仿宋"/>
                <w:sz w:val="24"/>
                <w:highlight w:val="none"/>
              </w:rPr>
            </w:pPr>
            <w:r>
              <w:rPr>
                <w:rFonts w:hint="eastAsia" w:ascii="仿宋" w:hAnsi="仿宋" w:eastAsia="仿宋" w:cs="仿宋"/>
                <w:bCs/>
                <w:sz w:val="24"/>
                <w:highlight w:val="none"/>
              </w:rPr>
              <w:t>项目概况</w:t>
            </w:r>
          </w:p>
          <w:p w14:paraId="02414A63">
            <w:pPr>
              <w:pStyle w:val="39"/>
              <w:spacing w:after="0" w:line="400" w:lineRule="exact"/>
              <w:ind w:firstLine="480"/>
              <w:rPr>
                <w:rFonts w:hint="eastAsia" w:ascii="仿宋" w:hAnsi="仿宋" w:eastAsia="仿宋" w:cs="仿宋"/>
                <w:highlight w:val="none"/>
              </w:rPr>
            </w:pPr>
            <w:r>
              <w:rPr>
                <w:rFonts w:hint="eastAsia" w:ascii="仿宋" w:hAnsi="仿宋" w:eastAsia="仿宋" w:cs="仿宋"/>
                <w:sz w:val="24"/>
                <w:highlight w:val="none"/>
                <w:lang w:eastAsia="zh-CN"/>
              </w:rPr>
              <w:t>新疆维吾尔自治区教育考试院职工食堂蔬菜采购项目</w:t>
            </w:r>
            <w:r>
              <w:rPr>
                <w:rFonts w:hint="eastAsia" w:ascii="仿宋" w:hAnsi="仿宋" w:eastAsia="仿宋" w:cs="仿宋"/>
                <w:sz w:val="24"/>
                <w:highlight w:val="none"/>
              </w:rPr>
              <w:t>的潜在投标人应在政采云平台http://www.zcygov.cn获取招标文件，并于</w:t>
            </w:r>
            <w:r>
              <w:rPr>
                <w:rFonts w:hint="eastAsia" w:ascii="仿宋" w:hAnsi="仿宋" w:eastAsia="仿宋" w:cs="仿宋"/>
                <w:sz w:val="24"/>
                <w:highlight w:val="none"/>
                <w:lang w:eastAsia="zh-CN"/>
              </w:rPr>
              <w:t>2025年7月17日11:00</w:t>
            </w:r>
            <w:r>
              <w:rPr>
                <w:rFonts w:hint="eastAsia" w:ascii="仿宋" w:hAnsi="仿宋" w:eastAsia="仿宋" w:cs="仿宋"/>
                <w:sz w:val="24"/>
                <w:highlight w:val="none"/>
              </w:rPr>
              <w:t>（北京时间）前递交投标文件。</w:t>
            </w:r>
          </w:p>
        </w:tc>
      </w:tr>
    </w:tbl>
    <w:p w14:paraId="24F3AC82">
      <w:pPr>
        <w:pStyle w:val="3"/>
        <w:pageBreakBefore w:val="0"/>
        <w:kinsoku/>
        <w:wordWrap/>
        <w:overflowPunct/>
        <w:topLinePunct w:val="0"/>
        <w:autoSpaceDE/>
        <w:autoSpaceDN/>
        <w:bidi w:val="0"/>
        <w:adjustRightInd/>
        <w:snapToGrid/>
        <w:spacing w:before="0" w:after="0" w:line="500" w:lineRule="exact"/>
        <w:textAlignment w:val="auto"/>
        <w:rPr>
          <w:rFonts w:hint="eastAsia" w:ascii="仿宋" w:hAnsi="仿宋" w:eastAsia="仿宋" w:cs="仿宋"/>
          <w:bCs w:val="0"/>
          <w:sz w:val="24"/>
          <w:szCs w:val="24"/>
          <w:highlight w:val="none"/>
        </w:rPr>
      </w:pPr>
      <w:bookmarkStart w:id="4" w:name="_Toc28359079"/>
      <w:bookmarkStart w:id="5" w:name="_Toc35393790"/>
      <w:bookmarkStart w:id="6" w:name="_Toc35393621"/>
      <w:bookmarkStart w:id="7" w:name="_Toc28359002"/>
      <w:bookmarkStart w:id="8" w:name="_Hlk24379207"/>
      <w:r>
        <w:rPr>
          <w:rFonts w:hint="eastAsia" w:ascii="仿宋" w:hAnsi="仿宋" w:eastAsia="仿宋" w:cs="仿宋"/>
          <w:bCs w:val="0"/>
          <w:sz w:val="24"/>
          <w:szCs w:val="24"/>
          <w:highlight w:val="none"/>
        </w:rPr>
        <w:t>一、项目基本情况</w:t>
      </w:r>
      <w:bookmarkEnd w:id="4"/>
      <w:bookmarkEnd w:id="5"/>
      <w:bookmarkEnd w:id="6"/>
      <w:bookmarkEnd w:id="7"/>
    </w:p>
    <w:p w14:paraId="004B89FE">
      <w:pPr>
        <w:pageBreakBefore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项目编号:</w:t>
      </w:r>
      <w:r>
        <w:rPr>
          <w:rFonts w:hint="eastAsia" w:ascii="仿宋" w:hAnsi="仿宋" w:eastAsia="仿宋" w:cs="仿宋"/>
          <w:sz w:val="24"/>
          <w:szCs w:val="24"/>
          <w:highlight w:val="none"/>
          <w:lang w:eastAsia="zh-CN"/>
        </w:rPr>
        <w:t>ZD（GK）2025-019</w:t>
      </w:r>
    </w:p>
    <w:p w14:paraId="391975A7">
      <w:pPr>
        <w:pageBreakBefore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项目名称：</w:t>
      </w:r>
      <w:r>
        <w:rPr>
          <w:rFonts w:hint="eastAsia" w:ascii="仿宋" w:hAnsi="仿宋" w:eastAsia="仿宋" w:cs="仿宋"/>
          <w:sz w:val="24"/>
          <w:szCs w:val="24"/>
          <w:highlight w:val="none"/>
          <w:lang w:eastAsia="zh-CN"/>
        </w:rPr>
        <w:t xml:space="preserve">新疆维吾尔自治区教育考试院职工食堂蔬菜采购项目 </w:t>
      </w:r>
    </w:p>
    <w:p w14:paraId="2C156CCD">
      <w:pPr>
        <w:pageBreakBefore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采购方式：公开招标</w:t>
      </w:r>
    </w:p>
    <w:bookmarkEnd w:id="8"/>
    <w:p w14:paraId="3F09C489">
      <w:pPr>
        <w:pageBreakBefore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预算金额：</w:t>
      </w:r>
      <w:r>
        <w:rPr>
          <w:rFonts w:hint="eastAsia" w:ascii="仿宋" w:hAnsi="仿宋" w:eastAsia="仿宋" w:cs="仿宋"/>
          <w:sz w:val="24"/>
          <w:szCs w:val="24"/>
          <w:highlight w:val="none"/>
          <w:lang w:val="en-US" w:eastAsia="zh-CN"/>
        </w:rPr>
        <w:t>1110000.00元（人民币壹佰壹拾壹万元整）</w:t>
      </w:r>
    </w:p>
    <w:p w14:paraId="48F59454">
      <w:pPr>
        <w:pageBreakBefore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采购需求：</w:t>
      </w:r>
      <w:r>
        <w:rPr>
          <w:rFonts w:hint="eastAsia" w:ascii="仿宋" w:hAnsi="仿宋" w:eastAsia="仿宋" w:cs="仿宋"/>
          <w:sz w:val="24"/>
          <w:szCs w:val="24"/>
          <w:highlight w:val="none"/>
          <w:lang w:eastAsia="zh-CN"/>
        </w:rPr>
        <w:t>新疆维吾尔自治区教育考试院职工食堂蔬菜采购</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详见招标文件</w:t>
      </w:r>
      <w:r>
        <w:rPr>
          <w:rFonts w:hint="eastAsia" w:ascii="仿宋" w:hAnsi="仿宋" w:eastAsia="仿宋" w:cs="仿宋"/>
          <w:sz w:val="24"/>
          <w:szCs w:val="24"/>
          <w:highlight w:val="none"/>
          <w:lang w:eastAsia="zh-CN"/>
        </w:rPr>
        <w:t>采购需求章节。</w:t>
      </w:r>
    </w:p>
    <w:p w14:paraId="74223DFF">
      <w:pPr>
        <w:pageBreakBefore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合同履行期限：详见招标文件</w:t>
      </w:r>
    </w:p>
    <w:p w14:paraId="39B37D6D">
      <w:pPr>
        <w:pageBreakBefore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本项目不接受联合体投标。</w:t>
      </w:r>
    </w:p>
    <w:p w14:paraId="0E3CD611">
      <w:pPr>
        <w:pStyle w:val="3"/>
        <w:pageBreakBefore w:val="0"/>
        <w:kinsoku/>
        <w:wordWrap/>
        <w:overflowPunct/>
        <w:topLinePunct w:val="0"/>
        <w:autoSpaceDE/>
        <w:autoSpaceDN/>
        <w:bidi w:val="0"/>
        <w:adjustRightInd/>
        <w:snapToGrid/>
        <w:spacing w:before="0" w:after="0" w:line="500" w:lineRule="exact"/>
        <w:textAlignment w:val="auto"/>
        <w:rPr>
          <w:rFonts w:hint="eastAsia" w:ascii="仿宋" w:hAnsi="仿宋" w:eastAsia="仿宋" w:cs="仿宋"/>
          <w:bCs w:val="0"/>
          <w:sz w:val="24"/>
          <w:szCs w:val="24"/>
          <w:highlight w:val="none"/>
        </w:rPr>
      </w:pPr>
      <w:bookmarkStart w:id="9" w:name="_Toc28359003"/>
      <w:bookmarkStart w:id="10" w:name="_Toc35393622"/>
      <w:bookmarkStart w:id="11" w:name="_Toc28359080"/>
      <w:bookmarkStart w:id="12" w:name="_Toc35393791"/>
      <w:r>
        <w:rPr>
          <w:rFonts w:hint="eastAsia" w:ascii="仿宋" w:hAnsi="仿宋" w:eastAsia="仿宋" w:cs="仿宋"/>
          <w:bCs w:val="0"/>
          <w:sz w:val="24"/>
          <w:szCs w:val="24"/>
          <w:highlight w:val="none"/>
        </w:rPr>
        <w:t>二、申请人的资格要求：</w:t>
      </w:r>
      <w:bookmarkEnd w:id="9"/>
      <w:bookmarkEnd w:id="10"/>
      <w:bookmarkEnd w:id="11"/>
      <w:bookmarkEnd w:id="12"/>
    </w:p>
    <w:p w14:paraId="4CA3083D">
      <w:pPr>
        <w:pageBreakBefore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highlight w:val="none"/>
        </w:rPr>
      </w:pPr>
      <w:bookmarkStart w:id="13" w:name="_Toc35393623"/>
      <w:bookmarkStart w:id="14" w:name="_Toc35393792"/>
      <w:bookmarkStart w:id="15" w:name="_Toc28359004"/>
      <w:bookmarkStart w:id="16" w:name="_Toc28359081"/>
      <w:r>
        <w:rPr>
          <w:rFonts w:hint="eastAsia" w:ascii="仿宋" w:hAnsi="仿宋" w:eastAsia="仿宋" w:cs="仿宋"/>
          <w:sz w:val="24"/>
          <w:szCs w:val="24"/>
          <w:highlight w:val="none"/>
        </w:rPr>
        <w:t>（1）满足《中华人民共和国政府采购法》第二十二条规定：</w:t>
      </w:r>
    </w:p>
    <w:p w14:paraId="57871100">
      <w:pPr>
        <w:pageBreakBefore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 1 \* GB3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①</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t>具有独立承担民事责任的能力；</w:t>
      </w:r>
    </w:p>
    <w:p w14:paraId="2FAFAD27">
      <w:pPr>
        <w:pageBreakBefore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 2 \* GB3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②</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t>具有良好的商业信誉和健全的</w:t>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"http://www.so.com/s?q=%E8%B4%A2%E5%8A%A1%E4%BC%9A%E8%AE%A1%E5%88%B6%E5%BA%A6&amp;ie=utf-8&amp;src=internal_wenda_recommend_textn" \t "https://wenda.so.com/q/_blank"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财务会计制度</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t>；</w:t>
      </w:r>
    </w:p>
    <w:p w14:paraId="2D6BBF32">
      <w:pPr>
        <w:pageBreakBefore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 3 \* GB3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③</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t>具有履行合同所必需的设备和专业技术能力；</w:t>
      </w:r>
    </w:p>
    <w:p w14:paraId="61DA493A">
      <w:pPr>
        <w:pageBreakBefore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 4 \* GB3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④</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t>有依法缴纳税收和</w:t>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"http://www.so.com/s?q=%E7%A4%BE%E4%BC%9A%E4%BF%9D%E9%9A%9C%E8%B5%84%E9%87%91&amp;ie=utf-8&amp;src=internal_wenda_recommend_textn" \t "https://wenda.so.com/q/_blank"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社会保障资金</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t>的良好记录；</w:t>
      </w:r>
    </w:p>
    <w:p w14:paraId="62F72DF4">
      <w:pPr>
        <w:pageBreakBefore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 5 \* GB3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⑤</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t>参加政府采购活动前三年内，在经营活动中没有重大违法记录；</w:t>
      </w:r>
    </w:p>
    <w:p w14:paraId="0FA22449">
      <w:pPr>
        <w:pageBreakBefore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 6 \* GB3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⑥</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t>法律、行政法规规定的其他条件。</w:t>
      </w:r>
    </w:p>
    <w:p w14:paraId="7A86CC61">
      <w:pPr>
        <w:pageBreakBefore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（2）单位负责人为同一人或者存在直接控股、管理关系的不同投标人，不得参加本项目同一合同项下的政府采购活动。</w:t>
      </w:r>
    </w:p>
    <w:p w14:paraId="3387BF10">
      <w:pPr>
        <w:pageBreakBefore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（3）为本采购项目提供整体设计、规范编制或者项目管理、监理、检测等服务的，不得再参加本项目的其他招标采购活动。</w:t>
      </w:r>
    </w:p>
    <w:p w14:paraId="5A8DECAB">
      <w:pPr>
        <w:pageBreakBefore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（4）未被列入失信被执行人、</w:t>
      </w:r>
      <w:r>
        <w:rPr>
          <w:rFonts w:hint="eastAsia" w:ascii="仿宋" w:hAnsi="仿宋" w:eastAsia="仿宋" w:cs="仿宋"/>
          <w:sz w:val="24"/>
          <w:szCs w:val="24"/>
          <w:highlight w:val="none"/>
          <w:lang w:eastAsia="zh-CN"/>
        </w:rPr>
        <w:t>重大税收违法失信主体</w:t>
      </w:r>
      <w:r>
        <w:rPr>
          <w:rFonts w:hint="eastAsia" w:ascii="仿宋" w:hAnsi="仿宋" w:eastAsia="仿宋" w:cs="仿宋"/>
          <w:sz w:val="24"/>
          <w:szCs w:val="24"/>
          <w:highlight w:val="none"/>
        </w:rPr>
        <w:t>，未被列入政府采购严重违法失信行为记录名单。</w:t>
      </w:r>
    </w:p>
    <w:p w14:paraId="4FEC2A15">
      <w:pPr>
        <w:pageBreakBefore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（5）落实政府采购政策需满足的资格要求：</w:t>
      </w:r>
      <w:r>
        <w:rPr>
          <w:rFonts w:hint="eastAsia" w:ascii="仿宋" w:hAnsi="仿宋" w:eastAsia="仿宋" w:cs="仿宋"/>
          <w:sz w:val="24"/>
          <w:szCs w:val="24"/>
          <w:highlight w:val="none"/>
          <w:lang w:eastAsia="zh-CN"/>
        </w:rPr>
        <w:t>本项目为专门面向小微企业采购的项目</w:t>
      </w:r>
      <w:r>
        <w:rPr>
          <w:rFonts w:hint="eastAsia" w:ascii="仿宋" w:hAnsi="仿宋" w:eastAsia="仿宋" w:cs="仿宋"/>
          <w:sz w:val="24"/>
          <w:szCs w:val="24"/>
          <w:highlight w:val="none"/>
        </w:rPr>
        <w:t>。</w:t>
      </w:r>
    </w:p>
    <w:p w14:paraId="72C6F89C">
      <w:pPr>
        <w:pageBreakBefore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（6）本项目的特定资格要求：</w:t>
      </w:r>
      <w:r>
        <w:rPr>
          <w:rFonts w:hint="eastAsia" w:ascii="仿宋" w:hAnsi="仿宋" w:eastAsia="仿宋" w:cs="仿宋"/>
          <w:sz w:val="24"/>
          <w:szCs w:val="24"/>
          <w:highlight w:val="none"/>
          <w:lang w:eastAsia="zh-CN"/>
        </w:rPr>
        <w:t>投标供应商须具有有效的《食品经营许可证》或《食品生产许可证》</w:t>
      </w:r>
      <w:r>
        <w:rPr>
          <w:rFonts w:hint="eastAsia" w:ascii="仿宋" w:hAnsi="仿宋" w:eastAsia="仿宋" w:cs="仿宋"/>
          <w:sz w:val="24"/>
          <w:szCs w:val="24"/>
          <w:highlight w:val="none"/>
        </w:rPr>
        <w:t>。</w:t>
      </w:r>
    </w:p>
    <w:p w14:paraId="25AD5BE5">
      <w:pPr>
        <w:pStyle w:val="16"/>
        <w:keepNext w:val="0"/>
        <w:keepLines w:val="0"/>
        <w:pageBreakBefore w:val="0"/>
        <w:kinsoku/>
        <w:overflowPunct/>
        <w:autoSpaceDE/>
        <w:autoSpaceDN/>
        <w:bidi w:val="0"/>
        <w:adjustRightInd/>
        <w:snapToGrid/>
        <w:spacing w:before="0" w:beforeAutospacing="0" w:after="0" w:afterAutospacing="0" w:line="440" w:lineRule="exact"/>
        <w:ind w:firstLine="480" w:firstLineChars="200"/>
        <w:textAlignment w:val="auto"/>
        <w:rPr>
          <w:rFonts w:hint="eastAsia" w:ascii="仿宋_GB2312" w:hAnsi="仿宋_GB2312" w:eastAsia="仿宋_GB2312" w:cs="仿宋_GB2312"/>
          <w:highlight w:val="none"/>
          <w:lang w:eastAsia="zh-CN"/>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w:t>
      </w:r>
      <w:r>
        <w:rPr>
          <w:rFonts w:hint="eastAsia" w:ascii="仿宋" w:hAnsi="仿宋" w:eastAsia="仿宋" w:cs="仿宋"/>
          <w:kern w:val="2"/>
          <w:sz w:val="24"/>
          <w:szCs w:val="24"/>
          <w:highlight w:val="none"/>
          <w:lang w:val="en-US" w:eastAsia="zh-CN" w:bidi="ar-SA"/>
        </w:rPr>
        <w:t>因保险、银行、石油石化、电力、电信、邮政等行业的特殊性，允许其法人的分支机构参加本次采购活动，本招标文件中所有的法定代表人均指参与本项目投标的企业法定代表人或参与本项目投标的企业分支机构负责人。</w:t>
      </w:r>
    </w:p>
    <w:p w14:paraId="4F875EEE">
      <w:pPr>
        <w:pStyle w:val="3"/>
        <w:pageBreakBefore w:val="0"/>
        <w:kinsoku/>
        <w:wordWrap/>
        <w:overflowPunct/>
        <w:topLinePunct w:val="0"/>
        <w:autoSpaceDE/>
        <w:autoSpaceDN/>
        <w:bidi w:val="0"/>
        <w:adjustRightInd/>
        <w:snapToGrid/>
        <w:spacing w:before="0" w:after="0" w:line="500" w:lineRule="exact"/>
        <w:textAlignment w:val="auto"/>
        <w:rPr>
          <w:rFonts w:hint="eastAsia" w:ascii="仿宋" w:hAnsi="仿宋" w:eastAsia="仿宋" w:cs="仿宋"/>
          <w:bCs w:val="0"/>
          <w:sz w:val="24"/>
          <w:szCs w:val="24"/>
          <w:highlight w:val="none"/>
        </w:rPr>
      </w:pPr>
      <w:r>
        <w:rPr>
          <w:rFonts w:hint="eastAsia" w:ascii="仿宋" w:hAnsi="仿宋" w:eastAsia="仿宋" w:cs="仿宋"/>
          <w:bCs w:val="0"/>
          <w:sz w:val="24"/>
          <w:szCs w:val="24"/>
          <w:highlight w:val="none"/>
        </w:rPr>
        <w:t>三、获取招标文件</w:t>
      </w:r>
      <w:bookmarkEnd w:id="13"/>
      <w:bookmarkEnd w:id="14"/>
      <w:bookmarkEnd w:id="15"/>
      <w:bookmarkEnd w:id="16"/>
    </w:p>
    <w:p w14:paraId="7E6E7346">
      <w:pPr>
        <w:pageBreakBefore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时间：</w:t>
      </w:r>
      <w:r>
        <w:rPr>
          <w:rFonts w:hint="eastAsia" w:ascii="仿宋" w:hAnsi="仿宋" w:eastAsia="仿宋" w:cs="仿宋"/>
          <w:sz w:val="24"/>
          <w:szCs w:val="24"/>
          <w:highlight w:val="none"/>
          <w:u w:val="single"/>
          <w:lang w:eastAsia="zh-CN"/>
        </w:rPr>
        <w:t>2025年06月27日至2025年07月04日</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每天上午11:00至13:00，下午16:00至18:00（北京时间，法定节假日除外）</w:t>
      </w:r>
    </w:p>
    <w:p w14:paraId="149E6962">
      <w:pPr>
        <w:pageBreakBefore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地点：政采云平台线上报名及获取采购文件</w:t>
      </w:r>
    </w:p>
    <w:p w14:paraId="7F987F7C">
      <w:pPr>
        <w:pageBreakBefore w:val="0"/>
        <w:kinsoku/>
        <w:wordWrap/>
        <w:overflowPunct/>
        <w:topLinePunct w:val="0"/>
        <w:autoSpaceDE/>
        <w:autoSpaceDN/>
        <w:bidi w:val="0"/>
        <w:adjustRightInd/>
        <w:snapToGrid/>
        <w:spacing w:line="500" w:lineRule="exact"/>
        <w:ind w:firstLine="480"/>
        <w:textAlignment w:val="auto"/>
        <w:rPr>
          <w:rFonts w:hint="eastAsia" w:ascii="仿宋" w:hAnsi="仿宋" w:eastAsia="仿宋" w:cs="仿宋"/>
          <w:bCs/>
          <w:sz w:val="24"/>
          <w:szCs w:val="24"/>
          <w:highlight w:val="none"/>
          <w:u w:val="single"/>
        </w:rPr>
      </w:pPr>
      <w:r>
        <w:rPr>
          <w:rFonts w:hint="eastAsia" w:ascii="仿宋" w:hAnsi="仿宋" w:eastAsia="仿宋" w:cs="仿宋"/>
          <w:sz w:val="24"/>
          <w:szCs w:val="24"/>
          <w:highlight w:val="none"/>
        </w:rPr>
        <w:t>方式：免费获取，供应商登陆政采云账户（网址：</w:t>
      </w:r>
      <w:r>
        <w:rPr>
          <w:rFonts w:hint="eastAsia" w:ascii="仿宋" w:hAnsi="仿宋" w:eastAsia="仿宋" w:cs="仿宋"/>
          <w:sz w:val="24"/>
          <w:szCs w:val="24"/>
          <w:highlight w:val="none"/>
          <w:u w:val="single"/>
          <w:lang w:val="en-US" w:eastAsia="zh-CN"/>
        </w:rPr>
        <w:fldChar w:fldCharType="begin"/>
      </w:r>
      <w:r>
        <w:rPr>
          <w:rFonts w:hint="eastAsia" w:ascii="仿宋" w:hAnsi="仿宋" w:eastAsia="仿宋" w:cs="仿宋"/>
          <w:sz w:val="24"/>
          <w:szCs w:val="24"/>
          <w:highlight w:val="none"/>
          <w:u w:val="single"/>
          <w:lang w:val="en-US" w:eastAsia="zh-CN"/>
        </w:rPr>
        <w:instrText xml:space="preserve"> HYPERLINK "https://www.zcygov.cn/）,在线申请获取招标文件（登录政府采购云平台→采购项目→获取采购文件→申请，审核通过后可下载招标文件，如有操作性问题，可与政采云在线客服进行咨询，咨询电话400-881-7190" </w:instrText>
      </w:r>
      <w:r>
        <w:rPr>
          <w:rFonts w:hint="eastAsia" w:ascii="仿宋" w:hAnsi="仿宋" w:eastAsia="仿宋" w:cs="仿宋"/>
          <w:sz w:val="24"/>
          <w:szCs w:val="24"/>
          <w:highlight w:val="none"/>
          <w:u w:val="single"/>
          <w:lang w:val="en-US" w:eastAsia="zh-CN"/>
        </w:rPr>
        <w:fldChar w:fldCharType="separate"/>
      </w:r>
      <w:r>
        <w:rPr>
          <w:rFonts w:hint="eastAsia" w:ascii="仿宋" w:hAnsi="仿宋" w:eastAsia="仿宋" w:cs="仿宋"/>
          <w:sz w:val="24"/>
          <w:szCs w:val="24"/>
          <w:highlight w:val="none"/>
          <w:u w:val="single"/>
          <w:lang w:val="en-US" w:eastAsia="zh-CN"/>
        </w:rPr>
        <w:t>https://www.zcygov.cn/）,在线申请获取招标文件（供应商登录政府采购云平台→采购项目→获取采购文件，可下载招标文件，如有操作性问题，可与政采云在线客服进行咨询，咨询电话：95763</w:t>
      </w:r>
      <w:r>
        <w:rPr>
          <w:rFonts w:hint="eastAsia" w:ascii="仿宋" w:hAnsi="仿宋" w:eastAsia="仿宋" w:cs="仿宋"/>
          <w:sz w:val="24"/>
          <w:szCs w:val="24"/>
          <w:highlight w:val="none"/>
          <w:u w:val="single"/>
          <w:lang w:val="en-US" w:eastAsia="zh-CN"/>
        </w:rPr>
        <w:fldChar w:fldCharType="end"/>
      </w:r>
      <w:bookmarkStart w:id="17" w:name="_Toc28359005"/>
      <w:bookmarkStart w:id="18" w:name="_Toc28359082"/>
      <w:bookmarkStart w:id="19" w:name="_Toc35393793"/>
      <w:bookmarkStart w:id="20" w:name="_Toc35393624"/>
    </w:p>
    <w:p w14:paraId="0FF87E55">
      <w:pPr>
        <w:pageBreakBefore w:val="0"/>
        <w:kinsoku/>
        <w:wordWrap/>
        <w:overflowPunct/>
        <w:topLinePunct w:val="0"/>
        <w:autoSpaceDE/>
        <w:autoSpaceDN/>
        <w:bidi w:val="0"/>
        <w:adjustRightInd/>
        <w:snapToGrid/>
        <w:spacing w:line="500" w:lineRule="exact"/>
        <w:ind w:firstLine="480"/>
        <w:textAlignment w:val="auto"/>
        <w:rPr>
          <w:rFonts w:hint="eastAsia" w:ascii="仿宋" w:hAnsi="仿宋" w:eastAsia="仿宋" w:cs="仿宋"/>
          <w:bCs/>
          <w:sz w:val="24"/>
          <w:szCs w:val="24"/>
          <w:highlight w:val="none"/>
          <w:u w:val="single"/>
        </w:rPr>
      </w:pPr>
      <w:r>
        <w:rPr>
          <w:rFonts w:hint="eastAsia" w:ascii="仿宋" w:hAnsi="仿宋" w:eastAsia="仿宋" w:cs="仿宋"/>
          <w:bCs/>
          <w:sz w:val="24"/>
          <w:szCs w:val="24"/>
          <w:highlight w:val="none"/>
          <w:u w:val="single"/>
        </w:rPr>
        <w:t>售价：0元。</w:t>
      </w:r>
    </w:p>
    <w:p w14:paraId="5ECBC8F8">
      <w:pPr>
        <w:pStyle w:val="3"/>
        <w:pageBreakBefore w:val="0"/>
        <w:kinsoku/>
        <w:wordWrap/>
        <w:overflowPunct/>
        <w:topLinePunct w:val="0"/>
        <w:autoSpaceDE/>
        <w:autoSpaceDN/>
        <w:bidi w:val="0"/>
        <w:adjustRightInd/>
        <w:snapToGrid/>
        <w:spacing w:before="0" w:after="0" w:line="500" w:lineRule="exact"/>
        <w:textAlignment w:val="auto"/>
        <w:rPr>
          <w:rFonts w:hint="eastAsia" w:ascii="仿宋" w:hAnsi="仿宋" w:eastAsia="仿宋" w:cs="仿宋"/>
          <w:bCs w:val="0"/>
          <w:sz w:val="24"/>
          <w:szCs w:val="24"/>
          <w:highlight w:val="none"/>
        </w:rPr>
      </w:pPr>
      <w:r>
        <w:rPr>
          <w:rFonts w:hint="eastAsia" w:ascii="仿宋" w:hAnsi="仿宋" w:eastAsia="仿宋" w:cs="仿宋"/>
          <w:bCs w:val="0"/>
          <w:sz w:val="24"/>
          <w:szCs w:val="24"/>
          <w:highlight w:val="none"/>
        </w:rPr>
        <w:t>四、投标文件</w:t>
      </w:r>
      <w:bookmarkEnd w:id="17"/>
      <w:bookmarkEnd w:id="18"/>
      <w:r>
        <w:rPr>
          <w:rFonts w:hint="eastAsia" w:ascii="仿宋" w:hAnsi="仿宋" w:eastAsia="仿宋" w:cs="仿宋"/>
          <w:bCs w:val="0"/>
          <w:sz w:val="24"/>
          <w:szCs w:val="24"/>
          <w:highlight w:val="none"/>
        </w:rPr>
        <w:t>提交</w:t>
      </w:r>
      <w:bookmarkEnd w:id="19"/>
      <w:bookmarkEnd w:id="20"/>
    </w:p>
    <w:p w14:paraId="29B1A9C6">
      <w:pPr>
        <w:pageBreakBefore w:val="0"/>
        <w:kinsoku/>
        <w:wordWrap/>
        <w:overflowPunct/>
        <w:topLinePunct w:val="0"/>
        <w:autoSpaceDE/>
        <w:autoSpaceDN/>
        <w:bidi w:val="0"/>
        <w:adjustRightInd/>
        <w:snapToGrid/>
        <w:spacing w:line="500" w:lineRule="exact"/>
        <w:ind w:firstLine="480"/>
        <w:textAlignment w:val="auto"/>
        <w:rPr>
          <w:rFonts w:hint="eastAsia" w:ascii="仿宋" w:hAnsi="仿宋" w:eastAsia="仿宋" w:cs="仿宋"/>
          <w:sz w:val="24"/>
          <w:szCs w:val="24"/>
          <w:highlight w:val="none"/>
        </w:rPr>
      </w:pPr>
      <w:bookmarkStart w:id="21" w:name="_Toc35393794"/>
      <w:bookmarkStart w:id="22" w:name="_Toc28359084"/>
      <w:bookmarkStart w:id="23" w:name="_Toc28359007"/>
      <w:bookmarkStart w:id="24" w:name="_Toc35393625"/>
      <w:r>
        <w:rPr>
          <w:rFonts w:hint="eastAsia" w:ascii="仿宋" w:hAnsi="仿宋" w:eastAsia="仿宋" w:cs="仿宋"/>
          <w:bCs/>
          <w:sz w:val="24"/>
          <w:szCs w:val="24"/>
          <w:highlight w:val="none"/>
        </w:rPr>
        <w:t>截止时间：</w:t>
      </w:r>
      <w:r>
        <w:rPr>
          <w:rFonts w:hint="eastAsia" w:ascii="仿宋" w:hAnsi="仿宋" w:eastAsia="仿宋" w:cs="仿宋"/>
          <w:bCs/>
          <w:sz w:val="24"/>
          <w:szCs w:val="24"/>
          <w:highlight w:val="none"/>
          <w:u w:val="single"/>
          <w:lang w:eastAsia="zh-CN"/>
        </w:rPr>
        <w:t>2025年7月17日11:00</w:t>
      </w:r>
      <w:r>
        <w:rPr>
          <w:rFonts w:hint="eastAsia" w:ascii="仿宋" w:hAnsi="仿宋" w:eastAsia="仿宋" w:cs="仿宋"/>
          <w:bCs/>
          <w:sz w:val="24"/>
          <w:szCs w:val="24"/>
          <w:highlight w:val="none"/>
          <w:u w:val="single"/>
        </w:rPr>
        <w:t>（北京时间）</w:t>
      </w:r>
      <w:r>
        <w:rPr>
          <w:rFonts w:hint="eastAsia" w:ascii="仿宋" w:hAnsi="仿宋" w:eastAsia="仿宋" w:cs="仿宋"/>
          <w:sz w:val="24"/>
          <w:szCs w:val="24"/>
          <w:highlight w:val="none"/>
        </w:rPr>
        <w:t>，</w:t>
      </w:r>
      <w:r>
        <w:rPr>
          <w:rFonts w:hint="eastAsia" w:ascii="仿宋" w:hAnsi="仿宋" w:eastAsia="仿宋" w:cs="仿宋"/>
          <w:bCs/>
          <w:sz w:val="24"/>
          <w:szCs w:val="24"/>
          <w:highlight w:val="none"/>
        </w:rPr>
        <w:t>供应商须将投标文件上传至政采云平台https：//www.zcygov.cn/对应位置（逾期未上传的或不符合规定的投标文件将被拒绝接收。）</w:t>
      </w:r>
    </w:p>
    <w:p w14:paraId="39D36A39">
      <w:pPr>
        <w:pStyle w:val="203"/>
        <w:pageBreakBefore w:val="0"/>
        <w:kinsoku/>
        <w:wordWrap/>
        <w:overflowPunct/>
        <w:topLinePunct w:val="0"/>
        <w:autoSpaceDE/>
        <w:autoSpaceDN/>
        <w:bidi w:val="0"/>
        <w:adjustRightInd/>
        <w:snapToGrid/>
        <w:spacing w:line="500" w:lineRule="exact"/>
        <w:ind w:firstLine="48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投标地点（网址）：https：//www.zcygov.cn/政采云不见面开标大厅</w:t>
      </w:r>
    </w:p>
    <w:p w14:paraId="46C23FF3">
      <w:pPr>
        <w:pStyle w:val="3"/>
        <w:pageBreakBefore w:val="0"/>
        <w:kinsoku/>
        <w:wordWrap/>
        <w:overflowPunct/>
        <w:topLinePunct w:val="0"/>
        <w:autoSpaceDE/>
        <w:autoSpaceDN/>
        <w:bidi w:val="0"/>
        <w:adjustRightInd/>
        <w:snapToGrid/>
        <w:spacing w:before="0" w:after="0" w:line="500" w:lineRule="exact"/>
        <w:textAlignment w:val="auto"/>
        <w:rPr>
          <w:rFonts w:hint="eastAsia" w:ascii="仿宋" w:hAnsi="仿宋" w:eastAsia="仿宋" w:cs="仿宋"/>
          <w:bCs w:val="0"/>
          <w:sz w:val="24"/>
          <w:szCs w:val="24"/>
          <w:highlight w:val="none"/>
        </w:rPr>
      </w:pPr>
      <w:r>
        <w:rPr>
          <w:rFonts w:hint="eastAsia" w:ascii="仿宋" w:hAnsi="仿宋" w:eastAsia="仿宋" w:cs="仿宋"/>
          <w:bCs w:val="0"/>
          <w:sz w:val="24"/>
          <w:szCs w:val="24"/>
          <w:highlight w:val="none"/>
        </w:rPr>
        <w:t>五、投标文件开启</w:t>
      </w:r>
    </w:p>
    <w:p w14:paraId="79F178BA">
      <w:pPr>
        <w:pageBreakBefore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开启时间：</w:t>
      </w:r>
      <w:r>
        <w:rPr>
          <w:rFonts w:hint="eastAsia" w:ascii="仿宋" w:hAnsi="仿宋" w:eastAsia="仿宋" w:cs="仿宋"/>
          <w:bCs/>
          <w:sz w:val="24"/>
          <w:szCs w:val="24"/>
          <w:highlight w:val="none"/>
          <w:u w:val="single"/>
          <w:lang w:eastAsia="zh-CN"/>
        </w:rPr>
        <w:t>2025年7月17日11:00</w:t>
      </w:r>
      <w:r>
        <w:rPr>
          <w:rFonts w:hint="eastAsia" w:ascii="仿宋" w:hAnsi="仿宋" w:eastAsia="仿宋" w:cs="仿宋"/>
          <w:bCs/>
          <w:sz w:val="24"/>
          <w:szCs w:val="24"/>
          <w:highlight w:val="none"/>
          <w:u w:val="single"/>
        </w:rPr>
        <w:t>（北京时间）</w:t>
      </w:r>
    </w:p>
    <w:p w14:paraId="584B3146">
      <w:pPr>
        <w:pageBreakBefore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bCs/>
          <w:sz w:val="24"/>
          <w:szCs w:val="24"/>
          <w:highlight w:val="none"/>
        </w:rPr>
      </w:pPr>
      <w:r>
        <w:rPr>
          <w:rFonts w:hint="eastAsia" w:ascii="仿宋" w:hAnsi="仿宋" w:eastAsia="仿宋" w:cs="仿宋"/>
          <w:sz w:val="24"/>
          <w:szCs w:val="24"/>
          <w:highlight w:val="none"/>
        </w:rPr>
        <w:t>地点：</w:t>
      </w:r>
      <w:r>
        <w:rPr>
          <w:rFonts w:hint="eastAsia" w:ascii="仿宋" w:hAnsi="仿宋" w:eastAsia="仿宋" w:cs="仿宋"/>
          <w:bCs/>
          <w:sz w:val="24"/>
          <w:szCs w:val="24"/>
          <w:highlight w:val="none"/>
        </w:rPr>
        <w:t>政采云平台https：//www.zcygov.cn/政采云不见面开标大厅。</w:t>
      </w:r>
      <w:r>
        <w:rPr>
          <w:rFonts w:hint="eastAsia" w:ascii="仿宋" w:hAnsi="仿宋" w:eastAsia="仿宋" w:cs="仿宋"/>
          <w:color w:val="000000"/>
          <w:sz w:val="24"/>
          <w:szCs w:val="24"/>
          <w:highlight w:val="none"/>
        </w:rPr>
        <w:t>（本项目采用远程不见面开标模式。开标当日，供应商无需到达开标现场，仅需在任意地点登录政采云平台（https://www.zcygov.cn），进入“项目采购”应用，进入开标大厅即可）</w:t>
      </w:r>
    </w:p>
    <w:p w14:paraId="47C12113">
      <w:pPr>
        <w:pageBreakBefore w:val="0"/>
        <w:kinsoku/>
        <w:wordWrap/>
        <w:overflowPunct/>
        <w:topLinePunct w:val="0"/>
        <w:autoSpaceDE/>
        <w:autoSpaceDN/>
        <w:bidi w:val="0"/>
        <w:adjustRightInd/>
        <w:snapToGrid/>
        <w:spacing w:line="500" w:lineRule="exact"/>
        <w:ind w:firstLine="480"/>
        <w:textAlignment w:val="auto"/>
        <w:rPr>
          <w:rFonts w:hint="eastAsia" w:ascii="仿宋" w:hAnsi="仿宋" w:eastAsia="仿宋" w:cs="仿宋"/>
          <w:sz w:val="24"/>
          <w:szCs w:val="24"/>
          <w:highlight w:val="none"/>
        </w:rPr>
      </w:pPr>
      <w:r>
        <w:rPr>
          <w:rFonts w:hint="eastAsia" w:ascii="仿宋" w:hAnsi="仿宋" w:eastAsia="仿宋" w:cs="仿宋"/>
          <w:bCs/>
          <w:sz w:val="24"/>
          <w:szCs w:val="24"/>
          <w:highlight w:val="none"/>
        </w:rPr>
        <w:t>开标方式：不见面开标，供应商不需到达现场</w:t>
      </w:r>
    </w:p>
    <w:p w14:paraId="1F1467A0">
      <w:pPr>
        <w:pStyle w:val="3"/>
        <w:pageBreakBefore w:val="0"/>
        <w:kinsoku/>
        <w:wordWrap/>
        <w:overflowPunct/>
        <w:topLinePunct w:val="0"/>
        <w:autoSpaceDE/>
        <w:autoSpaceDN/>
        <w:bidi w:val="0"/>
        <w:adjustRightInd/>
        <w:snapToGrid/>
        <w:spacing w:before="0" w:after="0" w:line="500" w:lineRule="exact"/>
        <w:textAlignment w:val="auto"/>
        <w:rPr>
          <w:rFonts w:hint="eastAsia" w:ascii="仿宋" w:hAnsi="仿宋" w:eastAsia="仿宋" w:cs="仿宋"/>
          <w:bCs w:val="0"/>
          <w:sz w:val="24"/>
          <w:szCs w:val="24"/>
          <w:highlight w:val="none"/>
        </w:rPr>
      </w:pPr>
      <w:r>
        <w:rPr>
          <w:rFonts w:hint="eastAsia" w:ascii="仿宋" w:hAnsi="仿宋" w:eastAsia="仿宋" w:cs="仿宋"/>
          <w:bCs w:val="0"/>
          <w:sz w:val="24"/>
          <w:szCs w:val="24"/>
          <w:highlight w:val="none"/>
        </w:rPr>
        <w:t>六、公告期限</w:t>
      </w:r>
      <w:bookmarkEnd w:id="21"/>
      <w:bookmarkEnd w:id="22"/>
      <w:bookmarkEnd w:id="23"/>
      <w:bookmarkEnd w:id="24"/>
    </w:p>
    <w:p w14:paraId="445FB892">
      <w:pPr>
        <w:pageBreakBefore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自本公告发布之日起5个工作日。</w:t>
      </w:r>
    </w:p>
    <w:p w14:paraId="0649AC63">
      <w:pPr>
        <w:pStyle w:val="3"/>
        <w:pageBreakBefore w:val="0"/>
        <w:kinsoku/>
        <w:wordWrap/>
        <w:overflowPunct/>
        <w:topLinePunct w:val="0"/>
        <w:autoSpaceDE/>
        <w:autoSpaceDN/>
        <w:bidi w:val="0"/>
        <w:adjustRightInd/>
        <w:snapToGrid/>
        <w:spacing w:before="0" w:after="0" w:line="500" w:lineRule="exact"/>
        <w:textAlignment w:val="auto"/>
        <w:rPr>
          <w:rFonts w:hint="eastAsia" w:ascii="仿宋" w:hAnsi="仿宋" w:eastAsia="仿宋" w:cs="仿宋"/>
          <w:bCs w:val="0"/>
          <w:sz w:val="24"/>
          <w:szCs w:val="24"/>
          <w:highlight w:val="none"/>
        </w:rPr>
      </w:pPr>
      <w:bookmarkStart w:id="25" w:name="_Toc35393626"/>
      <w:bookmarkStart w:id="26" w:name="_Toc35393795"/>
      <w:r>
        <w:rPr>
          <w:rFonts w:hint="eastAsia" w:ascii="仿宋" w:hAnsi="仿宋" w:eastAsia="仿宋" w:cs="仿宋"/>
          <w:bCs w:val="0"/>
          <w:sz w:val="24"/>
          <w:szCs w:val="24"/>
          <w:highlight w:val="none"/>
        </w:rPr>
        <w:t>七、其他补充事宜</w:t>
      </w:r>
      <w:bookmarkEnd w:id="25"/>
      <w:bookmarkEnd w:id="26"/>
    </w:p>
    <w:p w14:paraId="097FB34C">
      <w:pPr>
        <w:pageBreakBefore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1、本项目实行网上投标，采用电子投标文件；</w:t>
      </w:r>
    </w:p>
    <w:p w14:paraId="3C1E7D0E">
      <w:pPr>
        <w:pageBreakBefore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各供应商应成为新疆政府采购网注册入库供应商，并完成CA数字证书（符合国密标准）申领。因未注册入库、未办理CA数字证书等原因造成无法投标或投标失败等后果由供应商自行承担。有意向参与电子开评标的供应商，可访问新疆数字证书认证中心官方网站（https://www.xjca.com.cn/）或下载“新疆政务通”APP自行进行申领。如需咨询，请联系新疆CA服务热线0991-2819290；</w:t>
      </w:r>
    </w:p>
    <w:p w14:paraId="6843782F">
      <w:pPr>
        <w:pageBreakBefore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供应商将政采云电子交易客户端下载、安装完成后，可通过账号密码或CA登录客户端进行投标文件的制作。在使用政采云投标客户端时，建议使用WIN7及以上操作系统。客户端请至新疆政府采购网（http://www.ccgp-xinjiang.gov.cn/）下载专区查看，如有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14:paraId="4B395500">
      <w:pPr>
        <w:pageBreakBefore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4、供应商应当在开标截止时间前,将生成的“电子加密投标文件”上传递交至“政府采购云平台”,开标截止时间以后上传递交的投标文件将被“政府采购云平台”拒收。</w:t>
      </w:r>
    </w:p>
    <w:p w14:paraId="22A729AD">
      <w:pPr>
        <w:pageBreakBefore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5、供应商在开标前须提前配置好电脑浏览器（建议使用360 浏览器或谷歌浏览器）, 开标时请使用制作加密电子投标文件的CA锁进行解密及报价确认。本项目投标文件解密时间定为30分钟内,如因自身原因导致无法正常解密,后果由供应商自行承担。 </w:t>
      </w:r>
    </w:p>
    <w:p w14:paraId="1809B85F">
      <w:pPr>
        <w:pageBreakBefore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6、供应商登录政采云平台，在开标时间后30分钟内用“项目采购-开标评标”功能进行解密投标文件。若供应商在规定时间内未按时解密的，视为无效投标。解密与加密投标文件须使用同一个 CA。</w:t>
      </w:r>
    </w:p>
    <w:p w14:paraId="350220BF">
      <w:pPr>
        <w:pStyle w:val="3"/>
        <w:pageBreakBefore w:val="0"/>
        <w:kinsoku/>
        <w:wordWrap/>
        <w:overflowPunct/>
        <w:topLinePunct w:val="0"/>
        <w:autoSpaceDE/>
        <w:autoSpaceDN/>
        <w:bidi w:val="0"/>
        <w:adjustRightInd/>
        <w:snapToGrid/>
        <w:spacing w:before="0" w:after="0" w:line="500" w:lineRule="exact"/>
        <w:textAlignment w:val="auto"/>
        <w:rPr>
          <w:rFonts w:hint="eastAsia" w:ascii="仿宋" w:hAnsi="仿宋" w:eastAsia="仿宋" w:cs="仿宋"/>
          <w:bCs w:val="0"/>
          <w:sz w:val="24"/>
          <w:szCs w:val="24"/>
          <w:highlight w:val="none"/>
        </w:rPr>
      </w:pPr>
      <w:bookmarkStart w:id="27" w:name="_Toc35393796"/>
      <w:bookmarkStart w:id="28" w:name="_Toc28359085"/>
      <w:bookmarkStart w:id="29" w:name="_Toc35393627"/>
      <w:bookmarkStart w:id="30" w:name="_Toc28359008"/>
      <w:r>
        <w:rPr>
          <w:rFonts w:hint="eastAsia" w:ascii="仿宋" w:hAnsi="仿宋" w:eastAsia="仿宋" w:cs="仿宋"/>
          <w:bCs w:val="0"/>
          <w:sz w:val="24"/>
          <w:szCs w:val="24"/>
          <w:highlight w:val="none"/>
        </w:rPr>
        <w:t>八、对本次招标提出询问，请按以下方式联系。</w:t>
      </w:r>
      <w:bookmarkEnd w:id="27"/>
      <w:bookmarkEnd w:id="28"/>
      <w:bookmarkEnd w:id="29"/>
      <w:bookmarkEnd w:id="30"/>
    </w:p>
    <w:p w14:paraId="186EB1CC">
      <w:pPr>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1.采购人信息</w:t>
      </w:r>
    </w:p>
    <w:p w14:paraId="38CBB32E">
      <w:pPr>
        <w:pageBreakBefore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名 称：</w:t>
      </w:r>
      <w:r>
        <w:rPr>
          <w:rFonts w:hint="eastAsia" w:ascii="仿宋" w:hAnsi="仿宋" w:eastAsia="仿宋" w:cs="仿宋"/>
          <w:sz w:val="24"/>
          <w:szCs w:val="24"/>
          <w:highlight w:val="none"/>
          <w:u w:val="single"/>
        </w:rPr>
        <w:t>新疆维吾尔自治区教育考试院</w:t>
      </w:r>
    </w:p>
    <w:p w14:paraId="6FAD4CB9">
      <w:pPr>
        <w:pageBreakBefore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地址：</w:t>
      </w:r>
      <w:r>
        <w:rPr>
          <w:rFonts w:hint="eastAsia" w:ascii="仿宋" w:hAnsi="仿宋" w:eastAsia="仿宋" w:cs="仿宋"/>
          <w:sz w:val="24"/>
          <w:szCs w:val="24"/>
          <w:highlight w:val="none"/>
          <w:u w:val="single"/>
        </w:rPr>
        <w:t>新疆乌鲁木齐南昌路456号</w:t>
      </w:r>
    </w:p>
    <w:p w14:paraId="1A000DD1">
      <w:pPr>
        <w:pageBreakBefore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联系方式：</w:t>
      </w:r>
      <w:r>
        <w:rPr>
          <w:rFonts w:hint="eastAsia" w:ascii="仿宋" w:hAnsi="仿宋" w:eastAsia="仿宋" w:cs="仿宋"/>
          <w:sz w:val="24"/>
          <w:szCs w:val="24"/>
          <w:highlight w:val="none"/>
          <w:u w:val="single"/>
        </w:rPr>
        <w:t xml:space="preserve"> </w:t>
      </w:r>
      <w:bookmarkStart w:id="31" w:name="_Toc28359009"/>
      <w:bookmarkStart w:id="32" w:name="_Toc28359086"/>
      <w:r>
        <w:rPr>
          <w:rFonts w:hint="eastAsia" w:ascii="仿宋" w:hAnsi="仿宋" w:eastAsia="仿宋" w:cs="仿宋"/>
          <w:sz w:val="24"/>
          <w:szCs w:val="24"/>
          <w:highlight w:val="none"/>
          <w:u w:val="single"/>
        </w:rPr>
        <w:t>0991—2800137</w:t>
      </w:r>
    </w:p>
    <w:p w14:paraId="4A520A6E">
      <w:pPr>
        <w:pageBreakBefore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2.采购代理机构信息</w:t>
      </w:r>
      <w:bookmarkEnd w:id="31"/>
      <w:bookmarkEnd w:id="32"/>
    </w:p>
    <w:p w14:paraId="485554E2">
      <w:pPr>
        <w:pageBreakBefore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名称：</w:t>
      </w:r>
      <w:r>
        <w:rPr>
          <w:rFonts w:hint="eastAsia" w:ascii="仿宋" w:hAnsi="仿宋" w:eastAsia="仿宋" w:cs="仿宋"/>
          <w:sz w:val="24"/>
          <w:szCs w:val="24"/>
          <w:highlight w:val="none"/>
          <w:u w:val="single"/>
        </w:rPr>
        <w:t>新疆中鼎远航招标有限公司</w:t>
      </w:r>
    </w:p>
    <w:p w14:paraId="3B026D16">
      <w:pPr>
        <w:pageBreakBefore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地址：</w:t>
      </w:r>
      <w:r>
        <w:rPr>
          <w:rFonts w:hint="eastAsia" w:ascii="仿宋" w:hAnsi="仿宋" w:eastAsia="仿宋" w:cs="仿宋"/>
          <w:sz w:val="24"/>
          <w:szCs w:val="24"/>
          <w:highlight w:val="none"/>
          <w:u w:val="single"/>
        </w:rPr>
        <w:t>乌鲁木齐高新技术产业开发区（新市区）鲤鱼山北路298号（领世华府）2栋2108室</w:t>
      </w:r>
    </w:p>
    <w:p w14:paraId="78104913">
      <w:pPr>
        <w:pageBreakBefore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联系方式：</w:t>
      </w:r>
      <w:bookmarkStart w:id="33" w:name="_Toc28359010"/>
      <w:bookmarkStart w:id="34" w:name="_Toc28359087"/>
      <w:r>
        <w:rPr>
          <w:rFonts w:hint="eastAsia" w:ascii="仿宋" w:hAnsi="仿宋" w:eastAsia="仿宋" w:cs="仿宋"/>
          <w:sz w:val="24"/>
          <w:szCs w:val="24"/>
          <w:highlight w:val="none"/>
          <w:u w:val="single"/>
        </w:rPr>
        <w:t xml:space="preserve">　0991-3663698    </w:t>
      </w:r>
    </w:p>
    <w:bookmarkEnd w:id="33"/>
    <w:bookmarkEnd w:id="34"/>
    <w:p w14:paraId="6C0ACE47">
      <w:pPr>
        <w:pStyle w:val="2"/>
        <w:numPr>
          <w:ilvl w:val="0"/>
          <w:numId w:val="12"/>
        </w:numPr>
        <w:spacing w:before="0" w:after="0" w:line="240" w:lineRule="auto"/>
        <w:rPr>
          <w:rFonts w:hint="eastAsia" w:ascii="仿宋" w:hAnsi="仿宋" w:eastAsia="仿宋" w:cs="仿宋"/>
          <w:color w:val="auto"/>
          <w:highlight w:val="none"/>
        </w:rPr>
      </w:pPr>
      <w:r>
        <w:rPr>
          <w:rFonts w:hint="eastAsia" w:ascii="仿宋" w:hAnsi="仿宋" w:eastAsia="仿宋" w:cs="仿宋"/>
          <w:color w:val="auto"/>
          <w:highlight w:val="none"/>
        </w:rPr>
        <w:br w:type="page"/>
      </w:r>
      <w:bookmarkStart w:id="35" w:name="_Toc17348"/>
      <w:r>
        <w:rPr>
          <w:rFonts w:hint="eastAsia" w:ascii="仿宋" w:hAnsi="仿宋" w:eastAsia="仿宋" w:cs="仿宋"/>
          <w:color w:val="auto"/>
          <w:highlight w:val="none"/>
        </w:rPr>
        <w:t>投标须知</w:t>
      </w:r>
      <w:bookmarkEnd w:id="2"/>
      <w:bookmarkEnd w:id="35"/>
    </w:p>
    <w:tbl>
      <w:tblPr>
        <w:tblStyle w:val="41"/>
        <w:tblW w:w="0" w:type="auto"/>
        <w:tblInd w:w="0" w:type="dxa"/>
        <w:tblLayout w:type="fixed"/>
        <w:tblCellMar>
          <w:top w:w="0" w:type="dxa"/>
          <w:left w:w="108" w:type="dxa"/>
          <w:bottom w:w="0" w:type="dxa"/>
          <w:right w:w="108" w:type="dxa"/>
        </w:tblCellMar>
      </w:tblPr>
      <w:tblGrid>
        <w:gridCol w:w="856"/>
        <w:gridCol w:w="1773"/>
        <w:gridCol w:w="6381"/>
      </w:tblGrid>
      <w:tr w14:paraId="035CAB41">
        <w:tblPrEx>
          <w:tblCellMar>
            <w:top w:w="0" w:type="dxa"/>
            <w:left w:w="108" w:type="dxa"/>
            <w:bottom w:w="0" w:type="dxa"/>
            <w:right w:w="108" w:type="dxa"/>
          </w:tblCellMar>
        </w:tblPrEx>
        <w:trPr>
          <w:trHeight w:val="556" w:hRule="atLeast"/>
          <w:tblHeader/>
        </w:trPr>
        <w:tc>
          <w:tcPr>
            <w:tcW w:w="856" w:type="dxa"/>
            <w:tcBorders>
              <w:top w:val="single" w:color="auto" w:sz="4" w:space="0"/>
              <w:left w:val="single" w:color="auto" w:sz="4" w:space="0"/>
              <w:bottom w:val="single" w:color="auto" w:sz="4" w:space="0"/>
              <w:right w:val="single" w:color="auto" w:sz="4" w:space="0"/>
            </w:tcBorders>
            <w:noWrap w:val="0"/>
            <w:vAlign w:val="center"/>
          </w:tcPr>
          <w:p w14:paraId="510971D6">
            <w:pPr>
              <w:keepNext w:val="0"/>
              <w:keepLines w:val="0"/>
              <w:pageBreakBefore w:val="0"/>
              <w:widowControl/>
              <w:kinsoku/>
              <w:wordWrap/>
              <w:overflowPunct/>
              <w:topLinePunct w:val="0"/>
              <w:autoSpaceDE/>
              <w:autoSpaceDN/>
              <w:bidi w:val="0"/>
              <w:adjustRightInd/>
              <w:snapToGrid/>
              <w:spacing w:line="400" w:lineRule="exact"/>
              <w:ind w:left="-69" w:leftChars="-33" w:right="-69" w:rightChars="-33"/>
              <w:jc w:val="center"/>
              <w:textAlignment w:val="auto"/>
              <w:rPr>
                <w:rFonts w:hint="eastAsia" w:ascii="仿宋" w:hAnsi="仿宋" w:eastAsia="仿宋" w:cs="仿宋"/>
                <w:b/>
                <w:bCs/>
                <w:kern w:val="0"/>
                <w:sz w:val="24"/>
                <w:highlight w:val="none"/>
              </w:rPr>
            </w:pPr>
            <w:bookmarkStart w:id="36" w:name="_Toc27496"/>
            <w:r>
              <w:rPr>
                <w:rFonts w:hint="eastAsia" w:ascii="仿宋" w:hAnsi="仿宋" w:eastAsia="仿宋" w:cs="仿宋"/>
                <w:b/>
                <w:bCs/>
                <w:kern w:val="0"/>
                <w:sz w:val="24"/>
                <w:highlight w:val="none"/>
              </w:rPr>
              <w:t>条款号</w:t>
            </w:r>
          </w:p>
        </w:tc>
        <w:tc>
          <w:tcPr>
            <w:tcW w:w="1773" w:type="dxa"/>
            <w:tcBorders>
              <w:top w:val="single" w:color="auto" w:sz="4" w:space="0"/>
              <w:left w:val="single" w:color="auto" w:sz="4" w:space="0"/>
              <w:bottom w:val="single" w:color="auto" w:sz="4" w:space="0"/>
              <w:right w:val="single" w:color="auto" w:sz="4" w:space="0"/>
            </w:tcBorders>
            <w:noWrap w:val="0"/>
            <w:vAlign w:val="center"/>
          </w:tcPr>
          <w:p w14:paraId="53437480">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项   目</w:t>
            </w:r>
          </w:p>
        </w:tc>
        <w:tc>
          <w:tcPr>
            <w:tcW w:w="6381" w:type="dxa"/>
            <w:tcBorders>
              <w:top w:val="single" w:color="auto" w:sz="4" w:space="0"/>
              <w:left w:val="single" w:color="auto" w:sz="4" w:space="0"/>
              <w:bottom w:val="single" w:color="auto" w:sz="4" w:space="0"/>
              <w:right w:val="single" w:color="auto" w:sz="4" w:space="0"/>
            </w:tcBorders>
            <w:noWrap w:val="0"/>
            <w:vAlign w:val="center"/>
          </w:tcPr>
          <w:p w14:paraId="20FD074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内     容</w:t>
            </w:r>
          </w:p>
        </w:tc>
      </w:tr>
      <w:tr w14:paraId="7DA66141">
        <w:tblPrEx>
          <w:tblCellMar>
            <w:top w:w="0" w:type="dxa"/>
            <w:left w:w="108" w:type="dxa"/>
            <w:bottom w:w="0" w:type="dxa"/>
            <w:right w:w="108" w:type="dxa"/>
          </w:tblCellMar>
        </w:tblPrEx>
        <w:trPr>
          <w:trHeight w:val="1254" w:hRule="atLeast"/>
        </w:trPr>
        <w:tc>
          <w:tcPr>
            <w:tcW w:w="856" w:type="dxa"/>
            <w:tcBorders>
              <w:top w:val="single" w:color="auto" w:sz="4" w:space="0"/>
              <w:left w:val="single" w:color="auto" w:sz="4" w:space="0"/>
              <w:bottom w:val="single" w:color="auto" w:sz="4" w:space="0"/>
              <w:right w:val="single" w:color="auto" w:sz="4" w:space="0"/>
            </w:tcBorders>
            <w:noWrap w:val="0"/>
            <w:vAlign w:val="center"/>
          </w:tcPr>
          <w:p w14:paraId="31CB2B9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1</w:t>
            </w:r>
          </w:p>
        </w:tc>
        <w:tc>
          <w:tcPr>
            <w:tcW w:w="1773" w:type="dxa"/>
            <w:tcBorders>
              <w:top w:val="single" w:color="auto" w:sz="4" w:space="0"/>
              <w:left w:val="single" w:color="auto" w:sz="4" w:space="0"/>
              <w:bottom w:val="single" w:color="auto" w:sz="4" w:space="0"/>
              <w:right w:val="single" w:color="auto" w:sz="4" w:space="0"/>
            </w:tcBorders>
            <w:noWrap w:val="0"/>
            <w:vAlign w:val="center"/>
          </w:tcPr>
          <w:p w14:paraId="18922CD2">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采购人</w:t>
            </w:r>
          </w:p>
        </w:tc>
        <w:tc>
          <w:tcPr>
            <w:tcW w:w="6381" w:type="dxa"/>
            <w:tcBorders>
              <w:top w:val="single" w:color="auto" w:sz="4" w:space="0"/>
              <w:left w:val="single" w:color="auto" w:sz="4" w:space="0"/>
              <w:bottom w:val="single" w:color="auto" w:sz="4" w:space="0"/>
              <w:right w:val="single" w:color="auto" w:sz="4" w:space="0"/>
            </w:tcBorders>
            <w:noWrap w:val="0"/>
            <w:vAlign w:val="center"/>
          </w:tcPr>
          <w:p w14:paraId="41966727">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rPr>
              <w:t>名  称：新疆维吾尔自治区教育考试院</w:t>
            </w:r>
          </w:p>
          <w:p w14:paraId="76F14501">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rPr>
              <w:t>地  址：新疆乌鲁木齐南昌路456号</w:t>
            </w:r>
          </w:p>
          <w:p w14:paraId="4351683E">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rPr>
              <w:t>联系人：张老师 </w:t>
            </w:r>
          </w:p>
          <w:p w14:paraId="4D6569B0">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szCs w:val="24"/>
                <w:highlight w:val="none"/>
              </w:rPr>
            </w:pPr>
            <w:r>
              <w:rPr>
                <w:rFonts w:hint="eastAsia" w:ascii="仿宋" w:hAnsi="仿宋" w:eastAsia="仿宋" w:cs="仿宋"/>
                <w:sz w:val="24"/>
                <w:szCs w:val="24"/>
                <w:highlight w:val="none"/>
                <w:u w:val="single"/>
              </w:rPr>
              <w:t>电  话：0991—2800137</w:t>
            </w:r>
          </w:p>
        </w:tc>
      </w:tr>
      <w:tr w14:paraId="123DAC80">
        <w:tblPrEx>
          <w:tblCellMar>
            <w:top w:w="0" w:type="dxa"/>
            <w:left w:w="108" w:type="dxa"/>
            <w:bottom w:w="0" w:type="dxa"/>
            <w:right w:w="108" w:type="dxa"/>
          </w:tblCellMar>
        </w:tblPrEx>
        <w:trPr>
          <w:trHeight w:val="1254" w:hRule="atLeast"/>
        </w:trPr>
        <w:tc>
          <w:tcPr>
            <w:tcW w:w="856" w:type="dxa"/>
            <w:tcBorders>
              <w:top w:val="single" w:color="auto" w:sz="4" w:space="0"/>
              <w:left w:val="single" w:color="auto" w:sz="4" w:space="0"/>
              <w:bottom w:val="single" w:color="auto" w:sz="4" w:space="0"/>
              <w:right w:val="single" w:color="auto" w:sz="4" w:space="0"/>
            </w:tcBorders>
            <w:noWrap w:val="0"/>
            <w:vAlign w:val="center"/>
          </w:tcPr>
          <w:p w14:paraId="31C4324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2</w:t>
            </w:r>
          </w:p>
        </w:tc>
        <w:tc>
          <w:tcPr>
            <w:tcW w:w="1773" w:type="dxa"/>
            <w:tcBorders>
              <w:top w:val="single" w:color="auto" w:sz="4" w:space="0"/>
              <w:left w:val="single" w:color="auto" w:sz="4" w:space="0"/>
              <w:bottom w:val="single" w:color="auto" w:sz="4" w:space="0"/>
              <w:right w:val="single" w:color="auto" w:sz="4" w:space="0"/>
            </w:tcBorders>
            <w:noWrap w:val="0"/>
            <w:vAlign w:val="center"/>
          </w:tcPr>
          <w:p w14:paraId="7D65241E">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采购代理机构</w:t>
            </w:r>
          </w:p>
        </w:tc>
        <w:tc>
          <w:tcPr>
            <w:tcW w:w="6381" w:type="dxa"/>
            <w:tcBorders>
              <w:top w:val="single" w:color="auto" w:sz="4" w:space="0"/>
              <w:left w:val="single" w:color="auto" w:sz="4" w:space="0"/>
              <w:bottom w:val="single" w:color="auto" w:sz="4" w:space="0"/>
              <w:right w:val="single" w:color="auto" w:sz="4" w:space="0"/>
            </w:tcBorders>
            <w:noWrap w:val="0"/>
            <w:vAlign w:val="center"/>
          </w:tcPr>
          <w:p w14:paraId="7F91965B">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名  称：</w:t>
            </w:r>
            <w:r>
              <w:rPr>
                <w:rFonts w:hint="eastAsia" w:ascii="仿宋" w:hAnsi="仿宋" w:eastAsia="仿宋" w:cs="仿宋"/>
                <w:sz w:val="24"/>
                <w:szCs w:val="24"/>
                <w:highlight w:val="none"/>
                <w:u w:val="single"/>
              </w:rPr>
              <w:t>新疆中鼎远航招标有限公司</w:t>
            </w:r>
          </w:p>
          <w:p w14:paraId="418A9BD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地  址：</w:t>
            </w:r>
            <w:r>
              <w:rPr>
                <w:rFonts w:hint="eastAsia" w:ascii="仿宋" w:hAnsi="仿宋" w:eastAsia="仿宋" w:cs="仿宋"/>
                <w:sz w:val="24"/>
                <w:szCs w:val="24"/>
                <w:highlight w:val="none"/>
                <w:u w:val="single"/>
              </w:rPr>
              <w:t>乌鲁木齐高新技术产业开发区（新市区）鲤鱼山北路298号（领世华府）2栋2108室</w:t>
            </w:r>
          </w:p>
          <w:p w14:paraId="7A7D9864">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highlight w:val="none"/>
                <w:u w:val="single"/>
                <w:lang w:eastAsia="zh-CN"/>
              </w:rPr>
            </w:pPr>
            <w:r>
              <w:rPr>
                <w:rFonts w:hint="eastAsia" w:ascii="仿宋" w:hAnsi="仿宋" w:eastAsia="仿宋" w:cs="仿宋"/>
                <w:sz w:val="24"/>
                <w:szCs w:val="24"/>
                <w:highlight w:val="none"/>
              </w:rPr>
              <w:t>联系人：</w:t>
            </w:r>
            <w:r>
              <w:rPr>
                <w:rFonts w:hint="eastAsia" w:ascii="仿宋" w:hAnsi="仿宋" w:eastAsia="仿宋" w:cs="仿宋"/>
                <w:sz w:val="24"/>
                <w:szCs w:val="24"/>
                <w:highlight w:val="none"/>
                <w:u w:val="single"/>
                <w:lang w:eastAsia="zh-CN"/>
              </w:rPr>
              <w:t>王建刚</w:t>
            </w:r>
          </w:p>
          <w:p w14:paraId="63FE5AB5">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电  话：</w:t>
            </w:r>
            <w:r>
              <w:rPr>
                <w:rFonts w:hint="eastAsia" w:ascii="仿宋" w:hAnsi="仿宋" w:eastAsia="仿宋" w:cs="仿宋"/>
                <w:sz w:val="24"/>
                <w:szCs w:val="24"/>
                <w:highlight w:val="none"/>
                <w:u w:val="single"/>
              </w:rPr>
              <w:t>0991-3663698</w:t>
            </w:r>
          </w:p>
        </w:tc>
      </w:tr>
      <w:tr w14:paraId="0C0EB2FA">
        <w:tblPrEx>
          <w:tblCellMar>
            <w:top w:w="0" w:type="dxa"/>
            <w:left w:w="108" w:type="dxa"/>
            <w:bottom w:w="0" w:type="dxa"/>
            <w:right w:w="108" w:type="dxa"/>
          </w:tblCellMar>
        </w:tblPrEx>
        <w:trPr>
          <w:trHeight w:val="632" w:hRule="atLeast"/>
        </w:trPr>
        <w:tc>
          <w:tcPr>
            <w:tcW w:w="856" w:type="dxa"/>
            <w:tcBorders>
              <w:top w:val="single" w:color="auto" w:sz="4" w:space="0"/>
              <w:left w:val="single" w:color="auto" w:sz="4" w:space="0"/>
              <w:bottom w:val="single" w:color="auto" w:sz="4" w:space="0"/>
              <w:right w:val="single" w:color="auto" w:sz="4" w:space="0"/>
            </w:tcBorders>
            <w:noWrap w:val="0"/>
            <w:vAlign w:val="center"/>
          </w:tcPr>
          <w:p w14:paraId="3DEA1EE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3</w:t>
            </w:r>
          </w:p>
        </w:tc>
        <w:tc>
          <w:tcPr>
            <w:tcW w:w="1773" w:type="dxa"/>
            <w:tcBorders>
              <w:top w:val="single" w:color="auto" w:sz="4" w:space="0"/>
              <w:left w:val="single" w:color="auto" w:sz="4" w:space="0"/>
              <w:bottom w:val="single" w:color="auto" w:sz="4" w:space="0"/>
              <w:right w:val="single" w:color="auto" w:sz="4" w:space="0"/>
            </w:tcBorders>
            <w:noWrap w:val="0"/>
            <w:vAlign w:val="center"/>
          </w:tcPr>
          <w:p w14:paraId="0125AE80">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项目基本情况</w:t>
            </w:r>
          </w:p>
        </w:tc>
        <w:tc>
          <w:tcPr>
            <w:tcW w:w="6381" w:type="dxa"/>
            <w:tcBorders>
              <w:top w:val="single" w:color="auto" w:sz="4" w:space="0"/>
              <w:left w:val="single" w:color="auto" w:sz="4" w:space="0"/>
              <w:bottom w:val="single" w:color="auto" w:sz="4" w:space="0"/>
              <w:right w:val="single" w:color="auto" w:sz="4" w:space="0"/>
            </w:tcBorders>
            <w:noWrap w:val="0"/>
            <w:vAlign w:val="center"/>
          </w:tcPr>
          <w:p w14:paraId="46AE815A">
            <w:pPr>
              <w:keepNext w:val="0"/>
              <w:keepLines w:val="0"/>
              <w:pageBreakBefore w:val="0"/>
              <w:numPr>
                <w:ilvl w:val="0"/>
                <w:numId w:val="0"/>
              </w:numPr>
              <w:kinsoku/>
              <w:wordWrap/>
              <w:overflowPunct/>
              <w:topLinePunct w:val="0"/>
              <w:autoSpaceDE/>
              <w:autoSpaceDN/>
              <w:bidi w:val="0"/>
              <w:adjustRightInd/>
              <w:snapToGrid/>
              <w:spacing w:line="400" w:lineRule="exact"/>
              <w:ind w:left="360" w:leftChars="0" w:hanging="360" w:firstLineChars="0"/>
              <w:textAlignment w:val="auto"/>
              <w:rPr>
                <w:rFonts w:hint="eastAsia" w:ascii="仿宋" w:hAnsi="仿宋" w:eastAsia="仿宋" w:cs="仿宋"/>
                <w:sz w:val="24"/>
                <w:highlight w:val="none"/>
              </w:rPr>
            </w:pPr>
            <w:r>
              <w:rPr>
                <w:rFonts w:hint="default" w:ascii="仿宋" w:hAnsi="仿宋" w:eastAsia="仿宋" w:cs="仿宋"/>
                <w:kern w:val="2"/>
                <w:sz w:val="24"/>
                <w:szCs w:val="24"/>
                <w:highlight w:val="none"/>
                <w:lang w:val="en-US" w:eastAsia="zh-CN" w:bidi="ar-SA"/>
              </w:rPr>
              <w:t>1、</w:t>
            </w:r>
            <w:r>
              <w:rPr>
                <w:rFonts w:hint="eastAsia" w:ascii="仿宋" w:hAnsi="仿宋" w:eastAsia="仿宋" w:cs="仿宋"/>
                <w:sz w:val="24"/>
                <w:highlight w:val="none"/>
              </w:rPr>
              <w:t>项目预算金额：</w:t>
            </w:r>
            <w:r>
              <w:rPr>
                <w:rFonts w:hint="eastAsia" w:ascii="仿宋" w:hAnsi="仿宋" w:eastAsia="仿宋" w:cs="仿宋"/>
                <w:sz w:val="24"/>
                <w:szCs w:val="24"/>
                <w:highlight w:val="none"/>
                <w:lang w:val="en-US" w:eastAsia="zh-CN"/>
              </w:rPr>
              <w:t>1110000.00元（人民币壹佰壹拾壹万元整）</w:t>
            </w:r>
            <w:r>
              <w:rPr>
                <w:rFonts w:hint="eastAsia" w:ascii="仿宋" w:hAnsi="仿宋" w:eastAsia="仿宋" w:cs="仿宋"/>
                <w:sz w:val="24"/>
                <w:highlight w:val="none"/>
              </w:rPr>
              <w:t xml:space="preserve">  </w:t>
            </w:r>
          </w:p>
          <w:p w14:paraId="7571610B">
            <w:pPr>
              <w:keepNext w:val="0"/>
              <w:keepLines w:val="0"/>
              <w:pageBreakBefore w:val="0"/>
              <w:numPr>
                <w:ilvl w:val="0"/>
                <w:numId w:val="0"/>
              </w:numPr>
              <w:kinsoku/>
              <w:wordWrap/>
              <w:overflowPunct/>
              <w:topLinePunct w:val="0"/>
              <w:autoSpaceDE/>
              <w:autoSpaceDN/>
              <w:bidi w:val="0"/>
              <w:adjustRightInd/>
              <w:snapToGrid/>
              <w:spacing w:line="400" w:lineRule="exact"/>
              <w:ind w:left="360" w:leftChars="0" w:hanging="360" w:firstLineChars="0"/>
              <w:textAlignment w:val="auto"/>
              <w:rPr>
                <w:rFonts w:hint="eastAsia" w:ascii="仿宋" w:hAnsi="仿宋" w:eastAsia="仿宋" w:cs="仿宋"/>
                <w:sz w:val="24"/>
                <w:highlight w:val="none"/>
                <w:lang w:eastAsia="zh-CN"/>
              </w:rPr>
            </w:pPr>
            <w:r>
              <w:rPr>
                <w:rFonts w:hint="default" w:ascii="仿宋" w:hAnsi="仿宋" w:eastAsia="仿宋" w:cs="仿宋"/>
                <w:kern w:val="2"/>
                <w:sz w:val="24"/>
                <w:szCs w:val="24"/>
                <w:highlight w:val="none"/>
                <w:lang w:val="en-US" w:eastAsia="zh-CN" w:bidi="ar-SA"/>
              </w:rPr>
              <w:t>2、</w:t>
            </w:r>
            <w:r>
              <w:rPr>
                <w:rFonts w:hint="eastAsia" w:ascii="仿宋" w:hAnsi="仿宋" w:eastAsia="仿宋" w:cs="仿宋"/>
                <w:sz w:val="24"/>
                <w:highlight w:val="none"/>
              </w:rPr>
              <w:t>采购内容：</w:t>
            </w:r>
            <w:r>
              <w:rPr>
                <w:rFonts w:hint="eastAsia" w:ascii="仿宋" w:hAnsi="仿宋" w:eastAsia="仿宋" w:cs="仿宋"/>
                <w:sz w:val="24"/>
                <w:highlight w:val="none"/>
                <w:lang w:eastAsia="zh-CN"/>
              </w:rPr>
              <w:t xml:space="preserve">新疆维吾尔自治区教育考试院职工食堂蔬菜采购项目 </w:t>
            </w:r>
          </w:p>
          <w:p w14:paraId="76090882">
            <w:pPr>
              <w:keepNext w:val="0"/>
              <w:keepLines w:val="0"/>
              <w:pageBreakBefore w:val="0"/>
              <w:numPr>
                <w:ilvl w:val="0"/>
                <w:numId w:val="0"/>
              </w:numPr>
              <w:kinsoku/>
              <w:wordWrap/>
              <w:overflowPunct/>
              <w:topLinePunct w:val="0"/>
              <w:autoSpaceDE/>
              <w:autoSpaceDN/>
              <w:bidi w:val="0"/>
              <w:adjustRightInd/>
              <w:snapToGrid/>
              <w:spacing w:line="400" w:lineRule="exact"/>
              <w:ind w:left="360" w:leftChars="0" w:hanging="360" w:firstLineChars="0"/>
              <w:textAlignment w:val="auto"/>
              <w:rPr>
                <w:rFonts w:hint="eastAsia" w:ascii="仿宋" w:hAnsi="仿宋" w:eastAsia="仿宋" w:cs="仿宋"/>
                <w:sz w:val="24"/>
                <w:highlight w:val="none"/>
              </w:rPr>
            </w:pPr>
            <w:r>
              <w:rPr>
                <w:rFonts w:hint="default" w:ascii="仿宋" w:hAnsi="仿宋" w:eastAsia="仿宋" w:cs="仿宋"/>
                <w:kern w:val="2"/>
                <w:sz w:val="24"/>
                <w:szCs w:val="24"/>
                <w:highlight w:val="none"/>
                <w:lang w:val="en-US" w:eastAsia="zh-CN" w:bidi="ar-SA"/>
              </w:rPr>
              <w:t>3、</w:t>
            </w:r>
            <w:r>
              <w:rPr>
                <w:rFonts w:hint="eastAsia" w:ascii="仿宋" w:hAnsi="仿宋" w:eastAsia="仿宋" w:cs="仿宋"/>
                <w:sz w:val="24"/>
                <w:highlight w:val="none"/>
              </w:rPr>
              <w:t>服务/供货/完工期限：</w:t>
            </w:r>
            <w:r>
              <w:rPr>
                <w:rFonts w:hint="eastAsia" w:ascii="仿宋" w:hAnsi="仿宋" w:eastAsia="仿宋" w:cs="仿宋"/>
                <w:sz w:val="24"/>
                <w:highlight w:val="none"/>
                <w:lang w:val="en-US" w:eastAsia="zh-CN"/>
              </w:rPr>
              <w:t>一年。</w:t>
            </w:r>
            <w:r>
              <w:rPr>
                <w:rFonts w:hint="eastAsia" w:ascii="仿宋" w:hAnsi="仿宋" w:eastAsia="仿宋" w:cs="仿宋"/>
                <w:sz w:val="24"/>
                <w:highlight w:val="none"/>
              </w:rPr>
              <w:t xml:space="preserve">                 </w:t>
            </w:r>
          </w:p>
          <w:p w14:paraId="4B712C6F">
            <w:pPr>
              <w:keepNext w:val="0"/>
              <w:keepLines w:val="0"/>
              <w:pageBreakBefore w:val="0"/>
              <w:numPr>
                <w:ilvl w:val="0"/>
                <w:numId w:val="0"/>
              </w:numPr>
              <w:kinsoku/>
              <w:wordWrap/>
              <w:overflowPunct/>
              <w:topLinePunct w:val="0"/>
              <w:autoSpaceDE/>
              <w:autoSpaceDN/>
              <w:bidi w:val="0"/>
              <w:adjustRightInd/>
              <w:snapToGrid/>
              <w:spacing w:line="400" w:lineRule="exact"/>
              <w:ind w:left="360" w:leftChars="0" w:hanging="360" w:firstLineChars="0"/>
              <w:textAlignment w:val="auto"/>
              <w:rPr>
                <w:rFonts w:hint="eastAsia" w:ascii="仿宋" w:hAnsi="仿宋" w:eastAsia="仿宋" w:cs="仿宋"/>
                <w:sz w:val="24"/>
                <w:highlight w:val="none"/>
                <w:lang w:eastAsia="zh-CN"/>
              </w:rPr>
            </w:pPr>
            <w:r>
              <w:rPr>
                <w:rFonts w:hint="default" w:ascii="仿宋" w:hAnsi="仿宋" w:eastAsia="仿宋" w:cs="仿宋"/>
                <w:kern w:val="2"/>
                <w:sz w:val="24"/>
                <w:szCs w:val="24"/>
                <w:highlight w:val="none"/>
                <w:lang w:val="en-US" w:eastAsia="zh-CN" w:bidi="ar-SA"/>
              </w:rPr>
              <w:t>4、</w:t>
            </w:r>
            <w:r>
              <w:rPr>
                <w:rFonts w:hint="eastAsia" w:ascii="仿宋" w:hAnsi="仿宋" w:eastAsia="仿宋" w:cs="仿宋"/>
                <w:sz w:val="24"/>
                <w:highlight w:val="none"/>
              </w:rPr>
              <w:t>服务/供货/建设地点：</w:t>
            </w:r>
            <w:r>
              <w:rPr>
                <w:rFonts w:hint="eastAsia" w:ascii="仿宋" w:hAnsi="仿宋" w:eastAsia="仿宋" w:cs="仿宋"/>
                <w:sz w:val="24"/>
                <w:highlight w:val="none"/>
                <w:lang w:eastAsia="zh-CN"/>
              </w:rPr>
              <w:t>采购单位指定地点（乌鲁木齐市）。</w:t>
            </w:r>
          </w:p>
          <w:p w14:paraId="3DBBF74E">
            <w:pPr>
              <w:keepNext w:val="0"/>
              <w:keepLines w:val="0"/>
              <w:pageBreakBefore w:val="0"/>
              <w:numPr>
                <w:ilvl w:val="0"/>
                <w:numId w:val="0"/>
              </w:numPr>
              <w:kinsoku/>
              <w:wordWrap/>
              <w:overflowPunct/>
              <w:topLinePunct w:val="0"/>
              <w:autoSpaceDE/>
              <w:autoSpaceDN/>
              <w:bidi w:val="0"/>
              <w:adjustRightInd/>
              <w:snapToGrid/>
              <w:spacing w:line="400" w:lineRule="exact"/>
              <w:ind w:left="360" w:leftChars="0" w:hanging="360" w:firstLineChars="0"/>
              <w:textAlignment w:val="auto"/>
              <w:rPr>
                <w:rFonts w:hint="eastAsia" w:ascii="仿宋" w:hAnsi="仿宋" w:eastAsia="仿宋" w:cs="仿宋"/>
                <w:sz w:val="24"/>
                <w:szCs w:val="24"/>
                <w:highlight w:val="none"/>
                <w:u w:val="single"/>
                <w:lang w:eastAsia="zh-CN"/>
              </w:rPr>
            </w:pPr>
            <w:r>
              <w:rPr>
                <w:rFonts w:hint="default" w:ascii="仿宋" w:hAnsi="仿宋" w:eastAsia="仿宋" w:cs="仿宋"/>
                <w:kern w:val="2"/>
                <w:sz w:val="24"/>
                <w:szCs w:val="24"/>
                <w:highlight w:val="none"/>
                <w:lang w:val="en-US" w:eastAsia="zh-CN" w:bidi="ar-SA"/>
              </w:rPr>
              <w:t>5、</w:t>
            </w:r>
            <w:r>
              <w:rPr>
                <w:rFonts w:hint="eastAsia" w:ascii="仿宋" w:hAnsi="仿宋" w:eastAsia="仿宋" w:cs="仿宋"/>
                <w:sz w:val="24"/>
                <w:highlight w:val="none"/>
                <w:lang w:eastAsia="zh-CN"/>
              </w:rPr>
              <w:t>付款方式：</w:t>
            </w:r>
            <w:r>
              <w:rPr>
                <w:rFonts w:hint="eastAsia" w:ascii="仿宋" w:hAnsi="仿宋" w:eastAsia="仿宋" w:cs="仿宋"/>
                <w:sz w:val="24"/>
                <w:highlight w:val="none"/>
                <w:lang w:val="en-US" w:eastAsia="zh-CN"/>
              </w:rPr>
              <w:t>详见采购需求章节</w:t>
            </w:r>
            <w:r>
              <w:rPr>
                <w:rFonts w:hint="eastAsia" w:ascii="仿宋" w:hAnsi="仿宋" w:eastAsia="仿宋" w:cs="仿宋"/>
                <w:sz w:val="24"/>
                <w:highlight w:val="none"/>
                <w:lang w:eastAsia="zh-CN"/>
              </w:rPr>
              <w:t>(如有调整，以采购人意见为准）</w:t>
            </w:r>
          </w:p>
        </w:tc>
      </w:tr>
      <w:tr w14:paraId="7ACD3148">
        <w:tblPrEx>
          <w:tblCellMar>
            <w:top w:w="0" w:type="dxa"/>
            <w:left w:w="108" w:type="dxa"/>
            <w:bottom w:w="0" w:type="dxa"/>
            <w:right w:w="108" w:type="dxa"/>
          </w:tblCellMar>
        </w:tblPrEx>
        <w:trPr>
          <w:trHeight w:val="321" w:hRule="atLeast"/>
        </w:trPr>
        <w:tc>
          <w:tcPr>
            <w:tcW w:w="856" w:type="dxa"/>
            <w:tcBorders>
              <w:top w:val="single" w:color="auto" w:sz="4" w:space="0"/>
              <w:left w:val="single" w:color="auto" w:sz="4" w:space="0"/>
              <w:bottom w:val="single" w:color="auto" w:sz="4" w:space="0"/>
              <w:right w:val="single" w:color="auto" w:sz="4" w:space="0"/>
            </w:tcBorders>
            <w:noWrap w:val="0"/>
            <w:vAlign w:val="center"/>
          </w:tcPr>
          <w:p w14:paraId="64D9464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4</w:t>
            </w:r>
          </w:p>
        </w:tc>
        <w:tc>
          <w:tcPr>
            <w:tcW w:w="1773" w:type="dxa"/>
            <w:tcBorders>
              <w:top w:val="single" w:color="auto" w:sz="4" w:space="0"/>
              <w:left w:val="single" w:color="auto" w:sz="4" w:space="0"/>
              <w:bottom w:val="single" w:color="auto" w:sz="4" w:space="0"/>
              <w:right w:val="single" w:color="auto" w:sz="4" w:space="0"/>
            </w:tcBorders>
            <w:noWrap w:val="0"/>
            <w:vAlign w:val="center"/>
          </w:tcPr>
          <w:p w14:paraId="226EE9F4">
            <w:pPr>
              <w:keepNext w:val="0"/>
              <w:keepLines w:val="0"/>
              <w:pageBreakBefore w:val="0"/>
              <w:tabs>
                <w:tab w:val="left" w:pos="1425"/>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Cs/>
                <w:kern w:val="0"/>
                <w:sz w:val="24"/>
                <w:highlight w:val="none"/>
              </w:rPr>
            </w:pPr>
            <w:r>
              <w:rPr>
                <w:rFonts w:hint="eastAsia" w:ascii="仿宋" w:hAnsi="仿宋" w:eastAsia="仿宋" w:cs="仿宋"/>
                <w:bCs/>
                <w:kern w:val="0"/>
                <w:sz w:val="24"/>
                <w:highlight w:val="none"/>
              </w:rPr>
              <w:t>投标人资格</w:t>
            </w:r>
          </w:p>
        </w:tc>
        <w:tc>
          <w:tcPr>
            <w:tcW w:w="6381" w:type="dxa"/>
            <w:tcBorders>
              <w:top w:val="single" w:color="auto" w:sz="4" w:space="0"/>
              <w:left w:val="single" w:color="auto" w:sz="4" w:space="0"/>
              <w:bottom w:val="single" w:color="auto" w:sz="4" w:space="0"/>
              <w:right w:val="single" w:color="auto" w:sz="4" w:space="0"/>
            </w:tcBorders>
            <w:noWrap w:val="0"/>
            <w:vAlign w:val="center"/>
          </w:tcPr>
          <w:p w14:paraId="05C117FA">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具有承担本项目的能力以及符合下述条件的供应商均为合格的投标人：</w:t>
            </w:r>
          </w:p>
          <w:p w14:paraId="544FAD18">
            <w:pPr>
              <w:keepNext w:val="0"/>
              <w:keepLines w:val="0"/>
              <w:pageBreakBefore w:val="0"/>
              <w:numPr>
                <w:ilvl w:val="0"/>
                <w:numId w:val="0"/>
              </w:numPr>
              <w:kinsoku/>
              <w:wordWrap/>
              <w:overflowPunct/>
              <w:topLinePunct w:val="0"/>
              <w:autoSpaceDE/>
              <w:autoSpaceDN/>
              <w:bidi w:val="0"/>
              <w:adjustRightInd/>
              <w:snapToGrid/>
              <w:spacing w:line="400" w:lineRule="exact"/>
              <w:ind w:left="360" w:leftChars="0" w:hanging="360" w:firstLineChars="0"/>
              <w:textAlignment w:val="auto"/>
              <w:rPr>
                <w:rFonts w:hint="eastAsia" w:ascii="仿宋" w:hAnsi="仿宋" w:eastAsia="仿宋" w:cs="仿宋"/>
                <w:sz w:val="24"/>
                <w:highlight w:val="none"/>
              </w:rPr>
            </w:pPr>
            <w:r>
              <w:rPr>
                <w:rFonts w:hint="eastAsia" w:ascii="仿宋" w:hAnsi="仿宋" w:eastAsia="仿宋" w:cs="仿宋"/>
                <w:kern w:val="2"/>
                <w:sz w:val="24"/>
                <w:szCs w:val="24"/>
                <w:highlight w:val="none"/>
                <w:lang w:val="en-US" w:eastAsia="zh-CN" w:bidi="ar-SA"/>
              </w:rPr>
              <w:t>1</w:t>
            </w:r>
            <w:r>
              <w:rPr>
                <w:rFonts w:hint="default" w:ascii="仿宋" w:hAnsi="仿宋" w:eastAsia="仿宋" w:cs="仿宋"/>
                <w:kern w:val="2"/>
                <w:sz w:val="24"/>
                <w:szCs w:val="24"/>
                <w:highlight w:val="none"/>
                <w:lang w:val="en-US" w:eastAsia="zh-CN" w:bidi="ar-SA"/>
              </w:rPr>
              <w:t>、</w:t>
            </w:r>
            <w:r>
              <w:rPr>
                <w:rFonts w:hint="eastAsia" w:ascii="仿宋" w:hAnsi="仿宋" w:eastAsia="仿宋" w:cs="仿宋"/>
                <w:sz w:val="24"/>
                <w:highlight w:val="none"/>
              </w:rPr>
              <w:t>满足《中华人民共和国政府采购法》第二十二条规定：</w:t>
            </w:r>
          </w:p>
          <w:p w14:paraId="6B5EE9B8">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 1 \* GB3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①</w:t>
            </w:r>
            <w:r>
              <w:rPr>
                <w:rFonts w:hint="eastAsia" w:ascii="仿宋" w:hAnsi="仿宋" w:eastAsia="仿宋" w:cs="仿宋"/>
                <w:sz w:val="24"/>
                <w:highlight w:val="none"/>
              </w:rPr>
              <w:fldChar w:fldCharType="end"/>
            </w:r>
            <w:r>
              <w:rPr>
                <w:rFonts w:hint="eastAsia" w:ascii="仿宋" w:hAnsi="仿宋" w:eastAsia="仿宋" w:cs="仿宋"/>
                <w:sz w:val="24"/>
                <w:highlight w:val="none"/>
              </w:rPr>
              <w:t>具有独立承担民事责任的能力；</w:t>
            </w:r>
          </w:p>
          <w:p w14:paraId="3C2AE49B">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 2 \* GB3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②</w:t>
            </w:r>
            <w:r>
              <w:rPr>
                <w:rFonts w:hint="eastAsia" w:ascii="仿宋" w:hAnsi="仿宋" w:eastAsia="仿宋" w:cs="仿宋"/>
                <w:sz w:val="24"/>
                <w:highlight w:val="none"/>
              </w:rPr>
              <w:fldChar w:fldCharType="end"/>
            </w:r>
            <w:r>
              <w:rPr>
                <w:rFonts w:hint="eastAsia" w:ascii="仿宋" w:hAnsi="仿宋" w:eastAsia="仿宋" w:cs="仿宋"/>
                <w:sz w:val="24"/>
                <w:highlight w:val="none"/>
              </w:rPr>
              <w:t>具有良好的商业信誉和健全的</w:t>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HYPERLINK "http://www.so.com/s?q=%E8%B4%A2%E5%8A%A1%E4%BC%9A%E8%AE%A1%E5%88%B6%E5%BA%A6&amp;ie=utf-8&amp;src=internal_wenda_recommend_textn" \t "https://wenda.so.com/q/_blank"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财务会计制度</w:t>
            </w:r>
            <w:r>
              <w:rPr>
                <w:rFonts w:hint="eastAsia" w:ascii="仿宋" w:hAnsi="仿宋" w:eastAsia="仿宋" w:cs="仿宋"/>
                <w:sz w:val="24"/>
                <w:highlight w:val="none"/>
              </w:rPr>
              <w:fldChar w:fldCharType="end"/>
            </w:r>
            <w:r>
              <w:rPr>
                <w:rFonts w:hint="eastAsia" w:ascii="仿宋" w:hAnsi="仿宋" w:eastAsia="仿宋" w:cs="仿宋"/>
                <w:sz w:val="24"/>
                <w:highlight w:val="none"/>
              </w:rPr>
              <w:t>；</w:t>
            </w:r>
          </w:p>
          <w:p w14:paraId="4A9CE1A2">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 3 \* GB3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③</w:t>
            </w:r>
            <w:r>
              <w:rPr>
                <w:rFonts w:hint="eastAsia" w:ascii="仿宋" w:hAnsi="仿宋" w:eastAsia="仿宋" w:cs="仿宋"/>
                <w:sz w:val="24"/>
                <w:highlight w:val="none"/>
              </w:rPr>
              <w:fldChar w:fldCharType="end"/>
            </w:r>
            <w:r>
              <w:rPr>
                <w:rFonts w:hint="eastAsia" w:ascii="仿宋" w:hAnsi="仿宋" w:eastAsia="仿宋" w:cs="仿宋"/>
                <w:sz w:val="24"/>
                <w:highlight w:val="none"/>
              </w:rPr>
              <w:t>具有履行合同所必需的设备和专业技术能力；</w:t>
            </w:r>
          </w:p>
          <w:p w14:paraId="6E752BA4">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 4 \* GB3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④</w:t>
            </w:r>
            <w:r>
              <w:rPr>
                <w:rFonts w:hint="eastAsia" w:ascii="仿宋" w:hAnsi="仿宋" w:eastAsia="仿宋" w:cs="仿宋"/>
                <w:sz w:val="24"/>
                <w:highlight w:val="none"/>
              </w:rPr>
              <w:fldChar w:fldCharType="end"/>
            </w:r>
            <w:r>
              <w:rPr>
                <w:rFonts w:hint="eastAsia" w:ascii="仿宋" w:hAnsi="仿宋" w:eastAsia="仿宋" w:cs="仿宋"/>
                <w:sz w:val="24"/>
                <w:highlight w:val="none"/>
              </w:rPr>
              <w:t>有依法缴纳税收和</w:t>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HYPERLINK "http://www.so.com/s?q=%E7%A4%BE%E4%BC%9A%E4%BF%9D%E9%9A%9C%E8%B5%84%E9%87%91&amp;ie=utf-8&amp;src=internal_wenda_recommend_textn" \t "https://wenda.so.com/q/_blank"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社会保障资金</w:t>
            </w:r>
            <w:r>
              <w:rPr>
                <w:rFonts w:hint="eastAsia" w:ascii="仿宋" w:hAnsi="仿宋" w:eastAsia="仿宋" w:cs="仿宋"/>
                <w:sz w:val="24"/>
                <w:highlight w:val="none"/>
              </w:rPr>
              <w:fldChar w:fldCharType="end"/>
            </w:r>
            <w:r>
              <w:rPr>
                <w:rFonts w:hint="eastAsia" w:ascii="仿宋" w:hAnsi="仿宋" w:eastAsia="仿宋" w:cs="仿宋"/>
                <w:sz w:val="24"/>
                <w:highlight w:val="none"/>
              </w:rPr>
              <w:t>的良好记录；</w:t>
            </w:r>
          </w:p>
          <w:p w14:paraId="041DDC45">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 5 \* GB3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⑤</w:t>
            </w:r>
            <w:r>
              <w:rPr>
                <w:rFonts w:hint="eastAsia" w:ascii="仿宋" w:hAnsi="仿宋" w:eastAsia="仿宋" w:cs="仿宋"/>
                <w:sz w:val="24"/>
                <w:highlight w:val="none"/>
              </w:rPr>
              <w:fldChar w:fldCharType="end"/>
            </w:r>
            <w:r>
              <w:rPr>
                <w:rFonts w:hint="eastAsia" w:ascii="仿宋" w:hAnsi="仿宋" w:eastAsia="仿宋" w:cs="仿宋"/>
                <w:sz w:val="24"/>
                <w:highlight w:val="none"/>
              </w:rPr>
              <w:t>参加政府采购活动前三年内，在经营活动中没有重大违法记录；</w:t>
            </w:r>
          </w:p>
          <w:p w14:paraId="0AC84960">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 6 \* GB3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⑥</w:t>
            </w:r>
            <w:r>
              <w:rPr>
                <w:rFonts w:hint="eastAsia" w:ascii="仿宋" w:hAnsi="仿宋" w:eastAsia="仿宋" w:cs="仿宋"/>
                <w:sz w:val="24"/>
                <w:highlight w:val="none"/>
              </w:rPr>
              <w:fldChar w:fldCharType="end"/>
            </w:r>
            <w:r>
              <w:rPr>
                <w:rFonts w:hint="eastAsia" w:ascii="仿宋" w:hAnsi="仿宋" w:eastAsia="仿宋" w:cs="仿宋"/>
                <w:sz w:val="24"/>
                <w:highlight w:val="none"/>
              </w:rPr>
              <w:t>法律、行政法规规定的其他条件。</w:t>
            </w:r>
          </w:p>
          <w:p w14:paraId="3C17401D">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2、单位负责人为同一人或者存在直接控股、管理关系的不同投标人，不得参加本项目同一合同项下的政府采购活动。</w:t>
            </w:r>
          </w:p>
          <w:p w14:paraId="5F34C86E">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3、为本采购项目提供整体设计、规范编制或者项目管理、监理、检测等服务的，不得再参加本项目的其他招标采购活动。</w:t>
            </w:r>
          </w:p>
          <w:p w14:paraId="15C38F49">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4、未被列入失信被执行人、</w:t>
            </w:r>
            <w:r>
              <w:rPr>
                <w:rFonts w:hint="eastAsia" w:ascii="仿宋" w:hAnsi="仿宋" w:eastAsia="仿宋" w:cs="仿宋"/>
                <w:sz w:val="24"/>
                <w:highlight w:val="none"/>
                <w:lang w:eastAsia="zh-CN"/>
              </w:rPr>
              <w:t>重大税收违法失信主体</w:t>
            </w:r>
            <w:r>
              <w:rPr>
                <w:rFonts w:hint="eastAsia" w:ascii="仿宋" w:hAnsi="仿宋" w:eastAsia="仿宋" w:cs="仿宋"/>
                <w:sz w:val="24"/>
                <w:highlight w:val="none"/>
              </w:rPr>
              <w:t>，未被列入政府采购严重违法失信行为记录名单。</w:t>
            </w:r>
          </w:p>
          <w:p w14:paraId="2DA0A288">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5、落实政府采购政策需满足的资格要求：</w:t>
            </w:r>
            <w:r>
              <w:rPr>
                <w:rFonts w:hint="eastAsia" w:ascii="仿宋" w:hAnsi="仿宋" w:eastAsia="仿宋" w:cs="仿宋"/>
                <w:sz w:val="24"/>
                <w:highlight w:val="none"/>
                <w:lang w:eastAsia="zh-CN"/>
              </w:rPr>
              <w:t>本项目为专门面向小微企业采购的项目</w:t>
            </w:r>
            <w:r>
              <w:rPr>
                <w:rFonts w:hint="eastAsia" w:ascii="仿宋" w:hAnsi="仿宋" w:eastAsia="仿宋" w:cs="仿宋"/>
                <w:sz w:val="24"/>
                <w:highlight w:val="none"/>
              </w:rPr>
              <w:t>。 </w:t>
            </w:r>
          </w:p>
          <w:p w14:paraId="5968FEE5">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6、本项目的特定资格要求：</w:t>
            </w:r>
            <w:r>
              <w:rPr>
                <w:rFonts w:hint="eastAsia" w:ascii="仿宋" w:hAnsi="仿宋" w:eastAsia="仿宋" w:cs="仿宋"/>
                <w:sz w:val="24"/>
                <w:highlight w:val="none"/>
                <w:lang w:eastAsia="zh-CN"/>
              </w:rPr>
              <w:t>投标供应商须具有有效的《食品经营许可证》或《食品生产许可证》</w:t>
            </w:r>
            <w:r>
              <w:rPr>
                <w:rFonts w:hint="eastAsia" w:ascii="仿宋" w:hAnsi="仿宋" w:eastAsia="仿宋" w:cs="仿宋"/>
                <w:sz w:val="24"/>
                <w:highlight w:val="none"/>
              </w:rPr>
              <w:t>。</w:t>
            </w:r>
          </w:p>
          <w:p w14:paraId="553E94C0">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7、</w:t>
            </w:r>
            <w:r>
              <w:rPr>
                <w:rFonts w:hint="eastAsia" w:ascii="仿宋" w:hAnsi="仿宋" w:eastAsia="仿宋" w:cs="仿宋"/>
                <w:sz w:val="24"/>
                <w:highlight w:val="none"/>
                <w:lang w:eastAsia="zh-CN"/>
              </w:rPr>
              <w:t>因保险、银行、石油石化、电力、电信、邮政等行业的特殊性，允许其法人的分支机构参加本次采购活动，本招标文件中所有的法定代表人均指参与本项目投标的企业法定代表人或参与本项目投标的企业分支机构负责人。</w:t>
            </w:r>
          </w:p>
        </w:tc>
      </w:tr>
      <w:tr w14:paraId="5C918CE6">
        <w:tblPrEx>
          <w:tblCellMar>
            <w:top w:w="0" w:type="dxa"/>
            <w:left w:w="108" w:type="dxa"/>
            <w:bottom w:w="0" w:type="dxa"/>
            <w:right w:w="108" w:type="dxa"/>
          </w:tblCellMar>
        </w:tblPrEx>
        <w:trPr>
          <w:trHeight w:val="321" w:hRule="atLeast"/>
        </w:trPr>
        <w:tc>
          <w:tcPr>
            <w:tcW w:w="856" w:type="dxa"/>
            <w:tcBorders>
              <w:top w:val="single" w:color="auto" w:sz="4" w:space="0"/>
              <w:left w:val="single" w:color="auto" w:sz="4" w:space="0"/>
              <w:bottom w:val="single" w:color="auto" w:sz="4" w:space="0"/>
              <w:right w:val="single" w:color="auto" w:sz="4" w:space="0"/>
            </w:tcBorders>
            <w:noWrap w:val="0"/>
            <w:vAlign w:val="center"/>
          </w:tcPr>
          <w:p w14:paraId="725474A0">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5</w:t>
            </w:r>
          </w:p>
        </w:tc>
        <w:tc>
          <w:tcPr>
            <w:tcW w:w="1773" w:type="dxa"/>
            <w:tcBorders>
              <w:top w:val="single" w:color="auto" w:sz="4" w:space="0"/>
              <w:left w:val="single" w:color="auto" w:sz="4" w:space="0"/>
              <w:bottom w:val="single" w:color="auto" w:sz="4" w:space="0"/>
              <w:right w:val="single" w:color="auto" w:sz="4" w:space="0"/>
            </w:tcBorders>
            <w:noWrap w:val="0"/>
            <w:vAlign w:val="center"/>
          </w:tcPr>
          <w:p w14:paraId="1DA05581">
            <w:pPr>
              <w:keepNext w:val="0"/>
              <w:keepLines w:val="0"/>
              <w:pageBreakBefore w:val="0"/>
              <w:tabs>
                <w:tab w:val="left" w:pos="1425"/>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Cs/>
                <w:kern w:val="0"/>
                <w:sz w:val="24"/>
                <w:highlight w:val="none"/>
              </w:rPr>
            </w:pPr>
            <w:r>
              <w:rPr>
                <w:rFonts w:hint="eastAsia" w:ascii="仿宋" w:hAnsi="仿宋" w:eastAsia="仿宋" w:cs="仿宋"/>
                <w:bCs/>
                <w:kern w:val="0"/>
                <w:sz w:val="24"/>
                <w:highlight w:val="none"/>
              </w:rPr>
              <w:t>是否允许</w:t>
            </w:r>
          </w:p>
          <w:p w14:paraId="119F703B">
            <w:pPr>
              <w:keepNext w:val="0"/>
              <w:keepLines w:val="0"/>
              <w:pageBreakBefore w:val="0"/>
              <w:tabs>
                <w:tab w:val="left" w:pos="1425"/>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
                <w:kern w:val="0"/>
                <w:sz w:val="24"/>
                <w:highlight w:val="none"/>
              </w:rPr>
            </w:pPr>
            <w:r>
              <w:rPr>
                <w:rFonts w:hint="eastAsia" w:ascii="仿宋" w:hAnsi="仿宋" w:eastAsia="仿宋" w:cs="仿宋"/>
                <w:bCs/>
                <w:kern w:val="0"/>
                <w:sz w:val="24"/>
                <w:highlight w:val="none"/>
              </w:rPr>
              <w:t>联合体投标</w:t>
            </w:r>
          </w:p>
        </w:tc>
        <w:tc>
          <w:tcPr>
            <w:tcW w:w="6381" w:type="dxa"/>
            <w:tcBorders>
              <w:top w:val="single" w:color="auto" w:sz="4" w:space="0"/>
              <w:left w:val="single" w:color="auto" w:sz="4" w:space="0"/>
              <w:bottom w:val="single" w:color="auto" w:sz="4" w:space="0"/>
              <w:right w:val="single" w:color="auto" w:sz="4" w:space="0"/>
            </w:tcBorders>
            <w:noWrap w:val="0"/>
            <w:vAlign w:val="center"/>
          </w:tcPr>
          <w:p w14:paraId="63541450">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kern w:val="0"/>
                <w:sz w:val="24"/>
                <w:highlight w:val="none"/>
              </w:rPr>
            </w:pPr>
            <w:r>
              <w:rPr>
                <w:rFonts w:hint="eastAsia" w:ascii="仿宋" w:hAnsi="仿宋" w:eastAsia="仿宋" w:cs="仿宋"/>
                <w:sz w:val="24"/>
                <w:highlight w:val="none"/>
              </w:rPr>
              <w:sym w:font="Wingdings" w:char="00A8"/>
            </w:r>
            <w:r>
              <w:rPr>
                <w:rFonts w:hint="eastAsia" w:ascii="仿宋" w:hAnsi="仿宋" w:eastAsia="仿宋" w:cs="仿宋"/>
                <w:kern w:val="0"/>
                <w:sz w:val="24"/>
                <w:highlight w:val="none"/>
              </w:rPr>
              <w:t>是</w:t>
            </w:r>
          </w:p>
          <w:p w14:paraId="0AD39667">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kern w:val="0"/>
                <w:sz w:val="24"/>
                <w:highlight w:val="none"/>
              </w:rPr>
            </w:pPr>
            <w:r>
              <w:rPr>
                <w:rFonts w:hint="eastAsia" w:ascii="仿宋" w:hAnsi="仿宋" w:eastAsia="仿宋" w:cs="仿宋"/>
                <w:sz w:val="24"/>
                <w:highlight w:val="none"/>
              </w:rPr>
              <w:sym w:font="Wingdings" w:char="00FE"/>
            </w:r>
            <w:r>
              <w:rPr>
                <w:rFonts w:hint="eastAsia" w:ascii="仿宋" w:hAnsi="仿宋" w:eastAsia="仿宋" w:cs="仿宋"/>
                <w:kern w:val="0"/>
                <w:sz w:val="24"/>
                <w:highlight w:val="none"/>
              </w:rPr>
              <w:t>否</w:t>
            </w:r>
          </w:p>
        </w:tc>
      </w:tr>
      <w:tr w14:paraId="301F9C4B">
        <w:tblPrEx>
          <w:tblCellMar>
            <w:top w:w="0" w:type="dxa"/>
            <w:left w:w="108" w:type="dxa"/>
            <w:bottom w:w="0" w:type="dxa"/>
            <w:right w:w="108" w:type="dxa"/>
          </w:tblCellMar>
        </w:tblPrEx>
        <w:trPr>
          <w:trHeight w:val="723" w:hRule="atLeast"/>
        </w:trPr>
        <w:tc>
          <w:tcPr>
            <w:tcW w:w="856" w:type="dxa"/>
            <w:tcBorders>
              <w:top w:val="single" w:color="auto" w:sz="4" w:space="0"/>
              <w:left w:val="single" w:color="auto" w:sz="4" w:space="0"/>
              <w:bottom w:val="single" w:color="auto" w:sz="4" w:space="0"/>
              <w:right w:val="single" w:color="auto" w:sz="4" w:space="0"/>
            </w:tcBorders>
            <w:noWrap w:val="0"/>
            <w:vAlign w:val="center"/>
          </w:tcPr>
          <w:p w14:paraId="5103ACF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6</w:t>
            </w:r>
          </w:p>
        </w:tc>
        <w:tc>
          <w:tcPr>
            <w:tcW w:w="1773" w:type="dxa"/>
            <w:tcBorders>
              <w:top w:val="single" w:color="auto" w:sz="4" w:space="0"/>
              <w:left w:val="single" w:color="auto" w:sz="4" w:space="0"/>
              <w:bottom w:val="single" w:color="auto" w:sz="4" w:space="0"/>
              <w:right w:val="single" w:color="auto" w:sz="4" w:space="0"/>
            </w:tcBorders>
            <w:noWrap w:val="0"/>
            <w:vAlign w:val="center"/>
          </w:tcPr>
          <w:p w14:paraId="2A21808F">
            <w:pPr>
              <w:keepNext w:val="0"/>
              <w:keepLines w:val="0"/>
              <w:pageBreakBefore w:val="0"/>
              <w:tabs>
                <w:tab w:val="left" w:pos="1425"/>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Cs/>
                <w:kern w:val="0"/>
                <w:sz w:val="24"/>
                <w:highlight w:val="none"/>
              </w:rPr>
            </w:pPr>
            <w:r>
              <w:rPr>
                <w:rFonts w:hint="eastAsia" w:ascii="仿宋" w:hAnsi="仿宋" w:eastAsia="仿宋" w:cs="仿宋"/>
                <w:bCs/>
                <w:kern w:val="0"/>
                <w:sz w:val="24"/>
                <w:highlight w:val="none"/>
              </w:rPr>
              <w:t>计量单位</w:t>
            </w:r>
          </w:p>
        </w:tc>
        <w:tc>
          <w:tcPr>
            <w:tcW w:w="6381" w:type="dxa"/>
            <w:tcBorders>
              <w:top w:val="single" w:color="auto" w:sz="4" w:space="0"/>
              <w:left w:val="single" w:color="auto" w:sz="4" w:space="0"/>
              <w:bottom w:val="single" w:color="auto" w:sz="4" w:space="0"/>
              <w:right w:val="single" w:color="auto" w:sz="4" w:space="0"/>
            </w:tcBorders>
            <w:noWrap w:val="0"/>
            <w:vAlign w:val="center"/>
          </w:tcPr>
          <w:p w14:paraId="03DF87AD">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Cs/>
                <w:kern w:val="0"/>
                <w:sz w:val="24"/>
                <w:highlight w:val="none"/>
              </w:rPr>
            </w:pPr>
            <w:r>
              <w:rPr>
                <w:rFonts w:hint="eastAsia" w:ascii="仿宋" w:hAnsi="仿宋" w:eastAsia="仿宋" w:cs="仿宋"/>
                <w:sz w:val="24"/>
                <w:highlight w:val="none"/>
              </w:rPr>
              <w:sym w:font="Wingdings" w:char="00FE"/>
            </w:r>
            <w:r>
              <w:rPr>
                <w:rFonts w:hint="eastAsia" w:ascii="仿宋" w:hAnsi="仿宋" w:eastAsia="仿宋" w:cs="仿宋"/>
                <w:bCs/>
                <w:kern w:val="0"/>
                <w:sz w:val="24"/>
                <w:highlight w:val="none"/>
              </w:rPr>
              <w:t>中华人民共和国法定计量单位</w:t>
            </w:r>
          </w:p>
          <w:p w14:paraId="7A5E0DEF">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Cs/>
                <w:kern w:val="0"/>
                <w:sz w:val="24"/>
                <w:highlight w:val="none"/>
              </w:rPr>
            </w:pPr>
            <w:r>
              <w:rPr>
                <w:rFonts w:hint="eastAsia" w:ascii="仿宋" w:hAnsi="仿宋" w:eastAsia="仿宋" w:cs="仿宋"/>
                <w:sz w:val="24"/>
                <w:highlight w:val="none"/>
              </w:rPr>
              <w:sym w:font="Wingdings" w:char="00A8"/>
            </w:r>
            <w:r>
              <w:rPr>
                <w:rFonts w:hint="eastAsia" w:ascii="仿宋" w:hAnsi="仿宋" w:eastAsia="仿宋" w:cs="仿宋"/>
                <w:bCs/>
                <w:kern w:val="0"/>
                <w:sz w:val="24"/>
                <w:highlight w:val="none"/>
              </w:rPr>
              <w:t>其他：</w:t>
            </w:r>
            <w:r>
              <w:rPr>
                <w:rFonts w:hint="eastAsia" w:ascii="仿宋" w:hAnsi="仿宋" w:eastAsia="仿宋" w:cs="仿宋"/>
                <w:bCs/>
                <w:kern w:val="0"/>
                <w:sz w:val="24"/>
                <w:highlight w:val="none"/>
                <w:u w:val="single"/>
              </w:rPr>
              <w:t xml:space="preserve">             </w:t>
            </w:r>
          </w:p>
        </w:tc>
      </w:tr>
      <w:tr w14:paraId="0BC4A8A2">
        <w:tblPrEx>
          <w:tblCellMar>
            <w:top w:w="0" w:type="dxa"/>
            <w:left w:w="108" w:type="dxa"/>
            <w:bottom w:w="0" w:type="dxa"/>
            <w:right w:w="108" w:type="dxa"/>
          </w:tblCellMar>
        </w:tblPrEx>
        <w:trPr>
          <w:trHeight w:val="943" w:hRule="atLeast"/>
        </w:trPr>
        <w:tc>
          <w:tcPr>
            <w:tcW w:w="856" w:type="dxa"/>
            <w:tcBorders>
              <w:top w:val="single" w:color="auto" w:sz="4" w:space="0"/>
              <w:left w:val="single" w:color="auto" w:sz="4" w:space="0"/>
              <w:bottom w:val="single" w:color="auto" w:sz="4" w:space="0"/>
              <w:right w:val="single" w:color="auto" w:sz="4" w:space="0"/>
            </w:tcBorders>
            <w:noWrap w:val="0"/>
            <w:vAlign w:val="center"/>
          </w:tcPr>
          <w:p w14:paraId="680B07D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7</w:t>
            </w:r>
          </w:p>
        </w:tc>
        <w:tc>
          <w:tcPr>
            <w:tcW w:w="1773" w:type="dxa"/>
            <w:tcBorders>
              <w:top w:val="single" w:color="auto" w:sz="4" w:space="0"/>
              <w:left w:val="single" w:color="auto" w:sz="4" w:space="0"/>
              <w:bottom w:val="single" w:color="auto" w:sz="4" w:space="0"/>
              <w:right w:val="single" w:color="auto" w:sz="4" w:space="0"/>
            </w:tcBorders>
            <w:noWrap w:val="0"/>
            <w:vAlign w:val="center"/>
          </w:tcPr>
          <w:p w14:paraId="5723DB36">
            <w:pPr>
              <w:keepNext w:val="0"/>
              <w:keepLines w:val="0"/>
              <w:pageBreakBefore w:val="0"/>
              <w:tabs>
                <w:tab w:val="left" w:pos="1425"/>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Cs/>
                <w:kern w:val="0"/>
                <w:sz w:val="24"/>
                <w:highlight w:val="none"/>
              </w:rPr>
            </w:pPr>
            <w:r>
              <w:rPr>
                <w:rFonts w:hint="eastAsia" w:ascii="仿宋" w:hAnsi="仿宋" w:eastAsia="仿宋" w:cs="仿宋"/>
                <w:bCs/>
                <w:kern w:val="0"/>
                <w:sz w:val="24"/>
                <w:highlight w:val="none"/>
              </w:rPr>
              <w:t>标书售价</w:t>
            </w:r>
          </w:p>
        </w:tc>
        <w:tc>
          <w:tcPr>
            <w:tcW w:w="6381" w:type="dxa"/>
            <w:tcBorders>
              <w:top w:val="single" w:color="auto" w:sz="4" w:space="0"/>
              <w:left w:val="single" w:color="auto" w:sz="4" w:space="0"/>
              <w:bottom w:val="single" w:color="auto" w:sz="4" w:space="0"/>
              <w:right w:val="single" w:color="auto" w:sz="4" w:space="0"/>
            </w:tcBorders>
            <w:noWrap w:val="0"/>
            <w:vAlign w:val="center"/>
          </w:tcPr>
          <w:p w14:paraId="40E43CA3">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Cs/>
                <w:kern w:val="0"/>
                <w:sz w:val="24"/>
                <w:highlight w:val="none"/>
              </w:rPr>
            </w:pPr>
            <w:r>
              <w:rPr>
                <w:rFonts w:hint="eastAsia" w:ascii="仿宋" w:hAnsi="仿宋" w:eastAsia="仿宋" w:cs="仿宋"/>
                <w:bCs/>
                <w:kern w:val="0"/>
                <w:sz w:val="24"/>
                <w:highlight w:val="none"/>
              </w:rPr>
              <w:t>人民币0元</w:t>
            </w:r>
          </w:p>
          <w:p w14:paraId="1F604548">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Cs/>
                <w:kern w:val="0"/>
                <w:sz w:val="24"/>
                <w:highlight w:val="none"/>
              </w:rPr>
            </w:pPr>
            <w:r>
              <w:rPr>
                <w:rFonts w:hint="eastAsia" w:ascii="仿宋" w:hAnsi="仿宋" w:eastAsia="仿宋" w:cs="仿宋"/>
                <w:bCs/>
                <w:kern w:val="0"/>
                <w:sz w:val="24"/>
                <w:highlight w:val="none"/>
              </w:rPr>
              <w:t>现金支付，标书售后一概不退，投标资格不能转让。</w:t>
            </w:r>
          </w:p>
        </w:tc>
      </w:tr>
      <w:tr w14:paraId="542955B3">
        <w:tblPrEx>
          <w:tblCellMar>
            <w:top w:w="0" w:type="dxa"/>
            <w:left w:w="108" w:type="dxa"/>
            <w:bottom w:w="0" w:type="dxa"/>
            <w:right w:w="108" w:type="dxa"/>
          </w:tblCellMar>
        </w:tblPrEx>
        <w:trPr>
          <w:trHeight w:val="632" w:hRule="atLeast"/>
        </w:trPr>
        <w:tc>
          <w:tcPr>
            <w:tcW w:w="856" w:type="dxa"/>
            <w:tcBorders>
              <w:top w:val="single" w:color="auto" w:sz="4" w:space="0"/>
              <w:left w:val="single" w:color="auto" w:sz="4" w:space="0"/>
              <w:bottom w:val="single" w:color="auto" w:sz="4" w:space="0"/>
              <w:right w:val="single" w:color="auto" w:sz="4" w:space="0"/>
            </w:tcBorders>
            <w:noWrap w:val="0"/>
            <w:vAlign w:val="center"/>
          </w:tcPr>
          <w:p w14:paraId="49191C4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8</w:t>
            </w:r>
          </w:p>
        </w:tc>
        <w:tc>
          <w:tcPr>
            <w:tcW w:w="1773" w:type="dxa"/>
            <w:tcBorders>
              <w:top w:val="single" w:color="auto" w:sz="4" w:space="0"/>
              <w:left w:val="single" w:color="auto" w:sz="4" w:space="0"/>
              <w:bottom w:val="single" w:color="auto" w:sz="4" w:space="0"/>
              <w:right w:val="single" w:color="auto" w:sz="4" w:space="0"/>
            </w:tcBorders>
            <w:noWrap w:val="0"/>
            <w:vAlign w:val="center"/>
          </w:tcPr>
          <w:p w14:paraId="265D65B6">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现场考察、开标前答疑会</w:t>
            </w:r>
          </w:p>
        </w:tc>
        <w:tc>
          <w:tcPr>
            <w:tcW w:w="6381" w:type="dxa"/>
            <w:tcBorders>
              <w:top w:val="single" w:color="auto" w:sz="4" w:space="0"/>
              <w:left w:val="single" w:color="auto" w:sz="4" w:space="0"/>
              <w:bottom w:val="single" w:color="auto" w:sz="4" w:space="0"/>
              <w:right w:val="single" w:color="auto" w:sz="4" w:space="0"/>
            </w:tcBorders>
            <w:noWrap w:val="0"/>
            <w:vAlign w:val="center"/>
          </w:tcPr>
          <w:p w14:paraId="6B65BDC8">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kern w:val="0"/>
                <w:sz w:val="24"/>
                <w:highlight w:val="none"/>
              </w:rPr>
            </w:pPr>
            <w:r>
              <w:rPr>
                <w:rFonts w:hint="eastAsia" w:ascii="仿宋" w:hAnsi="仿宋" w:eastAsia="仿宋" w:cs="仿宋"/>
                <w:sz w:val="24"/>
                <w:highlight w:val="none"/>
              </w:rPr>
              <w:sym w:font="Wingdings" w:char="00FE"/>
            </w:r>
            <w:r>
              <w:rPr>
                <w:rFonts w:hint="eastAsia" w:ascii="仿宋" w:hAnsi="仿宋" w:eastAsia="仿宋" w:cs="仿宋"/>
                <w:kern w:val="0"/>
                <w:sz w:val="24"/>
                <w:highlight w:val="none"/>
              </w:rPr>
              <w:t>不组织（投标人自行踏勘现场）</w:t>
            </w:r>
          </w:p>
          <w:p w14:paraId="1BCE3072">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kern w:val="0"/>
                <w:sz w:val="24"/>
                <w:highlight w:val="none"/>
              </w:rPr>
            </w:pPr>
            <w:r>
              <w:rPr>
                <w:rFonts w:hint="eastAsia" w:ascii="仿宋" w:hAnsi="仿宋" w:eastAsia="仿宋" w:cs="仿宋"/>
                <w:sz w:val="24"/>
                <w:highlight w:val="none"/>
              </w:rPr>
              <w:sym w:font="Wingdings" w:char="00A8"/>
            </w:r>
            <w:r>
              <w:rPr>
                <w:rFonts w:hint="eastAsia" w:ascii="仿宋" w:hAnsi="仿宋" w:eastAsia="仿宋" w:cs="仿宋"/>
                <w:kern w:val="0"/>
                <w:sz w:val="24"/>
                <w:highlight w:val="none"/>
              </w:rPr>
              <w:t>组织，时  间：</w:t>
            </w:r>
            <w:r>
              <w:rPr>
                <w:rFonts w:hint="eastAsia" w:ascii="仿宋" w:hAnsi="仿宋" w:eastAsia="仿宋" w:cs="仿宋"/>
                <w:bCs/>
                <w:kern w:val="0"/>
                <w:sz w:val="24"/>
                <w:highlight w:val="none"/>
                <w:u w:val="single"/>
              </w:rPr>
              <w:t xml:space="preserve">                                   </w:t>
            </w:r>
          </w:p>
          <w:p w14:paraId="6D31A14A">
            <w:pPr>
              <w:keepNext w:val="0"/>
              <w:keepLines w:val="0"/>
              <w:pageBreakBefore w:val="0"/>
              <w:widowControl/>
              <w:kinsoku/>
              <w:wordWrap/>
              <w:overflowPunct/>
              <w:topLinePunct w:val="0"/>
              <w:autoSpaceDE/>
              <w:autoSpaceDN/>
              <w:bidi w:val="0"/>
              <w:adjustRightInd/>
              <w:snapToGrid/>
              <w:spacing w:line="400" w:lineRule="exact"/>
              <w:ind w:left="-105" w:leftChars="-50" w:firstLine="1084" w:firstLineChars="452"/>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地  点：</w:t>
            </w:r>
            <w:r>
              <w:rPr>
                <w:rFonts w:hint="eastAsia" w:ascii="仿宋" w:hAnsi="仿宋" w:eastAsia="仿宋" w:cs="仿宋"/>
                <w:bCs/>
                <w:kern w:val="0"/>
                <w:sz w:val="24"/>
                <w:highlight w:val="none"/>
                <w:u w:val="single"/>
              </w:rPr>
              <w:t xml:space="preserve">                                    </w:t>
            </w:r>
          </w:p>
          <w:p w14:paraId="60E96A57">
            <w:pPr>
              <w:keepNext w:val="0"/>
              <w:keepLines w:val="0"/>
              <w:pageBreakBefore w:val="0"/>
              <w:kinsoku/>
              <w:wordWrap/>
              <w:overflowPunct/>
              <w:topLinePunct w:val="0"/>
              <w:autoSpaceDE/>
              <w:autoSpaceDN/>
              <w:bidi w:val="0"/>
              <w:adjustRightInd/>
              <w:snapToGrid/>
              <w:spacing w:line="400" w:lineRule="exact"/>
              <w:ind w:left="-105" w:leftChars="-50" w:firstLine="1084" w:firstLineChars="452"/>
              <w:textAlignment w:val="auto"/>
              <w:rPr>
                <w:rFonts w:ascii="仿宋" w:hAnsi="仿宋" w:eastAsia="仿宋" w:cs="仿宋"/>
                <w:kern w:val="0"/>
                <w:sz w:val="24"/>
                <w:highlight w:val="none"/>
              </w:rPr>
            </w:pPr>
            <w:r>
              <w:rPr>
                <w:rFonts w:hint="eastAsia" w:ascii="仿宋" w:hAnsi="仿宋" w:eastAsia="仿宋" w:cs="仿宋"/>
                <w:kern w:val="0"/>
                <w:sz w:val="24"/>
                <w:highlight w:val="none"/>
              </w:rPr>
              <w:t>联系人：</w:t>
            </w:r>
            <w:r>
              <w:rPr>
                <w:rFonts w:hint="eastAsia" w:ascii="仿宋" w:hAnsi="仿宋" w:eastAsia="仿宋" w:cs="仿宋"/>
                <w:bCs/>
                <w:kern w:val="0"/>
                <w:sz w:val="24"/>
                <w:highlight w:val="none"/>
                <w:u w:val="single"/>
              </w:rPr>
              <w:t xml:space="preserve">                                                                                                                                                                                                                                                                                                                                                                                                                                                                                                                                                                                                                                                                                                                                                                                                                                                                                                                                                                                                                           </w:t>
            </w:r>
          </w:p>
          <w:p w14:paraId="276FD1B2">
            <w:pPr>
              <w:keepNext w:val="0"/>
              <w:keepLines w:val="0"/>
              <w:pageBreakBefore w:val="0"/>
              <w:kinsoku/>
              <w:wordWrap/>
              <w:overflowPunct/>
              <w:topLinePunct w:val="0"/>
              <w:autoSpaceDE/>
              <w:autoSpaceDN/>
              <w:bidi w:val="0"/>
              <w:adjustRightInd/>
              <w:snapToGrid/>
              <w:spacing w:line="400" w:lineRule="exact"/>
              <w:ind w:left="-105" w:leftChars="-50" w:firstLine="1084" w:firstLineChars="452"/>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电  话：</w:t>
            </w:r>
            <w:r>
              <w:rPr>
                <w:rFonts w:hint="eastAsia" w:ascii="仿宋" w:hAnsi="仿宋" w:eastAsia="仿宋" w:cs="仿宋"/>
                <w:bCs/>
                <w:kern w:val="0"/>
                <w:sz w:val="24"/>
                <w:highlight w:val="none"/>
                <w:u w:val="single"/>
              </w:rPr>
              <w:t xml:space="preserve">                                    </w:t>
            </w:r>
          </w:p>
          <w:p w14:paraId="7459629E">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kern w:val="0"/>
                <w:sz w:val="24"/>
                <w:highlight w:val="none"/>
              </w:rPr>
            </w:pPr>
            <w:r>
              <w:rPr>
                <w:rFonts w:hint="eastAsia" w:ascii="仿宋" w:hAnsi="仿宋" w:eastAsia="仿宋" w:cs="仿宋"/>
                <w:sz w:val="24"/>
                <w:highlight w:val="none"/>
              </w:rPr>
              <w:sym w:font="Wingdings" w:char="00A8"/>
            </w:r>
            <w:r>
              <w:rPr>
                <w:rFonts w:hint="eastAsia" w:ascii="仿宋" w:hAnsi="仿宋" w:eastAsia="仿宋" w:cs="仿宋"/>
                <w:kern w:val="0"/>
                <w:sz w:val="24"/>
                <w:highlight w:val="none"/>
              </w:rPr>
              <w:t>组织，招标文件提供期限截止后以书面形式通知。</w:t>
            </w:r>
          </w:p>
        </w:tc>
      </w:tr>
      <w:tr w14:paraId="372E4FFE">
        <w:tblPrEx>
          <w:tblCellMar>
            <w:top w:w="0" w:type="dxa"/>
            <w:left w:w="108" w:type="dxa"/>
            <w:bottom w:w="0" w:type="dxa"/>
            <w:right w:w="108" w:type="dxa"/>
          </w:tblCellMar>
        </w:tblPrEx>
        <w:trPr>
          <w:trHeight w:val="317" w:hRule="atLeast"/>
        </w:trPr>
        <w:tc>
          <w:tcPr>
            <w:tcW w:w="856" w:type="dxa"/>
            <w:tcBorders>
              <w:top w:val="single" w:color="auto" w:sz="4" w:space="0"/>
              <w:left w:val="single" w:color="auto" w:sz="4" w:space="0"/>
              <w:bottom w:val="single" w:color="auto" w:sz="4" w:space="0"/>
              <w:right w:val="single" w:color="auto" w:sz="4" w:space="0"/>
            </w:tcBorders>
            <w:noWrap w:val="0"/>
            <w:vAlign w:val="center"/>
          </w:tcPr>
          <w:p w14:paraId="3257475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9</w:t>
            </w:r>
          </w:p>
        </w:tc>
        <w:tc>
          <w:tcPr>
            <w:tcW w:w="1773" w:type="dxa"/>
            <w:tcBorders>
              <w:top w:val="single" w:color="auto" w:sz="4" w:space="0"/>
              <w:left w:val="single" w:color="auto" w:sz="4" w:space="0"/>
              <w:bottom w:val="single" w:color="auto" w:sz="4" w:space="0"/>
              <w:right w:val="single" w:color="auto" w:sz="4" w:space="0"/>
            </w:tcBorders>
            <w:noWrap w:val="0"/>
            <w:vAlign w:val="center"/>
          </w:tcPr>
          <w:p w14:paraId="4B5083D2">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样品或演示</w:t>
            </w:r>
          </w:p>
        </w:tc>
        <w:tc>
          <w:tcPr>
            <w:tcW w:w="6381" w:type="dxa"/>
            <w:tcBorders>
              <w:top w:val="single" w:color="auto" w:sz="4" w:space="0"/>
              <w:left w:val="single" w:color="auto" w:sz="4" w:space="0"/>
              <w:bottom w:val="single" w:color="auto" w:sz="4" w:space="0"/>
              <w:right w:val="single" w:color="auto" w:sz="4" w:space="0"/>
            </w:tcBorders>
            <w:noWrap w:val="0"/>
            <w:vAlign w:val="center"/>
          </w:tcPr>
          <w:p w14:paraId="281D31BA">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sym w:font="Wingdings" w:char="00FE"/>
            </w:r>
            <w:r>
              <w:rPr>
                <w:rFonts w:hint="eastAsia" w:ascii="仿宋" w:hAnsi="仿宋" w:eastAsia="仿宋" w:cs="仿宋"/>
                <w:sz w:val="24"/>
                <w:highlight w:val="none"/>
              </w:rPr>
              <w:t>不需要提供样品</w:t>
            </w:r>
          </w:p>
          <w:p w14:paraId="4BDE2022">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sym w:font="Wingdings" w:char="00A8"/>
            </w:r>
            <w:r>
              <w:rPr>
                <w:rFonts w:hint="eastAsia" w:ascii="仿宋" w:hAnsi="仿宋" w:eastAsia="仿宋" w:cs="仿宋"/>
                <w:sz w:val="24"/>
                <w:highlight w:val="none"/>
              </w:rPr>
              <w:t>需要提供样品</w:t>
            </w:r>
          </w:p>
          <w:p w14:paraId="6BD16E6C">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   1、递交样品的截止时间：</w:t>
            </w:r>
            <w:r>
              <w:rPr>
                <w:rFonts w:hint="eastAsia" w:ascii="仿宋" w:hAnsi="仿宋" w:eastAsia="仿宋" w:cs="仿宋"/>
                <w:bCs/>
                <w:sz w:val="24"/>
                <w:highlight w:val="none"/>
                <w:u w:val="single"/>
              </w:rPr>
              <w:t xml:space="preserve">          </w:t>
            </w:r>
            <w:r>
              <w:rPr>
                <w:rFonts w:hint="eastAsia" w:ascii="仿宋" w:hAnsi="仿宋" w:eastAsia="仿宋" w:cs="仿宋"/>
                <w:bCs/>
                <w:kern w:val="0"/>
                <w:sz w:val="24"/>
                <w:highlight w:val="none"/>
                <w:u w:val="single"/>
              </w:rPr>
              <w:t xml:space="preserve">                           </w:t>
            </w:r>
          </w:p>
          <w:p w14:paraId="30714547">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highlight w:val="none"/>
                <w:u w:val="single"/>
              </w:rPr>
            </w:pPr>
            <w:r>
              <w:rPr>
                <w:rFonts w:hint="eastAsia" w:ascii="仿宋" w:hAnsi="仿宋" w:eastAsia="仿宋" w:cs="仿宋"/>
                <w:sz w:val="24"/>
                <w:highlight w:val="none"/>
              </w:rPr>
              <w:t>递交样品地点：</w:t>
            </w:r>
            <w:r>
              <w:rPr>
                <w:rFonts w:hint="eastAsia" w:ascii="仿宋" w:hAnsi="仿宋" w:eastAsia="仿宋" w:cs="仿宋"/>
                <w:sz w:val="24"/>
                <w:highlight w:val="none"/>
                <w:u w:val="single"/>
              </w:rPr>
              <w:t xml:space="preserve">                  </w:t>
            </w:r>
            <w:r>
              <w:rPr>
                <w:rFonts w:hint="eastAsia" w:ascii="仿宋" w:hAnsi="仿宋" w:eastAsia="仿宋" w:cs="仿宋"/>
                <w:bCs/>
                <w:kern w:val="0"/>
                <w:sz w:val="24"/>
                <w:highlight w:val="none"/>
                <w:u w:val="single"/>
              </w:rPr>
              <w:t xml:space="preserve">                           </w:t>
            </w:r>
          </w:p>
          <w:p w14:paraId="1A25E147">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递交样品联系人：</w:t>
            </w:r>
            <w:r>
              <w:rPr>
                <w:rFonts w:hint="eastAsia" w:ascii="仿宋" w:hAnsi="仿宋" w:eastAsia="仿宋" w:cs="仿宋"/>
                <w:sz w:val="24"/>
                <w:highlight w:val="none"/>
                <w:u w:val="single"/>
              </w:rPr>
              <w:t xml:space="preserve">               </w:t>
            </w:r>
            <w:r>
              <w:rPr>
                <w:rFonts w:hint="eastAsia" w:ascii="仿宋" w:hAnsi="仿宋" w:eastAsia="仿宋" w:cs="仿宋"/>
                <w:bCs/>
                <w:kern w:val="0"/>
                <w:sz w:val="24"/>
                <w:highlight w:val="none"/>
                <w:u w:val="single"/>
              </w:rPr>
              <w:t xml:space="preserve">                           </w:t>
            </w:r>
            <w:r>
              <w:rPr>
                <w:rFonts w:hint="eastAsia" w:ascii="仿宋" w:hAnsi="仿宋" w:eastAsia="仿宋" w:cs="仿宋"/>
                <w:sz w:val="24"/>
                <w:highlight w:val="none"/>
                <w:u w:val="single"/>
              </w:rPr>
              <w:t xml:space="preserve"> </w:t>
            </w:r>
          </w:p>
          <w:p w14:paraId="4ED243FF">
            <w:pPr>
              <w:pStyle w:val="16"/>
              <w:keepNext w:val="0"/>
              <w:keepLines w:val="0"/>
              <w:pageBreakBefore w:val="0"/>
              <w:kinsoku/>
              <w:wordWrap/>
              <w:overflowPunct/>
              <w:topLinePunct w:val="0"/>
              <w:autoSpaceDE/>
              <w:autoSpaceDN/>
              <w:bidi w:val="0"/>
              <w:adjustRightInd/>
              <w:snapToGrid/>
              <w:spacing w:before="0" w:beforeAutospacing="0" w:after="0" w:afterAutospacing="0" w:line="400" w:lineRule="exact"/>
              <w:textAlignment w:val="auto"/>
              <w:rPr>
                <w:rFonts w:hint="eastAsia" w:ascii="仿宋" w:hAnsi="仿宋" w:eastAsia="仿宋" w:cs="仿宋"/>
                <w:kern w:val="2"/>
                <w:highlight w:val="none"/>
                <w:u w:val="single"/>
              </w:rPr>
            </w:pPr>
            <w:r>
              <w:rPr>
                <w:rFonts w:hint="eastAsia" w:ascii="仿宋" w:hAnsi="仿宋" w:eastAsia="仿宋" w:cs="仿宋"/>
                <w:highlight w:val="none"/>
              </w:rPr>
              <w:t>2、样品的标准和要求：</w:t>
            </w:r>
            <w:r>
              <w:rPr>
                <w:rFonts w:hint="eastAsia" w:ascii="仿宋" w:hAnsi="仿宋" w:eastAsia="仿宋" w:cs="仿宋"/>
                <w:highlight w:val="none"/>
                <w:u w:val="single"/>
              </w:rPr>
              <w:t xml:space="preserve">        </w:t>
            </w:r>
            <w:r>
              <w:rPr>
                <w:rFonts w:hint="eastAsia" w:ascii="仿宋" w:hAnsi="仿宋" w:eastAsia="仿宋" w:cs="仿宋"/>
                <w:kern w:val="2"/>
                <w:highlight w:val="none"/>
                <w:u w:val="single"/>
              </w:rPr>
              <w:t xml:space="preserve">       </w:t>
            </w:r>
            <w:r>
              <w:rPr>
                <w:rFonts w:hint="eastAsia" w:ascii="仿宋" w:hAnsi="仿宋" w:eastAsia="仿宋" w:cs="仿宋"/>
                <w:bCs/>
                <w:highlight w:val="none"/>
                <w:u w:val="single"/>
              </w:rPr>
              <w:t xml:space="preserve">                           </w:t>
            </w:r>
          </w:p>
          <w:p w14:paraId="1DCDD9F0">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u w:val="single"/>
              </w:rPr>
            </w:pPr>
            <w:r>
              <w:rPr>
                <w:rFonts w:hint="eastAsia" w:ascii="仿宋" w:hAnsi="仿宋" w:eastAsia="仿宋" w:cs="仿宋"/>
                <w:sz w:val="24"/>
                <w:highlight w:val="none"/>
              </w:rPr>
              <w:t>3、随样品提交相关检测报告要求：</w:t>
            </w:r>
            <w:r>
              <w:rPr>
                <w:rFonts w:hint="eastAsia" w:ascii="仿宋" w:hAnsi="仿宋" w:eastAsia="仿宋" w:cs="仿宋"/>
                <w:sz w:val="24"/>
                <w:highlight w:val="none"/>
                <w:u w:val="single"/>
              </w:rPr>
              <w:t xml:space="preserve">     </w:t>
            </w:r>
            <w:r>
              <w:rPr>
                <w:rFonts w:hint="eastAsia" w:ascii="仿宋" w:hAnsi="仿宋" w:eastAsia="仿宋" w:cs="仿宋"/>
                <w:bCs/>
                <w:kern w:val="0"/>
                <w:sz w:val="24"/>
                <w:highlight w:val="none"/>
                <w:u w:val="single"/>
              </w:rPr>
              <w:t xml:space="preserve">                           </w:t>
            </w:r>
          </w:p>
          <w:p w14:paraId="3CBC92C3">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（包含是否要求提供、检测机构要求、检测内容等）</w:t>
            </w:r>
          </w:p>
          <w:p w14:paraId="00077B6C">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样品的封存及退回：中标投标人的样品将由采购人进行保管、封存，并作为履约验收的参考。</w:t>
            </w:r>
          </w:p>
          <w:p w14:paraId="523F0EB8">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sym w:font="Wingdings" w:char="F0FE"/>
            </w:r>
            <w:r>
              <w:rPr>
                <w:rFonts w:hint="eastAsia" w:ascii="仿宋" w:hAnsi="仿宋" w:eastAsia="仿宋" w:cs="仿宋"/>
                <w:sz w:val="24"/>
                <w:highlight w:val="none"/>
              </w:rPr>
              <w:t>不需要提供演示</w:t>
            </w:r>
          </w:p>
          <w:p w14:paraId="5541CC5B">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sym w:font="Wingdings" w:char="00A8"/>
            </w:r>
            <w:r>
              <w:rPr>
                <w:rFonts w:hint="eastAsia" w:ascii="仿宋" w:hAnsi="仿宋" w:eastAsia="仿宋" w:cs="仿宋"/>
                <w:sz w:val="24"/>
                <w:highlight w:val="none"/>
              </w:rPr>
              <w:t>需要提供演示</w:t>
            </w:r>
          </w:p>
          <w:p w14:paraId="3C54CC54">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u w:val="single"/>
              </w:rPr>
            </w:pPr>
            <w:r>
              <w:rPr>
                <w:rFonts w:hint="eastAsia" w:ascii="仿宋" w:hAnsi="仿宋" w:eastAsia="仿宋" w:cs="仿宋"/>
                <w:sz w:val="24"/>
                <w:highlight w:val="none"/>
              </w:rPr>
              <w:t>1、演示时间及顺序：</w:t>
            </w:r>
            <w:r>
              <w:rPr>
                <w:rFonts w:hint="eastAsia" w:ascii="仿宋" w:hAnsi="仿宋" w:eastAsia="仿宋" w:cs="仿宋"/>
                <w:sz w:val="24"/>
                <w:highlight w:val="none"/>
                <w:u w:val="single"/>
              </w:rPr>
              <w:t xml:space="preserve">           </w:t>
            </w:r>
            <w:r>
              <w:rPr>
                <w:rFonts w:hint="eastAsia" w:ascii="仿宋" w:hAnsi="仿宋" w:eastAsia="仿宋" w:cs="仿宋"/>
                <w:bCs/>
                <w:kern w:val="0"/>
                <w:sz w:val="24"/>
                <w:highlight w:val="none"/>
                <w:u w:val="single"/>
              </w:rPr>
              <w:t xml:space="preserve">                           </w:t>
            </w:r>
            <w:r>
              <w:rPr>
                <w:rFonts w:hint="eastAsia" w:ascii="仿宋" w:hAnsi="仿宋" w:eastAsia="仿宋" w:cs="仿宋"/>
                <w:sz w:val="24"/>
                <w:highlight w:val="none"/>
                <w:u w:val="single"/>
              </w:rPr>
              <w:t xml:space="preserve"> </w:t>
            </w:r>
          </w:p>
          <w:p w14:paraId="112C3F93">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highlight w:val="none"/>
              </w:rPr>
            </w:pPr>
            <w:r>
              <w:rPr>
                <w:rFonts w:hint="eastAsia" w:ascii="仿宋" w:hAnsi="仿宋" w:eastAsia="仿宋" w:cs="仿宋"/>
                <w:sz w:val="24"/>
                <w:highlight w:val="none"/>
              </w:rPr>
              <w:t>2、演示地点：</w:t>
            </w:r>
            <w:r>
              <w:rPr>
                <w:rFonts w:hint="eastAsia" w:ascii="仿宋" w:hAnsi="仿宋" w:eastAsia="仿宋" w:cs="仿宋"/>
                <w:sz w:val="24"/>
                <w:highlight w:val="none"/>
                <w:u w:val="single"/>
              </w:rPr>
              <w:t xml:space="preserve">                  </w:t>
            </w:r>
            <w:r>
              <w:rPr>
                <w:rFonts w:hint="eastAsia" w:ascii="仿宋" w:hAnsi="仿宋" w:eastAsia="仿宋" w:cs="仿宋"/>
                <w:bCs/>
                <w:kern w:val="0"/>
                <w:sz w:val="24"/>
                <w:highlight w:val="none"/>
                <w:u w:val="single"/>
              </w:rPr>
              <w:t xml:space="preserve">                           </w:t>
            </w:r>
            <w:r>
              <w:rPr>
                <w:rFonts w:hint="eastAsia" w:ascii="仿宋" w:hAnsi="仿宋" w:eastAsia="仿宋" w:cs="仿宋"/>
                <w:sz w:val="24"/>
                <w:highlight w:val="none"/>
              </w:rPr>
              <w:t xml:space="preserve">      </w:t>
            </w:r>
          </w:p>
          <w:p w14:paraId="185CA10B">
            <w:pPr>
              <w:pStyle w:val="39"/>
              <w:keepNext w:val="0"/>
              <w:keepLines w:val="0"/>
              <w:pageBreakBefore w:val="0"/>
              <w:kinsoku/>
              <w:wordWrap/>
              <w:overflowPunct/>
              <w:topLinePunct w:val="0"/>
              <w:autoSpaceDE/>
              <w:autoSpaceDN/>
              <w:bidi w:val="0"/>
              <w:adjustRightInd/>
              <w:snapToGrid/>
              <w:spacing w:after="0" w:line="400" w:lineRule="exact"/>
              <w:ind w:firstLine="0" w:firstLineChars="0"/>
              <w:textAlignment w:val="auto"/>
              <w:rPr>
                <w:rFonts w:hint="eastAsia" w:ascii="仿宋" w:hAnsi="仿宋" w:eastAsia="仿宋" w:cs="仿宋"/>
                <w:bCs/>
                <w:kern w:val="0"/>
                <w:sz w:val="24"/>
                <w:highlight w:val="none"/>
                <w:u w:val="single"/>
              </w:rPr>
            </w:pPr>
            <w:r>
              <w:rPr>
                <w:rFonts w:hint="eastAsia" w:ascii="仿宋" w:hAnsi="仿宋" w:eastAsia="仿宋" w:cs="仿宋"/>
                <w:sz w:val="24"/>
                <w:highlight w:val="none"/>
              </w:rPr>
              <w:t>3、演示内容：</w:t>
            </w:r>
            <w:r>
              <w:rPr>
                <w:rFonts w:hint="eastAsia" w:ascii="仿宋" w:hAnsi="仿宋" w:eastAsia="仿宋" w:cs="仿宋"/>
                <w:sz w:val="24"/>
                <w:highlight w:val="none"/>
                <w:u w:val="single"/>
              </w:rPr>
              <w:t xml:space="preserve">          </w:t>
            </w:r>
            <w:r>
              <w:rPr>
                <w:rFonts w:hint="eastAsia" w:ascii="仿宋" w:hAnsi="仿宋" w:eastAsia="仿宋" w:cs="仿宋"/>
                <w:bCs/>
                <w:kern w:val="0"/>
                <w:sz w:val="24"/>
                <w:highlight w:val="none"/>
                <w:u w:val="single"/>
              </w:rPr>
              <w:t xml:space="preserve">                             </w:t>
            </w:r>
          </w:p>
          <w:p w14:paraId="1EBC1244">
            <w:pPr>
              <w:pStyle w:val="39"/>
              <w:keepNext w:val="0"/>
              <w:keepLines w:val="0"/>
              <w:pageBreakBefore w:val="0"/>
              <w:kinsoku/>
              <w:wordWrap/>
              <w:overflowPunct/>
              <w:topLinePunct w:val="0"/>
              <w:autoSpaceDE/>
              <w:autoSpaceDN/>
              <w:bidi w:val="0"/>
              <w:adjustRightInd/>
              <w:snapToGrid/>
              <w:spacing w:after="0" w:line="400" w:lineRule="exact"/>
              <w:ind w:firstLine="0" w:firstLineChars="0"/>
              <w:textAlignment w:val="auto"/>
              <w:rPr>
                <w:rFonts w:hint="eastAsia" w:ascii="仿宋" w:hAnsi="仿宋" w:eastAsia="仿宋" w:cs="仿宋"/>
                <w:highlight w:val="none"/>
              </w:rPr>
            </w:pPr>
            <w:r>
              <w:rPr>
                <w:rFonts w:hint="eastAsia" w:ascii="仿宋" w:hAnsi="仿宋" w:eastAsia="仿宋" w:cs="仿宋"/>
                <w:sz w:val="24"/>
                <w:highlight w:val="none"/>
              </w:rPr>
              <w:t>4、演示要求：</w:t>
            </w:r>
            <w:r>
              <w:rPr>
                <w:rFonts w:hint="eastAsia" w:ascii="仿宋" w:hAnsi="仿宋" w:eastAsia="仿宋" w:cs="仿宋"/>
                <w:sz w:val="24"/>
                <w:highlight w:val="none"/>
                <w:u w:val="single"/>
              </w:rPr>
              <w:t xml:space="preserve">                  </w:t>
            </w:r>
            <w:r>
              <w:rPr>
                <w:rFonts w:hint="eastAsia" w:ascii="仿宋" w:hAnsi="仿宋" w:eastAsia="仿宋" w:cs="仿宋"/>
                <w:bCs/>
                <w:kern w:val="0"/>
                <w:sz w:val="24"/>
                <w:highlight w:val="none"/>
                <w:u w:val="single"/>
              </w:rPr>
              <w:t xml:space="preserve">                           </w:t>
            </w:r>
          </w:p>
          <w:p w14:paraId="13D737A2">
            <w:pPr>
              <w:pStyle w:val="39"/>
              <w:keepNext w:val="0"/>
              <w:keepLines w:val="0"/>
              <w:pageBreakBefore w:val="0"/>
              <w:kinsoku/>
              <w:wordWrap/>
              <w:overflowPunct/>
              <w:topLinePunct w:val="0"/>
              <w:autoSpaceDE/>
              <w:autoSpaceDN/>
              <w:bidi w:val="0"/>
              <w:adjustRightInd/>
              <w:snapToGrid/>
              <w:spacing w:after="0" w:line="400" w:lineRule="exact"/>
              <w:ind w:firstLine="0" w:firstLineChars="0"/>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备注：</w:t>
            </w:r>
          </w:p>
          <w:p w14:paraId="40C775C3">
            <w:pPr>
              <w:pStyle w:val="39"/>
              <w:keepNext w:val="0"/>
              <w:keepLines w:val="0"/>
              <w:pageBreakBefore w:val="0"/>
              <w:kinsoku/>
              <w:wordWrap/>
              <w:overflowPunct/>
              <w:topLinePunct w:val="0"/>
              <w:autoSpaceDE/>
              <w:autoSpaceDN/>
              <w:bidi w:val="0"/>
              <w:adjustRightInd/>
              <w:snapToGrid/>
              <w:spacing w:after="0" w:line="400" w:lineRule="exact"/>
              <w:ind w:firstLine="482"/>
              <w:textAlignment w:val="auto"/>
              <w:rPr>
                <w:rFonts w:hint="eastAsia" w:ascii="仿宋" w:hAnsi="仿宋" w:eastAsia="仿宋" w:cs="仿宋"/>
                <w:b/>
                <w:bCs/>
                <w:sz w:val="24"/>
                <w:highlight w:val="none"/>
                <w:u w:val="single"/>
              </w:rPr>
            </w:pPr>
            <w:r>
              <w:rPr>
                <w:rFonts w:hint="eastAsia" w:ascii="仿宋" w:hAnsi="仿宋" w:eastAsia="仿宋" w:cs="仿宋"/>
                <w:b/>
                <w:bCs/>
                <w:sz w:val="24"/>
                <w:highlight w:val="none"/>
                <w:u w:val="single"/>
              </w:rPr>
              <w:t>1、经评标委员会认定为演示内容不能满足招标文件要求的视为无效投标。</w:t>
            </w:r>
          </w:p>
          <w:p w14:paraId="1065EDF5">
            <w:pPr>
              <w:pStyle w:val="39"/>
              <w:keepNext w:val="0"/>
              <w:keepLines w:val="0"/>
              <w:pageBreakBefore w:val="0"/>
              <w:kinsoku/>
              <w:wordWrap/>
              <w:overflowPunct/>
              <w:topLinePunct w:val="0"/>
              <w:autoSpaceDE/>
              <w:autoSpaceDN/>
              <w:bidi w:val="0"/>
              <w:adjustRightInd/>
              <w:snapToGrid/>
              <w:spacing w:after="0" w:line="400" w:lineRule="exact"/>
              <w:ind w:firstLine="482"/>
              <w:textAlignment w:val="auto"/>
              <w:rPr>
                <w:rFonts w:hint="eastAsia" w:ascii="仿宋" w:hAnsi="仿宋" w:eastAsia="仿宋" w:cs="仿宋"/>
                <w:highlight w:val="none"/>
              </w:rPr>
            </w:pPr>
            <w:r>
              <w:rPr>
                <w:rFonts w:hint="eastAsia" w:ascii="仿宋" w:hAnsi="仿宋" w:eastAsia="仿宋" w:cs="仿宋"/>
                <w:b/>
                <w:bCs/>
                <w:sz w:val="24"/>
                <w:highlight w:val="none"/>
                <w:u w:val="single"/>
              </w:rPr>
              <w:t>2、演示应在规定时限内完成。演示不完整的，按实际演示功能记分。</w:t>
            </w:r>
          </w:p>
        </w:tc>
      </w:tr>
      <w:tr w14:paraId="7E1C9A9E">
        <w:tblPrEx>
          <w:tblCellMar>
            <w:top w:w="0" w:type="dxa"/>
            <w:left w:w="108" w:type="dxa"/>
            <w:bottom w:w="0" w:type="dxa"/>
            <w:right w:w="108" w:type="dxa"/>
          </w:tblCellMar>
        </w:tblPrEx>
        <w:trPr>
          <w:trHeight w:val="929" w:hRule="atLeast"/>
        </w:trPr>
        <w:tc>
          <w:tcPr>
            <w:tcW w:w="856" w:type="dxa"/>
            <w:tcBorders>
              <w:top w:val="single" w:color="auto" w:sz="4" w:space="0"/>
              <w:left w:val="single" w:color="auto" w:sz="4" w:space="0"/>
              <w:bottom w:val="single" w:color="auto" w:sz="4" w:space="0"/>
              <w:right w:val="single" w:color="auto" w:sz="4" w:space="0"/>
            </w:tcBorders>
            <w:noWrap w:val="0"/>
            <w:vAlign w:val="center"/>
          </w:tcPr>
          <w:p w14:paraId="4A541AB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10</w:t>
            </w:r>
          </w:p>
        </w:tc>
        <w:tc>
          <w:tcPr>
            <w:tcW w:w="1773" w:type="dxa"/>
            <w:tcBorders>
              <w:top w:val="single" w:color="auto" w:sz="4" w:space="0"/>
              <w:left w:val="single" w:color="auto" w:sz="4" w:space="0"/>
              <w:bottom w:val="single" w:color="auto" w:sz="4" w:space="0"/>
              <w:right w:val="single" w:color="auto" w:sz="4" w:space="0"/>
            </w:tcBorders>
            <w:noWrap w:val="0"/>
            <w:vAlign w:val="center"/>
          </w:tcPr>
          <w:p w14:paraId="0E50753A">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投标报价</w:t>
            </w:r>
          </w:p>
          <w:p w14:paraId="532DDD24">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货币要求</w:t>
            </w:r>
          </w:p>
        </w:tc>
        <w:tc>
          <w:tcPr>
            <w:tcW w:w="6381" w:type="dxa"/>
            <w:tcBorders>
              <w:top w:val="single" w:color="auto" w:sz="4" w:space="0"/>
              <w:left w:val="single" w:color="auto" w:sz="4" w:space="0"/>
              <w:bottom w:val="single" w:color="auto" w:sz="4" w:space="0"/>
              <w:right w:val="single" w:color="auto" w:sz="4" w:space="0"/>
            </w:tcBorders>
            <w:noWrap w:val="0"/>
            <w:vAlign w:val="center"/>
          </w:tcPr>
          <w:p w14:paraId="35D7DBEA">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kern w:val="0"/>
                <w:sz w:val="24"/>
                <w:highlight w:val="none"/>
              </w:rPr>
            </w:pPr>
            <w:r>
              <w:rPr>
                <w:rFonts w:hint="eastAsia" w:ascii="仿宋" w:hAnsi="仿宋" w:eastAsia="仿宋" w:cs="仿宋"/>
                <w:sz w:val="24"/>
                <w:highlight w:val="none"/>
              </w:rPr>
              <w:sym w:font="Wingdings" w:char="00FE"/>
            </w:r>
            <w:r>
              <w:rPr>
                <w:rFonts w:hint="eastAsia" w:ascii="仿宋" w:hAnsi="仿宋" w:eastAsia="仿宋" w:cs="仿宋"/>
                <w:kern w:val="0"/>
                <w:sz w:val="24"/>
                <w:highlight w:val="none"/>
              </w:rPr>
              <w:t>所有投标均按</w:t>
            </w:r>
            <w:r>
              <w:rPr>
                <w:rFonts w:hint="eastAsia" w:ascii="仿宋" w:hAnsi="仿宋" w:eastAsia="仿宋" w:cs="仿宋"/>
                <w:kern w:val="0"/>
                <w:sz w:val="24"/>
                <w:highlight w:val="none"/>
                <w:u w:val="single"/>
              </w:rPr>
              <w:t xml:space="preserve"> </w:t>
            </w:r>
            <w:r>
              <w:rPr>
                <w:rFonts w:hint="eastAsia" w:ascii="仿宋" w:hAnsi="仿宋" w:eastAsia="仿宋" w:cs="仿宋"/>
                <w:b/>
                <w:bCs/>
                <w:kern w:val="0"/>
                <w:sz w:val="24"/>
                <w:highlight w:val="none"/>
                <w:u w:val="single"/>
              </w:rPr>
              <w:t>人民币</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货币进行报价。</w:t>
            </w:r>
          </w:p>
          <w:p w14:paraId="516B2335">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kern w:val="0"/>
                <w:sz w:val="24"/>
                <w:highlight w:val="none"/>
                <w:u w:val="single"/>
              </w:rPr>
            </w:pPr>
            <w:r>
              <w:rPr>
                <w:rFonts w:hint="eastAsia" w:ascii="仿宋" w:hAnsi="仿宋" w:eastAsia="仿宋" w:cs="仿宋"/>
                <w:sz w:val="24"/>
                <w:highlight w:val="none"/>
              </w:rPr>
              <w:sym w:font="Wingdings" w:char="00A8"/>
            </w:r>
            <w:r>
              <w:rPr>
                <w:rFonts w:hint="eastAsia" w:ascii="仿宋" w:hAnsi="仿宋" w:eastAsia="仿宋" w:cs="仿宋"/>
                <w:kern w:val="0"/>
                <w:sz w:val="24"/>
                <w:highlight w:val="none"/>
              </w:rPr>
              <w:t>其它：</w:t>
            </w:r>
            <w:r>
              <w:rPr>
                <w:rFonts w:hint="eastAsia" w:ascii="仿宋" w:hAnsi="仿宋" w:eastAsia="仿宋" w:cs="仿宋"/>
                <w:kern w:val="0"/>
                <w:sz w:val="24"/>
                <w:highlight w:val="none"/>
                <w:u w:val="single"/>
              </w:rPr>
              <w:t xml:space="preserve">                                             </w:t>
            </w:r>
          </w:p>
        </w:tc>
      </w:tr>
      <w:tr w14:paraId="1C528330">
        <w:tblPrEx>
          <w:tblCellMar>
            <w:top w:w="0" w:type="dxa"/>
            <w:left w:w="108" w:type="dxa"/>
            <w:bottom w:w="0" w:type="dxa"/>
            <w:right w:w="108" w:type="dxa"/>
          </w:tblCellMar>
        </w:tblPrEx>
        <w:trPr>
          <w:trHeight w:val="632" w:hRule="atLeast"/>
        </w:trPr>
        <w:tc>
          <w:tcPr>
            <w:tcW w:w="856" w:type="dxa"/>
            <w:tcBorders>
              <w:top w:val="single" w:color="auto" w:sz="4" w:space="0"/>
              <w:left w:val="single" w:color="auto" w:sz="4" w:space="0"/>
              <w:bottom w:val="single" w:color="auto" w:sz="4" w:space="0"/>
              <w:right w:val="single" w:color="auto" w:sz="4" w:space="0"/>
            </w:tcBorders>
            <w:noWrap w:val="0"/>
            <w:vAlign w:val="center"/>
          </w:tcPr>
          <w:p w14:paraId="01CC253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11</w:t>
            </w:r>
          </w:p>
        </w:tc>
        <w:tc>
          <w:tcPr>
            <w:tcW w:w="1773" w:type="dxa"/>
            <w:tcBorders>
              <w:top w:val="single" w:color="auto" w:sz="4" w:space="0"/>
              <w:left w:val="single" w:color="auto" w:sz="4" w:space="0"/>
              <w:bottom w:val="single" w:color="auto" w:sz="4" w:space="0"/>
              <w:right w:val="single" w:color="auto" w:sz="4" w:space="0"/>
            </w:tcBorders>
            <w:noWrap w:val="0"/>
            <w:vAlign w:val="center"/>
          </w:tcPr>
          <w:p w14:paraId="1EE9F8CE">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投标保证金</w:t>
            </w:r>
          </w:p>
        </w:tc>
        <w:tc>
          <w:tcPr>
            <w:tcW w:w="6381" w:type="dxa"/>
            <w:tcBorders>
              <w:top w:val="single" w:color="auto" w:sz="4" w:space="0"/>
              <w:left w:val="single" w:color="auto" w:sz="4" w:space="0"/>
              <w:bottom w:val="single" w:color="auto" w:sz="4" w:space="0"/>
              <w:right w:val="single" w:color="auto" w:sz="4" w:space="0"/>
            </w:tcBorders>
            <w:noWrap w:val="0"/>
            <w:vAlign w:val="center"/>
          </w:tcPr>
          <w:p w14:paraId="6B8272AE">
            <w:pPr>
              <w:pStyle w:val="12"/>
              <w:keepNext w:val="0"/>
              <w:keepLines w:val="0"/>
              <w:pageBreakBefore w:val="0"/>
              <w:kinsoku/>
              <w:wordWrap/>
              <w:overflowPunct/>
              <w:topLinePunct w:val="0"/>
              <w:autoSpaceDE/>
              <w:autoSpaceDN/>
              <w:bidi w:val="0"/>
              <w:adjustRightInd/>
              <w:snapToGrid/>
              <w:spacing w:line="400" w:lineRule="exact"/>
              <w:textAlignment w:val="auto"/>
              <w:rPr>
                <w:rFonts w:hint="default" w:ascii="仿宋" w:hAnsi="仿宋" w:eastAsia="仿宋" w:cs="仿宋"/>
                <w:kern w:val="0"/>
                <w:sz w:val="24"/>
                <w:highlight w:val="none"/>
                <w:u w:val="single"/>
                <w:lang w:val="en-US" w:eastAsia="zh-CN"/>
              </w:rPr>
            </w:pPr>
            <w:r>
              <w:rPr>
                <w:rFonts w:hint="eastAsia" w:ascii="仿宋" w:hAnsi="仿宋" w:eastAsia="仿宋" w:cs="仿宋"/>
                <w:kern w:val="0"/>
                <w:sz w:val="24"/>
                <w:highlight w:val="none"/>
              </w:rPr>
              <w:t>1、投标保证金金额：</w:t>
            </w:r>
            <w:r>
              <w:rPr>
                <w:rFonts w:hint="eastAsia" w:ascii="仿宋" w:hAnsi="仿宋" w:eastAsia="仿宋" w:cs="仿宋"/>
                <w:kern w:val="0"/>
                <w:sz w:val="24"/>
                <w:highlight w:val="none"/>
                <w:u w:val="single"/>
              </w:rPr>
              <w:t xml:space="preserve"> </w:t>
            </w:r>
            <w:r>
              <w:rPr>
                <w:rFonts w:hint="eastAsia" w:ascii="仿宋" w:hAnsi="仿宋" w:eastAsia="仿宋" w:cs="仿宋"/>
                <w:b/>
                <w:bCs/>
                <w:kern w:val="0"/>
                <w:sz w:val="24"/>
                <w:highlight w:val="none"/>
                <w:u w:val="single"/>
                <w:lang w:val="en-US" w:eastAsia="zh-CN"/>
              </w:rPr>
              <w:t xml:space="preserve">22000 </w:t>
            </w:r>
            <w:r>
              <w:rPr>
                <w:rFonts w:hint="eastAsia" w:ascii="仿宋" w:hAnsi="仿宋" w:eastAsia="仿宋" w:cs="仿宋"/>
                <w:kern w:val="0"/>
                <w:sz w:val="24"/>
                <w:highlight w:val="none"/>
              </w:rPr>
              <w:t>元</w:t>
            </w:r>
            <w:r>
              <w:rPr>
                <w:rFonts w:hint="eastAsia" w:ascii="仿宋" w:hAnsi="仿宋" w:eastAsia="仿宋" w:cs="仿宋"/>
                <w:kern w:val="0"/>
                <w:sz w:val="24"/>
                <w:highlight w:val="none"/>
                <w:lang w:val="en-US" w:eastAsia="zh-CN"/>
              </w:rPr>
              <w:t xml:space="preserve"> </w:t>
            </w:r>
          </w:p>
          <w:p w14:paraId="32C41310">
            <w:pPr>
              <w:pStyle w:val="12"/>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u w:val="single"/>
              </w:rPr>
            </w:pPr>
            <w:r>
              <w:rPr>
                <w:rFonts w:hint="eastAsia" w:ascii="仿宋" w:hAnsi="仿宋" w:eastAsia="仿宋" w:cs="仿宋"/>
                <w:sz w:val="24"/>
                <w:highlight w:val="none"/>
              </w:rPr>
              <w:t>2、投标保证金缴纳期限：</w:t>
            </w:r>
            <w:r>
              <w:rPr>
                <w:rFonts w:hint="eastAsia" w:ascii="仿宋" w:hAnsi="仿宋" w:eastAsia="仿宋" w:cs="仿宋"/>
                <w:sz w:val="24"/>
                <w:highlight w:val="none"/>
                <w:u w:val="single"/>
              </w:rPr>
              <w:t xml:space="preserve">与递交投标文件截止时间一致 </w:t>
            </w:r>
          </w:p>
          <w:p w14:paraId="34B2DBF0">
            <w:pPr>
              <w:pStyle w:val="12"/>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3、投标保证金缴纳方式：</w:t>
            </w:r>
          </w:p>
          <w:p w14:paraId="0248F011">
            <w:pPr>
              <w:pStyle w:val="12"/>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kern w:val="0"/>
                <w:sz w:val="24"/>
                <w:highlight w:val="none"/>
                <w:u w:val="single"/>
              </w:rPr>
            </w:pPr>
            <w:r>
              <w:rPr>
                <w:rFonts w:hint="eastAsia" w:ascii="仿宋" w:hAnsi="仿宋" w:eastAsia="仿宋" w:cs="仿宋"/>
                <w:sz w:val="24"/>
                <w:highlight w:val="none"/>
              </w:rPr>
              <w:sym w:font="Wingdings" w:char="00FE"/>
            </w:r>
            <w:r>
              <w:rPr>
                <w:rFonts w:hint="eastAsia" w:ascii="仿宋" w:hAnsi="仿宋" w:eastAsia="仿宋" w:cs="仿宋"/>
                <w:sz w:val="24"/>
                <w:highlight w:val="none"/>
              </w:rPr>
              <w:t xml:space="preserve">保函   </w:t>
            </w:r>
            <w:r>
              <w:rPr>
                <w:rFonts w:hint="eastAsia" w:ascii="仿宋" w:hAnsi="仿宋" w:eastAsia="仿宋" w:cs="仿宋"/>
                <w:sz w:val="24"/>
                <w:highlight w:val="none"/>
              </w:rPr>
              <w:sym w:font="Wingdings" w:char="00FE"/>
            </w:r>
            <w:r>
              <w:rPr>
                <w:rFonts w:hint="eastAsia" w:ascii="仿宋" w:hAnsi="仿宋" w:eastAsia="仿宋" w:cs="仿宋"/>
                <w:sz w:val="24"/>
                <w:highlight w:val="none"/>
              </w:rPr>
              <w:t xml:space="preserve">支票  </w:t>
            </w:r>
            <w:r>
              <w:rPr>
                <w:rFonts w:hint="eastAsia" w:ascii="仿宋" w:hAnsi="仿宋" w:eastAsia="仿宋" w:cs="仿宋"/>
                <w:sz w:val="24"/>
                <w:highlight w:val="none"/>
              </w:rPr>
              <w:sym w:font="Wingdings" w:char="00FE"/>
            </w:r>
            <w:r>
              <w:rPr>
                <w:rFonts w:hint="eastAsia" w:ascii="仿宋" w:hAnsi="仿宋" w:eastAsia="仿宋" w:cs="仿宋"/>
                <w:sz w:val="24"/>
                <w:highlight w:val="none"/>
              </w:rPr>
              <w:t xml:space="preserve">电汇  </w:t>
            </w:r>
            <w:r>
              <w:rPr>
                <w:rFonts w:hint="eastAsia" w:ascii="仿宋" w:hAnsi="仿宋" w:eastAsia="仿宋" w:cs="仿宋"/>
                <w:sz w:val="24"/>
                <w:highlight w:val="none"/>
              </w:rPr>
              <w:sym w:font="Wingdings" w:char="00FE"/>
            </w:r>
            <w:r>
              <w:rPr>
                <w:rFonts w:hint="eastAsia" w:ascii="仿宋" w:hAnsi="仿宋" w:eastAsia="仿宋" w:cs="仿宋"/>
                <w:sz w:val="24"/>
                <w:highlight w:val="none"/>
              </w:rPr>
              <w:t>其他</w:t>
            </w:r>
          </w:p>
          <w:p w14:paraId="521724D3">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kern w:val="0"/>
                <w:sz w:val="24"/>
                <w:highlight w:val="none"/>
              </w:rPr>
            </w:pPr>
            <w:r>
              <w:rPr>
                <w:rFonts w:hint="eastAsia" w:ascii="仿宋" w:hAnsi="仿宋" w:eastAsia="仿宋" w:cs="仿宋"/>
                <w:sz w:val="24"/>
                <w:highlight w:val="none"/>
              </w:rPr>
              <w:t xml:space="preserve">   </w:t>
            </w:r>
            <w:r>
              <w:rPr>
                <w:rFonts w:hint="eastAsia" w:ascii="仿宋" w:hAnsi="仿宋" w:eastAsia="仿宋" w:cs="仿宋"/>
                <w:kern w:val="0"/>
                <w:sz w:val="24"/>
                <w:highlight w:val="none"/>
              </w:rPr>
              <w:t>保证金收款人银行信息：</w:t>
            </w:r>
          </w:p>
          <w:p w14:paraId="589EF2D6">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开 户 名：</w:t>
            </w:r>
            <w:r>
              <w:rPr>
                <w:rFonts w:hint="eastAsia" w:ascii="仿宋" w:hAnsi="仿宋" w:eastAsia="仿宋" w:cs="仿宋"/>
                <w:kern w:val="0"/>
                <w:sz w:val="24"/>
                <w:highlight w:val="none"/>
                <w:u w:val="single"/>
              </w:rPr>
              <w:t>新疆中鼎远航招标有限公司</w:t>
            </w:r>
          </w:p>
          <w:p w14:paraId="76359D3B">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kern w:val="0"/>
                <w:sz w:val="24"/>
                <w:highlight w:val="none"/>
                <w:u w:val="single"/>
              </w:rPr>
            </w:pPr>
            <w:r>
              <w:rPr>
                <w:rFonts w:hint="eastAsia" w:ascii="仿宋" w:hAnsi="仿宋" w:eastAsia="仿宋" w:cs="仿宋"/>
                <w:kern w:val="0"/>
                <w:sz w:val="24"/>
                <w:highlight w:val="none"/>
              </w:rPr>
              <w:t>开 户 行：</w:t>
            </w:r>
            <w:r>
              <w:rPr>
                <w:rFonts w:hint="eastAsia" w:ascii="仿宋" w:hAnsi="仿宋" w:eastAsia="仿宋" w:cs="仿宋"/>
                <w:kern w:val="0"/>
                <w:sz w:val="24"/>
                <w:highlight w:val="none"/>
                <w:u w:val="single"/>
              </w:rPr>
              <w:t xml:space="preserve">新疆天山农村商业银行股份有限公司北京南路支行 </w:t>
            </w:r>
          </w:p>
          <w:p w14:paraId="6C0A16FB">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kern w:val="0"/>
                <w:sz w:val="24"/>
                <w:highlight w:val="none"/>
              </w:rPr>
              <w:t xml:space="preserve"> 账    号：</w:t>
            </w:r>
            <w:r>
              <w:rPr>
                <w:rFonts w:hint="eastAsia" w:ascii="仿宋" w:hAnsi="仿宋" w:eastAsia="仿宋" w:cs="仿宋"/>
                <w:kern w:val="0"/>
                <w:sz w:val="24"/>
                <w:highlight w:val="none"/>
                <w:u w:val="single"/>
              </w:rPr>
              <w:t xml:space="preserve"> 802021012010109109789</w:t>
            </w:r>
          </w:p>
          <w:p w14:paraId="50ABF3AD">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4、保证金退还方式：</w:t>
            </w:r>
            <w:r>
              <w:rPr>
                <w:rFonts w:hint="eastAsia" w:ascii="仿宋" w:hAnsi="仿宋" w:eastAsia="仿宋" w:cs="仿宋"/>
                <w:kern w:val="0"/>
                <w:sz w:val="24"/>
                <w:highlight w:val="none"/>
                <w:u w:val="single"/>
              </w:rPr>
              <w:t>原账户返还</w:t>
            </w:r>
          </w:p>
          <w:p w14:paraId="2540F5C7">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5、保证金退还咨询电话：</w:t>
            </w:r>
            <w:r>
              <w:rPr>
                <w:rFonts w:hint="eastAsia" w:ascii="仿宋" w:hAnsi="仿宋" w:eastAsia="仿宋" w:cs="仿宋"/>
                <w:kern w:val="0"/>
                <w:sz w:val="24"/>
                <w:highlight w:val="none"/>
                <w:u w:val="single"/>
              </w:rPr>
              <w:t>0991-3663698</w:t>
            </w:r>
          </w:p>
        </w:tc>
      </w:tr>
      <w:tr w14:paraId="3E836757">
        <w:tblPrEx>
          <w:tblCellMar>
            <w:top w:w="0" w:type="dxa"/>
            <w:left w:w="108" w:type="dxa"/>
            <w:bottom w:w="0" w:type="dxa"/>
            <w:right w:w="108" w:type="dxa"/>
          </w:tblCellMar>
        </w:tblPrEx>
        <w:trPr>
          <w:trHeight w:val="457" w:hRule="atLeast"/>
        </w:trPr>
        <w:tc>
          <w:tcPr>
            <w:tcW w:w="856" w:type="dxa"/>
            <w:tcBorders>
              <w:top w:val="single" w:color="auto" w:sz="4" w:space="0"/>
              <w:left w:val="single" w:color="auto" w:sz="8" w:space="0"/>
              <w:bottom w:val="single" w:color="auto" w:sz="8" w:space="0"/>
              <w:right w:val="single" w:color="auto" w:sz="4" w:space="0"/>
            </w:tcBorders>
            <w:noWrap w:val="0"/>
            <w:vAlign w:val="center"/>
          </w:tcPr>
          <w:p w14:paraId="51E238E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12</w:t>
            </w:r>
          </w:p>
        </w:tc>
        <w:tc>
          <w:tcPr>
            <w:tcW w:w="1773" w:type="dxa"/>
            <w:tcBorders>
              <w:top w:val="single" w:color="auto" w:sz="4" w:space="0"/>
              <w:left w:val="single" w:color="auto" w:sz="4" w:space="0"/>
              <w:bottom w:val="single" w:color="auto" w:sz="8" w:space="0"/>
              <w:right w:val="single" w:color="auto" w:sz="8" w:space="0"/>
            </w:tcBorders>
            <w:noWrap w:val="0"/>
            <w:vAlign w:val="center"/>
          </w:tcPr>
          <w:p w14:paraId="7B66A3F8">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投标有效期</w:t>
            </w:r>
          </w:p>
        </w:tc>
        <w:tc>
          <w:tcPr>
            <w:tcW w:w="6381" w:type="dxa"/>
            <w:tcBorders>
              <w:top w:val="single" w:color="auto" w:sz="4" w:space="0"/>
              <w:left w:val="nil"/>
              <w:bottom w:val="single" w:color="auto" w:sz="8" w:space="0"/>
              <w:right w:val="single" w:color="auto" w:sz="8" w:space="0"/>
            </w:tcBorders>
            <w:noWrap w:val="0"/>
            <w:vAlign w:val="center"/>
          </w:tcPr>
          <w:p w14:paraId="36A25BA2">
            <w:pPr>
              <w:pStyle w:val="12"/>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u w:val="single"/>
              </w:rPr>
              <w:t xml:space="preserve">  </w:t>
            </w:r>
            <w:r>
              <w:rPr>
                <w:rFonts w:hint="eastAsia" w:ascii="仿宋" w:hAnsi="仿宋" w:eastAsia="仿宋" w:cs="仿宋"/>
                <w:b/>
                <w:bCs/>
                <w:kern w:val="0"/>
                <w:sz w:val="24"/>
                <w:highlight w:val="none"/>
                <w:u w:val="single"/>
              </w:rPr>
              <w:t>90</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个日历日</w:t>
            </w:r>
          </w:p>
        </w:tc>
      </w:tr>
      <w:tr w14:paraId="0395E3E0">
        <w:tblPrEx>
          <w:tblCellMar>
            <w:top w:w="0" w:type="dxa"/>
            <w:left w:w="108" w:type="dxa"/>
            <w:bottom w:w="0" w:type="dxa"/>
            <w:right w:w="108" w:type="dxa"/>
          </w:tblCellMar>
        </w:tblPrEx>
        <w:trPr>
          <w:trHeight w:val="1187" w:hRule="atLeast"/>
        </w:trPr>
        <w:tc>
          <w:tcPr>
            <w:tcW w:w="856" w:type="dxa"/>
            <w:tcBorders>
              <w:top w:val="single" w:color="auto" w:sz="4" w:space="0"/>
              <w:left w:val="single" w:color="auto" w:sz="8" w:space="0"/>
              <w:bottom w:val="single" w:color="auto" w:sz="8" w:space="0"/>
              <w:right w:val="single" w:color="auto" w:sz="4" w:space="0"/>
            </w:tcBorders>
            <w:noWrap w:val="0"/>
            <w:vAlign w:val="center"/>
          </w:tcPr>
          <w:p w14:paraId="4490933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13</w:t>
            </w:r>
          </w:p>
        </w:tc>
        <w:tc>
          <w:tcPr>
            <w:tcW w:w="1773" w:type="dxa"/>
            <w:tcBorders>
              <w:top w:val="single" w:color="auto" w:sz="4" w:space="0"/>
              <w:left w:val="single" w:color="auto" w:sz="4" w:space="0"/>
              <w:bottom w:val="single" w:color="auto" w:sz="8" w:space="0"/>
              <w:right w:val="single" w:color="auto" w:sz="8" w:space="0"/>
            </w:tcBorders>
            <w:noWrap w:val="0"/>
            <w:vAlign w:val="center"/>
          </w:tcPr>
          <w:p w14:paraId="650A6C2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递交投标文件截止时间、</w:t>
            </w:r>
          </w:p>
          <w:p w14:paraId="5E4887F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地点</w:t>
            </w:r>
          </w:p>
        </w:tc>
        <w:tc>
          <w:tcPr>
            <w:tcW w:w="6381" w:type="dxa"/>
            <w:tcBorders>
              <w:top w:val="single" w:color="auto" w:sz="4" w:space="0"/>
              <w:left w:val="nil"/>
              <w:bottom w:val="single" w:color="auto" w:sz="8" w:space="0"/>
              <w:right w:val="single" w:color="auto" w:sz="8" w:space="0"/>
            </w:tcBorders>
            <w:noWrap w:val="0"/>
            <w:vAlign w:val="center"/>
          </w:tcPr>
          <w:p w14:paraId="57A63884">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kern w:val="0"/>
                <w:sz w:val="24"/>
                <w:highlight w:val="none"/>
                <w:u w:val="single"/>
              </w:rPr>
            </w:pPr>
            <w:r>
              <w:rPr>
                <w:rFonts w:hint="eastAsia" w:ascii="仿宋" w:hAnsi="仿宋" w:eastAsia="仿宋" w:cs="仿宋"/>
                <w:kern w:val="0"/>
                <w:sz w:val="24"/>
                <w:highlight w:val="none"/>
              </w:rPr>
              <w:t>截止时间：</w:t>
            </w:r>
            <w:r>
              <w:rPr>
                <w:rFonts w:hint="eastAsia" w:ascii="仿宋" w:hAnsi="仿宋" w:eastAsia="仿宋" w:cs="仿宋"/>
                <w:kern w:val="0"/>
                <w:sz w:val="24"/>
                <w:highlight w:val="none"/>
                <w:u w:val="single"/>
                <w:lang w:eastAsia="zh-CN"/>
              </w:rPr>
              <w:t>2025年7月17日11:00</w:t>
            </w:r>
            <w:r>
              <w:rPr>
                <w:rFonts w:hint="eastAsia" w:ascii="仿宋" w:hAnsi="仿宋" w:eastAsia="仿宋" w:cs="仿宋"/>
                <w:kern w:val="0"/>
                <w:sz w:val="24"/>
                <w:highlight w:val="none"/>
                <w:u w:val="single"/>
              </w:rPr>
              <w:t>（北京时间）</w:t>
            </w:r>
          </w:p>
          <w:p w14:paraId="7792D672">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kern w:val="0"/>
                <w:sz w:val="24"/>
                <w:highlight w:val="none"/>
                <w:u w:val="single"/>
              </w:rPr>
            </w:pPr>
            <w:r>
              <w:rPr>
                <w:rFonts w:hint="eastAsia" w:ascii="仿宋" w:hAnsi="仿宋" w:eastAsia="仿宋" w:cs="仿宋"/>
                <w:kern w:val="0"/>
                <w:sz w:val="24"/>
                <w:highlight w:val="none"/>
              </w:rPr>
              <w:t>递交地点：政采云平台</w:t>
            </w:r>
            <w:r>
              <w:rPr>
                <w:rFonts w:hint="eastAsia" w:ascii="宋体" w:hAnsi="宋体"/>
                <w:bCs/>
                <w:sz w:val="24"/>
                <w:highlight w:val="none"/>
              </w:rPr>
              <w:t>https：//www.zcygov.cn/</w:t>
            </w:r>
          </w:p>
        </w:tc>
      </w:tr>
      <w:tr w14:paraId="23E61336">
        <w:tblPrEx>
          <w:tblCellMar>
            <w:top w:w="0" w:type="dxa"/>
            <w:left w:w="108" w:type="dxa"/>
            <w:bottom w:w="0" w:type="dxa"/>
            <w:right w:w="108" w:type="dxa"/>
          </w:tblCellMar>
        </w:tblPrEx>
        <w:trPr>
          <w:trHeight w:val="1237" w:hRule="atLeast"/>
        </w:trPr>
        <w:tc>
          <w:tcPr>
            <w:tcW w:w="856" w:type="dxa"/>
            <w:tcBorders>
              <w:top w:val="single" w:color="auto" w:sz="4" w:space="0"/>
              <w:left w:val="single" w:color="auto" w:sz="8" w:space="0"/>
              <w:bottom w:val="single" w:color="auto" w:sz="8" w:space="0"/>
              <w:right w:val="single" w:color="auto" w:sz="4" w:space="0"/>
            </w:tcBorders>
            <w:noWrap w:val="0"/>
            <w:vAlign w:val="center"/>
          </w:tcPr>
          <w:p w14:paraId="5439FC8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14</w:t>
            </w:r>
          </w:p>
        </w:tc>
        <w:tc>
          <w:tcPr>
            <w:tcW w:w="1773" w:type="dxa"/>
            <w:tcBorders>
              <w:top w:val="single" w:color="auto" w:sz="4" w:space="0"/>
              <w:left w:val="single" w:color="auto" w:sz="4" w:space="0"/>
              <w:bottom w:val="single" w:color="auto" w:sz="8" w:space="0"/>
              <w:right w:val="single" w:color="auto" w:sz="8" w:space="0"/>
            </w:tcBorders>
            <w:noWrap w:val="0"/>
            <w:vAlign w:val="center"/>
          </w:tcPr>
          <w:p w14:paraId="14C4A0F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开标时间、</w:t>
            </w:r>
          </w:p>
          <w:p w14:paraId="2C62F3D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地点</w:t>
            </w:r>
          </w:p>
        </w:tc>
        <w:tc>
          <w:tcPr>
            <w:tcW w:w="6381" w:type="dxa"/>
            <w:tcBorders>
              <w:top w:val="single" w:color="auto" w:sz="4" w:space="0"/>
              <w:left w:val="nil"/>
              <w:bottom w:val="single" w:color="auto" w:sz="8" w:space="0"/>
              <w:right w:val="single" w:color="auto" w:sz="8" w:space="0"/>
            </w:tcBorders>
            <w:noWrap w:val="0"/>
            <w:vAlign w:val="center"/>
          </w:tcPr>
          <w:p w14:paraId="240D80BF">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开标时间：</w:t>
            </w:r>
            <w:r>
              <w:rPr>
                <w:rFonts w:hint="eastAsia" w:ascii="仿宋" w:hAnsi="仿宋" w:eastAsia="仿宋" w:cs="仿宋"/>
                <w:kern w:val="0"/>
                <w:sz w:val="24"/>
                <w:highlight w:val="none"/>
                <w:lang w:eastAsia="zh-CN"/>
              </w:rPr>
              <w:t>2025年7月17日11:00</w:t>
            </w:r>
            <w:r>
              <w:rPr>
                <w:rFonts w:hint="eastAsia" w:ascii="仿宋" w:hAnsi="仿宋" w:eastAsia="仿宋" w:cs="仿宋"/>
                <w:kern w:val="0"/>
                <w:sz w:val="24"/>
                <w:highlight w:val="none"/>
              </w:rPr>
              <w:t>（北京时间）</w:t>
            </w:r>
          </w:p>
          <w:p w14:paraId="26596D42">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开标地点：政采云平台https：//www.zcygov.cn/政采云不见面开标大厅</w:t>
            </w:r>
          </w:p>
          <w:p w14:paraId="0DD6885B">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不见面开标默认解密时长：30分钟</w:t>
            </w:r>
          </w:p>
          <w:p w14:paraId="494AD36E">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highlight w:val="none"/>
              </w:rPr>
            </w:pPr>
            <w:r>
              <w:rPr>
                <w:rFonts w:hint="eastAsia" w:ascii="仿宋" w:hAnsi="仿宋" w:eastAsia="仿宋" w:cs="仿宋"/>
                <w:kern w:val="0"/>
                <w:sz w:val="24"/>
                <w:highlight w:val="none"/>
              </w:rPr>
              <w:t>关于能否延长解密时间的约定：开标现场若发现默认解密时长不足，由采购人决定是否延长解密时长。</w:t>
            </w:r>
          </w:p>
        </w:tc>
      </w:tr>
      <w:tr w14:paraId="76722036">
        <w:tblPrEx>
          <w:tblCellMar>
            <w:top w:w="0" w:type="dxa"/>
            <w:left w:w="108" w:type="dxa"/>
            <w:bottom w:w="0" w:type="dxa"/>
            <w:right w:w="108" w:type="dxa"/>
          </w:tblCellMar>
        </w:tblPrEx>
        <w:trPr>
          <w:trHeight w:val="632" w:hRule="atLeast"/>
        </w:trPr>
        <w:tc>
          <w:tcPr>
            <w:tcW w:w="856" w:type="dxa"/>
            <w:tcBorders>
              <w:top w:val="single" w:color="auto" w:sz="4" w:space="0"/>
              <w:left w:val="single" w:color="auto" w:sz="8" w:space="0"/>
              <w:bottom w:val="single" w:color="auto" w:sz="8" w:space="0"/>
              <w:right w:val="single" w:color="auto" w:sz="4" w:space="0"/>
            </w:tcBorders>
            <w:noWrap w:val="0"/>
            <w:vAlign w:val="center"/>
          </w:tcPr>
          <w:p w14:paraId="5BAF406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15</w:t>
            </w:r>
          </w:p>
        </w:tc>
        <w:tc>
          <w:tcPr>
            <w:tcW w:w="1773" w:type="dxa"/>
            <w:tcBorders>
              <w:top w:val="single" w:color="auto" w:sz="4" w:space="0"/>
              <w:left w:val="single" w:color="auto" w:sz="4" w:space="0"/>
              <w:bottom w:val="single" w:color="auto" w:sz="8" w:space="0"/>
              <w:right w:val="single" w:color="auto" w:sz="8" w:space="0"/>
            </w:tcBorders>
            <w:noWrap w:val="0"/>
            <w:vAlign w:val="center"/>
          </w:tcPr>
          <w:p w14:paraId="1ED0B18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4"/>
                <w:highlight w:val="none"/>
              </w:rPr>
            </w:pPr>
            <w:r>
              <w:rPr>
                <w:rFonts w:hint="eastAsia" w:ascii="仿宋" w:hAnsi="仿宋" w:eastAsia="仿宋" w:cs="仿宋"/>
                <w:sz w:val="24"/>
                <w:highlight w:val="none"/>
              </w:rPr>
              <w:t>开标方式</w:t>
            </w:r>
          </w:p>
        </w:tc>
        <w:tc>
          <w:tcPr>
            <w:tcW w:w="6381" w:type="dxa"/>
            <w:tcBorders>
              <w:top w:val="single" w:color="auto" w:sz="4" w:space="0"/>
              <w:left w:val="nil"/>
              <w:bottom w:val="single" w:color="auto" w:sz="8" w:space="0"/>
              <w:right w:val="single" w:color="auto" w:sz="8" w:space="0"/>
            </w:tcBorders>
            <w:noWrap w:val="0"/>
            <w:vAlign w:val="center"/>
          </w:tcPr>
          <w:p w14:paraId="7455107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☑采用不见面开标：</w:t>
            </w:r>
          </w:p>
          <w:p w14:paraId="415A04A7">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1、本项目实行网上投标，采用电子投标文件；</w:t>
            </w:r>
          </w:p>
          <w:p w14:paraId="54CDDA08">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2、各供应商应成为新疆政府采购网注册入库供应商，并完成CA数字证书（符合国密标准）申领。因未注册入库、未办理CA数字证书等原因造成无法投标或投标失败等后果由供应商自行承担。有意向参与电子开评标的供应商，可访问新疆数字证书认证中心官方网站（https://www.xjca.com.cn/）或下载“新疆政务通”APP自行进行申领。如需咨询，请联系新疆CA服务热线0991-2819290；</w:t>
            </w:r>
          </w:p>
          <w:p w14:paraId="43927BDC">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3、供应商将政采云电子交易客户端下载、安装完成后，可通过账号密码或CA登录客户端进行投标文件的制作。在使用政采云投标客户端时，建议使用WIN7及以上操作系统。客户端请至新疆政府采购网（http://www.ccgp-xinjiang.gov.cn/）下载专区查看，如有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14:paraId="04C53C38">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4、供应商应当在开标截止时间前,将生成的“电子加密投标文件”上传递交至“政府采购云平台”,开标截止时间以后上传递交的投标文件将被“政府采购云平台”拒收。</w:t>
            </w:r>
          </w:p>
          <w:p w14:paraId="75855A6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5、供应商在开标前须提前配置好电脑浏览器（建议使用360 浏览器或谷歌浏览器）, 开标时请使用制作加密电子投标文件的CA锁进行解密及报价确认。本项目投标文件解密时间定为30分钟内,如因自身原因导致无法正常解密,后果由供应商自行承担。 </w:t>
            </w:r>
          </w:p>
          <w:p w14:paraId="58DB2266">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6、供应商登录政采云平台，在开标时间后30分钟内用“项目采购-开标评标”功能进行解密投标文件。若供应商在规定时间内未按时解密的，视为无效投标。解密与加密投标文件须使用同一个 CA。</w:t>
            </w:r>
          </w:p>
        </w:tc>
      </w:tr>
      <w:tr w14:paraId="08B6B920">
        <w:tblPrEx>
          <w:tblCellMar>
            <w:top w:w="0" w:type="dxa"/>
            <w:left w:w="108" w:type="dxa"/>
            <w:bottom w:w="0" w:type="dxa"/>
            <w:right w:w="108" w:type="dxa"/>
          </w:tblCellMar>
        </w:tblPrEx>
        <w:trPr>
          <w:trHeight w:val="632" w:hRule="atLeast"/>
        </w:trPr>
        <w:tc>
          <w:tcPr>
            <w:tcW w:w="856" w:type="dxa"/>
            <w:tcBorders>
              <w:top w:val="single" w:color="auto" w:sz="4" w:space="0"/>
              <w:left w:val="single" w:color="auto" w:sz="8" w:space="0"/>
              <w:bottom w:val="single" w:color="auto" w:sz="8" w:space="0"/>
              <w:right w:val="single" w:color="auto" w:sz="4" w:space="0"/>
            </w:tcBorders>
            <w:noWrap w:val="0"/>
            <w:vAlign w:val="center"/>
          </w:tcPr>
          <w:p w14:paraId="2D6F601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16</w:t>
            </w:r>
          </w:p>
        </w:tc>
        <w:tc>
          <w:tcPr>
            <w:tcW w:w="1773" w:type="dxa"/>
            <w:tcBorders>
              <w:top w:val="single" w:color="auto" w:sz="4" w:space="0"/>
              <w:left w:val="single" w:color="auto" w:sz="4" w:space="0"/>
              <w:bottom w:val="single" w:color="auto" w:sz="8" w:space="0"/>
              <w:right w:val="single" w:color="auto" w:sz="8" w:space="0"/>
            </w:tcBorders>
            <w:noWrap w:val="0"/>
            <w:vAlign w:val="center"/>
          </w:tcPr>
          <w:p w14:paraId="6EA11C7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投标文件密封</w:t>
            </w:r>
          </w:p>
        </w:tc>
        <w:tc>
          <w:tcPr>
            <w:tcW w:w="6381" w:type="dxa"/>
            <w:tcBorders>
              <w:top w:val="single" w:color="auto" w:sz="4" w:space="0"/>
              <w:left w:val="nil"/>
              <w:bottom w:val="single" w:color="auto" w:sz="8" w:space="0"/>
              <w:right w:val="single" w:color="auto" w:sz="8" w:space="0"/>
            </w:tcBorders>
            <w:noWrap w:val="0"/>
            <w:vAlign w:val="center"/>
          </w:tcPr>
          <w:p w14:paraId="5F9C55E0">
            <w:pPr>
              <w:keepNext w:val="0"/>
              <w:keepLines w:val="0"/>
              <w:pageBreakBefore w:val="0"/>
              <w:widowControl/>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kern w:val="2"/>
                <w:sz w:val="24"/>
                <w:szCs w:val="24"/>
                <w:highlight w:val="none"/>
                <w:lang w:val="en-US" w:eastAsia="zh-CN" w:bidi="ar-SA"/>
              </w:rPr>
              <w:t>1、</w:t>
            </w:r>
            <w:r>
              <w:rPr>
                <w:rFonts w:hint="eastAsia" w:ascii="仿宋" w:hAnsi="仿宋" w:eastAsia="仿宋" w:cs="仿宋"/>
                <w:sz w:val="24"/>
                <w:highlight w:val="none"/>
              </w:rPr>
              <w:t>投标人必须按招标文件及政采云平台要求制作并上传投标响应文件</w:t>
            </w:r>
          </w:p>
          <w:p w14:paraId="45E3474D">
            <w:pPr>
              <w:keepNext w:val="0"/>
              <w:keepLines w:val="0"/>
              <w:pageBreakBefore w:val="0"/>
              <w:widowControl/>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kern w:val="2"/>
                <w:sz w:val="24"/>
                <w:szCs w:val="24"/>
                <w:highlight w:val="none"/>
                <w:lang w:val="en-US" w:eastAsia="zh-CN" w:bidi="ar-SA"/>
              </w:rPr>
              <w:t>2、</w:t>
            </w:r>
            <w:r>
              <w:rPr>
                <w:rFonts w:hint="eastAsia" w:ascii="仿宋" w:hAnsi="仿宋" w:eastAsia="仿宋" w:cs="仿宋"/>
                <w:sz w:val="24"/>
                <w:highlight w:val="none"/>
              </w:rPr>
              <w:t>投标人必须按政采云平台要求加密投标文件，否则其投标将被拒绝。</w:t>
            </w:r>
          </w:p>
        </w:tc>
      </w:tr>
      <w:tr w14:paraId="11937C2F">
        <w:tblPrEx>
          <w:tblCellMar>
            <w:top w:w="0" w:type="dxa"/>
            <w:left w:w="108" w:type="dxa"/>
            <w:bottom w:w="0" w:type="dxa"/>
            <w:right w:w="108" w:type="dxa"/>
          </w:tblCellMar>
        </w:tblPrEx>
        <w:trPr>
          <w:trHeight w:val="632" w:hRule="atLeast"/>
        </w:trPr>
        <w:tc>
          <w:tcPr>
            <w:tcW w:w="856" w:type="dxa"/>
            <w:tcBorders>
              <w:top w:val="single" w:color="auto" w:sz="4" w:space="0"/>
              <w:left w:val="single" w:color="auto" w:sz="8" w:space="0"/>
              <w:bottom w:val="single" w:color="auto" w:sz="8" w:space="0"/>
              <w:right w:val="single" w:color="auto" w:sz="4" w:space="0"/>
            </w:tcBorders>
            <w:noWrap w:val="0"/>
            <w:vAlign w:val="center"/>
          </w:tcPr>
          <w:p w14:paraId="5998B9E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17</w:t>
            </w:r>
          </w:p>
        </w:tc>
        <w:tc>
          <w:tcPr>
            <w:tcW w:w="1773" w:type="dxa"/>
            <w:tcBorders>
              <w:top w:val="single" w:color="auto" w:sz="4" w:space="0"/>
              <w:left w:val="single" w:color="auto" w:sz="4" w:space="0"/>
              <w:bottom w:val="single" w:color="auto" w:sz="8" w:space="0"/>
              <w:right w:val="single" w:color="auto" w:sz="8" w:space="0"/>
            </w:tcBorders>
            <w:noWrap w:val="0"/>
            <w:vAlign w:val="center"/>
          </w:tcPr>
          <w:p w14:paraId="512598A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投标文件的</w:t>
            </w:r>
          </w:p>
          <w:p w14:paraId="155709D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签署规定</w:t>
            </w:r>
          </w:p>
        </w:tc>
        <w:tc>
          <w:tcPr>
            <w:tcW w:w="6381" w:type="dxa"/>
            <w:tcBorders>
              <w:top w:val="single" w:color="auto" w:sz="4" w:space="0"/>
              <w:left w:val="nil"/>
              <w:bottom w:val="single" w:color="auto" w:sz="8" w:space="0"/>
              <w:right w:val="single" w:color="auto" w:sz="8" w:space="0"/>
            </w:tcBorders>
            <w:noWrap w:val="0"/>
            <w:vAlign w:val="center"/>
          </w:tcPr>
          <w:p w14:paraId="5E33A835">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1、投标文件应清楚工整，一般不准修改。个别非实质性修改之处必须由投标人的法定代表人（负责人）或经其正式授权的代表在修改的每一页上签字或盖投标单位公章后才有效。</w:t>
            </w:r>
          </w:p>
          <w:p w14:paraId="19A39E45">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2、投标文件应由法定代表人或法人授权代表在规定的签章处逐一签署或加盖单位公章，投标文件方为有效。</w:t>
            </w:r>
          </w:p>
          <w:p w14:paraId="5E7A25AB">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3、投标文件需编好始末页码,如不按要求签署编制的，造成的后果由投标人自行负责。</w:t>
            </w:r>
          </w:p>
        </w:tc>
      </w:tr>
      <w:tr w14:paraId="584F4CC8">
        <w:tblPrEx>
          <w:tblCellMar>
            <w:top w:w="0" w:type="dxa"/>
            <w:left w:w="108" w:type="dxa"/>
            <w:bottom w:w="0" w:type="dxa"/>
            <w:right w:w="108" w:type="dxa"/>
          </w:tblCellMar>
        </w:tblPrEx>
        <w:trPr>
          <w:trHeight w:val="407" w:hRule="atLeast"/>
        </w:trPr>
        <w:tc>
          <w:tcPr>
            <w:tcW w:w="856" w:type="dxa"/>
            <w:tcBorders>
              <w:top w:val="single" w:color="auto" w:sz="4" w:space="0"/>
              <w:left w:val="single" w:color="auto" w:sz="8" w:space="0"/>
              <w:bottom w:val="single" w:color="auto" w:sz="8" w:space="0"/>
              <w:right w:val="single" w:color="auto" w:sz="4" w:space="0"/>
            </w:tcBorders>
            <w:noWrap w:val="0"/>
            <w:vAlign w:val="center"/>
          </w:tcPr>
          <w:p w14:paraId="6C4DC4A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18</w:t>
            </w:r>
          </w:p>
        </w:tc>
        <w:tc>
          <w:tcPr>
            <w:tcW w:w="1773" w:type="dxa"/>
            <w:tcBorders>
              <w:top w:val="single" w:color="auto" w:sz="4" w:space="0"/>
              <w:left w:val="single" w:color="auto" w:sz="4" w:space="0"/>
              <w:bottom w:val="single" w:color="auto" w:sz="8" w:space="0"/>
              <w:right w:val="single" w:color="auto" w:sz="8" w:space="0"/>
            </w:tcBorders>
            <w:noWrap w:val="0"/>
            <w:vAlign w:val="center"/>
          </w:tcPr>
          <w:p w14:paraId="4D7F8DF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投标文件格式</w:t>
            </w:r>
          </w:p>
        </w:tc>
        <w:tc>
          <w:tcPr>
            <w:tcW w:w="6381" w:type="dxa"/>
            <w:tcBorders>
              <w:top w:val="single" w:color="auto" w:sz="4" w:space="0"/>
              <w:left w:val="nil"/>
              <w:bottom w:val="single" w:color="auto" w:sz="8" w:space="0"/>
              <w:right w:val="single" w:color="auto" w:sz="8" w:space="0"/>
            </w:tcBorders>
            <w:noWrap w:val="0"/>
            <w:vAlign w:val="center"/>
          </w:tcPr>
          <w:p w14:paraId="417AE411">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1、投标人应按招标文件提供的范本格式认真填写投标文件、开标一览表。</w:t>
            </w:r>
          </w:p>
          <w:p w14:paraId="709C9017">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2、投标人应严格按招标文件的格式要求向招标公司提交投标文件，否则视为不响应招标文件要求，如招标文件没有提供格式的，投标人可自行设置。</w:t>
            </w:r>
          </w:p>
          <w:p w14:paraId="53B4BDD0">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3、投标人应将投标文件按规定的顺序编排、并应编制目录、逐页标注连续页码，否则将可能导致投标文件无效。</w:t>
            </w:r>
          </w:p>
          <w:p w14:paraId="3AE17158">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4、电报、电话、传真、电子邮件等形式的投标概不接受。</w:t>
            </w:r>
          </w:p>
          <w:p w14:paraId="3DD91E2E">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eastAsia="仿宋"/>
                <w:highlight w:val="none"/>
              </w:rPr>
            </w:pPr>
            <w:r>
              <w:rPr>
                <w:rFonts w:hint="eastAsia" w:ascii="仿宋" w:hAnsi="仿宋" w:eastAsia="仿宋" w:cs="仿宋"/>
                <w:sz w:val="24"/>
                <w:highlight w:val="none"/>
              </w:rPr>
              <w:t>5、中标单位须在中标公告发布之日起3日内，向招标代理机构提供纸质版投标文件（2份）。</w:t>
            </w:r>
          </w:p>
        </w:tc>
      </w:tr>
      <w:tr w14:paraId="5BE65F0A">
        <w:tblPrEx>
          <w:tblCellMar>
            <w:top w:w="0" w:type="dxa"/>
            <w:left w:w="108" w:type="dxa"/>
            <w:bottom w:w="0" w:type="dxa"/>
            <w:right w:w="108" w:type="dxa"/>
          </w:tblCellMar>
        </w:tblPrEx>
        <w:trPr>
          <w:trHeight w:val="642" w:hRule="atLeast"/>
        </w:trPr>
        <w:tc>
          <w:tcPr>
            <w:tcW w:w="856" w:type="dxa"/>
            <w:tcBorders>
              <w:top w:val="nil"/>
              <w:left w:val="single" w:color="auto" w:sz="8" w:space="0"/>
              <w:bottom w:val="single" w:color="auto" w:sz="4" w:space="0"/>
              <w:right w:val="single" w:color="auto" w:sz="4" w:space="0"/>
            </w:tcBorders>
            <w:noWrap w:val="0"/>
            <w:vAlign w:val="center"/>
          </w:tcPr>
          <w:p w14:paraId="104ABA4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19</w:t>
            </w:r>
          </w:p>
        </w:tc>
        <w:tc>
          <w:tcPr>
            <w:tcW w:w="1773" w:type="dxa"/>
            <w:tcBorders>
              <w:top w:val="nil"/>
              <w:left w:val="single" w:color="auto" w:sz="4" w:space="0"/>
              <w:bottom w:val="single" w:color="auto" w:sz="4" w:space="0"/>
              <w:right w:val="single" w:color="auto" w:sz="8" w:space="0"/>
            </w:tcBorders>
            <w:noWrap w:val="0"/>
            <w:vAlign w:val="center"/>
          </w:tcPr>
          <w:p w14:paraId="517FD18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评标办法</w:t>
            </w:r>
          </w:p>
        </w:tc>
        <w:tc>
          <w:tcPr>
            <w:tcW w:w="6381" w:type="dxa"/>
            <w:tcBorders>
              <w:top w:val="nil"/>
              <w:left w:val="nil"/>
              <w:bottom w:val="single" w:color="auto" w:sz="4" w:space="0"/>
              <w:right w:val="single" w:color="auto" w:sz="8" w:space="0"/>
            </w:tcBorders>
            <w:noWrap w:val="0"/>
            <w:vAlign w:val="center"/>
          </w:tcPr>
          <w:p w14:paraId="617AF42F">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sym w:font="Wingdings" w:char="00FE"/>
            </w:r>
            <w:r>
              <w:rPr>
                <w:rFonts w:hint="eastAsia" w:ascii="仿宋" w:hAnsi="仿宋" w:eastAsia="仿宋" w:cs="仿宋"/>
                <w:sz w:val="24"/>
                <w:highlight w:val="none"/>
              </w:rPr>
              <w:t>综合评分法</w:t>
            </w:r>
          </w:p>
          <w:p w14:paraId="12E435B6">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sym w:font="Wingdings" w:char="00A8"/>
            </w:r>
            <w:r>
              <w:rPr>
                <w:rFonts w:hint="eastAsia" w:ascii="仿宋" w:hAnsi="仿宋" w:eastAsia="仿宋" w:cs="仿宋"/>
                <w:sz w:val="24"/>
                <w:highlight w:val="none"/>
              </w:rPr>
              <w:t xml:space="preserve">最低评标价法 </w:t>
            </w:r>
          </w:p>
        </w:tc>
      </w:tr>
      <w:tr w14:paraId="0981F365">
        <w:tblPrEx>
          <w:tblCellMar>
            <w:top w:w="0" w:type="dxa"/>
            <w:left w:w="108" w:type="dxa"/>
            <w:bottom w:w="0" w:type="dxa"/>
            <w:right w:w="108" w:type="dxa"/>
          </w:tblCellMar>
        </w:tblPrEx>
        <w:trPr>
          <w:trHeight w:val="632" w:hRule="atLeast"/>
        </w:trPr>
        <w:tc>
          <w:tcPr>
            <w:tcW w:w="856" w:type="dxa"/>
            <w:tcBorders>
              <w:top w:val="nil"/>
              <w:left w:val="single" w:color="auto" w:sz="8" w:space="0"/>
              <w:bottom w:val="single" w:color="auto" w:sz="4" w:space="0"/>
              <w:right w:val="single" w:color="auto" w:sz="4" w:space="0"/>
            </w:tcBorders>
            <w:noWrap w:val="0"/>
            <w:vAlign w:val="center"/>
          </w:tcPr>
          <w:p w14:paraId="5CE4509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20</w:t>
            </w:r>
          </w:p>
        </w:tc>
        <w:tc>
          <w:tcPr>
            <w:tcW w:w="1773" w:type="dxa"/>
            <w:tcBorders>
              <w:top w:val="nil"/>
              <w:left w:val="single" w:color="auto" w:sz="4" w:space="0"/>
              <w:bottom w:val="single" w:color="auto" w:sz="4" w:space="0"/>
              <w:right w:val="single" w:color="auto" w:sz="8" w:space="0"/>
            </w:tcBorders>
            <w:noWrap w:val="0"/>
            <w:vAlign w:val="center"/>
          </w:tcPr>
          <w:p w14:paraId="176A312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eastAsia="仿宋"/>
                <w:highlight w:val="none"/>
              </w:rPr>
            </w:pPr>
            <w:r>
              <w:rPr>
                <w:rFonts w:hint="eastAsia" w:ascii="仿宋" w:hAnsi="仿宋" w:eastAsia="仿宋" w:cs="仿宋"/>
                <w:sz w:val="24"/>
                <w:highlight w:val="none"/>
              </w:rPr>
              <w:t>履约保证金</w:t>
            </w:r>
          </w:p>
        </w:tc>
        <w:tc>
          <w:tcPr>
            <w:tcW w:w="6381" w:type="dxa"/>
            <w:tcBorders>
              <w:top w:val="nil"/>
              <w:left w:val="nil"/>
              <w:bottom w:val="single" w:color="auto" w:sz="4" w:space="0"/>
              <w:right w:val="single" w:color="auto" w:sz="8" w:space="0"/>
            </w:tcBorders>
            <w:noWrap w:val="0"/>
            <w:vAlign w:val="center"/>
          </w:tcPr>
          <w:p w14:paraId="7A3D3187">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sym w:font="Wingdings" w:char="00FE"/>
            </w:r>
            <w:r>
              <w:rPr>
                <w:rFonts w:hint="eastAsia" w:ascii="仿宋" w:hAnsi="仿宋" w:eastAsia="仿宋" w:cs="仿宋"/>
                <w:sz w:val="24"/>
                <w:highlight w:val="none"/>
              </w:rPr>
              <w:t>本项目不收取履约保证金</w:t>
            </w:r>
          </w:p>
          <w:p w14:paraId="284EA7AE">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sym w:font="Wingdings" w:char="00A8"/>
            </w:r>
            <w:r>
              <w:rPr>
                <w:rFonts w:hint="eastAsia" w:ascii="仿宋" w:hAnsi="仿宋" w:eastAsia="仿宋" w:cs="仿宋"/>
                <w:sz w:val="24"/>
                <w:highlight w:val="none"/>
              </w:rPr>
              <w:t>本项目收取履约保证金</w:t>
            </w:r>
          </w:p>
          <w:p w14:paraId="276454C5">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u w:val="single"/>
              </w:rPr>
            </w:pPr>
            <w:r>
              <w:rPr>
                <w:rFonts w:hint="eastAsia" w:ascii="仿宋" w:hAnsi="仿宋" w:eastAsia="仿宋" w:cs="仿宋"/>
                <w:sz w:val="24"/>
                <w:highlight w:val="none"/>
              </w:rPr>
              <w:t>履约保证金金额：</w:t>
            </w:r>
            <w:r>
              <w:rPr>
                <w:rFonts w:hint="eastAsia" w:ascii="仿宋" w:hAnsi="仿宋" w:eastAsia="仿宋" w:cs="仿宋"/>
                <w:sz w:val="24"/>
                <w:highlight w:val="none"/>
                <w:u w:val="single"/>
              </w:rPr>
              <w:t xml:space="preserve">           按采购人要求执行       </w:t>
            </w:r>
          </w:p>
          <w:p w14:paraId="0B407320">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履约保证金递交时间：</w:t>
            </w:r>
            <w:r>
              <w:rPr>
                <w:rFonts w:hint="eastAsia" w:ascii="仿宋" w:hAnsi="仿宋" w:eastAsia="仿宋" w:cs="仿宋"/>
                <w:sz w:val="24"/>
                <w:highlight w:val="none"/>
                <w:u w:val="single"/>
              </w:rPr>
              <w:t xml:space="preserve">       按采购人要求执行      </w:t>
            </w:r>
          </w:p>
          <w:p w14:paraId="109D41B1">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履约保证金递交方式：</w:t>
            </w:r>
            <w:r>
              <w:rPr>
                <w:rFonts w:hint="eastAsia" w:ascii="仿宋" w:hAnsi="仿宋" w:eastAsia="仿宋" w:cs="仿宋"/>
                <w:sz w:val="24"/>
                <w:highlight w:val="none"/>
                <w:u w:val="single"/>
              </w:rPr>
              <w:t xml:space="preserve">       按采购人要求执行      </w:t>
            </w:r>
            <w:r>
              <w:rPr>
                <w:rFonts w:hint="eastAsia" w:ascii="仿宋" w:hAnsi="仿宋" w:eastAsia="仿宋" w:cs="仿宋"/>
                <w:sz w:val="24"/>
                <w:highlight w:val="none"/>
              </w:rPr>
              <w:t xml:space="preserve"> </w:t>
            </w:r>
          </w:p>
          <w:p w14:paraId="61E2924D">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履约保证金退还时间及规定：</w:t>
            </w:r>
            <w:r>
              <w:rPr>
                <w:rFonts w:hint="eastAsia" w:ascii="仿宋" w:hAnsi="仿宋" w:eastAsia="仿宋" w:cs="仿宋"/>
                <w:sz w:val="24"/>
                <w:highlight w:val="none"/>
                <w:u w:val="single"/>
              </w:rPr>
              <w:t xml:space="preserve"> 按采购人要求执行      </w:t>
            </w:r>
          </w:p>
        </w:tc>
      </w:tr>
      <w:tr w14:paraId="5EA7B6F2">
        <w:tblPrEx>
          <w:tblCellMar>
            <w:top w:w="0" w:type="dxa"/>
            <w:left w:w="108" w:type="dxa"/>
            <w:bottom w:w="0" w:type="dxa"/>
            <w:right w:w="108" w:type="dxa"/>
          </w:tblCellMar>
        </w:tblPrEx>
        <w:trPr>
          <w:trHeight w:val="943" w:hRule="atLeast"/>
        </w:trPr>
        <w:tc>
          <w:tcPr>
            <w:tcW w:w="856" w:type="dxa"/>
            <w:tcBorders>
              <w:top w:val="single" w:color="auto" w:sz="4" w:space="0"/>
              <w:left w:val="single" w:color="auto" w:sz="4" w:space="0"/>
              <w:bottom w:val="single" w:color="auto" w:sz="4" w:space="0"/>
              <w:right w:val="single" w:color="auto" w:sz="4" w:space="0"/>
            </w:tcBorders>
            <w:noWrap w:val="0"/>
            <w:vAlign w:val="center"/>
          </w:tcPr>
          <w:p w14:paraId="27CC5CB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21</w:t>
            </w:r>
          </w:p>
        </w:tc>
        <w:tc>
          <w:tcPr>
            <w:tcW w:w="1773" w:type="dxa"/>
            <w:tcBorders>
              <w:top w:val="single" w:color="auto" w:sz="4" w:space="0"/>
              <w:left w:val="single" w:color="auto" w:sz="4" w:space="0"/>
              <w:bottom w:val="single" w:color="auto" w:sz="4" w:space="0"/>
              <w:right w:val="single" w:color="auto" w:sz="4" w:space="0"/>
            </w:tcBorders>
            <w:noWrap w:val="0"/>
            <w:vAlign w:val="center"/>
          </w:tcPr>
          <w:p w14:paraId="01CF8B1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采购代理</w:t>
            </w:r>
          </w:p>
          <w:p w14:paraId="22EC697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服务费</w:t>
            </w:r>
          </w:p>
        </w:tc>
        <w:tc>
          <w:tcPr>
            <w:tcW w:w="6381" w:type="dxa"/>
            <w:tcBorders>
              <w:top w:val="single" w:color="auto" w:sz="4" w:space="0"/>
              <w:left w:val="single" w:color="auto" w:sz="4" w:space="0"/>
              <w:bottom w:val="single" w:color="auto" w:sz="4" w:space="0"/>
              <w:right w:val="single" w:color="auto" w:sz="4" w:space="0"/>
            </w:tcBorders>
            <w:noWrap w:val="0"/>
            <w:vAlign w:val="center"/>
          </w:tcPr>
          <w:p w14:paraId="48910847">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sym w:font="Wingdings" w:char="00A8"/>
            </w:r>
            <w:r>
              <w:rPr>
                <w:rFonts w:hint="eastAsia" w:ascii="仿宋" w:hAnsi="仿宋" w:eastAsia="仿宋" w:cs="仿宋"/>
                <w:sz w:val="24"/>
                <w:highlight w:val="none"/>
              </w:rPr>
              <w:t>本项目不收取采购代理服务费</w:t>
            </w:r>
          </w:p>
          <w:p w14:paraId="5E6E4912">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sym w:font="Wingdings" w:char="00FE"/>
            </w:r>
            <w:r>
              <w:rPr>
                <w:rFonts w:hint="eastAsia" w:ascii="仿宋" w:hAnsi="仿宋" w:eastAsia="仿宋" w:cs="仿宋"/>
                <w:sz w:val="24"/>
                <w:highlight w:val="none"/>
              </w:rPr>
              <w:t>本项目收取采购代理服务费</w:t>
            </w:r>
          </w:p>
          <w:p w14:paraId="5D2AE0A8">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本项目采购代理服务费由中标供应商向采购代理机构予以支付。</w:t>
            </w:r>
          </w:p>
          <w:p w14:paraId="1F05963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highlight w:val="none"/>
                <w:u w:val="single"/>
              </w:rPr>
            </w:pPr>
            <w:r>
              <w:rPr>
                <w:rFonts w:hint="eastAsia" w:ascii="仿宋" w:hAnsi="仿宋" w:eastAsia="仿宋" w:cs="仿宋"/>
                <w:sz w:val="24"/>
                <w:highlight w:val="none"/>
              </w:rPr>
              <w:t>支付标准：</w:t>
            </w:r>
            <w:r>
              <w:rPr>
                <w:rFonts w:ascii="仿宋" w:hAnsi="仿宋" w:eastAsia="仿宋" w:cs="仿宋"/>
                <w:color w:val="000000"/>
                <w:kern w:val="0"/>
                <w:sz w:val="24"/>
                <w:szCs w:val="24"/>
                <w:highlight w:val="none"/>
                <w:u w:val="single"/>
                <w:lang w:val="en-US" w:eastAsia="zh-CN" w:bidi="ar"/>
              </w:rPr>
              <w:t xml:space="preserve">参照国家计委《招标代理服务收费管理暂行办法》 </w:t>
            </w:r>
          </w:p>
          <w:p w14:paraId="4975DFF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highlight w:val="none"/>
                <w:lang w:val="en-US"/>
              </w:rPr>
            </w:pPr>
            <w:r>
              <w:rPr>
                <w:rFonts w:hint="eastAsia" w:ascii="仿宋" w:hAnsi="仿宋" w:eastAsia="仿宋" w:cs="仿宋"/>
                <w:color w:val="000000"/>
                <w:kern w:val="0"/>
                <w:sz w:val="24"/>
                <w:szCs w:val="24"/>
                <w:highlight w:val="none"/>
                <w:u w:val="single"/>
                <w:lang w:val="en-US" w:eastAsia="zh-CN" w:bidi="ar"/>
              </w:rPr>
              <w:t>（计价格[2002]1980 号）所规定标准下附5%计算，计算出的金额低于5000元的按5000元收取，计算出的金额大于等于5000元的按计算结果收取</w:t>
            </w:r>
            <w:bookmarkStart w:id="67" w:name="_GoBack"/>
            <w:bookmarkEnd w:id="67"/>
            <w:r>
              <w:rPr>
                <w:rFonts w:hint="eastAsia" w:ascii="仿宋" w:hAnsi="仿宋" w:eastAsia="仿宋" w:cs="仿宋"/>
                <w:color w:val="000000"/>
                <w:kern w:val="0"/>
                <w:sz w:val="24"/>
                <w:szCs w:val="24"/>
                <w:highlight w:val="none"/>
                <w:u w:val="single"/>
                <w:lang w:val="en-US" w:eastAsia="zh-CN" w:bidi="ar"/>
              </w:rPr>
              <w:t>。</w:t>
            </w:r>
          </w:p>
          <w:p w14:paraId="33587932">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支付形式：</w:t>
            </w:r>
            <w:r>
              <w:rPr>
                <w:rFonts w:hint="eastAsia" w:ascii="仿宋" w:hAnsi="仿宋" w:eastAsia="仿宋" w:cs="仿宋"/>
                <w:sz w:val="24"/>
                <w:highlight w:val="none"/>
              </w:rPr>
              <w:sym w:font="Wingdings" w:char="00FE"/>
            </w:r>
            <w:r>
              <w:rPr>
                <w:rFonts w:hint="eastAsia" w:ascii="仿宋" w:hAnsi="仿宋" w:eastAsia="仿宋" w:cs="仿宋"/>
                <w:sz w:val="24"/>
                <w:highlight w:val="none"/>
              </w:rPr>
              <w:t xml:space="preserve">支票  </w:t>
            </w:r>
            <w:r>
              <w:rPr>
                <w:rFonts w:hint="eastAsia" w:ascii="仿宋" w:hAnsi="仿宋" w:eastAsia="仿宋" w:cs="仿宋"/>
                <w:sz w:val="24"/>
                <w:highlight w:val="none"/>
              </w:rPr>
              <w:sym w:font="Wingdings" w:char="00FE"/>
            </w:r>
            <w:r>
              <w:rPr>
                <w:rFonts w:hint="eastAsia" w:ascii="仿宋" w:hAnsi="仿宋" w:eastAsia="仿宋" w:cs="仿宋"/>
                <w:sz w:val="24"/>
                <w:highlight w:val="none"/>
              </w:rPr>
              <w:t xml:space="preserve">电汇  </w:t>
            </w:r>
            <w:r>
              <w:rPr>
                <w:rFonts w:hint="eastAsia" w:ascii="仿宋" w:hAnsi="仿宋" w:eastAsia="仿宋" w:cs="仿宋"/>
                <w:sz w:val="24"/>
                <w:highlight w:val="none"/>
              </w:rPr>
              <w:sym w:font="Wingdings" w:char="00FE"/>
            </w:r>
            <w:r>
              <w:rPr>
                <w:rFonts w:hint="eastAsia" w:ascii="仿宋" w:hAnsi="仿宋" w:eastAsia="仿宋" w:cs="仿宋"/>
                <w:sz w:val="24"/>
                <w:highlight w:val="none"/>
              </w:rPr>
              <w:t>现金</w:t>
            </w:r>
          </w:p>
          <w:p w14:paraId="08F0AE5F">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支付时间：领取中标通知书时支付代理服务费</w:t>
            </w:r>
          </w:p>
        </w:tc>
      </w:tr>
      <w:tr w14:paraId="3EFA0F3A">
        <w:tblPrEx>
          <w:tblCellMar>
            <w:top w:w="0" w:type="dxa"/>
            <w:left w:w="108" w:type="dxa"/>
            <w:bottom w:w="0" w:type="dxa"/>
            <w:right w:w="108" w:type="dxa"/>
          </w:tblCellMar>
        </w:tblPrEx>
        <w:trPr>
          <w:trHeight w:val="800" w:hRule="atLeast"/>
        </w:trPr>
        <w:tc>
          <w:tcPr>
            <w:tcW w:w="856" w:type="dxa"/>
            <w:tcBorders>
              <w:top w:val="single" w:color="auto" w:sz="4" w:space="0"/>
              <w:left w:val="single" w:color="auto" w:sz="4" w:space="0"/>
              <w:bottom w:val="single" w:color="auto" w:sz="4" w:space="0"/>
              <w:right w:val="single" w:color="auto" w:sz="4" w:space="0"/>
            </w:tcBorders>
            <w:noWrap w:val="0"/>
            <w:vAlign w:val="center"/>
          </w:tcPr>
          <w:p w14:paraId="7286E0C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22</w:t>
            </w:r>
          </w:p>
        </w:tc>
        <w:tc>
          <w:tcPr>
            <w:tcW w:w="1773" w:type="dxa"/>
            <w:tcBorders>
              <w:top w:val="single" w:color="auto" w:sz="4" w:space="0"/>
              <w:left w:val="single" w:color="auto" w:sz="4" w:space="0"/>
              <w:bottom w:val="single" w:color="auto" w:sz="4" w:space="0"/>
              <w:right w:val="single" w:color="auto" w:sz="4" w:space="0"/>
            </w:tcBorders>
            <w:noWrap w:val="0"/>
            <w:vAlign w:val="center"/>
          </w:tcPr>
          <w:p w14:paraId="4FCA3D68">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参与投标费用</w:t>
            </w:r>
          </w:p>
        </w:tc>
        <w:tc>
          <w:tcPr>
            <w:tcW w:w="6381" w:type="dxa"/>
            <w:tcBorders>
              <w:top w:val="single" w:color="auto" w:sz="4" w:space="0"/>
              <w:left w:val="single" w:color="auto" w:sz="4" w:space="0"/>
              <w:bottom w:val="single" w:color="auto" w:sz="4" w:space="0"/>
              <w:right w:val="single" w:color="auto" w:sz="4" w:space="0"/>
            </w:tcBorders>
            <w:noWrap w:val="0"/>
            <w:vAlign w:val="center"/>
          </w:tcPr>
          <w:p w14:paraId="3C11B193">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不论投标的结果如何，投标人均应自行承担所有与参加投标有关的全部费用。</w:t>
            </w:r>
          </w:p>
        </w:tc>
      </w:tr>
      <w:tr w14:paraId="40FEE91C">
        <w:tblPrEx>
          <w:tblCellMar>
            <w:top w:w="0" w:type="dxa"/>
            <w:left w:w="108" w:type="dxa"/>
            <w:bottom w:w="0" w:type="dxa"/>
            <w:right w:w="108" w:type="dxa"/>
          </w:tblCellMar>
        </w:tblPrEx>
        <w:trPr>
          <w:trHeight w:val="523" w:hRule="atLeast"/>
        </w:trPr>
        <w:tc>
          <w:tcPr>
            <w:tcW w:w="856" w:type="dxa"/>
            <w:tcBorders>
              <w:top w:val="nil"/>
              <w:left w:val="single" w:color="auto" w:sz="8" w:space="0"/>
              <w:bottom w:val="single" w:color="auto" w:sz="8" w:space="0"/>
              <w:right w:val="single" w:color="auto" w:sz="4" w:space="0"/>
            </w:tcBorders>
            <w:noWrap w:val="0"/>
            <w:vAlign w:val="center"/>
          </w:tcPr>
          <w:p w14:paraId="4BEC857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23</w:t>
            </w:r>
          </w:p>
        </w:tc>
        <w:tc>
          <w:tcPr>
            <w:tcW w:w="1773" w:type="dxa"/>
            <w:tcBorders>
              <w:top w:val="nil"/>
              <w:left w:val="single" w:color="auto" w:sz="4" w:space="0"/>
              <w:bottom w:val="single" w:color="auto" w:sz="8" w:space="0"/>
              <w:right w:val="single" w:color="auto" w:sz="8" w:space="0"/>
            </w:tcBorders>
            <w:noWrap w:val="0"/>
            <w:vAlign w:val="center"/>
          </w:tcPr>
          <w:p w14:paraId="385EC2C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低于成本价不正当竞争预防措施</w:t>
            </w:r>
          </w:p>
        </w:tc>
        <w:tc>
          <w:tcPr>
            <w:tcW w:w="6381" w:type="dxa"/>
            <w:tcBorders>
              <w:top w:val="nil"/>
              <w:left w:val="nil"/>
              <w:bottom w:val="single" w:color="auto" w:sz="8" w:space="0"/>
              <w:right w:val="single" w:color="auto" w:sz="8" w:space="0"/>
            </w:tcBorders>
            <w:noWrap w:val="0"/>
            <w:vAlign w:val="center"/>
          </w:tcPr>
          <w:p w14:paraId="144527D2">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在评标过程中，评标委员会认为投标人的报价明显低于其他通过符合性审查投标人的报价，有可能影响产品质量或者不能诚信履约的，评标委员会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14:paraId="3040D329">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14:paraId="1A5B35FD">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供应商提供书面说明后，评标委员会应当结合采购项目采购需求、专业实际情况、供应商财务状况报告、与其他供应商比较情况等就供应商书面说明进行审查评价。</w:t>
            </w:r>
          </w:p>
          <w:p w14:paraId="0086C2A7">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供应商拒绝或者变相拒绝提供有效书面说明或者书面说明不能证明其报价合理性的，评标委员会应当将其投标文件作为无效处理。</w:t>
            </w:r>
          </w:p>
        </w:tc>
      </w:tr>
      <w:tr w14:paraId="48D8015E">
        <w:tblPrEx>
          <w:tblCellMar>
            <w:top w:w="0" w:type="dxa"/>
            <w:left w:w="108" w:type="dxa"/>
            <w:bottom w:w="0" w:type="dxa"/>
            <w:right w:w="108" w:type="dxa"/>
          </w:tblCellMar>
        </w:tblPrEx>
        <w:trPr>
          <w:trHeight w:val="693" w:hRule="atLeast"/>
        </w:trPr>
        <w:tc>
          <w:tcPr>
            <w:tcW w:w="856" w:type="dxa"/>
            <w:tcBorders>
              <w:top w:val="nil"/>
              <w:left w:val="single" w:color="auto" w:sz="8" w:space="0"/>
              <w:bottom w:val="single" w:color="auto" w:sz="8" w:space="0"/>
              <w:right w:val="single" w:color="auto" w:sz="4" w:space="0"/>
            </w:tcBorders>
            <w:noWrap w:val="0"/>
            <w:vAlign w:val="center"/>
          </w:tcPr>
          <w:p w14:paraId="3EEABF9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24</w:t>
            </w:r>
          </w:p>
        </w:tc>
        <w:tc>
          <w:tcPr>
            <w:tcW w:w="1773" w:type="dxa"/>
            <w:tcBorders>
              <w:top w:val="nil"/>
              <w:left w:val="single" w:color="auto" w:sz="4" w:space="0"/>
              <w:bottom w:val="single" w:color="auto" w:sz="8" w:space="0"/>
              <w:right w:val="single" w:color="auto" w:sz="8" w:space="0"/>
            </w:tcBorders>
            <w:noWrap w:val="0"/>
            <w:vAlign w:val="center"/>
          </w:tcPr>
          <w:p w14:paraId="3C10205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政府采购</w:t>
            </w:r>
          </w:p>
          <w:p w14:paraId="37D73A7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政策支持</w:t>
            </w:r>
          </w:p>
        </w:tc>
        <w:tc>
          <w:tcPr>
            <w:tcW w:w="6381" w:type="dxa"/>
            <w:tcBorders>
              <w:top w:val="nil"/>
              <w:left w:val="nil"/>
              <w:bottom w:val="single" w:color="auto" w:sz="8" w:space="0"/>
              <w:right w:val="single" w:color="auto" w:sz="8" w:space="0"/>
            </w:tcBorders>
            <w:noWrap w:val="0"/>
            <w:vAlign w:val="center"/>
          </w:tcPr>
          <w:p w14:paraId="2AE8861D">
            <w:pPr>
              <w:widowControl/>
              <w:numPr>
                <w:ilvl w:val="0"/>
                <w:numId w:val="0"/>
              </w:numPr>
              <w:spacing w:line="32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kern w:val="2"/>
                <w:sz w:val="24"/>
                <w:szCs w:val="24"/>
                <w:highlight w:val="none"/>
                <w:lang w:val="en-US" w:eastAsia="zh-CN" w:bidi="ar-SA"/>
              </w:rPr>
              <w:t>一、</w:t>
            </w:r>
            <w:r>
              <w:rPr>
                <w:rFonts w:hint="eastAsia" w:ascii="仿宋" w:hAnsi="仿宋" w:eastAsia="仿宋" w:cs="仿宋"/>
                <w:color w:val="auto"/>
                <w:sz w:val="24"/>
                <w:highlight w:val="none"/>
                <w:lang w:eastAsia="zh-CN"/>
              </w:rPr>
              <w:t>本项目</w:t>
            </w:r>
            <w:r>
              <w:rPr>
                <w:rFonts w:hint="eastAsia" w:ascii="仿宋" w:hAnsi="仿宋" w:eastAsia="仿宋" w:cs="仿宋"/>
                <w:color w:val="auto"/>
                <w:sz w:val="24"/>
                <w:highlight w:val="none"/>
                <w:lang w:val="en-US" w:eastAsia="zh-CN"/>
              </w:rPr>
              <w:t>按（B）执行。</w:t>
            </w:r>
            <w:r>
              <w:rPr>
                <w:rFonts w:hint="eastAsia" w:ascii="仿宋" w:hAnsi="仿宋" w:eastAsia="仿宋" w:cs="仿宋"/>
                <w:sz w:val="24"/>
                <w:highlight w:val="none"/>
              </w:rPr>
              <w:t>本项目采购标的对应的中小企业划分标准所属行业是</w:t>
            </w:r>
            <w:r>
              <w:rPr>
                <w:rFonts w:hint="eastAsia" w:ascii="仿宋" w:hAnsi="仿宋" w:eastAsia="仿宋" w:cs="仿宋"/>
                <w:b/>
                <w:bCs/>
                <w:sz w:val="24"/>
                <w:highlight w:val="none"/>
                <w:u w:val="single"/>
                <w:lang w:val="en-US" w:eastAsia="zh-CN"/>
              </w:rPr>
              <w:t xml:space="preserve"> 农、林、牧、渔业</w:t>
            </w:r>
            <w:r>
              <w:rPr>
                <w:rFonts w:hint="eastAsia" w:ascii="仿宋" w:hAnsi="仿宋" w:eastAsia="仿宋" w:cs="仿宋"/>
                <w:sz w:val="24"/>
                <w:highlight w:val="none"/>
              </w:rPr>
              <w:t>。</w:t>
            </w:r>
          </w:p>
          <w:p w14:paraId="5D14D9D6">
            <w:pPr>
              <w:widowControl/>
              <w:numPr>
                <w:ilvl w:val="0"/>
                <w:numId w:val="0"/>
              </w:numPr>
              <w:spacing w:line="32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A：</w:t>
            </w:r>
            <w:r>
              <w:rPr>
                <w:rFonts w:hint="eastAsia" w:ascii="仿宋" w:hAnsi="仿宋" w:eastAsia="仿宋" w:cs="仿宋"/>
                <w:color w:val="auto"/>
                <w:sz w:val="24"/>
                <w:highlight w:val="none"/>
                <w:lang w:eastAsia="zh-CN"/>
              </w:rPr>
              <w:t>专门面向中小企业采购（</w:t>
            </w:r>
            <w:r>
              <w:rPr>
                <w:rFonts w:hint="eastAsia" w:ascii="仿宋" w:hAnsi="仿宋" w:eastAsia="仿宋" w:cs="仿宋"/>
                <w:color w:val="auto"/>
                <w:sz w:val="24"/>
                <w:highlight w:val="none"/>
                <w:lang w:val="en-US" w:eastAsia="zh-CN"/>
              </w:rPr>
              <w:t>响应文件中必须提供《中小企业声明函》</w:t>
            </w:r>
            <w:r>
              <w:rPr>
                <w:rFonts w:hint="eastAsia" w:ascii="仿宋" w:hAnsi="仿宋" w:eastAsia="仿宋" w:cs="仿宋"/>
                <w:color w:val="auto"/>
                <w:sz w:val="24"/>
                <w:highlight w:val="none"/>
                <w:lang w:eastAsia="zh-CN"/>
              </w:rPr>
              <w:t>）。</w:t>
            </w:r>
          </w:p>
          <w:p w14:paraId="1A899976">
            <w:pPr>
              <w:widowControl/>
              <w:numPr>
                <w:ilvl w:val="0"/>
                <w:numId w:val="0"/>
              </w:numPr>
              <w:spacing w:line="32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B：</w:t>
            </w:r>
            <w:r>
              <w:rPr>
                <w:rFonts w:hint="eastAsia" w:ascii="仿宋" w:hAnsi="仿宋" w:eastAsia="仿宋" w:cs="仿宋"/>
                <w:color w:val="auto"/>
                <w:sz w:val="24"/>
                <w:highlight w:val="none"/>
                <w:lang w:eastAsia="zh-CN"/>
              </w:rPr>
              <w:t>专门面向小微企业采购（</w:t>
            </w:r>
            <w:r>
              <w:rPr>
                <w:rFonts w:hint="eastAsia" w:ascii="仿宋" w:hAnsi="仿宋" w:eastAsia="仿宋" w:cs="仿宋"/>
                <w:color w:val="auto"/>
                <w:sz w:val="24"/>
                <w:highlight w:val="none"/>
                <w:lang w:val="en-US" w:eastAsia="zh-CN"/>
              </w:rPr>
              <w:t>响应文件中必须提供《中小企业声明函》</w:t>
            </w:r>
            <w:r>
              <w:rPr>
                <w:rFonts w:hint="eastAsia" w:ascii="仿宋" w:hAnsi="仿宋" w:eastAsia="仿宋" w:cs="仿宋"/>
                <w:color w:val="auto"/>
                <w:sz w:val="24"/>
                <w:highlight w:val="none"/>
                <w:lang w:eastAsia="zh-CN"/>
              </w:rPr>
              <w:t>）。</w:t>
            </w:r>
          </w:p>
          <w:p w14:paraId="008C8CBC">
            <w:pPr>
              <w:widowControl/>
              <w:numPr>
                <w:ilvl w:val="0"/>
                <w:numId w:val="0"/>
              </w:numPr>
              <w:spacing w:line="32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C: 非</w:t>
            </w:r>
            <w:r>
              <w:rPr>
                <w:rFonts w:hint="eastAsia" w:ascii="仿宋" w:hAnsi="仿宋" w:eastAsia="仿宋" w:cs="仿宋"/>
                <w:color w:val="auto"/>
                <w:sz w:val="24"/>
                <w:highlight w:val="none"/>
                <w:lang w:eastAsia="zh-CN"/>
              </w:rPr>
              <w:t>专门面向中小企业采购（</w:t>
            </w:r>
            <w:r>
              <w:rPr>
                <w:rFonts w:hint="eastAsia" w:ascii="仿宋" w:hAnsi="仿宋" w:eastAsia="仿宋" w:cs="仿宋"/>
                <w:color w:val="auto"/>
                <w:sz w:val="24"/>
                <w:highlight w:val="none"/>
                <w:lang w:val="en-US" w:eastAsia="zh-CN"/>
              </w:rPr>
              <w:t>响应文件中根据供应商自身实际情况，决定是否提供《中小企业声明函》</w:t>
            </w:r>
            <w:r>
              <w:rPr>
                <w:rFonts w:hint="eastAsia" w:ascii="仿宋" w:hAnsi="仿宋" w:eastAsia="仿宋" w:cs="仿宋"/>
                <w:color w:val="auto"/>
                <w:sz w:val="24"/>
                <w:highlight w:val="none"/>
                <w:lang w:eastAsia="zh-CN"/>
              </w:rPr>
              <w:t>）。</w:t>
            </w:r>
          </w:p>
          <w:p w14:paraId="5947E1BE">
            <w:pPr>
              <w:widowControl/>
              <w:numPr>
                <w:ilvl w:val="0"/>
                <w:numId w:val="0"/>
              </w:numPr>
              <w:spacing w:line="32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D: 不适用中小企业政府采购相关政策，供应商无须提供《中小企业声明函》。</w:t>
            </w:r>
          </w:p>
          <w:p w14:paraId="787F3264">
            <w:pPr>
              <w:widowControl/>
              <w:spacing w:line="3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二、关于非</w:t>
            </w:r>
            <w:r>
              <w:rPr>
                <w:rFonts w:hint="eastAsia" w:ascii="仿宋" w:hAnsi="仿宋" w:eastAsia="仿宋" w:cs="仿宋"/>
                <w:color w:val="auto"/>
                <w:sz w:val="24"/>
                <w:highlight w:val="none"/>
                <w:lang w:eastAsia="zh-CN"/>
              </w:rPr>
              <w:t>专门面向中小企业采购</w:t>
            </w:r>
            <w:r>
              <w:rPr>
                <w:rFonts w:hint="eastAsia" w:ascii="仿宋" w:hAnsi="仿宋" w:eastAsia="仿宋" w:cs="仿宋"/>
                <w:color w:val="auto"/>
                <w:sz w:val="24"/>
                <w:highlight w:val="none"/>
                <w:lang w:val="en-US" w:eastAsia="zh-CN"/>
              </w:rPr>
              <w:t>项目，</w:t>
            </w:r>
            <w:r>
              <w:rPr>
                <w:rFonts w:hint="eastAsia" w:ascii="仿宋" w:hAnsi="仿宋" w:eastAsia="仿宋" w:cs="仿宋"/>
                <w:color w:val="auto"/>
                <w:sz w:val="24"/>
                <w:highlight w:val="none"/>
              </w:rPr>
              <w:t>符合政府采购优先（节约能源、保护环境）采购政策及促进中小企业（监狱企业、残疾人福利性单位）发展政策的，依据规定给予评审优惠。</w:t>
            </w:r>
          </w:p>
          <w:p w14:paraId="02D4CCEC">
            <w:pPr>
              <w:widowControl/>
              <w:spacing w:line="3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关于非</w:t>
            </w:r>
            <w:r>
              <w:rPr>
                <w:rFonts w:hint="eastAsia" w:ascii="仿宋" w:hAnsi="仿宋" w:eastAsia="仿宋" w:cs="仿宋"/>
                <w:color w:val="auto"/>
                <w:sz w:val="24"/>
                <w:highlight w:val="none"/>
                <w:lang w:eastAsia="zh-CN"/>
              </w:rPr>
              <w:t>专门面向</w:t>
            </w:r>
            <w:r>
              <w:rPr>
                <w:rFonts w:hint="eastAsia" w:ascii="仿宋" w:hAnsi="仿宋" w:eastAsia="仿宋" w:cs="仿宋"/>
                <w:color w:val="auto"/>
                <w:sz w:val="24"/>
                <w:highlight w:val="none"/>
              </w:rPr>
              <w:t>中小企业（含中型、小型、微型企业）采购项目，根据《政府采购促进中小企业发展管理办法》（〔2020〕46号）、《关于印发扎实稳住经济一揽子政策措施的通知》（国发〔2022〕12号）、《关于印发&lt;自治区贯彻落实国发〔2022〕12号文件精神推进经济稳增长一揽子政策措施&gt;的通知》（新政发〔2022〕61号）的规定，评标时对符合规定的小微企业报价给予10%（</w:t>
            </w:r>
            <w:r>
              <w:rPr>
                <w:rFonts w:hint="eastAsia" w:ascii="仿宋" w:hAnsi="仿宋" w:eastAsia="仿宋" w:cs="仿宋"/>
                <w:color w:val="auto"/>
                <w:sz w:val="24"/>
                <w:highlight w:val="none"/>
                <w:lang w:eastAsia="zh-CN"/>
              </w:rPr>
              <w:t>工程项目为6%</w:t>
            </w:r>
            <w:r>
              <w:rPr>
                <w:rFonts w:hint="eastAsia" w:ascii="仿宋" w:hAnsi="仿宋" w:eastAsia="仿宋" w:cs="仿宋"/>
                <w:color w:val="auto"/>
                <w:sz w:val="24"/>
                <w:highlight w:val="none"/>
              </w:rPr>
              <w:t>）的扣除，用扣除后的价格参加评审。</w:t>
            </w:r>
          </w:p>
          <w:p w14:paraId="1EA0EA14">
            <w:pPr>
              <w:widowControl/>
              <w:spacing w:line="3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2、政府采购强制采购：标记★符号的节能产品：</w:t>
            </w:r>
          </w:p>
          <w:p w14:paraId="798CAAF5">
            <w:pPr>
              <w:widowControl/>
              <w:spacing w:line="3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符合《节能产品政府采购品目清单》内并获得认证的强制采购节能产品。</w:t>
            </w:r>
          </w:p>
          <w:p w14:paraId="46BC578D">
            <w:pPr>
              <w:widowControl/>
              <w:spacing w:line="3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3、政府采购优先采购：</w:t>
            </w:r>
          </w:p>
          <w:p w14:paraId="4EA369E0">
            <w:pPr>
              <w:widowControl/>
              <w:spacing w:line="3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(1)非标记★符号的节能产品；(2)环境标志产品；</w:t>
            </w:r>
          </w:p>
          <w:p w14:paraId="48D35F0C">
            <w:pPr>
              <w:widowControl/>
              <w:spacing w:line="3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采购产品为《节能产品政府采购品目清单》内并获得认证非标记★符号的节能产品及《环境标志产品政府采购品目清单》内并获得认证的产品：</w:t>
            </w:r>
          </w:p>
          <w:p w14:paraId="450DEBF9">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中对所供产品为节能、环境标志产品清单中的产品，在报价时必须对此类产品单独分项报价，计算出小计及占合同包总金额的百分比，并提供证明资料（中国政府采购网节能环保查询结果），未单独分项报价且未提供属于清单内产品的证明资料的不给予折扣优惠。</w:t>
            </w:r>
          </w:p>
        </w:tc>
      </w:tr>
      <w:tr w14:paraId="2131340B">
        <w:tblPrEx>
          <w:tblCellMar>
            <w:top w:w="0" w:type="dxa"/>
            <w:left w:w="108" w:type="dxa"/>
            <w:bottom w:w="0" w:type="dxa"/>
            <w:right w:w="108" w:type="dxa"/>
          </w:tblCellMar>
        </w:tblPrEx>
        <w:trPr>
          <w:trHeight w:val="506" w:hRule="atLeast"/>
        </w:trPr>
        <w:tc>
          <w:tcPr>
            <w:tcW w:w="856" w:type="dxa"/>
            <w:tcBorders>
              <w:top w:val="nil"/>
              <w:left w:val="single" w:color="auto" w:sz="8" w:space="0"/>
              <w:bottom w:val="single" w:color="auto" w:sz="8" w:space="0"/>
              <w:right w:val="single" w:color="auto" w:sz="4" w:space="0"/>
            </w:tcBorders>
            <w:noWrap w:val="0"/>
            <w:vAlign w:val="center"/>
          </w:tcPr>
          <w:p w14:paraId="0051CE7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25</w:t>
            </w:r>
          </w:p>
        </w:tc>
        <w:tc>
          <w:tcPr>
            <w:tcW w:w="1773" w:type="dxa"/>
            <w:tcBorders>
              <w:top w:val="nil"/>
              <w:left w:val="single" w:color="auto" w:sz="4" w:space="0"/>
              <w:bottom w:val="single" w:color="auto" w:sz="8" w:space="0"/>
              <w:right w:val="single" w:color="auto" w:sz="8" w:space="0"/>
            </w:tcBorders>
            <w:noWrap w:val="0"/>
            <w:vAlign w:val="center"/>
          </w:tcPr>
          <w:p w14:paraId="34B6E44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信用情况</w:t>
            </w:r>
          </w:p>
        </w:tc>
        <w:tc>
          <w:tcPr>
            <w:tcW w:w="6381" w:type="dxa"/>
            <w:tcBorders>
              <w:top w:val="nil"/>
              <w:left w:val="nil"/>
              <w:bottom w:val="single" w:color="auto" w:sz="8" w:space="0"/>
              <w:right w:val="single" w:color="auto" w:sz="8" w:space="0"/>
            </w:tcBorders>
            <w:noWrap w:val="0"/>
            <w:vAlign w:val="center"/>
          </w:tcPr>
          <w:p w14:paraId="64B04F72">
            <w:pPr>
              <w:pStyle w:val="1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color w:val="000000"/>
                <w:sz w:val="24"/>
                <w:highlight w:val="none"/>
              </w:rPr>
            </w:pPr>
            <w:r>
              <w:rPr>
                <w:rFonts w:hint="eastAsia" w:ascii="仿宋_GB2312" w:hAnsi="仿宋_GB2312" w:eastAsia="仿宋_GB2312" w:cs="仿宋_GB2312"/>
                <w:b/>
                <w:color w:val="000000"/>
                <w:sz w:val="24"/>
                <w:highlight w:val="none"/>
              </w:rPr>
              <w:t>本项目不接受失信企业投标。</w:t>
            </w:r>
          </w:p>
          <w:p w14:paraId="169E7FC6">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1、信用记录查询方式及查询内容：</w:t>
            </w:r>
          </w:p>
          <w:p w14:paraId="7290B8D3">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fldChar w:fldCharType="begin"/>
            </w:r>
            <w:r>
              <w:rPr>
                <w:rFonts w:hint="eastAsia" w:ascii="仿宋_GB2312" w:hAnsi="仿宋_GB2312" w:eastAsia="仿宋_GB2312" w:cs="仿宋_GB2312"/>
                <w:color w:val="000000"/>
                <w:sz w:val="24"/>
                <w:highlight w:val="none"/>
              </w:rPr>
              <w:instrText xml:space="preserve"> EQ \o\ac(○,1)</w:instrText>
            </w:r>
            <w:r>
              <w:rPr>
                <w:rFonts w:hint="eastAsia" w:ascii="仿宋_GB2312" w:hAnsi="仿宋_GB2312" w:eastAsia="仿宋_GB2312" w:cs="仿宋_GB2312"/>
                <w:color w:val="000000"/>
                <w:sz w:val="24"/>
                <w:highlight w:val="none"/>
              </w:rPr>
              <w:fldChar w:fldCharType="end"/>
            </w:r>
            <w:r>
              <w:rPr>
                <w:rFonts w:hint="eastAsia" w:ascii="仿宋_GB2312" w:hAnsi="仿宋_GB2312" w:eastAsia="仿宋_GB2312" w:cs="仿宋_GB2312"/>
                <w:color w:val="000000"/>
                <w:sz w:val="24"/>
                <w:highlight w:val="none"/>
              </w:rPr>
              <w:t>“信用中国”（www.creditchina.gov.cn）未被列入</w:t>
            </w:r>
            <w:r>
              <w:rPr>
                <w:rFonts w:hint="eastAsia" w:ascii="仿宋_GB2312" w:hAnsi="仿宋_GB2312" w:eastAsia="仿宋_GB2312" w:cs="仿宋_GB2312"/>
                <w:color w:val="000000"/>
                <w:sz w:val="24"/>
                <w:highlight w:val="none"/>
                <w:lang w:eastAsia="zh-CN"/>
              </w:rPr>
              <w:t>重大税收违法失信主体</w:t>
            </w:r>
            <w:r>
              <w:rPr>
                <w:rFonts w:hint="eastAsia" w:ascii="仿宋_GB2312" w:hAnsi="仿宋_GB2312" w:eastAsia="仿宋_GB2312" w:cs="仿宋_GB2312"/>
                <w:color w:val="000000"/>
                <w:sz w:val="24"/>
                <w:highlight w:val="none"/>
              </w:rPr>
              <w:t>；</w:t>
            </w:r>
            <w:r>
              <w:rPr>
                <w:rFonts w:hint="eastAsia" w:ascii="仿宋_GB2312" w:hAnsi="仿宋_GB2312" w:eastAsia="仿宋_GB2312" w:cs="仿宋_GB2312"/>
                <w:color w:val="000000"/>
                <w:sz w:val="24"/>
                <w:highlight w:val="none"/>
              </w:rPr>
              <w:fldChar w:fldCharType="begin"/>
            </w:r>
            <w:r>
              <w:rPr>
                <w:rFonts w:hint="eastAsia" w:ascii="仿宋_GB2312" w:hAnsi="仿宋_GB2312" w:eastAsia="仿宋_GB2312" w:cs="仿宋_GB2312"/>
                <w:color w:val="000000"/>
                <w:sz w:val="24"/>
                <w:highlight w:val="none"/>
              </w:rPr>
              <w:instrText xml:space="preserve"> EQ \o\ac(○,2)</w:instrText>
            </w:r>
            <w:r>
              <w:rPr>
                <w:rFonts w:hint="eastAsia" w:ascii="仿宋_GB2312" w:hAnsi="仿宋_GB2312" w:eastAsia="仿宋_GB2312" w:cs="仿宋_GB2312"/>
                <w:color w:val="000000"/>
                <w:sz w:val="24"/>
                <w:highlight w:val="none"/>
              </w:rPr>
              <w:fldChar w:fldCharType="end"/>
            </w:r>
            <w:r>
              <w:rPr>
                <w:rFonts w:hint="eastAsia" w:ascii="仿宋_GB2312" w:hAnsi="仿宋_GB2312" w:eastAsia="仿宋_GB2312" w:cs="仿宋_GB2312"/>
                <w:color w:val="000000"/>
                <w:sz w:val="24"/>
                <w:highlight w:val="none"/>
              </w:rPr>
              <w:t>“中国执行信息公开网”（http://zxgk.court.gov.cn/）未被列入失信被执行人；</w:t>
            </w:r>
            <w:r>
              <w:rPr>
                <w:rFonts w:hint="eastAsia" w:ascii="仿宋_GB2312" w:hAnsi="仿宋_GB2312" w:eastAsia="仿宋_GB2312" w:cs="仿宋_GB2312"/>
                <w:color w:val="000000"/>
                <w:sz w:val="24"/>
                <w:highlight w:val="none"/>
              </w:rPr>
              <w:fldChar w:fldCharType="begin"/>
            </w:r>
            <w:r>
              <w:rPr>
                <w:rFonts w:hint="eastAsia" w:ascii="仿宋_GB2312" w:hAnsi="仿宋_GB2312" w:eastAsia="仿宋_GB2312" w:cs="仿宋_GB2312"/>
                <w:color w:val="000000"/>
                <w:sz w:val="24"/>
                <w:highlight w:val="none"/>
              </w:rPr>
              <w:instrText xml:space="preserve"> EQ \o\ac(○,3)</w:instrText>
            </w:r>
            <w:r>
              <w:rPr>
                <w:rFonts w:hint="eastAsia" w:ascii="仿宋_GB2312" w:hAnsi="仿宋_GB2312" w:eastAsia="仿宋_GB2312" w:cs="仿宋_GB2312"/>
                <w:color w:val="000000"/>
                <w:sz w:val="24"/>
                <w:highlight w:val="none"/>
              </w:rPr>
              <w:fldChar w:fldCharType="end"/>
            </w:r>
            <w:r>
              <w:rPr>
                <w:rFonts w:hint="eastAsia" w:ascii="仿宋_GB2312" w:hAnsi="仿宋_GB2312" w:eastAsia="仿宋_GB2312" w:cs="仿宋_GB2312"/>
                <w:color w:val="000000"/>
                <w:sz w:val="24"/>
                <w:highlight w:val="none"/>
              </w:rPr>
              <w:t>“中国政府采购网”（www.ccgp.gov.cn）网站上未被列入政府采购严重违法失信行为记录名单；（网页截图须自招标文件发出之日起至首次提交投标文件截止时间内，从上述网站中截图，并加盖公章）</w:t>
            </w:r>
          </w:p>
          <w:p w14:paraId="3815588F">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highlight w:val="none"/>
              </w:rPr>
            </w:pPr>
            <w:r>
              <w:rPr>
                <w:rFonts w:hint="eastAsia" w:ascii="仿宋_GB2312" w:hAnsi="仿宋_GB2312" w:eastAsia="仿宋_GB2312" w:cs="仿宋_GB2312"/>
                <w:color w:val="000000"/>
                <w:sz w:val="24"/>
                <w:highlight w:val="none"/>
              </w:rPr>
              <w:t>2、供应商参加政府采购活动时，应当就自己的诚信情况在响应性文件中进行承诺或者提供以上网站的查询结果网页截图。</w:t>
            </w:r>
          </w:p>
        </w:tc>
      </w:tr>
      <w:tr w14:paraId="0C84B1E9">
        <w:tblPrEx>
          <w:tblCellMar>
            <w:top w:w="0" w:type="dxa"/>
            <w:left w:w="108" w:type="dxa"/>
            <w:bottom w:w="0" w:type="dxa"/>
            <w:right w:w="108" w:type="dxa"/>
          </w:tblCellMar>
        </w:tblPrEx>
        <w:trPr>
          <w:trHeight w:val="506" w:hRule="atLeast"/>
        </w:trPr>
        <w:tc>
          <w:tcPr>
            <w:tcW w:w="856" w:type="dxa"/>
            <w:tcBorders>
              <w:top w:val="nil"/>
              <w:left w:val="single" w:color="auto" w:sz="8" w:space="0"/>
              <w:bottom w:val="single" w:color="auto" w:sz="8" w:space="0"/>
              <w:right w:val="single" w:color="auto" w:sz="4" w:space="0"/>
            </w:tcBorders>
            <w:noWrap w:val="0"/>
            <w:vAlign w:val="center"/>
          </w:tcPr>
          <w:p w14:paraId="69846CC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26</w:t>
            </w:r>
          </w:p>
        </w:tc>
        <w:tc>
          <w:tcPr>
            <w:tcW w:w="1773" w:type="dxa"/>
            <w:tcBorders>
              <w:top w:val="nil"/>
              <w:left w:val="single" w:color="auto" w:sz="4" w:space="0"/>
              <w:bottom w:val="single" w:color="auto" w:sz="8" w:space="0"/>
              <w:right w:val="single" w:color="auto" w:sz="8" w:space="0"/>
            </w:tcBorders>
            <w:noWrap w:val="0"/>
            <w:vAlign w:val="center"/>
          </w:tcPr>
          <w:p w14:paraId="5A19A95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highlight w:val="none"/>
              </w:rPr>
            </w:pPr>
            <w:r>
              <w:rPr>
                <w:rFonts w:hint="eastAsia" w:ascii="仿宋" w:hAnsi="仿宋" w:eastAsia="仿宋" w:cs="仿宋"/>
                <w:sz w:val="24"/>
                <w:highlight w:val="none"/>
              </w:rPr>
              <w:t>质疑须知</w:t>
            </w:r>
          </w:p>
        </w:tc>
        <w:tc>
          <w:tcPr>
            <w:tcW w:w="6381" w:type="dxa"/>
            <w:tcBorders>
              <w:top w:val="nil"/>
              <w:left w:val="nil"/>
              <w:bottom w:val="single" w:color="auto" w:sz="8" w:space="0"/>
              <w:right w:val="single" w:color="auto" w:sz="8" w:space="0"/>
            </w:tcBorders>
            <w:noWrap w:val="0"/>
            <w:vAlign w:val="center"/>
          </w:tcPr>
          <w:p w14:paraId="0DA292E9">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一、投标人认为自己的权益受到损害的，可以在知道或者应知其权益受到损害之日起七个工作日内，向采购代理机构提出质疑。</w:t>
            </w:r>
          </w:p>
          <w:p w14:paraId="66429B10">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1、接收质疑函的方式：接收加盖单位公章的书面质疑函</w:t>
            </w:r>
          </w:p>
          <w:p w14:paraId="460AC45C">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kern w:val="0"/>
                <w:sz w:val="24"/>
                <w:highlight w:val="none"/>
                <w:u w:val="single"/>
              </w:rPr>
            </w:pPr>
            <w:r>
              <w:rPr>
                <w:rFonts w:hint="eastAsia" w:ascii="仿宋" w:hAnsi="仿宋" w:eastAsia="仿宋" w:cs="仿宋"/>
                <w:sz w:val="24"/>
                <w:highlight w:val="none"/>
              </w:rPr>
              <w:t>联系单位：</w:t>
            </w:r>
            <w:r>
              <w:rPr>
                <w:rFonts w:hint="eastAsia" w:ascii="仿宋" w:hAnsi="仿宋" w:eastAsia="仿宋" w:cs="仿宋"/>
                <w:kern w:val="0"/>
                <w:sz w:val="24"/>
                <w:highlight w:val="none"/>
                <w:u w:val="single"/>
              </w:rPr>
              <w:t>新疆中鼎远航招标有限公司</w:t>
            </w:r>
          </w:p>
          <w:p w14:paraId="44853BA7">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lang w:eastAsia="zh-CN"/>
              </w:rPr>
            </w:pPr>
            <w:r>
              <w:rPr>
                <w:rFonts w:hint="eastAsia" w:ascii="仿宋" w:hAnsi="仿宋" w:eastAsia="仿宋" w:cs="仿宋"/>
                <w:sz w:val="24"/>
                <w:highlight w:val="none"/>
              </w:rPr>
              <w:t>联 系 人：</w:t>
            </w:r>
            <w:r>
              <w:rPr>
                <w:rFonts w:hint="eastAsia" w:ascii="仿宋" w:hAnsi="仿宋" w:eastAsia="仿宋" w:cs="仿宋"/>
                <w:kern w:val="0"/>
                <w:sz w:val="24"/>
                <w:highlight w:val="none"/>
                <w:u w:val="single"/>
                <w:lang w:eastAsia="zh-CN"/>
              </w:rPr>
              <w:t>王建刚</w:t>
            </w:r>
          </w:p>
          <w:p w14:paraId="4B09BE24">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联系电话：</w:t>
            </w:r>
            <w:r>
              <w:rPr>
                <w:rFonts w:hint="eastAsia" w:ascii="仿宋" w:hAnsi="仿宋" w:eastAsia="仿宋" w:cs="仿宋"/>
                <w:kern w:val="0"/>
                <w:sz w:val="24"/>
                <w:highlight w:val="none"/>
                <w:u w:val="single"/>
              </w:rPr>
              <w:t>0991-3663698</w:t>
            </w:r>
          </w:p>
          <w:p w14:paraId="621ADCE5">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kern w:val="0"/>
                <w:sz w:val="24"/>
                <w:highlight w:val="none"/>
                <w:u w:val="single"/>
              </w:rPr>
            </w:pPr>
            <w:r>
              <w:rPr>
                <w:rFonts w:hint="eastAsia" w:ascii="仿宋" w:hAnsi="仿宋" w:eastAsia="仿宋" w:cs="仿宋"/>
                <w:sz w:val="24"/>
                <w:highlight w:val="none"/>
              </w:rPr>
              <w:t>通讯地址：</w:t>
            </w:r>
            <w:r>
              <w:rPr>
                <w:rFonts w:hint="eastAsia" w:ascii="仿宋" w:hAnsi="仿宋" w:eastAsia="仿宋" w:cs="仿宋"/>
                <w:kern w:val="0"/>
                <w:sz w:val="24"/>
                <w:highlight w:val="none"/>
                <w:u w:val="single"/>
              </w:rPr>
              <w:t>乌鲁木齐高新技术产业开发区（新市区）鲤鱼山北路298号（领世华府）2栋2108室</w:t>
            </w:r>
          </w:p>
          <w:p w14:paraId="399CE8F3">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2、质疑函的内容、格式：应符合《政府采购质疑和投诉办法》相关规定和财政部门制定的《政府采购质疑函范本》格式。</w:t>
            </w:r>
          </w:p>
          <w:p w14:paraId="45593D6A">
            <w:pPr>
              <w:pStyle w:val="12"/>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kern w:val="0"/>
                <w:sz w:val="24"/>
                <w:highlight w:val="none"/>
              </w:rPr>
            </w:pPr>
            <w:r>
              <w:rPr>
                <w:rFonts w:hint="eastAsia" w:ascii="仿宋" w:hAnsi="仿宋" w:eastAsia="仿宋" w:cs="仿宋"/>
                <w:sz w:val="24"/>
                <w:highlight w:val="none"/>
              </w:rPr>
              <w:t>二、投标人应在法定质疑期内一次性针对同一采购程序环节提出质疑，否则针对再次提出质疑将不予接收。（采购程序环节分为：</w:t>
            </w:r>
            <w:r>
              <w:rPr>
                <w:rFonts w:hint="eastAsia" w:ascii="仿宋" w:hAnsi="仿宋" w:eastAsia="仿宋" w:cs="仿宋"/>
                <w:kern w:val="0"/>
                <w:sz w:val="24"/>
                <w:highlight w:val="none"/>
              </w:rPr>
              <w:t>招标</w:t>
            </w:r>
            <w:r>
              <w:rPr>
                <w:rFonts w:hint="eastAsia" w:ascii="仿宋" w:hAnsi="仿宋" w:eastAsia="仿宋" w:cs="仿宋"/>
                <w:sz w:val="24"/>
                <w:highlight w:val="none"/>
              </w:rPr>
              <w:t>公告、招标文件、招标过程、中标结果）</w:t>
            </w:r>
          </w:p>
        </w:tc>
      </w:tr>
      <w:tr w14:paraId="718A815F">
        <w:tblPrEx>
          <w:tblCellMar>
            <w:top w:w="0" w:type="dxa"/>
            <w:left w:w="108" w:type="dxa"/>
            <w:bottom w:w="0" w:type="dxa"/>
            <w:right w:w="108" w:type="dxa"/>
          </w:tblCellMar>
        </w:tblPrEx>
        <w:trPr>
          <w:trHeight w:val="495" w:hRule="atLeast"/>
        </w:trPr>
        <w:tc>
          <w:tcPr>
            <w:tcW w:w="856" w:type="dxa"/>
            <w:tcBorders>
              <w:top w:val="nil"/>
              <w:left w:val="single" w:color="auto" w:sz="8" w:space="0"/>
              <w:bottom w:val="single" w:color="auto" w:sz="8" w:space="0"/>
              <w:right w:val="single" w:color="auto" w:sz="4" w:space="0"/>
            </w:tcBorders>
            <w:noWrap w:val="0"/>
            <w:vAlign w:val="center"/>
          </w:tcPr>
          <w:p w14:paraId="6AC50D2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27</w:t>
            </w:r>
          </w:p>
        </w:tc>
        <w:tc>
          <w:tcPr>
            <w:tcW w:w="1773" w:type="dxa"/>
            <w:tcBorders>
              <w:top w:val="nil"/>
              <w:left w:val="single" w:color="auto" w:sz="4" w:space="0"/>
              <w:bottom w:val="single" w:color="auto" w:sz="8" w:space="0"/>
              <w:right w:val="single" w:color="auto" w:sz="8" w:space="0"/>
            </w:tcBorders>
            <w:noWrap w:val="0"/>
            <w:vAlign w:val="center"/>
          </w:tcPr>
          <w:p w14:paraId="435D846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公告发布媒体</w:t>
            </w:r>
          </w:p>
        </w:tc>
        <w:tc>
          <w:tcPr>
            <w:tcW w:w="6381" w:type="dxa"/>
            <w:tcBorders>
              <w:top w:val="nil"/>
              <w:left w:val="nil"/>
              <w:bottom w:val="single" w:color="auto" w:sz="8" w:space="0"/>
              <w:right w:val="single" w:color="auto" w:sz="8" w:space="0"/>
            </w:tcBorders>
            <w:noWrap w:val="0"/>
            <w:vAlign w:val="center"/>
          </w:tcPr>
          <w:p w14:paraId="77CC5D1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highlight w:val="none"/>
              </w:rPr>
            </w:pPr>
            <w:r>
              <w:rPr>
                <w:rFonts w:hint="eastAsia" w:ascii="仿宋" w:hAnsi="仿宋" w:eastAsia="仿宋" w:cs="仿宋"/>
                <w:sz w:val="24"/>
                <w:highlight w:val="none"/>
              </w:rPr>
              <w:t>新疆政府采购网（http://www.ccgp-xinjiang.gov.cn/）</w:t>
            </w:r>
          </w:p>
        </w:tc>
      </w:tr>
      <w:tr w14:paraId="0BC29673">
        <w:tblPrEx>
          <w:tblCellMar>
            <w:top w:w="0" w:type="dxa"/>
            <w:left w:w="108" w:type="dxa"/>
            <w:bottom w:w="0" w:type="dxa"/>
            <w:right w:w="108" w:type="dxa"/>
          </w:tblCellMar>
        </w:tblPrEx>
        <w:trPr>
          <w:trHeight w:val="718" w:hRule="atLeast"/>
        </w:trPr>
        <w:tc>
          <w:tcPr>
            <w:tcW w:w="856" w:type="dxa"/>
            <w:tcBorders>
              <w:top w:val="single" w:color="auto" w:sz="4" w:space="0"/>
              <w:left w:val="single" w:color="auto" w:sz="8" w:space="0"/>
              <w:bottom w:val="single" w:color="auto" w:sz="4" w:space="0"/>
              <w:right w:val="single" w:color="auto" w:sz="4" w:space="0"/>
            </w:tcBorders>
            <w:noWrap w:val="0"/>
            <w:vAlign w:val="center"/>
          </w:tcPr>
          <w:p w14:paraId="464069C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28</w:t>
            </w:r>
          </w:p>
        </w:tc>
        <w:tc>
          <w:tcPr>
            <w:tcW w:w="1773" w:type="dxa"/>
            <w:tcBorders>
              <w:top w:val="single" w:color="auto" w:sz="4" w:space="0"/>
              <w:left w:val="single" w:color="auto" w:sz="4" w:space="0"/>
              <w:bottom w:val="single" w:color="auto" w:sz="4" w:space="0"/>
              <w:right w:val="single" w:color="auto" w:sz="8" w:space="0"/>
            </w:tcBorders>
            <w:noWrap w:val="0"/>
            <w:vAlign w:val="center"/>
          </w:tcPr>
          <w:p w14:paraId="58B2382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备注</w:t>
            </w:r>
          </w:p>
        </w:tc>
        <w:tc>
          <w:tcPr>
            <w:tcW w:w="6381" w:type="dxa"/>
            <w:tcBorders>
              <w:top w:val="single" w:color="auto" w:sz="4" w:space="0"/>
              <w:left w:val="nil"/>
              <w:bottom w:val="single" w:color="auto" w:sz="4" w:space="0"/>
              <w:right w:val="single" w:color="auto" w:sz="8" w:space="0"/>
            </w:tcBorders>
            <w:noWrap w:val="0"/>
            <w:vAlign w:val="center"/>
          </w:tcPr>
          <w:p w14:paraId="66299EF1">
            <w:pPr>
              <w:pStyle w:val="12"/>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1、招标文件中部分加“*”、加粗、加下划线、废标、无效标、投标被拒绝字样的条款，为招标的实质性要求和条件，着重提醒各投标人注意，并认真查看招标文件中的每一个条款及要求，因误读招标文件而造成的后果，招标人概不负责。</w:t>
            </w:r>
          </w:p>
          <w:p w14:paraId="0B8B95E6">
            <w:pPr>
              <w:pStyle w:val="12"/>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2、投标文件中有弄虚作假的内容，其投标文件作废。（如假证书、假业绩、隐瞒不良行为记录、夸大荣誉、使用非本单位在职员工的相关证件及不符合招标文件规定的条款等）；在签订合同之前，投标人如发现投标人的投标文件有弄虚作假内容，招标人可拒绝与其签订合同。并将其列入政府采购黑名单库。</w:t>
            </w:r>
          </w:p>
          <w:p w14:paraId="45B1C01A">
            <w:pPr>
              <w:pStyle w:val="12"/>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3、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w:t>
            </w:r>
            <w:r>
              <w:rPr>
                <w:rFonts w:hint="eastAsia" w:ascii="仿宋" w:hAnsi="仿宋" w:eastAsia="仿宋" w:cs="仿宋"/>
                <w:kern w:val="0"/>
                <w:sz w:val="24"/>
                <w:highlight w:val="none"/>
                <w:lang w:eastAsia="zh-CN"/>
              </w:rPr>
              <w:t>履约</w:t>
            </w:r>
            <w:r>
              <w:rPr>
                <w:rFonts w:hint="eastAsia" w:ascii="仿宋" w:hAnsi="仿宋" w:eastAsia="仿宋" w:cs="仿宋"/>
                <w:kern w:val="0"/>
                <w:sz w:val="24"/>
                <w:highlight w:val="none"/>
              </w:rPr>
              <w:t>。</w:t>
            </w:r>
          </w:p>
        </w:tc>
      </w:tr>
      <w:tr w14:paraId="448206B1">
        <w:tblPrEx>
          <w:tblCellMar>
            <w:top w:w="0" w:type="dxa"/>
            <w:left w:w="108" w:type="dxa"/>
            <w:bottom w:w="0" w:type="dxa"/>
            <w:right w:w="108" w:type="dxa"/>
          </w:tblCellMar>
        </w:tblPrEx>
        <w:trPr>
          <w:trHeight w:val="718" w:hRule="atLeast"/>
        </w:trPr>
        <w:tc>
          <w:tcPr>
            <w:tcW w:w="856" w:type="dxa"/>
            <w:tcBorders>
              <w:top w:val="single" w:color="auto" w:sz="4" w:space="0"/>
              <w:left w:val="single" w:color="auto" w:sz="8" w:space="0"/>
              <w:bottom w:val="single" w:color="auto" w:sz="8" w:space="0"/>
              <w:right w:val="single" w:color="auto" w:sz="4" w:space="0"/>
            </w:tcBorders>
            <w:noWrap w:val="0"/>
            <w:vAlign w:val="center"/>
          </w:tcPr>
          <w:p w14:paraId="264A71E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29</w:t>
            </w:r>
          </w:p>
        </w:tc>
        <w:tc>
          <w:tcPr>
            <w:tcW w:w="1773" w:type="dxa"/>
            <w:tcBorders>
              <w:top w:val="single" w:color="auto" w:sz="4" w:space="0"/>
              <w:left w:val="single" w:color="auto" w:sz="4" w:space="0"/>
              <w:bottom w:val="single" w:color="auto" w:sz="8" w:space="0"/>
              <w:right w:val="single" w:color="auto" w:sz="8" w:space="0"/>
            </w:tcBorders>
            <w:noWrap w:val="0"/>
            <w:vAlign w:val="center"/>
          </w:tcPr>
          <w:p w14:paraId="10035A67">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特别提醒</w:t>
            </w:r>
          </w:p>
        </w:tc>
        <w:tc>
          <w:tcPr>
            <w:tcW w:w="6381" w:type="dxa"/>
            <w:tcBorders>
              <w:top w:val="single" w:color="auto" w:sz="4" w:space="0"/>
              <w:left w:val="nil"/>
              <w:bottom w:val="single" w:color="auto" w:sz="8" w:space="0"/>
              <w:right w:val="single" w:color="auto" w:sz="8" w:space="0"/>
            </w:tcBorders>
            <w:noWrap w:val="0"/>
            <w:vAlign w:val="center"/>
          </w:tcPr>
          <w:p w14:paraId="1038C79E">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为保证项目顺利开标（开标条件：至少3家供应商提交投标文件），请已经获取招标文件的供应商，按照诚实信用原则，在获取招标文件</w:t>
            </w:r>
            <w:r>
              <w:rPr>
                <w:rFonts w:hint="eastAsia" w:ascii="仿宋" w:hAnsi="仿宋" w:eastAsia="仿宋" w:cs="仿宋"/>
                <w:b/>
                <w:bCs/>
                <w:sz w:val="24"/>
                <w:szCs w:val="24"/>
                <w:highlight w:val="none"/>
                <w:lang w:eastAsia="zh-CN"/>
              </w:rPr>
              <w:t>后</w:t>
            </w:r>
            <w:r>
              <w:rPr>
                <w:rFonts w:hint="eastAsia" w:ascii="仿宋" w:hAnsi="仿宋" w:eastAsia="仿宋" w:cs="仿宋"/>
                <w:b/>
                <w:bCs/>
                <w:sz w:val="24"/>
                <w:szCs w:val="24"/>
                <w:highlight w:val="none"/>
              </w:rPr>
              <w:t>及时告知招标代理机构是否参与本项目投标，招标代理机构将根据实际情况调整是否延期报名。</w:t>
            </w:r>
          </w:p>
          <w:p w14:paraId="22DF07F3">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rPr>
              <w:t>告知形式：邮件函件或电话</w:t>
            </w:r>
          </w:p>
          <w:p w14:paraId="32D43ECD">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邮箱号：67236314@qq.com</w:t>
            </w:r>
          </w:p>
          <w:p w14:paraId="742E8848">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b/>
                <w:bCs/>
                <w:sz w:val="24"/>
                <w:szCs w:val="24"/>
                <w:highlight w:val="none"/>
              </w:rPr>
              <w:t>电话：</w:t>
            </w:r>
            <w:r>
              <w:rPr>
                <w:rFonts w:hint="eastAsia" w:ascii="仿宋" w:hAnsi="仿宋" w:eastAsia="仿宋" w:cs="仿宋"/>
                <w:b/>
                <w:bCs/>
                <w:sz w:val="24"/>
                <w:szCs w:val="24"/>
                <w:highlight w:val="none"/>
                <w:lang w:val="en-US" w:eastAsia="zh-CN"/>
              </w:rPr>
              <w:t>17726858106</w:t>
            </w:r>
          </w:p>
        </w:tc>
      </w:tr>
    </w:tbl>
    <w:p w14:paraId="18C44362">
      <w:pPr>
        <w:outlineLvl w:val="9"/>
        <w:rPr>
          <w:rFonts w:hint="eastAsia" w:ascii="仿宋" w:hAnsi="仿宋" w:eastAsia="仿宋" w:cs="仿宋"/>
          <w:highlight w:val="none"/>
        </w:rPr>
      </w:pPr>
      <w:r>
        <w:rPr>
          <w:rFonts w:hint="eastAsia"/>
          <w:highlight w:val="none"/>
        </w:rPr>
        <w:br w:type="page"/>
      </w:r>
    </w:p>
    <w:p w14:paraId="270724E9">
      <w:pPr>
        <w:pStyle w:val="2"/>
        <w:numPr>
          <w:ilvl w:val="0"/>
          <w:numId w:val="12"/>
        </w:numPr>
        <w:spacing w:before="0" w:after="0" w:line="360" w:lineRule="auto"/>
        <w:rPr>
          <w:rFonts w:hint="eastAsia" w:ascii="仿宋" w:hAnsi="仿宋" w:eastAsia="仿宋" w:cs="仿宋"/>
          <w:color w:val="auto"/>
          <w:highlight w:val="none"/>
        </w:rPr>
      </w:pPr>
      <w:bookmarkStart w:id="37" w:name="_Toc7299"/>
      <w:r>
        <w:rPr>
          <w:rFonts w:hint="eastAsia" w:ascii="仿宋" w:hAnsi="仿宋" w:eastAsia="仿宋" w:cs="仿宋"/>
          <w:color w:val="auto"/>
          <w:highlight w:val="none"/>
        </w:rPr>
        <w:t>招标说明</w:t>
      </w:r>
      <w:bookmarkEnd w:id="36"/>
      <w:bookmarkEnd w:id="37"/>
    </w:p>
    <w:p w14:paraId="14961878">
      <w:pPr>
        <w:pStyle w:val="220"/>
        <w:spacing w:line="400" w:lineRule="exact"/>
        <w:jc w:val="center"/>
        <w:outlineLvl w:val="1"/>
        <w:rPr>
          <w:rFonts w:hint="eastAsia" w:ascii="仿宋" w:hAnsi="仿宋" w:eastAsia="仿宋" w:cs="仿宋"/>
          <w:b/>
          <w:color w:val="auto"/>
          <w:kern w:val="2"/>
          <w:sz w:val="28"/>
          <w:szCs w:val="28"/>
          <w:highlight w:val="none"/>
        </w:rPr>
      </w:pPr>
      <w:bookmarkStart w:id="38" w:name="_Toc507513096"/>
      <w:r>
        <w:rPr>
          <w:rFonts w:hint="eastAsia" w:ascii="仿宋" w:hAnsi="仿宋" w:eastAsia="仿宋" w:cs="仿宋"/>
          <w:b/>
          <w:color w:val="auto"/>
          <w:kern w:val="2"/>
          <w:sz w:val="28"/>
          <w:szCs w:val="28"/>
          <w:highlight w:val="none"/>
        </w:rPr>
        <w:t>第一章 总则</w:t>
      </w:r>
      <w:bookmarkEnd w:id="38"/>
    </w:p>
    <w:p w14:paraId="4FBAEDCF">
      <w:pPr>
        <w:spacing w:line="400" w:lineRule="exact"/>
        <w:ind w:firstLine="472" w:firstLineChars="196"/>
        <w:rPr>
          <w:rFonts w:hint="eastAsia" w:ascii="仿宋" w:hAnsi="仿宋" w:eastAsia="仿宋" w:cs="仿宋"/>
          <w:b/>
          <w:sz w:val="24"/>
          <w:highlight w:val="none"/>
        </w:rPr>
      </w:pPr>
      <w:bookmarkStart w:id="39" w:name="_Toc507513097"/>
      <w:r>
        <w:rPr>
          <w:rFonts w:hint="eastAsia" w:ascii="仿宋" w:hAnsi="仿宋" w:eastAsia="仿宋" w:cs="仿宋"/>
          <w:b/>
          <w:sz w:val="24"/>
          <w:highlight w:val="none"/>
        </w:rPr>
        <w:t>1、适用范围</w:t>
      </w:r>
    </w:p>
    <w:p w14:paraId="637F5794">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  本招标文件仅适用于新疆中鼎远航招标有限公司的本次招标活动。</w:t>
      </w:r>
    </w:p>
    <w:p w14:paraId="32914673">
      <w:pPr>
        <w:tabs>
          <w:tab w:val="left" w:pos="1185"/>
        </w:tabs>
        <w:spacing w:line="400" w:lineRule="exact"/>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2、投标资格</w:t>
      </w:r>
    </w:p>
    <w:p w14:paraId="22F0A1FA">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2.1.满足《中华人民共和国政府采购法》第二十二条规定；</w:t>
      </w:r>
    </w:p>
    <w:p w14:paraId="53FA53BF">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2.2.落实政府采购政策需满足的资格要求：见投标须知前附表</w:t>
      </w:r>
    </w:p>
    <w:p w14:paraId="1A1F94D0">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2.3.本项目的特定资格要求：见投标须知前附表 </w:t>
      </w:r>
    </w:p>
    <w:p w14:paraId="59B12724">
      <w:pPr>
        <w:spacing w:line="400" w:lineRule="exact"/>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3、投标人存在下列情形之一的，拒绝其参加本次投标（已投标的按无效标处理）：</w:t>
      </w:r>
    </w:p>
    <w:p w14:paraId="5B3D84CC">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（1）为招标人不具有独立法人资格的附属机构（单位）；</w:t>
      </w:r>
    </w:p>
    <w:p w14:paraId="5445C204">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（2）为本项目前期准备提供设计服务的；</w:t>
      </w:r>
    </w:p>
    <w:p w14:paraId="76D2FA6F">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（3）为本项目提供招标代理服务的；</w:t>
      </w:r>
    </w:p>
    <w:p w14:paraId="557CD57A">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（4）法定代表人为同一人的两个及两个以上法人，母公司、全资子公司及其控股公司，在同一货物采购招标中同时投标的；</w:t>
      </w:r>
    </w:p>
    <w:p w14:paraId="21C82018">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（5）单位负责人为同一人或者存在直接控股、管理关系的不同供应商（服务商），不得参加同一合同项下的政府采购活动；</w:t>
      </w:r>
    </w:p>
    <w:p w14:paraId="6B9EF148">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（6）被责令停业的；</w:t>
      </w:r>
    </w:p>
    <w:p w14:paraId="661A06E4">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（7）被暂停或取消投标资格的；</w:t>
      </w:r>
    </w:p>
    <w:p w14:paraId="6F38A62C">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（8）财产被接管或冻结的；</w:t>
      </w:r>
    </w:p>
    <w:p w14:paraId="726B3116">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（9）在最近三年内有骗取中标或严重违约或重大质量问题的，受到行政处罚的。</w:t>
      </w:r>
    </w:p>
    <w:p w14:paraId="1B0FDC52">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4、有下列情形之一的，视为投标人串通投标，其投标无效：</w:t>
      </w:r>
    </w:p>
    <w:p w14:paraId="62D1C98B">
      <w:pPr>
        <w:spacing w:line="400" w:lineRule="exact"/>
        <w:ind w:firstLine="540" w:firstLineChars="225"/>
        <w:rPr>
          <w:rFonts w:hint="eastAsia" w:ascii="仿宋" w:hAnsi="仿宋" w:eastAsia="仿宋" w:cs="仿宋"/>
          <w:sz w:val="24"/>
          <w:highlight w:val="none"/>
        </w:rPr>
      </w:pPr>
      <w:r>
        <w:rPr>
          <w:rFonts w:hint="eastAsia" w:ascii="仿宋" w:hAnsi="仿宋" w:eastAsia="仿宋" w:cs="仿宋"/>
          <w:sz w:val="24"/>
          <w:highlight w:val="none"/>
        </w:rPr>
        <w:t>（1）不同投标人的投标文件由同一单位或者个人编制。</w:t>
      </w:r>
    </w:p>
    <w:p w14:paraId="06CC2587">
      <w:pPr>
        <w:spacing w:line="400" w:lineRule="exact"/>
        <w:ind w:firstLine="540" w:firstLineChars="225"/>
        <w:rPr>
          <w:rFonts w:hint="eastAsia" w:ascii="仿宋" w:hAnsi="仿宋" w:eastAsia="仿宋" w:cs="仿宋"/>
          <w:sz w:val="24"/>
          <w:highlight w:val="none"/>
        </w:rPr>
      </w:pPr>
      <w:r>
        <w:rPr>
          <w:rFonts w:hint="eastAsia" w:ascii="仿宋" w:hAnsi="仿宋" w:eastAsia="仿宋" w:cs="仿宋"/>
          <w:sz w:val="24"/>
          <w:highlight w:val="none"/>
        </w:rPr>
        <w:t>（2）不同投标人委托同一单位或者个人办理投标事宜。</w:t>
      </w:r>
    </w:p>
    <w:p w14:paraId="5FE17E9B">
      <w:pPr>
        <w:spacing w:line="400" w:lineRule="exact"/>
        <w:ind w:firstLine="540" w:firstLineChars="225"/>
        <w:rPr>
          <w:rFonts w:hint="eastAsia" w:ascii="仿宋" w:hAnsi="仿宋" w:eastAsia="仿宋" w:cs="仿宋"/>
          <w:sz w:val="24"/>
          <w:highlight w:val="none"/>
        </w:rPr>
      </w:pPr>
      <w:r>
        <w:rPr>
          <w:rFonts w:hint="eastAsia" w:ascii="仿宋" w:hAnsi="仿宋" w:eastAsia="仿宋" w:cs="仿宋"/>
          <w:sz w:val="24"/>
          <w:highlight w:val="none"/>
        </w:rPr>
        <w:t>（3）不同投标人的投标文件载明的项目管理成员或者联系人员为同一人。</w:t>
      </w:r>
    </w:p>
    <w:p w14:paraId="2ABF7907">
      <w:pPr>
        <w:spacing w:line="400" w:lineRule="exact"/>
        <w:ind w:firstLine="540" w:firstLineChars="225"/>
        <w:rPr>
          <w:rFonts w:hint="eastAsia" w:ascii="仿宋" w:hAnsi="仿宋" w:eastAsia="仿宋" w:cs="仿宋"/>
          <w:sz w:val="24"/>
          <w:highlight w:val="none"/>
        </w:rPr>
      </w:pPr>
      <w:r>
        <w:rPr>
          <w:rFonts w:hint="eastAsia" w:ascii="仿宋" w:hAnsi="仿宋" w:eastAsia="仿宋" w:cs="仿宋"/>
          <w:sz w:val="24"/>
          <w:highlight w:val="none"/>
        </w:rPr>
        <w:t>（4）不同投标人的投标文件异常一致或者投标报价呈规律性差异。</w:t>
      </w:r>
    </w:p>
    <w:p w14:paraId="45DE3841">
      <w:pPr>
        <w:spacing w:line="400" w:lineRule="exact"/>
        <w:ind w:firstLine="540" w:firstLineChars="225"/>
        <w:rPr>
          <w:rFonts w:hint="eastAsia" w:ascii="仿宋" w:hAnsi="仿宋" w:eastAsia="仿宋" w:cs="仿宋"/>
          <w:sz w:val="24"/>
          <w:highlight w:val="none"/>
        </w:rPr>
      </w:pPr>
      <w:r>
        <w:rPr>
          <w:rFonts w:hint="eastAsia" w:ascii="仿宋" w:hAnsi="仿宋" w:eastAsia="仿宋" w:cs="仿宋"/>
          <w:sz w:val="24"/>
          <w:highlight w:val="none"/>
        </w:rPr>
        <w:t>（5）不同投标人的投标文件相互混装。</w:t>
      </w:r>
    </w:p>
    <w:p w14:paraId="23A55308">
      <w:pPr>
        <w:spacing w:line="400" w:lineRule="exact"/>
        <w:ind w:firstLine="540" w:firstLineChars="225"/>
        <w:rPr>
          <w:rFonts w:hint="eastAsia" w:ascii="仿宋" w:hAnsi="仿宋" w:eastAsia="仿宋" w:cs="仿宋"/>
          <w:sz w:val="24"/>
          <w:highlight w:val="none"/>
        </w:rPr>
      </w:pPr>
      <w:r>
        <w:rPr>
          <w:rFonts w:hint="eastAsia" w:ascii="仿宋" w:hAnsi="仿宋" w:eastAsia="仿宋" w:cs="仿宋"/>
          <w:sz w:val="24"/>
          <w:highlight w:val="none"/>
        </w:rPr>
        <w:t>（6）不同投标人的投标保证金从同一单位或者个人的账户转出。</w:t>
      </w:r>
    </w:p>
    <w:p w14:paraId="428095DF">
      <w:pPr>
        <w:spacing w:line="400" w:lineRule="exact"/>
        <w:ind w:firstLine="566" w:firstLineChars="236"/>
        <w:rPr>
          <w:rFonts w:hint="eastAsia" w:ascii="仿宋" w:hAnsi="仿宋" w:eastAsia="仿宋" w:cs="仿宋"/>
          <w:sz w:val="24"/>
          <w:highlight w:val="none"/>
        </w:rPr>
      </w:pPr>
      <w:r>
        <w:rPr>
          <w:rFonts w:hint="eastAsia" w:ascii="仿宋" w:hAnsi="仿宋" w:eastAsia="仿宋" w:cs="仿宋"/>
          <w:sz w:val="24"/>
          <w:highlight w:val="none"/>
        </w:rPr>
        <w:t>（7）投标文件技术规格中的响应与事实不符或虚假投标的；</w:t>
      </w:r>
    </w:p>
    <w:p w14:paraId="2EABED6B">
      <w:pPr>
        <w:spacing w:line="400" w:lineRule="exact"/>
        <w:ind w:firstLine="566" w:firstLineChars="236"/>
        <w:rPr>
          <w:rFonts w:hint="eastAsia" w:ascii="仿宋" w:hAnsi="仿宋" w:eastAsia="仿宋" w:cs="仿宋"/>
          <w:sz w:val="24"/>
          <w:highlight w:val="none"/>
        </w:rPr>
      </w:pPr>
      <w:r>
        <w:rPr>
          <w:rFonts w:hint="eastAsia" w:ascii="仿宋" w:hAnsi="仿宋" w:eastAsia="仿宋" w:cs="仿宋"/>
          <w:sz w:val="24"/>
          <w:highlight w:val="none"/>
        </w:rPr>
        <w:t>（8）投标文件符合招标文件中规定废标的其它技术条款；</w:t>
      </w:r>
    </w:p>
    <w:p w14:paraId="2FB649F0">
      <w:pPr>
        <w:spacing w:line="400" w:lineRule="exact"/>
        <w:ind w:firstLine="566" w:firstLineChars="236"/>
        <w:rPr>
          <w:rFonts w:hint="eastAsia" w:ascii="仿宋" w:hAnsi="仿宋" w:eastAsia="仿宋" w:cs="仿宋"/>
          <w:sz w:val="24"/>
          <w:highlight w:val="none"/>
        </w:rPr>
      </w:pPr>
      <w:r>
        <w:rPr>
          <w:rFonts w:hint="eastAsia" w:ascii="仿宋" w:hAnsi="仿宋" w:eastAsia="仿宋" w:cs="仿宋"/>
          <w:sz w:val="24"/>
          <w:highlight w:val="none"/>
        </w:rPr>
        <w:t>（9）投标人拒绝修正错误的；</w:t>
      </w:r>
    </w:p>
    <w:p w14:paraId="683505F7">
      <w:pPr>
        <w:spacing w:line="400" w:lineRule="exact"/>
        <w:ind w:firstLine="566" w:firstLineChars="236"/>
        <w:rPr>
          <w:rFonts w:hint="eastAsia" w:ascii="仿宋" w:hAnsi="仿宋" w:eastAsia="仿宋" w:cs="仿宋"/>
          <w:sz w:val="24"/>
          <w:highlight w:val="none"/>
        </w:rPr>
      </w:pPr>
      <w:r>
        <w:rPr>
          <w:rFonts w:hint="eastAsia" w:ascii="仿宋" w:hAnsi="仿宋" w:eastAsia="仿宋" w:cs="仿宋"/>
          <w:sz w:val="24"/>
          <w:highlight w:val="none"/>
        </w:rPr>
        <w:t>（10）其他违反相关法律法规规定的行为的；</w:t>
      </w:r>
    </w:p>
    <w:p w14:paraId="0086E46D">
      <w:pPr>
        <w:spacing w:line="400" w:lineRule="exact"/>
        <w:ind w:firstLine="566" w:firstLineChars="236"/>
        <w:rPr>
          <w:rFonts w:hint="eastAsia" w:ascii="仿宋" w:hAnsi="仿宋" w:eastAsia="仿宋" w:cs="仿宋"/>
          <w:sz w:val="24"/>
          <w:highlight w:val="none"/>
        </w:rPr>
      </w:pPr>
      <w:r>
        <w:rPr>
          <w:rFonts w:hint="eastAsia" w:ascii="仿宋" w:hAnsi="仿宋" w:eastAsia="仿宋" w:cs="仿宋"/>
          <w:sz w:val="24"/>
          <w:highlight w:val="none"/>
        </w:rPr>
        <w:t>（11）评标委员会认为是其他应当否决的投标。</w:t>
      </w:r>
    </w:p>
    <w:p w14:paraId="258CEFDA">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5、投标人在本次招标活动中，必须遵守《中华人民共和国政府采购法》及相关法律法规的规定。</w:t>
      </w:r>
    </w:p>
    <w:p w14:paraId="330A2692">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6、定义</w:t>
      </w:r>
    </w:p>
    <w:p w14:paraId="0DA3DBD7">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下列术语和缩写的定义为：</w:t>
      </w:r>
    </w:p>
    <w:p w14:paraId="21F3D766">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6.1  “采购人”是指依法进行政府采购的国家机关、事业单位、团体组织。</w:t>
      </w:r>
    </w:p>
    <w:p w14:paraId="4053E84B">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6.2  “招标代理机构”系指新疆中鼎远航招标有限公司。</w:t>
      </w:r>
    </w:p>
    <w:p w14:paraId="2F21793E">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6.3  “招标方”系指采购人和招标代理机构的统称。</w:t>
      </w:r>
    </w:p>
    <w:p w14:paraId="566D6F71">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6.4  “投标人”是响应招标文件并且符合招标文件规定资格条件和参加投标竞争的法人、其他组织或者自然人。</w:t>
      </w:r>
    </w:p>
    <w:p w14:paraId="6B1D0E4B">
      <w:pPr>
        <w:pStyle w:val="19"/>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6.5　“供应商”是指向采购人提供货物、工程或者服务的法人、其他组织或者自然人。</w:t>
      </w:r>
    </w:p>
    <w:p w14:paraId="306B1A8C">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6.6  “投标人代表”是指投标人法定代表人，或法定代表人指定的某一代表自己参与和处理与投标项目有关事宜的自然人。</w:t>
      </w:r>
    </w:p>
    <w:p w14:paraId="1F7FEFAB">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6.7 “中标人”系指经评标委员会评定后由评标委员会推荐并由采购人确定的投标人。</w:t>
      </w:r>
    </w:p>
    <w:p w14:paraId="53C306FD">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6.8  “货物”、“产品”指本招标文件中第四部分《采购需求》及《政府采购品目分类目录》(财库[2013]189号)所述所有货物及相关服务。</w:t>
      </w:r>
    </w:p>
    <w:p w14:paraId="726F7DDB">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6.9  采购信息安全产品的，应当采购经国家认证的信息安全产品；供应货物中的相关产品，供应商应提供由中国信息安全认证中心按国家标准认证颁发的有效认证证书。</w:t>
      </w:r>
    </w:p>
    <w:p w14:paraId="310C0293">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6.10 “节能产品”或者“环保产品”是指财政部发布的《节能产品政府采购品目清单》内并获得认证的产品及《环境标志产品政府采购品目清单》内并获得认证的产品。</w:t>
      </w:r>
    </w:p>
    <w:p w14:paraId="41F84644">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6.11 “进口产品”是指通过中国海关报关验放进入中国境内且产自关境外的产品，详见《关于政府采购进口产品管理有关问题的通知》(财库[2007]119号)。</w:t>
      </w:r>
    </w:p>
    <w:p w14:paraId="29453A9C">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6.12  “服务”系指招标文件中规定投标人须承担的质保、技术协助、培训及其他类似的责任。</w:t>
      </w:r>
    </w:p>
    <w:p w14:paraId="32B2070E">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6.13 “响应”系指投标人根据招标代理机构发布的招标文件，编制投标文件并按规定投标的行为。</w:t>
      </w:r>
    </w:p>
    <w:p w14:paraId="3B49E7C3">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6.14  “标段（包）”系指一个完整独立的投标项目。</w:t>
      </w:r>
    </w:p>
    <w:p w14:paraId="5E5C9EF3">
      <w:pPr>
        <w:spacing w:line="400" w:lineRule="exact"/>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7、投标费用</w:t>
      </w:r>
    </w:p>
    <w:p w14:paraId="00FC1866">
      <w:pPr>
        <w:spacing w:line="400" w:lineRule="exact"/>
        <w:ind w:firstLine="482"/>
        <w:rPr>
          <w:rFonts w:hint="eastAsia" w:ascii="仿宋" w:hAnsi="仿宋" w:eastAsia="仿宋" w:cs="仿宋"/>
          <w:sz w:val="24"/>
          <w:highlight w:val="none"/>
        </w:rPr>
      </w:pPr>
      <w:r>
        <w:rPr>
          <w:rFonts w:hint="eastAsia" w:ascii="仿宋" w:hAnsi="仿宋" w:eastAsia="仿宋" w:cs="仿宋"/>
          <w:sz w:val="24"/>
          <w:highlight w:val="none"/>
        </w:rPr>
        <w:t>7.1  无论投标结果如何，凡参与招标、投标活动有关的所有费用将由投标人自行承担。</w:t>
      </w:r>
    </w:p>
    <w:p w14:paraId="05560DD8">
      <w:pPr>
        <w:tabs>
          <w:tab w:val="left" w:pos="1185"/>
        </w:tabs>
        <w:spacing w:line="400" w:lineRule="exact"/>
        <w:ind w:firstLine="480" w:firstLineChars="200"/>
        <w:rPr>
          <w:highlight w:val="none"/>
        </w:rPr>
      </w:pPr>
      <w:r>
        <w:rPr>
          <w:rFonts w:hint="eastAsia" w:ascii="仿宋" w:hAnsi="仿宋" w:eastAsia="仿宋" w:cs="仿宋"/>
          <w:sz w:val="24"/>
          <w:highlight w:val="none"/>
        </w:rPr>
        <w:t>7.2  投标人被视为熟悉本招标项目的各种情况以及与履行合同有关的一切情况</w:t>
      </w:r>
      <w:r>
        <w:rPr>
          <w:rFonts w:hint="eastAsia"/>
          <w:highlight w:val="none"/>
        </w:rPr>
        <w:t>。</w:t>
      </w:r>
    </w:p>
    <w:p w14:paraId="56E89709">
      <w:pPr>
        <w:pStyle w:val="220"/>
        <w:spacing w:line="400" w:lineRule="exact"/>
        <w:outlineLvl w:val="9"/>
        <w:rPr>
          <w:rFonts w:hint="eastAsia" w:ascii="仿宋" w:hAnsi="仿宋" w:eastAsia="仿宋" w:cs="仿宋"/>
          <w:b/>
          <w:color w:val="auto"/>
          <w:kern w:val="2"/>
          <w:sz w:val="28"/>
          <w:szCs w:val="28"/>
          <w:highlight w:val="none"/>
        </w:rPr>
      </w:pPr>
    </w:p>
    <w:p w14:paraId="7B81E322">
      <w:pPr>
        <w:pStyle w:val="220"/>
        <w:spacing w:line="400" w:lineRule="exact"/>
        <w:jc w:val="center"/>
        <w:outlineLvl w:val="1"/>
        <w:rPr>
          <w:rFonts w:hint="eastAsia" w:ascii="仿宋" w:hAnsi="仿宋" w:eastAsia="仿宋" w:cs="仿宋"/>
          <w:b/>
          <w:color w:val="auto"/>
          <w:kern w:val="2"/>
          <w:sz w:val="28"/>
          <w:szCs w:val="28"/>
          <w:highlight w:val="none"/>
        </w:rPr>
      </w:pPr>
      <w:r>
        <w:rPr>
          <w:rFonts w:hint="eastAsia" w:ascii="仿宋" w:hAnsi="仿宋" w:eastAsia="仿宋" w:cs="仿宋"/>
          <w:b/>
          <w:color w:val="auto"/>
          <w:kern w:val="2"/>
          <w:sz w:val="28"/>
          <w:szCs w:val="28"/>
          <w:highlight w:val="none"/>
        </w:rPr>
        <w:t>第二章 招标文件</w:t>
      </w:r>
      <w:bookmarkEnd w:id="39"/>
    </w:p>
    <w:p w14:paraId="21D0FF5B">
      <w:pPr>
        <w:spacing w:line="400" w:lineRule="exact"/>
        <w:ind w:firstLine="482" w:firstLineChars="200"/>
        <w:rPr>
          <w:rFonts w:hint="eastAsia" w:ascii="仿宋" w:hAnsi="仿宋" w:eastAsia="仿宋" w:cs="仿宋"/>
          <w:b/>
          <w:sz w:val="24"/>
          <w:highlight w:val="none"/>
        </w:rPr>
      </w:pPr>
      <w:bookmarkStart w:id="40" w:name="_Toc507513098"/>
      <w:bookmarkStart w:id="41" w:name="_Toc22854"/>
      <w:r>
        <w:rPr>
          <w:rFonts w:hint="eastAsia" w:ascii="仿宋" w:hAnsi="仿宋" w:eastAsia="仿宋" w:cs="仿宋"/>
          <w:b/>
          <w:sz w:val="24"/>
          <w:highlight w:val="none"/>
        </w:rPr>
        <w:t>8、招标文件说明</w:t>
      </w:r>
    </w:p>
    <w:p w14:paraId="33AC8783">
      <w:pPr>
        <w:tabs>
          <w:tab w:val="left" w:pos="1185"/>
        </w:tabs>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8.1  招标文件组成如下：</w:t>
      </w:r>
    </w:p>
    <w:p w14:paraId="09E29AFD">
      <w:pPr>
        <w:tabs>
          <w:tab w:val="left" w:pos="1185"/>
        </w:tabs>
        <w:spacing w:line="400" w:lineRule="exact"/>
        <w:ind w:firstLine="480" w:firstLineChars="200"/>
        <w:rPr>
          <w:rFonts w:hint="eastAsia" w:ascii="仿宋" w:hAnsi="仿宋" w:eastAsia="仿宋" w:cs="仿宋"/>
          <w:b/>
          <w:sz w:val="24"/>
          <w:highlight w:val="none"/>
        </w:rPr>
      </w:pPr>
      <w:r>
        <w:rPr>
          <w:rFonts w:hint="eastAsia" w:ascii="仿宋" w:hAnsi="仿宋" w:eastAsia="仿宋" w:cs="仿宋"/>
          <w:sz w:val="24"/>
          <w:highlight w:val="none"/>
        </w:rPr>
        <w:t xml:space="preserve">  招标公告</w:t>
      </w:r>
    </w:p>
    <w:p w14:paraId="32A80F69">
      <w:pPr>
        <w:spacing w:line="400" w:lineRule="exact"/>
        <w:ind w:firstLine="720" w:firstLineChars="300"/>
        <w:rPr>
          <w:rFonts w:hint="eastAsia" w:ascii="仿宋" w:hAnsi="仿宋" w:eastAsia="仿宋" w:cs="仿宋"/>
          <w:sz w:val="24"/>
          <w:highlight w:val="none"/>
        </w:rPr>
      </w:pPr>
      <w:r>
        <w:rPr>
          <w:rFonts w:hint="eastAsia" w:ascii="仿宋" w:hAnsi="仿宋" w:eastAsia="仿宋" w:cs="仿宋"/>
          <w:sz w:val="24"/>
          <w:highlight w:val="none"/>
        </w:rPr>
        <w:t>第一部分投标须知</w:t>
      </w:r>
    </w:p>
    <w:p w14:paraId="700B6BC4">
      <w:pPr>
        <w:spacing w:line="400" w:lineRule="exact"/>
        <w:ind w:firstLine="720" w:firstLineChars="300"/>
        <w:rPr>
          <w:rFonts w:hint="eastAsia" w:ascii="仿宋" w:hAnsi="仿宋" w:eastAsia="仿宋" w:cs="仿宋"/>
          <w:sz w:val="24"/>
          <w:highlight w:val="none"/>
        </w:rPr>
      </w:pPr>
      <w:r>
        <w:rPr>
          <w:rFonts w:hint="eastAsia" w:ascii="仿宋" w:hAnsi="仿宋" w:eastAsia="仿宋" w:cs="仿宋"/>
          <w:sz w:val="24"/>
          <w:highlight w:val="none"/>
        </w:rPr>
        <w:t>第二部分招标说明</w:t>
      </w:r>
    </w:p>
    <w:p w14:paraId="5015A600">
      <w:pPr>
        <w:spacing w:line="400" w:lineRule="exact"/>
        <w:ind w:firstLine="720" w:firstLineChars="300"/>
        <w:rPr>
          <w:rFonts w:hint="eastAsia" w:ascii="仿宋" w:hAnsi="仿宋" w:eastAsia="仿宋" w:cs="仿宋"/>
          <w:sz w:val="24"/>
          <w:highlight w:val="none"/>
        </w:rPr>
      </w:pPr>
      <w:r>
        <w:rPr>
          <w:rFonts w:hint="eastAsia" w:ascii="仿宋" w:hAnsi="仿宋" w:eastAsia="仿宋" w:cs="仿宋"/>
          <w:sz w:val="24"/>
          <w:highlight w:val="none"/>
        </w:rPr>
        <w:t>第三部分投标说明</w:t>
      </w:r>
    </w:p>
    <w:p w14:paraId="2AC2F988">
      <w:pPr>
        <w:spacing w:line="400" w:lineRule="exact"/>
        <w:ind w:firstLine="720" w:firstLineChars="300"/>
        <w:rPr>
          <w:rFonts w:hint="eastAsia" w:ascii="仿宋" w:hAnsi="仿宋" w:eastAsia="仿宋" w:cs="仿宋"/>
          <w:sz w:val="24"/>
          <w:highlight w:val="none"/>
        </w:rPr>
      </w:pPr>
      <w:r>
        <w:rPr>
          <w:rFonts w:hint="eastAsia" w:ascii="仿宋" w:hAnsi="仿宋" w:eastAsia="仿宋" w:cs="仿宋"/>
          <w:sz w:val="24"/>
          <w:highlight w:val="none"/>
        </w:rPr>
        <w:t>第四部分采购内容及服务需求</w:t>
      </w:r>
    </w:p>
    <w:p w14:paraId="4728001F">
      <w:pPr>
        <w:spacing w:line="400" w:lineRule="exact"/>
        <w:ind w:firstLine="720" w:firstLineChars="300"/>
        <w:rPr>
          <w:rFonts w:hint="eastAsia" w:ascii="仿宋" w:hAnsi="仿宋" w:eastAsia="仿宋" w:cs="仿宋"/>
          <w:sz w:val="24"/>
          <w:highlight w:val="none"/>
        </w:rPr>
      </w:pPr>
      <w:r>
        <w:rPr>
          <w:rFonts w:hint="eastAsia" w:ascii="仿宋" w:hAnsi="仿宋" w:eastAsia="仿宋" w:cs="仿宋"/>
          <w:sz w:val="24"/>
          <w:highlight w:val="none"/>
        </w:rPr>
        <w:t>第五部分合同部分</w:t>
      </w:r>
    </w:p>
    <w:p w14:paraId="5483E640">
      <w:pPr>
        <w:spacing w:line="400" w:lineRule="exact"/>
        <w:ind w:firstLine="720" w:firstLineChars="300"/>
        <w:rPr>
          <w:rFonts w:hint="eastAsia" w:ascii="仿宋" w:hAnsi="仿宋" w:eastAsia="仿宋" w:cs="仿宋"/>
          <w:sz w:val="24"/>
          <w:highlight w:val="none"/>
        </w:rPr>
      </w:pPr>
      <w:r>
        <w:rPr>
          <w:rFonts w:hint="eastAsia" w:ascii="仿宋" w:hAnsi="仿宋" w:eastAsia="仿宋" w:cs="仿宋"/>
          <w:sz w:val="24"/>
          <w:highlight w:val="none"/>
        </w:rPr>
        <w:t>第六部分投标文件格式（范本格式）</w:t>
      </w:r>
    </w:p>
    <w:p w14:paraId="1A603BB7">
      <w:pPr>
        <w:tabs>
          <w:tab w:val="left" w:pos="1185"/>
        </w:tabs>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8.2  投标人应详细阅读招标文件的全部内容。如果投标人未按照招标文件要求提交全部资料或者投标文件没有对招标文件在各方面的要求做出实质性响应，将导致其投标被拒绝。</w:t>
      </w:r>
    </w:p>
    <w:p w14:paraId="7044D450">
      <w:pPr>
        <w:spacing w:line="400" w:lineRule="exact"/>
        <w:ind w:left="479" w:leftChars="228"/>
        <w:rPr>
          <w:rFonts w:hint="eastAsia" w:ascii="仿宋" w:hAnsi="仿宋" w:eastAsia="仿宋" w:cs="仿宋"/>
          <w:b/>
          <w:sz w:val="24"/>
          <w:highlight w:val="none"/>
        </w:rPr>
      </w:pPr>
      <w:r>
        <w:rPr>
          <w:rFonts w:hint="eastAsia" w:ascii="仿宋" w:hAnsi="仿宋" w:eastAsia="仿宋" w:cs="仿宋"/>
          <w:b/>
          <w:sz w:val="24"/>
          <w:highlight w:val="none"/>
        </w:rPr>
        <w:t>9、招标文件的修改或补充</w:t>
      </w:r>
    </w:p>
    <w:p w14:paraId="28C23C5A">
      <w:pPr>
        <w:spacing w:line="400" w:lineRule="exact"/>
        <w:ind w:left="479" w:leftChars="228"/>
        <w:rPr>
          <w:rFonts w:hint="eastAsia" w:ascii="仿宋" w:hAnsi="仿宋" w:eastAsia="仿宋" w:cs="仿宋"/>
          <w:sz w:val="24"/>
          <w:highlight w:val="none"/>
        </w:rPr>
      </w:pPr>
      <w:r>
        <w:rPr>
          <w:rFonts w:hint="eastAsia" w:ascii="仿宋" w:hAnsi="仿宋" w:eastAsia="仿宋" w:cs="仿宋"/>
          <w:sz w:val="24"/>
          <w:highlight w:val="none"/>
        </w:rPr>
        <w:t>9.1　澄清或者修改的内容可能影响投标文件编制的，在投标截止期十五日前的任何时间，招标方可主动或依据投标人要求澄清的问题而修改或补充招标文件，并以书面形式或网上公告通知所有投标人，投标人在收到该通知后应立即以电报或传真的形式予以确认。</w:t>
      </w:r>
    </w:p>
    <w:p w14:paraId="7811D95E">
      <w:pPr>
        <w:spacing w:line="400" w:lineRule="exact"/>
        <w:ind w:left="479" w:leftChars="228"/>
        <w:rPr>
          <w:rFonts w:hint="eastAsia" w:ascii="仿宋" w:hAnsi="仿宋" w:eastAsia="仿宋" w:cs="仿宋"/>
          <w:sz w:val="24"/>
          <w:highlight w:val="none"/>
        </w:rPr>
      </w:pPr>
      <w:r>
        <w:rPr>
          <w:rFonts w:hint="eastAsia" w:ascii="仿宋" w:hAnsi="仿宋" w:eastAsia="仿宋" w:cs="仿宋"/>
          <w:sz w:val="24"/>
          <w:highlight w:val="none"/>
        </w:rPr>
        <w:t>9.2　为使投标人在准备投标时有适当的时间考虑投标文件的修改，招标方有权决定推迟投标截止时间和开标时间，并将此变更通知所有的投标人。</w:t>
      </w:r>
    </w:p>
    <w:p w14:paraId="0E30650E">
      <w:pPr>
        <w:spacing w:line="400" w:lineRule="exact"/>
        <w:ind w:left="479" w:leftChars="228"/>
        <w:rPr>
          <w:rFonts w:hint="eastAsia" w:ascii="仿宋" w:hAnsi="仿宋" w:eastAsia="仿宋" w:cs="仿宋"/>
          <w:sz w:val="24"/>
          <w:highlight w:val="none"/>
        </w:rPr>
      </w:pPr>
      <w:r>
        <w:rPr>
          <w:rFonts w:hint="eastAsia" w:ascii="仿宋" w:hAnsi="仿宋" w:eastAsia="仿宋" w:cs="仿宋"/>
          <w:sz w:val="24"/>
          <w:highlight w:val="none"/>
        </w:rPr>
        <w:t>9.3　招标文件的修改和补充文件将构成招标文件的一部分，并且对投标人具有优先约束力。</w:t>
      </w:r>
    </w:p>
    <w:p w14:paraId="6345FFA0">
      <w:pPr>
        <w:spacing w:line="400" w:lineRule="exact"/>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10、质疑须知</w:t>
      </w:r>
    </w:p>
    <w:p w14:paraId="045A78DB">
      <w:pPr>
        <w:spacing w:line="400" w:lineRule="exact"/>
        <w:ind w:firstLine="480" w:firstLineChars="200"/>
        <w:rPr>
          <w:rFonts w:hint="eastAsia" w:ascii="仿宋" w:hAnsi="仿宋" w:eastAsia="仿宋" w:cs="仿宋"/>
          <w:b/>
          <w:sz w:val="24"/>
          <w:highlight w:val="none"/>
        </w:rPr>
      </w:pPr>
      <w:r>
        <w:rPr>
          <w:rFonts w:hint="eastAsia" w:ascii="仿宋" w:hAnsi="仿宋" w:eastAsia="仿宋" w:cs="仿宋"/>
          <w:sz w:val="24"/>
          <w:highlight w:val="none"/>
        </w:rPr>
        <w:t>投标人如需提出质疑的，应在法定质疑期内一次性提出针对同一采购程序环节的质疑。</w:t>
      </w:r>
    </w:p>
    <w:p w14:paraId="33F2425B">
      <w:pPr>
        <w:pStyle w:val="2"/>
        <w:pageBreakBefore w:val="0"/>
        <w:widowControl w:val="0"/>
        <w:numPr>
          <w:ilvl w:val="0"/>
          <w:numId w:val="12"/>
        </w:numPr>
        <w:kinsoku/>
        <w:wordWrap/>
        <w:overflowPunct/>
        <w:topLinePunct w:val="0"/>
        <w:autoSpaceDE/>
        <w:autoSpaceDN/>
        <w:bidi w:val="0"/>
        <w:adjustRightInd/>
        <w:snapToGrid/>
        <w:spacing w:before="0" w:after="0" w:line="500" w:lineRule="exact"/>
        <w:textAlignment w:val="auto"/>
        <w:rPr>
          <w:rFonts w:hint="eastAsia" w:ascii="仿宋" w:hAnsi="仿宋" w:eastAsia="仿宋" w:cs="仿宋"/>
          <w:color w:val="auto"/>
          <w:highlight w:val="none"/>
        </w:rPr>
      </w:pPr>
      <w:r>
        <w:rPr>
          <w:color w:val="auto"/>
          <w:kern w:val="2"/>
          <w:sz w:val="36"/>
          <w:szCs w:val="20"/>
          <w:highlight w:val="none"/>
        </w:rPr>
        <w:br w:type="page"/>
      </w:r>
      <w:bookmarkStart w:id="42" w:name="_Toc20225"/>
      <w:r>
        <w:rPr>
          <w:rFonts w:hint="eastAsia" w:ascii="仿宋" w:hAnsi="仿宋" w:eastAsia="仿宋" w:cs="仿宋"/>
          <w:color w:val="auto"/>
          <w:highlight w:val="none"/>
        </w:rPr>
        <w:t>投标说明</w:t>
      </w:r>
      <w:bookmarkEnd w:id="40"/>
      <w:bookmarkEnd w:id="41"/>
      <w:bookmarkEnd w:id="42"/>
    </w:p>
    <w:p w14:paraId="65910500">
      <w:pPr>
        <w:pageBreakBefore w:val="0"/>
        <w:widowControl w:val="0"/>
        <w:kinsoku/>
        <w:wordWrap/>
        <w:overflowPunct/>
        <w:topLinePunct w:val="0"/>
        <w:autoSpaceDE/>
        <w:autoSpaceDN/>
        <w:bidi w:val="0"/>
        <w:adjustRightInd/>
        <w:snapToGrid/>
        <w:spacing w:line="500" w:lineRule="exact"/>
        <w:ind w:firstLine="2249" w:firstLineChars="800"/>
        <w:textAlignment w:val="auto"/>
        <w:outlineLvl w:val="1"/>
        <w:rPr>
          <w:rFonts w:hint="eastAsia" w:ascii="仿宋" w:hAnsi="仿宋" w:eastAsia="仿宋" w:cs="仿宋"/>
          <w:b/>
          <w:sz w:val="28"/>
          <w:szCs w:val="22"/>
          <w:highlight w:val="none"/>
        </w:rPr>
      </w:pPr>
      <w:bookmarkStart w:id="43" w:name="_Toc507513099"/>
      <w:r>
        <w:rPr>
          <w:rFonts w:hint="eastAsia" w:ascii="仿宋" w:hAnsi="仿宋" w:eastAsia="仿宋" w:cs="仿宋"/>
          <w:b/>
          <w:sz w:val="28"/>
          <w:szCs w:val="22"/>
          <w:highlight w:val="none"/>
        </w:rPr>
        <w:t>第一章  对投标人的资质要求</w:t>
      </w:r>
      <w:bookmarkEnd w:id="43"/>
    </w:p>
    <w:p w14:paraId="703845EA">
      <w:pPr>
        <w:spacing w:line="440" w:lineRule="exact"/>
        <w:ind w:firstLine="472" w:firstLineChars="196"/>
        <w:rPr>
          <w:rFonts w:hint="eastAsia" w:ascii="仿宋" w:hAnsi="仿宋" w:eastAsia="仿宋" w:cs="仿宋"/>
          <w:b/>
          <w:bCs/>
          <w:sz w:val="24"/>
          <w:highlight w:val="none"/>
        </w:rPr>
      </w:pPr>
      <w:bookmarkStart w:id="44" w:name="_Toc507513100"/>
      <w:r>
        <w:rPr>
          <w:rFonts w:hint="eastAsia" w:ascii="仿宋" w:hAnsi="仿宋" w:eastAsia="仿宋" w:cs="仿宋"/>
          <w:b/>
          <w:bCs/>
          <w:sz w:val="24"/>
          <w:highlight w:val="none"/>
        </w:rPr>
        <w:t>1、投标人的资格证明</w:t>
      </w:r>
    </w:p>
    <w:p w14:paraId="64FBCB2C">
      <w:pPr>
        <w:spacing w:line="440" w:lineRule="exact"/>
        <w:ind w:firstLine="470" w:firstLineChars="196"/>
        <w:rPr>
          <w:rFonts w:hint="eastAsia" w:ascii="仿宋" w:hAnsi="仿宋" w:eastAsia="仿宋" w:cs="仿宋"/>
          <w:sz w:val="24"/>
          <w:highlight w:val="none"/>
        </w:rPr>
      </w:pPr>
      <w:r>
        <w:rPr>
          <w:rFonts w:hint="eastAsia" w:ascii="仿宋" w:hAnsi="仿宋" w:eastAsia="仿宋" w:cs="仿宋"/>
          <w:sz w:val="24"/>
          <w:highlight w:val="none"/>
        </w:rPr>
        <w:t>1.1  投标人的资格条件见投标人须知前附表。</w:t>
      </w:r>
    </w:p>
    <w:p w14:paraId="6E85DDEE">
      <w:pPr>
        <w:spacing w:line="440" w:lineRule="exact"/>
        <w:ind w:firstLine="472" w:firstLineChars="196"/>
        <w:rPr>
          <w:rFonts w:hint="eastAsia" w:ascii="仿宋" w:hAnsi="仿宋" w:eastAsia="仿宋" w:cs="仿宋"/>
          <w:sz w:val="24"/>
          <w:highlight w:val="none"/>
        </w:rPr>
      </w:pPr>
      <w:r>
        <w:rPr>
          <w:rFonts w:hint="eastAsia" w:ascii="仿宋" w:hAnsi="仿宋" w:eastAsia="仿宋" w:cs="仿宋"/>
          <w:b/>
          <w:bCs/>
          <w:sz w:val="24"/>
          <w:highlight w:val="none"/>
        </w:rPr>
        <w:t xml:space="preserve">1.2  投标人投标响应文件中必须按招标文件要求提供资格证明文件，作为投标文件的一部分。 </w:t>
      </w:r>
    </w:p>
    <w:p w14:paraId="682B81D6">
      <w:pPr>
        <w:spacing w:line="440" w:lineRule="exact"/>
        <w:ind w:firstLine="472" w:firstLineChars="196"/>
        <w:rPr>
          <w:rFonts w:hint="eastAsia" w:ascii="仿宋" w:hAnsi="仿宋" w:eastAsia="仿宋" w:cs="仿宋"/>
          <w:b/>
          <w:bCs/>
          <w:sz w:val="24"/>
          <w:highlight w:val="none"/>
        </w:rPr>
      </w:pPr>
      <w:r>
        <w:rPr>
          <w:rFonts w:hint="eastAsia" w:ascii="仿宋" w:hAnsi="仿宋" w:eastAsia="仿宋" w:cs="仿宋"/>
          <w:b/>
          <w:bCs/>
          <w:sz w:val="24"/>
          <w:highlight w:val="none"/>
        </w:rPr>
        <w:t>1.3  所有资格证明文件须加盖投标人公章。</w:t>
      </w:r>
    </w:p>
    <w:p w14:paraId="540C8531">
      <w:pPr>
        <w:spacing w:line="440" w:lineRule="exact"/>
        <w:ind w:firstLine="470" w:firstLineChars="196"/>
        <w:rPr>
          <w:rFonts w:hint="eastAsia" w:ascii="仿宋" w:hAnsi="仿宋" w:eastAsia="仿宋" w:cs="仿宋"/>
          <w:sz w:val="24"/>
          <w:highlight w:val="none"/>
        </w:rPr>
      </w:pPr>
      <w:r>
        <w:rPr>
          <w:rFonts w:hint="eastAsia" w:ascii="仿宋" w:hAnsi="仿宋" w:eastAsia="仿宋" w:cs="仿宋"/>
          <w:sz w:val="24"/>
          <w:highlight w:val="none"/>
        </w:rPr>
        <w:t>1.4　所有资格证明文件必须满足招标文件的要求，否则将导致投标无效。</w:t>
      </w:r>
    </w:p>
    <w:p w14:paraId="21DE5D74">
      <w:pPr>
        <w:spacing w:line="440" w:lineRule="exact"/>
        <w:ind w:firstLine="411" w:firstLineChars="196"/>
        <w:rPr>
          <w:rFonts w:hint="eastAsia" w:ascii="仿宋" w:hAnsi="仿宋" w:eastAsia="仿宋" w:cs="仿宋"/>
          <w:b/>
          <w:bCs/>
          <w:sz w:val="24"/>
          <w:highlight w:val="none"/>
        </w:rPr>
      </w:pPr>
      <w:r>
        <w:rPr>
          <w:rFonts w:hint="eastAsia"/>
          <w:highlight w:val="none"/>
        </w:rPr>
        <w:t>★</w:t>
      </w:r>
      <w:r>
        <w:rPr>
          <w:rFonts w:hint="eastAsia" w:ascii="仿宋" w:hAnsi="仿宋" w:eastAsia="仿宋" w:cs="仿宋"/>
          <w:b/>
          <w:bCs/>
          <w:sz w:val="24"/>
          <w:highlight w:val="none"/>
        </w:rPr>
        <w:t>1.5  资格审查资料须单独上传至政采云平台，具体资料如下</w:t>
      </w:r>
    </w:p>
    <w:tbl>
      <w:tblPr>
        <w:tblStyle w:val="41"/>
        <w:tblpPr w:leftFromText="180" w:rightFromText="180" w:vertAnchor="text" w:horzAnchor="page" w:tblpXSpec="center" w:tblpY="6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6103"/>
        <w:gridCol w:w="2127"/>
      </w:tblGrid>
      <w:tr w14:paraId="305EA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723" w:type="dxa"/>
            <w:noWrap w:val="0"/>
            <w:vAlign w:val="center"/>
          </w:tcPr>
          <w:p w14:paraId="1773E8D4">
            <w:pPr>
              <w:pStyle w:val="19"/>
              <w:spacing w:line="300" w:lineRule="exact"/>
              <w:rPr>
                <w:rFonts w:hint="eastAsia" w:ascii="仿宋" w:hAnsi="仿宋" w:eastAsia="仿宋" w:cs="仿宋"/>
                <w:b/>
                <w:bCs/>
                <w:spacing w:val="-2"/>
                <w:kern w:val="0"/>
                <w:sz w:val="24"/>
                <w:szCs w:val="24"/>
                <w:highlight w:val="none"/>
              </w:rPr>
            </w:pPr>
            <w:r>
              <w:rPr>
                <w:rFonts w:hint="eastAsia" w:ascii="仿宋" w:hAnsi="仿宋" w:eastAsia="仿宋" w:cs="仿宋"/>
                <w:b/>
                <w:bCs/>
                <w:spacing w:val="-2"/>
                <w:kern w:val="0"/>
                <w:sz w:val="24"/>
                <w:szCs w:val="24"/>
                <w:highlight w:val="none"/>
              </w:rPr>
              <w:t>序号</w:t>
            </w:r>
          </w:p>
        </w:tc>
        <w:tc>
          <w:tcPr>
            <w:tcW w:w="6103" w:type="dxa"/>
            <w:noWrap w:val="0"/>
            <w:vAlign w:val="center"/>
          </w:tcPr>
          <w:p w14:paraId="0E9F8A53">
            <w:pPr>
              <w:pStyle w:val="19"/>
              <w:spacing w:line="300" w:lineRule="exact"/>
              <w:jc w:val="center"/>
              <w:rPr>
                <w:rFonts w:hint="eastAsia" w:ascii="仿宋" w:hAnsi="仿宋" w:eastAsia="仿宋" w:cs="仿宋"/>
                <w:b/>
                <w:bCs/>
                <w:spacing w:val="-2"/>
                <w:kern w:val="0"/>
                <w:sz w:val="24"/>
                <w:szCs w:val="24"/>
                <w:highlight w:val="none"/>
              </w:rPr>
            </w:pPr>
            <w:r>
              <w:rPr>
                <w:rFonts w:hint="eastAsia" w:ascii="仿宋" w:hAnsi="仿宋" w:eastAsia="仿宋" w:cs="仿宋"/>
                <w:b/>
                <w:bCs/>
                <w:sz w:val="24"/>
                <w:highlight w:val="none"/>
              </w:rPr>
              <w:t>须单独上传至政采云平台的资料</w:t>
            </w:r>
          </w:p>
        </w:tc>
        <w:tc>
          <w:tcPr>
            <w:tcW w:w="2127" w:type="dxa"/>
            <w:noWrap w:val="0"/>
            <w:vAlign w:val="center"/>
          </w:tcPr>
          <w:p w14:paraId="5846F72E">
            <w:pPr>
              <w:pStyle w:val="19"/>
              <w:spacing w:line="300" w:lineRule="exact"/>
              <w:jc w:val="center"/>
              <w:rPr>
                <w:rFonts w:hint="eastAsia" w:ascii="仿宋" w:hAnsi="仿宋" w:eastAsia="仿宋" w:cs="仿宋"/>
                <w:b/>
                <w:bCs/>
                <w:spacing w:val="-2"/>
                <w:kern w:val="0"/>
                <w:sz w:val="24"/>
                <w:szCs w:val="24"/>
                <w:highlight w:val="none"/>
              </w:rPr>
            </w:pPr>
            <w:r>
              <w:rPr>
                <w:rFonts w:hint="eastAsia" w:ascii="仿宋" w:hAnsi="仿宋" w:eastAsia="仿宋" w:cs="仿宋"/>
                <w:b/>
                <w:bCs/>
                <w:spacing w:val="-2"/>
                <w:kern w:val="0"/>
                <w:sz w:val="24"/>
                <w:szCs w:val="24"/>
                <w:highlight w:val="none"/>
              </w:rPr>
              <w:t>备注</w:t>
            </w:r>
          </w:p>
        </w:tc>
      </w:tr>
      <w:tr w14:paraId="57EB6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723" w:type="dxa"/>
            <w:noWrap w:val="0"/>
            <w:vAlign w:val="center"/>
          </w:tcPr>
          <w:p w14:paraId="234054CB">
            <w:pPr>
              <w:pStyle w:val="19"/>
              <w:spacing w:line="300" w:lineRule="exact"/>
              <w:jc w:val="center"/>
              <w:rPr>
                <w:rFonts w:hint="eastAsia" w:ascii="仿宋" w:hAnsi="仿宋" w:eastAsia="仿宋" w:cs="仿宋"/>
                <w:spacing w:val="-2"/>
                <w:kern w:val="0"/>
                <w:sz w:val="24"/>
                <w:szCs w:val="24"/>
                <w:highlight w:val="none"/>
              </w:rPr>
            </w:pPr>
            <w:r>
              <w:rPr>
                <w:rFonts w:hint="eastAsia" w:ascii="仿宋" w:hAnsi="仿宋" w:eastAsia="仿宋" w:cs="仿宋"/>
                <w:spacing w:val="-2"/>
                <w:kern w:val="0"/>
                <w:sz w:val="24"/>
                <w:szCs w:val="24"/>
                <w:highlight w:val="none"/>
              </w:rPr>
              <w:t>1</w:t>
            </w:r>
          </w:p>
        </w:tc>
        <w:tc>
          <w:tcPr>
            <w:tcW w:w="6103" w:type="dxa"/>
            <w:noWrap w:val="0"/>
            <w:vAlign w:val="center"/>
          </w:tcPr>
          <w:p w14:paraId="17FE8D03">
            <w:pPr>
              <w:pStyle w:val="19"/>
              <w:spacing w:line="300" w:lineRule="exact"/>
              <w:rPr>
                <w:rFonts w:hint="eastAsia" w:ascii="仿宋" w:hAnsi="仿宋" w:eastAsia="仿宋" w:cs="仿宋"/>
                <w:spacing w:val="-2"/>
                <w:kern w:val="0"/>
                <w:sz w:val="24"/>
                <w:szCs w:val="24"/>
                <w:highlight w:val="none"/>
              </w:rPr>
            </w:pPr>
            <w:r>
              <w:rPr>
                <w:rFonts w:hint="eastAsia" w:ascii="仿宋" w:hAnsi="仿宋" w:eastAsia="仿宋" w:cs="仿宋"/>
                <w:spacing w:val="-2"/>
                <w:kern w:val="0"/>
                <w:sz w:val="24"/>
                <w:szCs w:val="24"/>
                <w:highlight w:val="none"/>
              </w:rPr>
              <w:t>法人或者其他组织的营业执照等证明文件；</w:t>
            </w:r>
          </w:p>
          <w:p w14:paraId="00A0EE8D">
            <w:pPr>
              <w:pStyle w:val="19"/>
              <w:spacing w:line="300" w:lineRule="exact"/>
              <w:rPr>
                <w:rFonts w:hint="eastAsia" w:ascii="仿宋" w:hAnsi="仿宋" w:eastAsia="仿宋" w:cs="仿宋"/>
                <w:spacing w:val="-2"/>
                <w:kern w:val="0"/>
                <w:sz w:val="24"/>
                <w:szCs w:val="24"/>
                <w:highlight w:val="none"/>
              </w:rPr>
            </w:pPr>
            <w:r>
              <w:rPr>
                <w:rFonts w:hint="eastAsia" w:ascii="仿宋" w:hAnsi="仿宋" w:eastAsia="仿宋" w:cs="仿宋"/>
                <w:spacing w:val="-2"/>
                <w:kern w:val="0"/>
                <w:sz w:val="24"/>
                <w:szCs w:val="24"/>
                <w:highlight w:val="none"/>
              </w:rPr>
              <w:t>自然人需提供身份证明；</w:t>
            </w:r>
          </w:p>
        </w:tc>
        <w:tc>
          <w:tcPr>
            <w:tcW w:w="2127" w:type="dxa"/>
            <w:noWrap w:val="0"/>
            <w:vAlign w:val="center"/>
          </w:tcPr>
          <w:p w14:paraId="72CAB015">
            <w:pPr>
              <w:spacing w:line="300" w:lineRule="exact"/>
              <w:rPr>
                <w:rFonts w:hint="eastAsia" w:ascii="仿宋" w:hAnsi="仿宋" w:eastAsia="仿宋" w:cs="仿宋"/>
                <w:spacing w:val="-2"/>
                <w:kern w:val="0"/>
                <w:sz w:val="24"/>
                <w:highlight w:val="none"/>
              </w:rPr>
            </w:pPr>
            <w:r>
              <w:rPr>
                <w:rFonts w:hint="eastAsia" w:ascii="仿宋" w:hAnsi="仿宋" w:eastAsia="仿宋" w:cs="仿宋"/>
                <w:spacing w:val="-2"/>
                <w:kern w:val="0"/>
                <w:sz w:val="24"/>
                <w:highlight w:val="none"/>
              </w:rPr>
              <w:t>原件的扫描件</w:t>
            </w:r>
          </w:p>
        </w:tc>
      </w:tr>
      <w:tr w14:paraId="3EC4E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jc w:val="center"/>
        </w:trPr>
        <w:tc>
          <w:tcPr>
            <w:tcW w:w="723" w:type="dxa"/>
            <w:noWrap w:val="0"/>
            <w:vAlign w:val="center"/>
          </w:tcPr>
          <w:p w14:paraId="5FFEAB13">
            <w:pPr>
              <w:spacing w:line="300" w:lineRule="exact"/>
              <w:jc w:val="center"/>
              <w:rPr>
                <w:rFonts w:hint="eastAsia" w:ascii="仿宋" w:hAnsi="仿宋" w:eastAsia="仿宋" w:cs="仿宋"/>
                <w:spacing w:val="-2"/>
                <w:sz w:val="24"/>
                <w:highlight w:val="none"/>
              </w:rPr>
            </w:pPr>
            <w:r>
              <w:rPr>
                <w:rFonts w:hint="eastAsia" w:ascii="仿宋" w:hAnsi="仿宋" w:eastAsia="仿宋" w:cs="仿宋"/>
                <w:spacing w:val="-2"/>
                <w:sz w:val="24"/>
                <w:highlight w:val="none"/>
              </w:rPr>
              <w:t>2</w:t>
            </w:r>
          </w:p>
        </w:tc>
        <w:tc>
          <w:tcPr>
            <w:tcW w:w="6103" w:type="dxa"/>
            <w:noWrap w:val="0"/>
            <w:vAlign w:val="center"/>
          </w:tcPr>
          <w:p w14:paraId="06D9A513">
            <w:pPr>
              <w:spacing w:line="300" w:lineRule="exact"/>
              <w:rPr>
                <w:rFonts w:hint="eastAsia" w:ascii="仿宋" w:hAnsi="仿宋" w:eastAsia="仿宋" w:cs="仿宋"/>
                <w:spacing w:val="-2"/>
                <w:sz w:val="24"/>
                <w:highlight w:val="none"/>
                <w:lang w:eastAsia="zh-CN"/>
              </w:rPr>
            </w:pPr>
            <w:r>
              <w:rPr>
                <w:rFonts w:hint="eastAsia" w:ascii="仿宋" w:hAnsi="仿宋" w:eastAsia="仿宋" w:cs="仿宋"/>
                <w:spacing w:val="-2"/>
                <w:sz w:val="24"/>
                <w:highlight w:val="none"/>
                <w:lang w:eastAsia="zh-CN"/>
              </w:rPr>
              <w:t>2025年1月1日以前注册成立的供应商提供2024年度的财务审计报告或财务报表，2025年1月1日以后注册成立的供应商提供具有健全的财务制度承诺。</w:t>
            </w:r>
          </w:p>
        </w:tc>
        <w:tc>
          <w:tcPr>
            <w:tcW w:w="2127" w:type="dxa"/>
            <w:noWrap w:val="0"/>
            <w:vAlign w:val="center"/>
          </w:tcPr>
          <w:p w14:paraId="46B21EB2">
            <w:pPr>
              <w:spacing w:line="300" w:lineRule="exact"/>
              <w:rPr>
                <w:rFonts w:hint="eastAsia" w:ascii="仿宋" w:hAnsi="仿宋" w:eastAsia="仿宋" w:cs="仿宋"/>
                <w:spacing w:val="-2"/>
                <w:kern w:val="0"/>
                <w:sz w:val="24"/>
                <w:highlight w:val="none"/>
              </w:rPr>
            </w:pPr>
            <w:r>
              <w:rPr>
                <w:rFonts w:hint="eastAsia" w:ascii="仿宋" w:hAnsi="仿宋" w:eastAsia="仿宋" w:cs="仿宋"/>
                <w:spacing w:val="-2"/>
                <w:kern w:val="0"/>
                <w:sz w:val="24"/>
                <w:highlight w:val="none"/>
              </w:rPr>
              <w:t>原件的扫描件</w:t>
            </w:r>
          </w:p>
        </w:tc>
      </w:tr>
      <w:tr w14:paraId="69CCD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723" w:type="dxa"/>
            <w:noWrap w:val="0"/>
            <w:vAlign w:val="center"/>
          </w:tcPr>
          <w:p w14:paraId="6B952F63">
            <w:pPr>
              <w:spacing w:line="300" w:lineRule="exact"/>
              <w:jc w:val="center"/>
              <w:rPr>
                <w:rFonts w:hint="eastAsia" w:ascii="仿宋" w:hAnsi="仿宋" w:eastAsia="仿宋" w:cs="仿宋"/>
                <w:spacing w:val="-2"/>
                <w:sz w:val="24"/>
                <w:highlight w:val="none"/>
              </w:rPr>
            </w:pPr>
            <w:r>
              <w:rPr>
                <w:rFonts w:hint="eastAsia" w:ascii="仿宋" w:hAnsi="仿宋" w:eastAsia="仿宋" w:cs="仿宋"/>
                <w:spacing w:val="-2"/>
                <w:sz w:val="24"/>
                <w:highlight w:val="none"/>
              </w:rPr>
              <w:t>3</w:t>
            </w:r>
          </w:p>
        </w:tc>
        <w:tc>
          <w:tcPr>
            <w:tcW w:w="6103" w:type="dxa"/>
            <w:noWrap w:val="0"/>
            <w:vAlign w:val="center"/>
          </w:tcPr>
          <w:p w14:paraId="78919A8E">
            <w:pPr>
              <w:spacing w:line="300" w:lineRule="exact"/>
              <w:rPr>
                <w:rFonts w:hint="eastAsia" w:ascii="仿宋" w:hAnsi="仿宋" w:eastAsia="仿宋" w:cs="仿宋"/>
                <w:spacing w:val="-2"/>
                <w:sz w:val="24"/>
                <w:highlight w:val="none"/>
              </w:rPr>
            </w:pPr>
            <w:r>
              <w:rPr>
                <w:rFonts w:hint="eastAsia" w:ascii="仿宋" w:hAnsi="仿宋" w:eastAsia="仿宋" w:cs="仿宋"/>
                <w:spacing w:val="-2"/>
                <w:sz w:val="24"/>
                <w:highlight w:val="none"/>
              </w:rPr>
              <w:t>提供具有履行合同所必需的设备和专业技术能力相关证明材料或声明；</w:t>
            </w:r>
          </w:p>
        </w:tc>
        <w:tc>
          <w:tcPr>
            <w:tcW w:w="2127" w:type="dxa"/>
            <w:noWrap w:val="0"/>
            <w:vAlign w:val="center"/>
          </w:tcPr>
          <w:p w14:paraId="798A3283">
            <w:pPr>
              <w:spacing w:line="300" w:lineRule="exact"/>
              <w:rPr>
                <w:rFonts w:hint="eastAsia" w:ascii="仿宋" w:hAnsi="仿宋" w:eastAsia="仿宋" w:cs="仿宋"/>
                <w:spacing w:val="-2"/>
                <w:kern w:val="0"/>
                <w:sz w:val="24"/>
                <w:highlight w:val="none"/>
              </w:rPr>
            </w:pPr>
            <w:r>
              <w:rPr>
                <w:rFonts w:hint="eastAsia" w:ascii="仿宋" w:hAnsi="仿宋" w:eastAsia="仿宋" w:cs="仿宋"/>
                <w:spacing w:val="-2"/>
                <w:kern w:val="0"/>
                <w:sz w:val="24"/>
                <w:highlight w:val="none"/>
              </w:rPr>
              <w:t>原件的扫描件</w:t>
            </w:r>
          </w:p>
        </w:tc>
      </w:tr>
      <w:tr w14:paraId="2BD6C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jc w:val="center"/>
        </w:trPr>
        <w:tc>
          <w:tcPr>
            <w:tcW w:w="723" w:type="dxa"/>
            <w:noWrap w:val="0"/>
            <w:vAlign w:val="center"/>
          </w:tcPr>
          <w:p w14:paraId="3C4D9C04">
            <w:pPr>
              <w:spacing w:line="300" w:lineRule="exact"/>
              <w:jc w:val="center"/>
              <w:rPr>
                <w:rFonts w:hint="eastAsia" w:ascii="仿宋" w:hAnsi="仿宋" w:eastAsia="仿宋" w:cs="仿宋"/>
                <w:spacing w:val="-2"/>
                <w:sz w:val="24"/>
                <w:highlight w:val="none"/>
              </w:rPr>
            </w:pPr>
            <w:r>
              <w:rPr>
                <w:rFonts w:hint="eastAsia" w:ascii="仿宋" w:hAnsi="仿宋" w:eastAsia="仿宋" w:cs="仿宋"/>
                <w:spacing w:val="-2"/>
                <w:sz w:val="24"/>
                <w:highlight w:val="none"/>
              </w:rPr>
              <w:t>4</w:t>
            </w:r>
          </w:p>
        </w:tc>
        <w:tc>
          <w:tcPr>
            <w:tcW w:w="6103" w:type="dxa"/>
            <w:noWrap w:val="0"/>
            <w:vAlign w:val="center"/>
          </w:tcPr>
          <w:p w14:paraId="2E40B2DF">
            <w:pPr>
              <w:spacing w:line="300" w:lineRule="exact"/>
              <w:rPr>
                <w:rFonts w:hint="eastAsia" w:ascii="仿宋" w:hAnsi="仿宋" w:eastAsia="仿宋" w:cs="仿宋"/>
                <w:spacing w:val="-2"/>
                <w:sz w:val="24"/>
                <w:highlight w:val="none"/>
              </w:rPr>
            </w:pPr>
            <w:r>
              <w:rPr>
                <w:rFonts w:hint="eastAsia" w:ascii="仿宋" w:hAnsi="仿宋" w:eastAsia="仿宋" w:cs="仿宋"/>
                <w:spacing w:val="-2"/>
                <w:sz w:val="24"/>
                <w:highlight w:val="none"/>
              </w:rPr>
              <w:t>有依法缴纳税收和社会保障资金的良好记录 (提供近半年任意一月依法缴纳税收和社会保障资金的相关材料,如依法免税或不需要缴纳社会保障资金的,应提供相应证明文件)</w:t>
            </w:r>
          </w:p>
        </w:tc>
        <w:tc>
          <w:tcPr>
            <w:tcW w:w="2127" w:type="dxa"/>
            <w:noWrap w:val="0"/>
            <w:vAlign w:val="center"/>
          </w:tcPr>
          <w:p w14:paraId="6B01C79A">
            <w:pPr>
              <w:spacing w:line="300" w:lineRule="exact"/>
              <w:rPr>
                <w:rFonts w:hint="eastAsia" w:ascii="仿宋" w:hAnsi="仿宋" w:eastAsia="仿宋" w:cs="仿宋"/>
                <w:spacing w:val="-2"/>
                <w:kern w:val="0"/>
                <w:sz w:val="24"/>
                <w:highlight w:val="none"/>
              </w:rPr>
            </w:pPr>
            <w:r>
              <w:rPr>
                <w:rFonts w:hint="eastAsia" w:ascii="仿宋" w:hAnsi="仿宋" w:eastAsia="仿宋" w:cs="仿宋"/>
                <w:spacing w:val="-2"/>
                <w:kern w:val="0"/>
                <w:sz w:val="24"/>
                <w:highlight w:val="none"/>
              </w:rPr>
              <w:t>原件的扫描件</w:t>
            </w:r>
          </w:p>
        </w:tc>
      </w:tr>
      <w:tr w14:paraId="38BEB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jc w:val="center"/>
        </w:trPr>
        <w:tc>
          <w:tcPr>
            <w:tcW w:w="723" w:type="dxa"/>
            <w:noWrap w:val="0"/>
            <w:vAlign w:val="center"/>
          </w:tcPr>
          <w:p w14:paraId="116E89DA">
            <w:pPr>
              <w:spacing w:line="300" w:lineRule="exact"/>
              <w:jc w:val="center"/>
              <w:rPr>
                <w:rFonts w:hint="eastAsia" w:ascii="仿宋" w:hAnsi="仿宋" w:eastAsia="仿宋" w:cs="仿宋"/>
                <w:spacing w:val="-2"/>
                <w:sz w:val="24"/>
                <w:highlight w:val="none"/>
              </w:rPr>
            </w:pPr>
            <w:r>
              <w:rPr>
                <w:rFonts w:hint="eastAsia" w:ascii="仿宋" w:hAnsi="仿宋" w:eastAsia="仿宋" w:cs="仿宋"/>
                <w:spacing w:val="-2"/>
                <w:sz w:val="24"/>
                <w:highlight w:val="none"/>
              </w:rPr>
              <w:t>5</w:t>
            </w:r>
          </w:p>
        </w:tc>
        <w:tc>
          <w:tcPr>
            <w:tcW w:w="6103" w:type="dxa"/>
            <w:noWrap w:val="0"/>
            <w:vAlign w:val="center"/>
          </w:tcPr>
          <w:p w14:paraId="26533099">
            <w:pPr>
              <w:spacing w:line="300" w:lineRule="exact"/>
              <w:rPr>
                <w:rFonts w:hint="eastAsia" w:ascii="仿宋" w:hAnsi="仿宋" w:eastAsia="仿宋" w:cs="仿宋"/>
                <w:spacing w:val="-2"/>
                <w:sz w:val="24"/>
                <w:highlight w:val="none"/>
              </w:rPr>
            </w:pPr>
            <w:r>
              <w:rPr>
                <w:rFonts w:hint="eastAsia" w:ascii="仿宋" w:hAnsi="仿宋" w:eastAsia="仿宋" w:cs="仿宋"/>
                <w:spacing w:val="-2"/>
                <w:sz w:val="24"/>
                <w:highlight w:val="none"/>
              </w:rPr>
              <w:t>参加政府采购活动近三年内,在经营活动中没有重大违法记录的书面声明文件。</w:t>
            </w:r>
            <w:r>
              <w:rPr>
                <w:rFonts w:hint="eastAsia" w:ascii="仿宋" w:hAnsi="仿宋" w:eastAsia="仿宋" w:cs="仿宋"/>
                <w:kern w:val="0"/>
                <w:sz w:val="24"/>
                <w:highlight w:val="none"/>
              </w:rPr>
              <w:t>若投标响应供应商自成立之日起不足3年的,需提供成立至今的书面声明</w:t>
            </w:r>
          </w:p>
        </w:tc>
        <w:tc>
          <w:tcPr>
            <w:tcW w:w="2127" w:type="dxa"/>
            <w:noWrap w:val="0"/>
            <w:vAlign w:val="center"/>
          </w:tcPr>
          <w:p w14:paraId="7FF23BE1">
            <w:pPr>
              <w:spacing w:line="300" w:lineRule="exact"/>
              <w:rPr>
                <w:rFonts w:hint="eastAsia" w:ascii="仿宋" w:hAnsi="仿宋" w:eastAsia="仿宋" w:cs="仿宋"/>
                <w:spacing w:val="-2"/>
                <w:sz w:val="24"/>
                <w:highlight w:val="none"/>
              </w:rPr>
            </w:pPr>
            <w:r>
              <w:rPr>
                <w:rFonts w:hint="eastAsia" w:ascii="仿宋" w:hAnsi="仿宋" w:eastAsia="仿宋" w:cs="仿宋"/>
                <w:spacing w:val="-2"/>
                <w:kern w:val="0"/>
                <w:sz w:val="24"/>
                <w:highlight w:val="none"/>
              </w:rPr>
              <w:t>原件的扫描件</w:t>
            </w:r>
          </w:p>
        </w:tc>
      </w:tr>
      <w:tr w14:paraId="26937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 w:hRule="atLeast"/>
          <w:jc w:val="center"/>
        </w:trPr>
        <w:tc>
          <w:tcPr>
            <w:tcW w:w="723" w:type="dxa"/>
            <w:noWrap w:val="0"/>
            <w:vAlign w:val="center"/>
          </w:tcPr>
          <w:p w14:paraId="3B8F9EDF">
            <w:pPr>
              <w:spacing w:line="300" w:lineRule="exact"/>
              <w:jc w:val="center"/>
              <w:rPr>
                <w:rFonts w:hint="eastAsia" w:ascii="仿宋" w:hAnsi="仿宋" w:eastAsia="仿宋" w:cs="仿宋"/>
                <w:spacing w:val="-2"/>
                <w:sz w:val="24"/>
                <w:highlight w:val="none"/>
              </w:rPr>
            </w:pPr>
            <w:r>
              <w:rPr>
                <w:rFonts w:hint="eastAsia" w:ascii="仿宋" w:hAnsi="仿宋" w:eastAsia="仿宋" w:cs="仿宋"/>
                <w:spacing w:val="-2"/>
                <w:sz w:val="24"/>
                <w:highlight w:val="none"/>
              </w:rPr>
              <w:t>6</w:t>
            </w:r>
          </w:p>
        </w:tc>
        <w:tc>
          <w:tcPr>
            <w:tcW w:w="6103" w:type="dxa"/>
            <w:noWrap w:val="0"/>
            <w:vAlign w:val="center"/>
          </w:tcPr>
          <w:p w14:paraId="6761727D">
            <w:pPr>
              <w:spacing w:line="300" w:lineRule="exact"/>
              <w:rPr>
                <w:rFonts w:hint="eastAsia" w:ascii="仿宋" w:hAnsi="仿宋" w:eastAsia="仿宋" w:cs="仿宋"/>
                <w:szCs w:val="21"/>
                <w:highlight w:val="none"/>
              </w:rPr>
            </w:pPr>
            <w:r>
              <w:rPr>
                <w:rFonts w:hint="eastAsia" w:ascii="仿宋" w:hAnsi="仿宋" w:eastAsia="仿宋" w:cs="仿宋"/>
                <w:szCs w:val="21"/>
                <w:highlight w:val="none"/>
              </w:rPr>
              <w:t>信用记录查询方式：</w:t>
            </w:r>
          </w:p>
          <w:p w14:paraId="189544A0">
            <w:pPr>
              <w:numPr>
                <w:ilvl w:val="0"/>
                <w:numId w:val="13"/>
              </w:numPr>
              <w:spacing w:line="300" w:lineRule="exact"/>
              <w:ind w:firstLine="0"/>
              <w:rPr>
                <w:rFonts w:hint="eastAsia" w:ascii="仿宋" w:hAnsi="仿宋" w:eastAsia="仿宋" w:cs="仿宋"/>
                <w:szCs w:val="21"/>
                <w:highlight w:val="none"/>
              </w:rPr>
            </w:pPr>
            <w:r>
              <w:rPr>
                <w:rFonts w:hint="eastAsia" w:ascii="仿宋" w:hAnsi="仿宋" w:eastAsia="仿宋" w:cs="仿宋"/>
                <w:szCs w:val="21"/>
                <w:highlight w:val="none"/>
              </w:rPr>
              <w:t>“信用中国”（www.creditchina.gov.cn）未被列入</w:t>
            </w:r>
            <w:r>
              <w:rPr>
                <w:rFonts w:hint="eastAsia" w:ascii="仿宋" w:hAnsi="仿宋" w:eastAsia="仿宋" w:cs="仿宋"/>
                <w:szCs w:val="21"/>
                <w:highlight w:val="none"/>
                <w:lang w:eastAsia="zh-CN"/>
              </w:rPr>
              <w:t>重大税收违法失信主体</w:t>
            </w:r>
            <w:r>
              <w:rPr>
                <w:rFonts w:hint="eastAsia" w:ascii="仿宋" w:hAnsi="仿宋" w:eastAsia="仿宋" w:cs="仿宋"/>
                <w:szCs w:val="21"/>
                <w:highlight w:val="none"/>
              </w:rPr>
              <w:t>；</w:t>
            </w:r>
          </w:p>
          <w:p w14:paraId="6DB1B14A">
            <w:pPr>
              <w:numPr>
                <w:ilvl w:val="0"/>
                <w:numId w:val="13"/>
              </w:numPr>
              <w:spacing w:line="300" w:lineRule="exact"/>
              <w:ind w:firstLine="0"/>
              <w:rPr>
                <w:rFonts w:hint="eastAsia" w:ascii="仿宋" w:hAnsi="仿宋" w:eastAsia="仿宋" w:cs="仿宋"/>
                <w:szCs w:val="21"/>
                <w:highlight w:val="none"/>
              </w:rPr>
            </w:pPr>
            <w:r>
              <w:rPr>
                <w:rFonts w:hint="eastAsia" w:ascii="仿宋" w:hAnsi="仿宋" w:eastAsia="仿宋" w:cs="仿宋"/>
                <w:szCs w:val="21"/>
                <w:highlight w:val="none"/>
              </w:rPr>
              <w:t>“中国执行信息公开网”（http://zxgk.court.gov.cn/）未被列入失信被执行人；</w:t>
            </w:r>
          </w:p>
          <w:p w14:paraId="7D4A297B">
            <w:pPr>
              <w:numPr>
                <w:ilvl w:val="0"/>
                <w:numId w:val="13"/>
              </w:numPr>
              <w:spacing w:line="300" w:lineRule="exact"/>
              <w:ind w:firstLine="0"/>
              <w:rPr>
                <w:rFonts w:hint="eastAsia" w:ascii="仿宋" w:hAnsi="仿宋" w:eastAsia="仿宋" w:cs="仿宋"/>
                <w:szCs w:val="21"/>
                <w:highlight w:val="none"/>
              </w:rPr>
            </w:pPr>
            <w:r>
              <w:rPr>
                <w:rFonts w:hint="eastAsia" w:ascii="仿宋" w:hAnsi="仿宋" w:eastAsia="仿宋" w:cs="仿宋"/>
                <w:szCs w:val="21"/>
                <w:highlight w:val="none"/>
              </w:rPr>
              <w:t>“中国政府采购网”（www.ccgp.gov.cn）网站上未被列入政府采购严重违法失信行为记录名单；</w:t>
            </w:r>
          </w:p>
          <w:p w14:paraId="4B988BC7">
            <w:pPr>
              <w:spacing w:line="300" w:lineRule="exact"/>
              <w:ind w:left="400"/>
              <w:rPr>
                <w:rFonts w:hint="eastAsia" w:ascii="仿宋" w:hAnsi="仿宋" w:eastAsia="仿宋" w:cs="仿宋"/>
                <w:sz w:val="24"/>
                <w:highlight w:val="none"/>
              </w:rPr>
            </w:pPr>
            <w:r>
              <w:rPr>
                <w:rFonts w:hint="eastAsia" w:ascii="仿宋" w:hAnsi="仿宋" w:eastAsia="仿宋" w:cs="仿宋"/>
                <w:szCs w:val="21"/>
                <w:highlight w:val="none"/>
              </w:rPr>
              <w:t>也可提供以上情况的承诺函</w:t>
            </w:r>
          </w:p>
        </w:tc>
        <w:tc>
          <w:tcPr>
            <w:tcW w:w="2127" w:type="dxa"/>
            <w:noWrap w:val="0"/>
            <w:vAlign w:val="center"/>
          </w:tcPr>
          <w:p w14:paraId="0FC6D062">
            <w:pPr>
              <w:spacing w:line="300" w:lineRule="exact"/>
              <w:rPr>
                <w:rFonts w:hint="eastAsia" w:ascii="仿宋" w:hAnsi="仿宋" w:eastAsia="仿宋" w:cs="仿宋"/>
                <w:spacing w:val="-2"/>
                <w:kern w:val="0"/>
                <w:sz w:val="24"/>
                <w:highlight w:val="none"/>
              </w:rPr>
            </w:pPr>
            <w:r>
              <w:rPr>
                <w:rFonts w:hint="eastAsia" w:ascii="仿宋" w:hAnsi="仿宋" w:eastAsia="仿宋" w:cs="仿宋"/>
                <w:spacing w:val="-2"/>
                <w:kern w:val="0"/>
                <w:sz w:val="24"/>
                <w:highlight w:val="none"/>
              </w:rPr>
              <w:t>须自招标文件获取之日起至首次提交投标文件截止时间内从上述网站中查询并截图，并加盖公章</w:t>
            </w:r>
          </w:p>
          <w:p w14:paraId="4311DD13">
            <w:pPr>
              <w:pStyle w:val="4"/>
              <w:numPr>
                <w:ilvl w:val="0"/>
                <w:numId w:val="0"/>
              </w:numPr>
              <w:spacing w:before="0" w:after="0" w:line="300" w:lineRule="exact"/>
              <w:jc w:val="both"/>
              <w:rPr>
                <w:rFonts w:hint="eastAsia" w:ascii="仿宋" w:hAnsi="仿宋" w:eastAsia="仿宋" w:cs="仿宋"/>
                <w:sz w:val="24"/>
                <w:szCs w:val="24"/>
                <w:highlight w:val="none"/>
              </w:rPr>
            </w:pPr>
            <w:r>
              <w:rPr>
                <w:rFonts w:hint="eastAsia" w:ascii="仿宋" w:hAnsi="仿宋" w:eastAsia="仿宋" w:cs="仿宋"/>
                <w:spacing w:val="-2"/>
                <w:kern w:val="0"/>
                <w:sz w:val="24"/>
                <w:szCs w:val="24"/>
                <w:highlight w:val="none"/>
              </w:rPr>
              <w:t>若提供承诺函，为原件的扫描件</w:t>
            </w:r>
          </w:p>
        </w:tc>
      </w:tr>
      <w:tr w14:paraId="4D07C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3" w:type="dxa"/>
            <w:noWrap w:val="0"/>
            <w:vAlign w:val="center"/>
          </w:tcPr>
          <w:p w14:paraId="7333B949">
            <w:pPr>
              <w:spacing w:line="300" w:lineRule="exact"/>
              <w:jc w:val="center"/>
              <w:rPr>
                <w:rFonts w:hint="eastAsia" w:ascii="仿宋" w:hAnsi="仿宋" w:eastAsia="仿宋" w:cs="仿宋"/>
                <w:spacing w:val="-2"/>
                <w:kern w:val="0"/>
                <w:sz w:val="24"/>
                <w:highlight w:val="none"/>
              </w:rPr>
            </w:pPr>
            <w:r>
              <w:rPr>
                <w:rFonts w:hint="eastAsia" w:ascii="仿宋" w:hAnsi="仿宋" w:eastAsia="仿宋" w:cs="仿宋"/>
                <w:spacing w:val="-2"/>
                <w:kern w:val="0"/>
                <w:sz w:val="24"/>
                <w:highlight w:val="none"/>
              </w:rPr>
              <w:t>7</w:t>
            </w:r>
          </w:p>
        </w:tc>
        <w:tc>
          <w:tcPr>
            <w:tcW w:w="6103" w:type="dxa"/>
            <w:noWrap w:val="0"/>
            <w:vAlign w:val="center"/>
          </w:tcPr>
          <w:p w14:paraId="0EC9D649">
            <w:pPr>
              <w:pStyle w:val="19"/>
              <w:spacing w:line="300" w:lineRule="exact"/>
              <w:rPr>
                <w:rFonts w:hint="eastAsia" w:ascii="仿宋" w:hAnsi="仿宋" w:eastAsia="仿宋" w:cs="仿宋"/>
                <w:spacing w:val="-2"/>
                <w:kern w:val="0"/>
                <w:sz w:val="24"/>
                <w:szCs w:val="24"/>
                <w:highlight w:val="none"/>
              </w:rPr>
            </w:pPr>
            <w:r>
              <w:rPr>
                <w:rFonts w:hint="eastAsia" w:ascii="仿宋" w:hAnsi="仿宋" w:eastAsia="仿宋" w:cs="仿宋"/>
                <w:spacing w:val="-2"/>
                <w:kern w:val="0"/>
                <w:sz w:val="24"/>
                <w:szCs w:val="24"/>
                <w:highlight w:val="none"/>
              </w:rPr>
              <w:t>《法定代表人授权委托书》原件的扫描件；</w:t>
            </w:r>
          </w:p>
          <w:p w14:paraId="491D595E">
            <w:pPr>
              <w:pStyle w:val="19"/>
              <w:spacing w:line="300" w:lineRule="exact"/>
              <w:rPr>
                <w:rFonts w:hint="eastAsia" w:ascii="仿宋" w:hAnsi="仿宋" w:eastAsia="仿宋" w:cs="仿宋"/>
                <w:spacing w:val="-2"/>
                <w:kern w:val="0"/>
                <w:sz w:val="24"/>
                <w:szCs w:val="24"/>
                <w:highlight w:val="none"/>
              </w:rPr>
            </w:pPr>
            <w:r>
              <w:rPr>
                <w:rFonts w:hint="eastAsia" w:ascii="仿宋" w:hAnsi="仿宋" w:eastAsia="仿宋" w:cs="仿宋"/>
                <w:spacing w:val="-2"/>
                <w:kern w:val="0"/>
                <w:sz w:val="24"/>
                <w:szCs w:val="24"/>
                <w:highlight w:val="none"/>
              </w:rPr>
              <w:t>投标人代表身份证原件的扫描件</w:t>
            </w:r>
          </w:p>
        </w:tc>
        <w:tc>
          <w:tcPr>
            <w:tcW w:w="2127" w:type="dxa"/>
            <w:noWrap w:val="0"/>
            <w:vAlign w:val="center"/>
          </w:tcPr>
          <w:p w14:paraId="2B36CCA9">
            <w:pPr>
              <w:pStyle w:val="19"/>
              <w:spacing w:line="300" w:lineRule="exact"/>
              <w:rPr>
                <w:rFonts w:hint="eastAsia" w:ascii="仿宋" w:hAnsi="仿宋" w:eastAsia="仿宋" w:cs="仿宋"/>
                <w:spacing w:val="-2"/>
                <w:kern w:val="0"/>
                <w:sz w:val="24"/>
                <w:szCs w:val="24"/>
                <w:highlight w:val="none"/>
              </w:rPr>
            </w:pPr>
            <w:r>
              <w:rPr>
                <w:rFonts w:hint="eastAsia" w:ascii="仿宋" w:hAnsi="仿宋" w:eastAsia="仿宋" w:cs="仿宋"/>
                <w:spacing w:val="-2"/>
                <w:kern w:val="0"/>
                <w:sz w:val="24"/>
                <w:szCs w:val="24"/>
                <w:highlight w:val="none"/>
              </w:rPr>
              <w:t>原件扫描件</w:t>
            </w:r>
          </w:p>
        </w:tc>
      </w:tr>
      <w:tr w14:paraId="4E8D5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3" w:type="dxa"/>
            <w:noWrap w:val="0"/>
            <w:vAlign w:val="center"/>
          </w:tcPr>
          <w:p w14:paraId="465B2153">
            <w:pPr>
              <w:spacing w:line="300" w:lineRule="exact"/>
              <w:jc w:val="center"/>
              <w:rPr>
                <w:rFonts w:hint="eastAsia" w:ascii="仿宋" w:hAnsi="仿宋" w:eastAsia="仿宋" w:cs="仿宋"/>
                <w:spacing w:val="-2"/>
                <w:kern w:val="0"/>
                <w:sz w:val="24"/>
                <w:highlight w:val="none"/>
              </w:rPr>
            </w:pPr>
            <w:r>
              <w:rPr>
                <w:rFonts w:hint="eastAsia" w:ascii="仿宋" w:hAnsi="仿宋" w:eastAsia="仿宋" w:cs="仿宋"/>
                <w:spacing w:val="-2"/>
                <w:kern w:val="0"/>
                <w:sz w:val="24"/>
                <w:highlight w:val="none"/>
                <w:lang w:val="en-US" w:eastAsia="zh-CN"/>
              </w:rPr>
              <w:t>8</w:t>
            </w:r>
          </w:p>
        </w:tc>
        <w:tc>
          <w:tcPr>
            <w:tcW w:w="6103" w:type="dxa"/>
            <w:noWrap w:val="0"/>
            <w:vAlign w:val="center"/>
          </w:tcPr>
          <w:p w14:paraId="0187069A">
            <w:pPr>
              <w:pStyle w:val="19"/>
              <w:spacing w:line="300" w:lineRule="exact"/>
              <w:rPr>
                <w:rFonts w:hint="eastAsia" w:ascii="仿宋" w:hAnsi="仿宋" w:eastAsia="仿宋" w:cs="仿宋"/>
                <w:spacing w:val="-2"/>
                <w:kern w:val="0"/>
                <w:sz w:val="24"/>
                <w:szCs w:val="24"/>
                <w:highlight w:val="none"/>
              </w:rPr>
            </w:pPr>
            <w:r>
              <w:rPr>
                <w:rFonts w:hint="eastAsia" w:ascii="仿宋" w:hAnsi="仿宋" w:eastAsia="仿宋" w:cs="仿宋"/>
                <w:kern w:val="0"/>
                <w:sz w:val="24"/>
                <w:szCs w:val="24"/>
                <w:highlight w:val="none"/>
                <w:lang w:val="en-US" w:eastAsia="zh-CN" w:bidi="ar-SA"/>
              </w:rPr>
              <w:t>投标供应商须具有有效的《食品经营许可证》或《食品生产许可证》</w:t>
            </w:r>
          </w:p>
        </w:tc>
        <w:tc>
          <w:tcPr>
            <w:tcW w:w="2127" w:type="dxa"/>
            <w:noWrap w:val="0"/>
            <w:vAlign w:val="center"/>
          </w:tcPr>
          <w:p w14:paraId="29D8ECEB">
            <w:pPr>
              <w:pStyle w:val="19"/>
              <w:spacing w:line="300" w:lineRule="exact"/>
              <w:rPr>
                <w:rFonts w:hint="eastAsia" w:ascii="仿宋" w:hAnsi="仿宋" w:eastAsia="仿宋" w:cs="仿宋"/>
                <w:spacing w:val="-2"/>
                <w:kern w:val="0"/>
                <w:sz w:val="24"/>
                <w:szCs w:val="24"/>
                <w:highlight w:val="none"/>
              </w:rPr>
            </w:pPr>
            <w:r>
              <w:rPr>
                <w:rFonts w:hint="eastAsia" w:ascii="仿宋" w:hAnsi="仿宋" w:eastAsia="仿宋" w:cs="仿宋"/>
                <w:spacing w:val="-2"/>
                <w:kern w:val="0"/>
                <w:sz w:val="24"/>
                <w:szCs w:val="24"/>
                <w:highlight w:val="none"/>
                <w:lang w:val="en-US" w:eastAsia="zh-CN"/>
              </w:rPr>
              <w:t>原件扫描件</w:t>
            </w:r>
          </w:p>
        </w:tc>
      </w:tr>
      <w:tr w14:paraId="28AD0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3" w:type="dxa"/>
            <w:noWrap w:val="0"/>
            <w:vAlign w:val="center"/>
          </w:tcPr>
          <w:p w14:paraId="6703F470">
            <w:pPr>
              <w:spacing w:line="300" w:lineRule="exact"/>
              <w:jc w:val="center"/>
              <w:rPr>
                <w:rFonts w:hint="default" w:ascii="仿宋" w:hAnsi="仿宋" w:eastAsia="仿宋" w:cs="仿宋"/>
                <w:spacing w:val="-2"/>
                <w:kern w:val="0"/>
                <w:sz w:val="24"/>
                <w:highlight w:val="none"/>
                <w:lang w:val="en-US" w:eastAsia="zh-CN"/>
              </w:rPr>
            </w:pPr>
            <w:r>
              <w:rPr>
                <w:rFonts w:hint="eastAsia" w:ascii="仿宋" w:hAnsi="仿宋" w:eastAsia="仿宋" w:cs="仿宋"/>
                <w:spacing w:val="-2"/>
                <w:kern w:val="0"/>
                <w:sz w:val="24"/>
                <w:highlight w:val="none"/>
                <w:lang w:val="en-US" w:eastAsia="zh-CN"/>
              </w:rPr>
              <w:t>9</w:t>
            </w:r>
          </w:p>
        </w:tc>
        <w:tc>
          <w:tcPr>
            <w:tcW w:w="6103" w:type="dxa"/>
            <w:noWrap w:val="0"/>
            <w:vAlign w:val="center"/>
          </w:tcPr>
          <w:p w14:paraId="71938A56">
            <w:pPr>
              <w:pStyle w:val="19"/>
              <w:spacing w:line="300" w:lineRule="exact"/>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中小企业声明函</w:t>
            </w:r>
          </w:p>
        </w:tc>
        <w:tc>
          <w:tcPr>
            <w:tcW w:w="2127" w:type="dxa"/>
            <w:noWrap w:val="0"/>
            <w:vAlign w:val="center"/>
          </w:tcPr>
          <w:p w14:paraId="5F8E54C7">
            <w:pPr>
              <w:pStyle w:val="19"/>
              <w:spacing w:line="300" w:lineRule="exact"/>
              <w:rPr>
                <w:rFonts w:hint="eastAsia" w:ascii="仿宋" w:hAnsi="仿宋" w:eastAsia="仿宋" w:cs="仿宋"/>
                <w:spacing w:val="-2"/>
                <w:kern w:val="0"/>
                <w:sz w:val="24"/>
                <w:szCs w:val="24"/>
                <w:highlight w:val="none"/>
                <w:lang w:val="en-US" w:eastAsia="zh-CN"/>
              </w:rPr>
            </w:pPr>
            <w:r>
              <w:rPr>
                <w:rFonts w:hint="eastAsia" w:ascii="仿宋" w:hAnsi="仿宋" w:eastAsia="仿宋" w:cs="仿宋"/>
                <w:spacing w:val="-2"/>
                <w:kern w:val="0"/>
                <w:sz w:val="24"/>
                <w:szCs w:val="24"/>
                <w:highlight w:val="none"/>
                <w:lang w:val="en-US" w:eastAsia="zh-CN"/>
              </w:rPr>
              <w:t>原件扫描件</w:t>
            </w:r>
          </w:p>
        </w:tc>
      </w:tr>
    </w:tbl>
    <w:p w14:paraId="6BAFC025">
      <w:pPr>
        <w:widowControl/>
        <w:spacing w:line="440" w:lineRule="exact"/>
        <w:ind w:firstLine="723" w:firstLineChars="300"/>
        <w:jc w:val="left"/>
        <w:rPr>
          <w:rFonts w:hint="eastAsia" w:ascii="仿宋_GB2312" w:hAnsi="仿宋_GB2312" w:eastAsia="仿宋_GB2312" w:cs="仿宋_GB2312"/>
          <w:b/>
          <w:sz w:val="24"/>
          <w:highlight w:val="none"/>
          <w:u w:val="single"/>
        </w:rPr>
      </w:pPr>
      <w:r>
        <w:rPr>
          <w:rFonts w:hint="eastAsia" w:ascii="仿宋_GB2312" w:hAnsi="仿宋_GB2312" w:eastAsia="仿宋_GB2312" w:cs="仿宋_GB2312"/>
          <w:b/>
          <w:sz w:val="24"/>
          <w:highlight w:val="none"/>
          <w:u w:val="single"/>
        </w:rPr>
        <w:t>说明：以上资料为资格审查的必备条件，必须单独提交，如果缺项则视为对招标文件资格审查内容的不响应，投标将被拒绝。</w:t>
      </w:r>
    </w:p>
    <w:p w14:paraId="21880A2A">
      <w:pPr>
        <w:rPr>
          <w:rFonts w:hint="eastAsia"/>
          <w:highlight w:val="none"/>
        </w:rPr>
      </w:pPr>
      <w:r>
        <w:rPr>
          <w:rFonts w:hint="eastAsia"/>
          <w:highlight w:val="none"/>
        </w:rPr>
        <w:br w:type="page"/>
      </w:r>
    </w:p>
    <w:p w14:paraId="04B56DAD">
      <w:pPr>
        <w:spacing w:line="440" w:lineRule="exact"/>
        <w:ind w:firstLine="3092" w:firstLineChars="1100"/>
        <w:outlineLvl w:val="1"/>
        <w:rPr>
          <w:rFonts w:hint="eastAsia" w:ascii="仿宋" w:hAnsi="仿宋" w:eastAsia="仿宋" w:cs="仿宋"/>
          <w:b/>
          <w:sz w:val="28"/>
          <w:szCs w:val="22"/>
          <w:highlight w:val="none"/>
        </w:rPr>
      </w:pPr>
      <w:r>
        <w:rPr>
          <w:rFonts w:hint="eastAsia" w:ascii="仿宋" w:hAnsi="仿宋" w:eastAsia="仿宋" w:cs="仿宋"/>
          <w:b/>
          <w:sz w:val="28"/>
          <w:szCs w:val="22"/>
          <w:highlight w:val="none"/>
        </w:rPr>
        <w:t>第二章 投标文件的编写</w:t>
      </w:r>
      <w:bookmarkEnd w:id="44"/>
    </w:p>
    <w:p w14:paraId="52B02614">
      <w:pPr>
        <w:spacing w:line="440" w:lineRule="exact"/>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2、要求</w:t>
      </w:r>
    </w:p>
    <w:p w14:paraId="359A08A5">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  投标人应详细阅读招标文件中的条款、规范、表示、条件和格式等所有内容，按招标文件的要求份数提供投标文件，并保证所提供全部材料的真实性，使其投标对招标文件做出实质性响应。否则，其投标视为无效。</w:t>
      </w:r>
    </w:p>
    <w:p w14:paraId="353CD469">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2.2  允许投标人对本招标文件中的所有标项投标，也可根据本企业生产或代理产品的情况对部标项进行投标，但不允许投标人对某一标项中的一项或部分项进行投标。招标人可选择一家投标单位为所有标项的中标人，也可选择若干个投标单位分别中标。</w:t>
      </w:r>
    </w:p>
    <w:p w14:paraId="062DA3F9">
      <w:pPr>
        <w:spacing w:line="440" w:lineRule="exact"/>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3、投标文件语言和度量单位</w:t>
      </w:r>
    </w:p>
    <w:p w14:paraId="1CDFBB1B">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3.1  投标文件及投标人和招标方就招标、投标交换的文件和往来信件，须以中文书写。</w:t>
      </w:r>
    </w:p>
    <w:p w14:paraId="7F1A54F0">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3.2  除在招标文件的技术规格中另有规定外，计量单位应使用中华人民共和国法定计量单位。</w:t>
      </w:r>
    </w:p>
    <w:p w14:paraId="4516022F">
      <w:pPr>
        <w:spacing w:line="440" w:lineRule="exact"/>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4、投标文件的组成</w:t>
      </w:r>
    </w:p>
    <w:p w14:paraId="6AD8D2A3">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4.1　投标人编写的投标文件应包括但不限于下列内容：</w:t>
      </w:r>
    </w:p>
    <w:p w14:paraId="6A68C94A">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4.1.1　资格文件：</w:t>
      </w:r>
    </w:p>
    <w:p w14:paraId="5FEABB9B">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(1)供应商符合投标人资格条件的证明文件</w:t>
      </w:r>
    </w:p>
    <w:p w14:paraId="115CA3CE">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4.1.2　价格及商务技术文件：</w:t>
      </w:r>
    </w:p>
    <w:p w14:paraId="19715D1C">
      <w:pPr>
        <w:numPr>
          <w:ilvl w:val="0"/>
          <w:numId w:val="14"/>
        </w:numPr>
        <w:spacing w:line="440" w:lineRule="exact"/>
        <w:ind w:left="0" w:firstLine="567"/>
        <w:rPr>
          <w:rFonts w:hint="eastAsia" w:ascii="仿宋" w:hAnsi="仿宋" w:eastAsia="仿宋" w:cs="仿宋"/>
          <w:sz w:val="24"/>
          <w:highlight w:val="none"/>
        </w:rPr>
      </w:pPr>
      <w:r>
        <w:rPr>
          <w:rFonts w:hint="eastAsia" w:ascii="仿宋" w:hAnsi="仿宋" w:eastAsia="仿宋" w:cs="仿宋"/>
          <w:sz w:val="24"/>
          <w:highlight w:val="none"/>
        </w:rPr>
        <w:t>投标函</w:t>
      </w:r>
    </w:p>
    <w:p w14:paraId="163E0DFA">
      <w:pPr>
        <w:numPr>
          <w:ilvl w:val="0"/>
          <w:numId w:val="14"/>
        </w:numPr>
        <w:spacing w:line="440" w:lineRule="exact"/>
        <w:ind w:left="0" w:firstLine="567"/>
        <w:rPr>
          <w:rFonts w:hint="eastAsia" w:ascii="仿宋" w:hAnsi="仿宋" w:eastAsia="仿宋" w:cs="仿宋"/>
          <w:sz w:val="24"/>
          <w:highlight w:val="none"/>
        </w:rPr>
      </w:pPr>
      <w:r>
        <w:rPr>
          <w:rFonts w:hint="eastAsia" w:ascii="仿宋" w:hAnsi="仿宋" w:eastAsia="仿宋" w:cs="仿宋"/>
          <w:sz w:val="24"/>
          <w:highlight w:val="none"/>
        </w:rPr>
        <w:t>关于资格的声明函</w:t>
      </w:r>
    </w:p>
    <w:p w14:paraId="29D7A2B3">
      <w:pPr>
        <w:numPr>
          <w:ilvl w:val="0"/>
          <w:numId w:val="14"/>
        </w:numPr>
        <w:spacing w:line="440" w:lineRule="exact"/>
        <w:ind w:left="0" w:firstLine="567"/>
        <w:rPr>
          <w:rFonts w:ascii="仿宋" w:hAnsi="仿宋" w:eastAsia="仿宋" w:cs="仿宋"/>
          <w:sz w:val="24"/>
          <w:highlight w:val="none"/>
        </w:rPr>
      </w:pPr>
      <w:r>
        <w:rPr>
          <w:rFonts w:hint="eastAsia" w:ascii="仿宋" w:hAnsi="仿宋" w:eastAsia="仿宋" w:cs="仿宋"/>
          <w:sz w:val="24"/>
          <w:highlight w:val="none"/>
        </w:rPr>
        <w:t>授权委托书</w:t>
      </w:r>
    </w:p>
    <w:p w14:paraId="299AC45F">
      <w:pPr>
        <w:numPr>
          <w:ilvl w:val="0"/>
          <w:numId w:val="14"/>
        </w:numPr>
        <w:spacing w:line="440" w:lineRule="exact"/>
        <w:ind w:left="0" w:firstLine="567"/>
        <w:rPr>
          <w:rFonts w:hint="eastAsia" w:ascii="仿宋" w:hAnsi="仿宋" w:eastAsia="仿宋" w:cs="仿宋"/>
          <w:sz w:val="24"/>
          <w:highlight w:val="none"/>
        </w:rPr>
      </w:pPr>
      <w:r>
        <w:rPr>
          <w:rFonts w:hint="eastAsia" w:ascii="仿宋" w:hAnsi="仿宋" w:eastAsia="仿宋" w:cs="仿宋"/>
          <w:sz w:val="24"/>
          <w:highlight w:val="none"/>
        </w:rPr>
        <w:t>开标一览表</w:t>
      </w:r>
    </w:p>
    <w:p w14:paraId="54FABB7C">
      <w:pPr>
        <w:numPr>
          <w:ilvl w:val="0"/>
          <w:numId w:val="14"/>
        </w:numPr>
        <w:spacing w:line="440" w:lineRule="exact"/>
        <w:ind w:left="0" w:firstLine="567"/>
        <w:rPr>
          <w:rFonts w:hint="eastAsia" w:ascii="仿宋" w:hAnsi="仿宋" w:eastAsia="仿宋" w:cs="仿宋"/>
          <w:sz w:val="24"/>
          <w:highlight w:val="none"/>
        </w:rPr>
      </w:pPr>
      <w:r>
        <w:rPr>
          <w:rFonts w:hint="eastAsia" w:ascii="仿宋" w:hAnsi="仿宋" w:eastAsia="仿宋" w:cs="仿宋"/>
          <w:sz w:val="24"/>
          <w:highlight w:val="none"/>
        </w:rPr>
        <w:t>分项价格表（明细报价表）</w:t>
      </w:r>
    </w:p>
    <w:p w14:paraId="672A4659">
      <w:pPr>
        <w:numPr>
          <w:ilvl w:val="0"/>
          <w:numId w:val="14"/>
        </w:numPr>
        <w:spacing w:line="440" w:lineRule="exact"/>
        <w:ind w:left="0" w:firstLine="567"/>
        <w:rPr>
          <w:rFonts w:hint="eastAsia" w:ascii="仿宋" w:hAnsi="仿宋" w:eastAsia="仿宋" w:cs="仿宋"/>
          <w:sz w:val="24"/>
          <w:highlight w:val="none"/>
        </w:rPr>
      </w:pPr>
      <w:r>
        <w:rPr>
          <w:rFonts w:hint="eastAsia" w:ascii="仿宋" w:hAnsi="仿宋" w:eastAsia="仿宋" w:cs="仿宋"/>
          <w:sz w:val="24"/>
          <w:highlight w:val="none"/>
        </w:rPr>
        <w:t>商务条款偏离表</w:t>
      </w:r>
    </w:p>
    <w:p w14:paraId="78137F36">
      <w:pPr>
        <w:numPr>
          <w:ilvl w:val="0"/>
          <w:numId w:val="14"/>
        </w:numPr>
        <w:spacing w:line="440" w:lineRule="exact"/>
        <w:ind w:left="0" w:firstLine="567"/>
        <w:rPr>
          <w:rFonts w:hint="eastAsia" w:ascii="仿宋" w:hAnsi="仿宋" w:eastAsia="仿宋" w:cs="仿宋"/>
          <w:sz w:val="24"/>
          <w:highlight w:val="none"/>
        </w:rPr>
      </w:pPr>
      <w:r>
        <w:rPr>
          <w:rFonts w:hint="eastAsia" w:ascii="仿宋" w:hAnsi="仿宋" w:eastAsia="仿宋" w:cs="仿宋"/>
          <w:sz w:val="24"/>
          <w:highlight w:val="none"/>
        </w:rPr>
        <w:t>符合政府采购政策的证明材料</w:t>
      </w:r>
    </w:p>
    <w:p w14:paraId="25469514">
      <w:pPr>
        <w:numPr>
          <w:ilvl w:val="0"/>
          <w:numId w:val="14"/>
        </w:numPr>
        <w:spacing w:line="440" w:lineRule="exact"/>
        <w:ind w:left="0" w:firstLine="567"/>
        <w:rPr>
          <w:rFonts w:hint="eastAsia" w:ascii="仿宋" w:hAnsi="仿宋" w:eastAsia="仿宋" w:cs="仿宋"/>
          <w:sz w:val="24"/>
          <w:highlight w:val="none"/>
        </w:rPr>
      </w:pPr>
      <w:r>
        <w:rPr>
          <w:rFonts w:hint="eastAsia" w:ascii="仿宋" w:hAnsi="仿宋" w:eastAsia="仿宋" w:cs="仿宋"/>
          <w:sz w:val="24"/>
          <w:highlight w:val="none"/>
        </w:rPr>
        <w:t>投标人须知前附表要求投标人提交的其他资料</w:t>
      </w:r>
    </w:p>
    <w:p w14:paraId="3D04AAB9">
      <w:pPr>
        <w:numPr>
          <w:ilvl w:val="0"/>
          <w:numId w:val="14"/>
        </w:numPr>
        <w:spacing w:line="440" w:lineRule="exact"/>
        <w:ind w:left="0" w:firstLine="567"/>
        <w:rPr>
          <w:rFonts w:hint="eastAsia" w:ascii="仿宋" w:hAnsi="仿宋" w:eastAsia="仿宋" w:cs="仿宋"/>
          <w:sz w:val="24"/>
          <w:highlight w:val="none"/>
        </w:rPr>
      </w:pPr>
      <w:r>
        <w:rPr>
          <w:rFonts w:hint="eastAsia" w:ascii="仿宋" w:hAnsi="仿宋" w:eastAsia="仿宋" w:cs="仿宋"/>
          <w:sz w:val="24"/>
          <w:highlight w:val="none"/>
        </w:rPr>
        <w:t>供应商认为需提供的其他资料</w:t>
      </w:r>
    </w:p>
    <w:p w14:paraId="491EF25E">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(10)服务（货物）说明一览表、实施方案、技术方案或服务方案</w:t>
      </w:r>
    </w:p>
    <w:p w14:paraId="3919B6BF">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(11)技术参数（服务需求）偏离表</w:t>
      </w:r>
    </w:p>
    <w:p w14:paraId="40A26AF0">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(12)投标人售后服务承诺</w:t>
      </w:r>
    </w:p>
    <w:p w14:paraId="7877C506">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(13)用于本项目人员简历表</w:t>
      </w:r>
    </w:p>
    <w:p w14:paraId="4ABEDD21">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(14)投标标的物符合招标文件规定的其他证明材料</w:t>
      </w:r>
    </w:p>
    <w:p w14:paraId="59C0924D">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(15)其他资料</w:t>
      </w:r>
    </w:p>
    <w:p w14:paraId="66AB3603">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4.2　投标人须知前附表规定供应商在投标时提供样品的，供应商有以下情形之一的，在投标时将其样品视为无效样品。</w:t>
      </w:r>
    </w:p>
    <w:p w14:paraId="0F03ABB8">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(1)未在投标人须知前附表规定的提交时间、地点提交的；</w:t>
      </w:r>
    </w:p>
    <w:p w14:paraId="5C8F8BE9">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(2)供应商提供的样品与投标文件中型号、规格不一致的。</w:t>
      </w:r>
    </w:p>
    <w:p w14:paraId="32DCF5AB">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4.3　在投标过程中，投标人根据评标委员会书面形式要求提供的澄清文件是投标文件的有效组成部分。</w:t>
      </w:r>
    </w:p>
    <w:p w14:paraId="0C33A44A">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4.4　供应商无论中标与否，其投标文件不予退还。</w:t>
      </w:r>
    </w:p>
    <w:p w14:paraId="57E0ECB6">
      <w:pPr>
        <w:widowControl/>
        <w:spacing w:line="440" w:lineRule="exact"/>
        <w:ind w:firstLine="482" w:firstLineChars="200"/>
        <w:jc w:val="left"/>
        <w:rPr>
          <w:rFonts w:hint="eastAsia" w:ascii="仿宋" w:hAnsi="仿宋" w:eastAsia="仿宋" w:cs="仿宋"/>
          <w:b/>
          <w:kern w:val="0"/>
          <w:sz w:val="24"/>
          <w:highlight w:val="none"/>
        </w:rPr>
      </w:pPr>
      <w:r>
        <w:rPr>
          <w:rFonts w:hint="eastAsia" w:ascii="仿宋" w:hAnsi="仿宋" w:eastAsia="仿宋" w:cs="仿宋"/>
          <w:b/>
          <w:kern w:val="0"/>
          <w:sz w:val="24"/>
          <w:highlight w:val="none"/>
        </w:rPr>
        <w:t>5、投标文件格式</w:t>
      </w:r>
    </w:p>
    <w:p w14:paraId="4BC3851F">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见投标须知前附表。</w:t>
      </w:r>
    </w:p>
    <w:p w14:paraId="17F3EA11">
      <w:pPr>
        <w:widowControl/>
        <w:spacing w:line="440" w:lineRule="exact"/>
        <w:ind w:firstLine="482" w:firstLineChars="200"/>
        <w:jc w:val="left"/>
        <w:rPr>
          <w:rFonts w:hint="eastAsia" w:ascii="仿宋" w:hAnsi="仿宋" w:eastAsia="仿宋" w:cs="仿宋"/>
          <w:b/>
          <w:kern w:val="0"/>
          <w:sz w:val="24"/>
          <w:highlight w:val="none"/>
        </w:rPr>
      </w:pPr>
      <w:r>
        <w:rPr>
          <w:rFonts w:hint="eastAsia" w:ascii="仿宋" w:hAnsi="仿宋" w:eastAsia="仿宋" w:cs="仿宋"/>
          <w:b/>
          <w:kern w:val="0"/>
          <w:sz w:val="24"/>
          <w:highlight w:val="none"/>
        </w:rPr>
        <w:t>投标人</w:t>
      </w:r>
      <w:r>
        <w:rPr>
          <w:rFonts w:hint="eastAsia" w:ascii="仿宋" w:hAnsi="仿宋" w:eastAsia="仿宋" w:cs="仿宋"/>
          <w:b/>
          <w:kern w:val="0"/>
          <w:sz w:val="24"/>
          <w:highlight w:val="none"/>
          <w:lang w:val="en-US" w:eastAsia="zh-CN"/>
        </w:rPr>
        <w:t>可</w:t>
      </w:r>
      <w:r>
        <w:rPr>
          <w:rFonts w:hint="eastAsia" w:ascii="仿宋" w:hAnsi="仿宋" w:eastAsia="仿宋" w:cs="仿宋"/>
          <w:b/>
          <w:kern w:val="0"/>
          <w:sz w:val="24"/>
          <w:highlight w:val="none"/>
        </w:rPr>
        <w:t>按下列顺序排列、装订投标文件：</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3323"/>
        <w:gridCol w:w="4947"/>
      </w:tblGrid>
      <w:tr w14:paraId="2C41B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blHeader/>
          <w:jc w:val="center"/>
        </w:trPr>
        <w:tc>
          <w:tcPr>
            <w:tcW w:w="882" w:type="dxa"/>
            <w:noWrap w:val="0"/>
            <w:vAlign w:val="center"/>
          </w:tcPr>
          <w:p w14:paraId="34C5DD91">
            <w:pPr>
              <w:keepNext w:val="0"/>
              <w:keepLines w:val="0"/>
              <w:pageBreakBefore w:val="0"/>
              <w:widowControl/>
              <w:kinsoku/>
              <w:wordWrap/>
              <w:overflowPunct/>
              <w:topLinePunct w:val="0"/>
              <w:autoSpaceDE/>
              <w:autoSpaceDN/>
              <w:bidi w:val="0"/>
              <w:adjustRightInd/>
              <w:snapToGrid/>
              <w:spacing w:line="300" w:lineRule="exact"/>
              <w:ind w:left="0"/>
              <w:jc w:val="center"/>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序号</w:t>
            </w:r>
          </w:p>
        </w:tc>
        <w:tc>
          <w:tcPr>
            <w:tcW w:w="3323" w:type="dxa"/>
            <w:noWrap w:val="0"/>
            <w:vAlign w:val="center"/>
          </w:tcPr>
          <w:p w14:paraId="0FCB61F1">
            <w:pPr>
              <w:keepNext w:val="0"/>
              <w:keepLines w:val="0"/>
              <w:pageBreakBefore w:val="0"/>
              <w:widowControl/>
              <w:kinsoku/>
              <w:wordWrap/>
              <w:overflowPunct/>
              <w:topLinePunct w:val="0"/>
              <w:autoSpaceDE/>
              <w:autoSpaceDN/>
              <w:bidi w:val="0"/>
              <w:adjustRightInd/>
              <w:snapToGrid/>
              <w:spacing w:line="300" w:lineRule="exact"/>
              <w:ind w:left="0"/>
              <w:jc w:val="center"/>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编制文件名称</w:t>
            </w:r>
          </w:p>
        </w:tc>
        <w:tc>
          <w:tcPr>
            <w:tcW w:w="4947" w:type="dxa"/>
            <w:noWrap w:val="0"/>
            <w:vAlign w:val="center"/>
          </w:tcPr>
          <w:p w14:paraId="5B814437">
            <w:pPr>
              <w:keepNext w:val="0"/>
              <w:keepLines w:val="0"/>
              <w:pageBreakBefore w:val="0"/>
              <w:widowControl/>
              <w:kinsoku/>
              <w:wordWrap/>
              <w:overflowPunct/>
              <w:topLinePunct w:val="0"/>
              <w:autoSpaceDE/>
              <w:autoSpaceDN/>
              <w:bidi w:val="0"/>
              <w:adjustRightInd/>
              <w:snapToGrid/>
              <w:spacing w:line="300" w:lineRule="exact"/>
              <w:ind w:left="0"/>
              <w:jc w:val="center"/>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备注</w:t>
            </w:r>
          </w:p>
        </w:tc>
      </w:tr>
      <w:tr w14:paraId="4A411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882" w:type="dxa"/>
            <w:noWrap w:val="0"/>
            <w:vAlign w:val="center"/>
          </w:tcPr>
          <w:p w14:paraId="5F2E38FE">
            <w:pPr>
              <w:keepNext w:val="0"/>
              <w:keepLines w:val="0"/>
              <w:pageBreakBefore w:val="0"/>
              <w:widowControl w:val="0"/>
              <w:numPr>
                <w:ilvl w:val="0"/>
                <w:numId w:val="15"/>
              </w:numPr>
              <w:kinsoku/>
              <w:wordWrap/>
              <w:overflowPunct/>
              <w:topLinePunct w:val="0"/>
              <w:autoSpaceDE/>
              <w:autoSpaceDN/>
              <w:bidi w:val="0"/>
              <w:adjustRightInd/>
              <w:snapToGrid/>
              <w:spacing w:line="300" w:lineRule="exact"/>
              <w:ind w:left="425" w:hanging="425"/>
              <w:jc w:val="center"/>
              <w:textAlignment w:val="auto"/>
              <w:rPr>
                <w:rFonts w:hint="eastAsia" w:ascii="仿宋" w:hAnsi="仿宋" w:eastAsia="仿宋" w:cs="仿宋"/>
                <w:sz w:val="24"/>
                <w:szCs w:val="24"/>
                <w:highlight w:val="none"/>
              </w:rPr>
            </w:pPr>
          </w:p>
        </w:tc>
        <w:tc>
          <w:tcPr>
            <w:tcW w:w="3323" w:type="dxa"/>
            <w:noWrap w:val="0"/>
            <w:vAlign w:val="center"/>
          </w:tcPr>
          <w:p w14:paraId="476053C7">
            <w:pPr>
              <w:keepNext w:val="0"/>
              <w:keepLines w:val="0"/>
              <w:pageBreakBefore w:val="0"/>
              <w:widowControl/>
              <w:kinsoku/>
              <w:wordWrap/>
              <w:overflowPunct/>
              <w:topLinePunct w:val="0"/>
              <w:autoSpaceDE/>
              <w:autoSpaceDN/>
              <w:bidi w:val="0"/>
              <w:adjustRightInd/>
              <w:snapToGrid/>
              <w:spacing w:line="300" w:lineRule="exact"/>
              <w:ind w:left="0"/>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封面</w:t>
            </w:r>
          </w:p>
        </w:tc>
        <w:tc>
          <w:tcPr>
            <w:tcW w:w="4947" w:type="dxa"/>
            <w:noWrap w:val="0"/>
            <w:vAlign w:val="center"/>
          </w:tcPr>
          <w:p w14:paraId="66C167A8">
            <w:pPr>
              <w:keepNext w:val="0"/>
              <w:keepLines w:val="0"/>
              <w:pageBreakBefore w:val="0"/>
              <w:widowControl/>
              <w:kinsoku/>
              <w:wordWrap/>
              <w:overflowPunct/>
              <w:topLinePunct w:val="0"/>
              <w:autoSpaceDE/>
              <w:autoSpaceDN/>
              <w:bidi w:val="0"/>
              <w:adjustRightInd/>
              <w:snapToGrid/>
              <w:spacing w:line="300" w:lineRule="exact"/>
              <w:ind w:left="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格式自定（投标项目信息、投标单位信息）</w:t>
            </w:r>
          </w:p>
        </w:tc>
      </w:tr>
      <w:tr w14:paraId="2F219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82" w:type="dxa"/>
            <w:noWrap w:val="0"/>
            <w:vAlign w:val="center"/>
          </w:tcPr>
          <w:p w14:paraId="74FE45E7">
            <w:pPr>
              <w:keepNext w:val="0"/>
              <w:keepLines w:val="0"/>
              <w:pageBreakBefore w:val="0"/>
              <w:widowControl w:val="0"/>
              <w:numPr>
                <w:ilvl w:val="0"/>
                <w:numId w:val="15"/>
              </w:numPr>
              <w:kinsoku/>
              <w:wordWrap/>
              <w:overflowPunct/>
              <w:topLinePunct w:val="0"/>
              <w:autoSpaceDE/>
              <w:autoSpaceDN/>
              <w:bidi w:val="0"/>
              <w:adjustRightInd/>
              <w:snapToGrid/>
              <w:spacing w:line="300" w:lineRule="exact"/>
              <w:ind w:left="425" w:hanging="425"/>
              <w:jc w:val="center"/>
              <w:textAlignment w:val="auto"/>
              <w:rPr>
                <w:rFonts w:hint="eastAsia" w:ascii="仿宋" w:hAnsi="仿宋" w:eastAsia="仿宋" w:cs="仿宋"/>
                <w:sz w:val="24"/>
                <w:szCs w:val="24"/>
                <w:highlight w:val="none"/>
              </w:rPr>
            </w:pPr>
          </w:p>
        </w:tc>
        <w:tc>
          <w:tcPr>
            <w:tcW w:w="3323" w:type="dxa"/>
            <w:noWrap w:val="0"/>
            <w:vAlign w:val="center"/>
          </w:tcPr>
          <w:p w14:paraId="314A04FD">
            <w:pPr>
              <w:keepNext w:val="0"/>
              <w:keepLines w:val="0"/>
              <w:pageBreakBefore w:val="0"/>
              <w:widowControl/>
              <w:kinsoku/>
              <w:wordWrap/>
              <w:overflowPunct/>
              <w:topLinePunct w:val="0"/>
              <w:autoSpaceDE/>
              <w:autoSpaceDN/>
              <w:bidi w:val="0"/>
              <w:adjustRightInd/>
              <w:snapToGrid/>
              <w:spacing w:line="300" w:lineRule="exact"/>
              <w:ind w:left="0"/>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目录</w:t>
            </w:r>
          </w:p>
        </w:tc>
        <w:tc>
          <w:tcPr>
            <w:tcW w:w="4947" w:type="dxa"/>
            <w:noWrap w:val="0"/>
            <w:vAlign w:val="center"/>
          </w:tcPr>
          <w:p w14:paraId="45EA6FA0">
            <w:pPr>
              <w:keepNext w:val="0"/>
              <w:keepLines w:val="0"/>
              <w:pageBreakBefore w:val="0"/>
              <w:widowControl/>
              <w:kinsoku/>
              <w:wordWrap/>
              <w:overflowPunct/>
              <w:topLinePunct w:val="0"/>
              <w:autoSpaceDE/>
              <w:autoSpaceDN/>
              <w:bidi w:val="0"/>
              <w:adjustRightInd/>
              <w:snapToGrid/>
              <w:spacing w:line="300" w:lineRule="exact"/>
              <w:ind w:left="0"/>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格式自定并注明页码</w:t>
            </w:r>
          </w:p>
        </w:tc>
      </w:tr>
      <w:tr w14:paraId="10763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82" w:type="dxa"/>
            <w:noWrap w:val="0"/>
            <w:vAlign w:val="center"/>
          </w:tcPr>
          <w:p w14:paraId="0CC93C93">
            <w:pPr>
              <w:keepNext w:val="0"/>
              <w:keepLines w:val="0"/>
              <w:pageBreakBefore w:val="0"/>
              <w:widowControl w:val="0"/>
              <w:numPr>
                <w:ilvl w:val="0"/>
                <w:numId w:val="15"/>
              </w:numPr>
              <w:kinsoku/>
              <w:wordWrap/>
              <w:overflowPunct/>
              <w:topLinePunct w:val="0"/>
              <w:autoSpaceDE/>
              <w:autoSpaceDN/>
              <w:bidi w:val="0"/>
              <w:adjustRightInd/>
              <w:snapToGrid/>
              <w:spacing w:line="300" w:lineRule="exact"/>
              <w:ind w:left="425" w:hanging="425"/>
              <w:jc w:val="center"/>
              <w:textAlignment w:val="auto"/>
              <w:rPr>
                <w:rFonts w:hint="eastAsia" w:ascii="仿宋" w:hAnsi="仿宋" w:eastAsia="仿宋" w:cs="仿宋"/>
                <w:sz w:val="24"/>
                <w:szCs w:val="24"/>
                <w:highlight w:val="none"/>
              </w:rPr>
            </w:pPr>
          </w:p>
        </w:tc>
        <w:tc>
          <w:tcPr>
            <w:tcW w:w="3323" w:type="dxa"/>
            <w:noWrap w:val="0"/>
            <w:vAlign w:val="center"/>
          </w:tcPr>
          <w:p w14:paraId="456B5270">
            <w:pPr>
              <w:pStyle w:val="19"/>
              <w:keepNext w:val="0"/>
              <w:keepLines w:val="0"/>
              <w:pageBreakBefore w:val="0"/>
              <w:kinsoku/>
              <w:wordWrap/>
              <w:overflowPunct/>
              <w:topLinePunct w:val="0"/>
              <w:autoSpaceDE/>
              <w:autoSpaceDN/>
              <w:bidi w:val="0"/>
              <w:adjustRightInd/>
              <w:snapToGrid/>
              <w:spacing w:line="300" w:lineRule="exact"/>
              <w:ind w:left="0"/>
              <w:textAlignment w:val="auto"/>
              <w:rPr>
                <w:rFonts w:hint="eastAsia" w:ascii="仿宋" w:hAnsi="仿宋" w:eastAsia="仿宋" w:cs="仿宋"/>
                <w:spacing w:val="-2"/>
                <w:kern w:val="0"/>
                <w:sz w:val="24"/>
                <w:szCs w:val="24"/>
                <w:highlight w:val="none"/>
              </w:rPr>
            </w:pPr>
            <w:r>
              <w:rPr>
                <w:rFonts w:hint="eastAsia" w:ascii="仿宋" w:hAnsi="仿宋" w:eastAsia="仿宋" w:cs="仿宋"/>
                <w:spacing w:val="-2"/>
                <w:kern w:val="0"/>
                <w:sz w:val="24"/>
                <w:szCs w:val="24"/>
                <w:highlight w:val="none"/>
              </w:rPr>
              <w:t>法人或者其他组织的营业执照等证明文件；</w:t>
            </w:r>
          </w:p>
          <w:p w14:paraId="2177FF89">
            <w:pPr>
              <w:keepNext w:val="0"/>
              <w:keepLines w:val="0"/>
              <w:pageBreakBefore w:val="0"/>
              <w:widowControl/>
              <w:kinsoku/>
              <w:wordWrap/>
              <w:overflowPunct/>
              <w:topLinePunct w:val="0"/>
              <w:autoSpaceDE/>
              <w:autoSpaceDN/>
              <w:bidi w:val="0"/>
              <w:adjustRightInd/>
              <w:snapToGrid/>
              <w:spacing w:line="300" w:lineRule="exact"/>
              <w:ind w:left="0"/>
              <w:textAlignment w:val="auto"/>
              <w:rPr>
                <w:rFonts w:hint="eastAsia" w:ascii="仿宋" w:hAnsi="仿宋" w:eastAsia="仿宋" w:cs="仿宋"/>
                <w:kern w:val="0"/>
                <w:sz w:val="24"/>
                <w:szCs w:val="24"/>
                <w:highlight w:val="none"/>
              </w:rPr>
            </w:pPr>
            <w:r>
              <w:rPr>
                <w:rFonts w:hint="eastAsia" w:ascii="仿宋" w:hAnsi="仿宋" w:eastAsia="仿宋" w:cs="仿宋"/>
                <w:spacing w:val="-2"/>
                <w:kern w:val="0"/>
                <w:sz w:val="24"/>
                <w:szCs w:val="24"/>
                <w:highlight w:val="none"/>
              </w:rPr>
              <w:t>自然人需提供身份证明；</w:t>
            </w:r>
          </w:p>
        </w:tc>
        <w:tc>
          <w:tcPr>
            <w:tcW w:w="4947" w:type="dxa"/>
            <w:noWrap w:val="0"/>
            <w:vAlign w:val="center"/>
          </w:tcPr>
          <w:p w14:paraId="00F778F5">
            <w:pPr>
              <w:keepNext w:val="0"/>
              <w:keepLines w:val="0"/>
              <w:pageBreakBefore w:val="0"/>
              <w:widowControl/>
              <w:kinsoku/>
              <w:wordWrap/>
              <w:overflowPunct/>
              <w:topLinePunct w:val="0"/>
              <w:autoSpaceDE/>
              <w:autoSpaceDN/>
              <w:bidi w:val="0"/>
              <w:adjustRightInd/>
              <w:snapToGrid/>
              <w:spacing w:line="300" w:lineRule="exact"/>
              <w:ind w:left="0"/>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清晰原件扫描件</w:t>
            </w:r>
          </w:p>
        </w:tc>
      </w:tr>
      <w:tr w14:paraId="5539C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82" w:type="dxa"/>
            <w:noWrap w:val="0"/>
            <w:vAlign w:val="center"/>
          </w:tcPr>
          <w:p w14:paraId="57936B8C">
            <w:pPr>
              <w:keepNext w:val="0"/>
              <w:keepLines w:val="0"/>
              <w:pageBreakBefore w:val="0"/>
              <w:widowControl w:val="0"/>
              <w:numPr>
                <w:ilvl w:val="0"/>
                <w:numId w:val="15"/>
              </w:numPr>
              <w:kinsoku/>
              <w:wordWrap/>
              <w:overflowPunct/>
              <w:topLinePunct w:val="0"/>
              <w:autoSpaceDE/>
              <w:autoSpaceDN/>
              <w:bidi w:val="0"/>
              <w:adjustRightInd/>
              <w:snapToGrid/>
              <w:spacing w:line="300" w:lineRule="exact"/>
              <w:ind w:left="425" w:hanging="425"/>
              <w:jc w:val="center"/>
              <w:textAlignment w:val="auto"/>
              <w:rPr>
                <w:rFonts w:hint="eastAsia" w:ascii="仿宋" w:hAnsi="仿宋" w:eastAsia="仿宋" w:cs="仿宋"/>
                <w:sz w:val="24"/>
                <w:szCs w:val="24"/>
                <w:highlight w:val="none"/>
              </w:rPr>
            </w:pPr>
          </w:p>
        </w:tc>
        <w:tc>
          <w:tcPr>
            <w:tcW w:w="3323" w:type="dxa"/>
            <w:noWrap w:val="0"/>
            <w:vAlign w:val="center"/>
          </w:tcPr>
          <w:p w14:paraId="3D415A84">
            <w:pPr>
              <w:keepNext w:val="0"/>
              <w:keepLines w:val="0"/>
              <w:pageBreakBefore w:val="0"/>
              <w:widowControl/>
              <w:kinsoku/>
              <w:wordWrap/>
              <w:overflowPunct/>
              <w:topLinePunct w:val="0"/>
              <w:autoSpaceDE/>
              <w:autoSpaceDN/>
              <w:bidi w:val="0"/>
              <w:adjustRightInd/>
              <w:snapToGrid/>
              <w:spacing w:line="300" w:lineRule="exact"/>
              <w:ind w:left="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财务报表或审计报告</w:t>
            </w:r>
          </w:p>
        </w:tc>
        <w:tc>
          <w:tcPr>
            <w:tcW w:w="4947" w:type="dxa"/>
            <w:noWrap w:val="0"/>
            <w:vAlign w:val="center"/>
          </w:tcPr>
          <w:p w14:paraId="131FBA90">
            <w:pPr>
              <w:keepNext w:val="0"/>
              <w:keepLines w:val="0"/>
              <w:pageBreakBefore w:val="0"/>
              <w:kinsoku/>
              <w:wordWrap/>
              <w:overflowPunct/>
              <w:topLinePunct w:val="0"/>
              <w:autoSpaceDE/>
              <w:autoSpaceDN/>
              <w:bidi w:val="0"/>
              <w:adjustRightInd/>
              <w:snapToGrid/>
              <w:spacing w:line="300" w:lineRule="exact"/>
              <w:ind w:left="0"/>
              <w:textAlignment w:val="auto"/>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eastAsia="zh-CN"/>
              </w:rPr>
              <w:t>2025年1月1日以前注册成立的供应商提供2024年度的财务审计报告或财务报表，2025年1月1日以后注册成立的供应商提供具有健全的财务制度承诺。</w:t>
            </w:r>
          </w:p>
        </w:tc>
      </w:tr>
      <w:tr w14:paraId="38F68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82" w:type="dxa"/>
            <w:noWrap w:val="0"/>
            <w:vAlign w:val="center"/>
          </w:tcPr>
          <w:p w14:paraId="264AEA19">
            <w:pPr>
              <w:keepNext w:val="0"/>
              <w:keepLines w:val="0"/>
              <w:pageBreakBefore w:val="0"/>
              <w:widowControl w:val="0"/>
              <w:numPr>
                <w:ilvl w:val="0"/>
                <w:numId w:val="15"/>
              </w:numPr>
              <w:kinsoku/>
              <w:wordWrap/>
              <w:overflowPunct/>
              <w:topLinePunct w:val="0"/>
              <w:autoSpaceDE/>
              <w:autoSpaceDN/>
              <w:bidi w:val="0"/>
              <w:adjustRightInd/>
              <w:snapToGrid/>
              <w:spacing w:line="300" w:lineRule="exact"/>
              <w:ind w:left="425" w:hanging="425"/>
              <w:jc w:val="center"/>
              <w:textAlignment w:val="auto"/>
              <w:rPr>
                <w:rFonts w:hint="eastAsia" w:ascii="仿宋" w:hAnsi="仿宋" w:eastAsia="仿宋" w:cs="仿宋"/>
                <w:sz w:val="24"/>
                <w:szCs w:val="24"/>
                <w:highlight w:val="none"/>
              </w:rPr>
            </w:pPr>
          </w:p>
        </w:tc>
        <w:tc>
          <w:tcPr>
            <w:tcW w:w="3323" w:type="dxa"/>
            <w:noWrap w:val="0"/>
            <w:vAlign w:val="center"/>
          </w:tcPr>
          <w:p w14:paraId="39C4132D">
            <w:pPr>
              <w:keepNext w:val="0"/>
              <w:keepLines w:val="0"/>
              <w:pageBreakBefore w:val="0"/>
              <w:kinsoku/>
              <w:wordWrap/>
              <w:overflowPunct/>
              <w:topLinePunct w:val="0"/>
              <w:autoSpaceDE/>
              <w:autoSpaceDN/>
              <w:bidi w:val="0"/>
              <w:adjustRightInd/>
              <w:snapToGrid/>
              <w:spacing w:line="300" w:lineRule="exact"/>
              <w:ind w:left="0"/>
              <w:textAlignment w:val="auto"/>
              <w:rPr>
                <w:rFonts w:hint="eastAsia" w:ascii="仿宋" w:hAnsi="仿宋" w:eastAsia="仿宋" w:cs="仿宋"/>
                <w:kern w:val="0"/>
                <w:sz w:val="24"/>
                <w:szCs w:val="24"/>
                <w:highlight w:val="none"/>
              </w:rPr>
            </w:pPr>
            <w:r>
              <w:rPr>
                <w:rFonts w:hint="eastAsia" w:ascii="仿宋" w:hAnsi="仿宋" w:eastAsia="仿宋" w:cs="仿宋"/>
                <w:spacing w:val="-2"/>
                <w:sz w:val="24"/>
                <w:szCs w:val="24"/>
                <w:highlight w:val="none"/>
              </w:rPr>
              <w:t>提供具有履行合同所必需的设备和专业技术能力相关证明材料或声明；</w:t>
            </w:r>
          </w:p>
        </w:tc>
        <w:tc>
          <w:tcPr>
            <w:tcW w:w="4947" w:type="dxa"/>
            <w:noWrap w:val="0"/>
            <w:vAlign w:val="center"/>
          </w:tcPr>
          <w:p w14:paraId="0F8CD8FD">
            <w:pPr>
              <w:keepNext w:val="0"/>
              <w:keepLines w:val="0"/>
              <w:pageBreakBefore w:val="0"/>
              <w:kinsoku/>
              <w:wordWrap/>
              <w:overflowPunct/>
              <w:topLinePunct w:val="0"/>
              <w:autoSpaceDE/>
              <w:autoSpaceDN/>
              <w:bidi w:val="0"/>
              <w:adjustRightInd/>
              <w:snapToGrid/>
              <w:spacing w:line="300" w:lineRule="exact"/>
              <w:ind w:left="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原件扫描件</w:t>
            </w:r>
          </w:p>
        </w:tc>
      </w:tr>
      <w:tr w14:paraId="72039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82" w:type="dxa"/>
            <w:noWrap w:val="0"/>
            <w:vAlign w:val="center"/>
          </w:tcPr>
          <w:p w14:paraId="54CD6409">
            <w:pPr>
              <w:keepNext w:val="0"/>
              <w:keepLines w:val="0"/>
              <w:pageBreakBefore w:val="0"/>
              <w:widowControl w:val="0"/>
              <w:numPr>
                <w:ilvl w:val="0"/>
                <w:numId w:val="15"/>
              </w:numPr>
              <w:kinsoku/>
              <w:wordWrap/>
              <w:overflowPunct/>
              <w:topLinePunct w:val="0"/>
              <w:autoSpaceDE/>
              <w:autoSpaceDN/>
              <w:bidi w:val="0"/>
              <w:adjustRightInd/>
              <w:snapToGrid/>
              <w:spacing w:line="300" w:lineRule="exact"/>
              <w:ind w:left="425" w:hanging="425"/>
              <w:jc w:val="center"/>
              <w:textAlignment w:val="auto"/>
              <w:rPr>
                <w:rFonts w:hint="eastAsia" w:ascii="仿宋" w:hAnsi="仿宋" w:eastAsia="仿宋" w:cs="仿宋"/>
                <w:sz w:val="24"/>
                <w:szCs w:val="24"/>
                <w:highlight w:val="none"/>
              </w:rPr>
            </w:pPr>
          </w:p>
        </w:tc>
        <w:tc>
          <w:tcPr>
            <w:tcW w:w="3323" w:type="dxa"/>
            <w:noWrap w:val="0"/>
            <w:vAlign w:val="center"/>
          </w:tcPr>
          <w:p w14:paraId="7FF0C3FB">
            <w:pPr>
              <w:keepNext w:val="0"/>
              <w:keepLines w:val="0"/>
              <w:pageBreakBefore w:val="0"/>
              <w:kinsoku/>
              <w:wordWrap/>
              <w:overflowPunct/>
              <w:topLinePunct w:val="0"/>
              <w:autoSpaceDE/>
              <w:autoSpaceDN/>
              <w:bidi w:val="0"/>
              <w:adjustRightInd/>
              <w:snapToGrid/>
              <w:spacing w:line="300" w:lineRule="exact"/>
              <w:ind w:left="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提供近半年任意一月依法缴纳税收和社会保障资金的相关材料</w:t>
            </w:r>
          </w:p>
        </w:tc>
        <w:tc>
          <w:tcPr>
            <w:tcW w:w="4947" w:type="dxa"/>
            <w:noWrap w:val="0"/>
            <w:vAlign w:val="center"/>
          </w:tcPr>
          <w:p w14:paraId="1A08EBC6">
            <w:pPr>
              <w:keepNext w:val="0"/>
              <w:keepLines w:val="0"/>
              <w:pageBreakBefore w:val="0"/>
              <w:kinsoku/>
              <w:wordWrap/>
              <w:overflowPunct/>
              <w:topLinePunct w:val="0"/>
              <w:autoSpaceDE/>
              <w:autoSpaceDN/>
              <w:bidi w:val="0"/>
              <w:adjustRightInd/>
              <w:snapToGrid/>
              <w:spacing w:line="300" w:lineRule="exact"/>
              <w:ind w:left="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原件扫描件，如依法免税或不需要缴纳社会保障资金的,应提供相应文件证明</w:t>
            </w:r>
          </w:p>
        </w:tc>
      </w:tr>
      <w:tr w14:paraId="1618B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882" w:type="dxa"/>
            <w:noWrap w:val="0"/>
            <w:vAlign w:val="center"/>
          </w:tcPr>
          <w:p w14:paraId="015730CF">
            <w:pPr>
              <w:keepNext w:val="0"/>
              <w:keepLines w:val="0"/>
              <w:pageBreakBefore w:val="0"/>
              <w:widowControl w:val="0"/>
              <w:numPr>
                <w:ilvl w:val="0"/>
                <w:numId w:val="15"/>
              </w:numPr>
              <w:kinsoku/>
              <w:wordWrap/>
              <w:overflowPunct/>
              <w:topLinePunct w:val="0"/>
              <w:autoSpaceDE/>
              <w:autoSpaceDN/>
              <w:bidi w:val="0"/>
              <w:adjustRightInd/>
              <w:snapToGrid/>
              <w:spacing w:line="300" w:lineRule="exact"/>
              <w:ind w:left="425" w:hanging="425"/>
              <w:jc w:val="center"/>
              <w:textAlignment w:val="auto"/>
              <w:rPr>
                <w:rFonts w:hint="eastAsia" w:ascii="仿宋" w:hAnsi="仿宋" w:eastAsia="仿宋" w:cs="仿宋"/>
                <w:sz w:val="24"/>
                <w:szCs w:val="24"/>
                <w:highlight w:val="none"/>
              </w:rPr>
            </w:pPr>
          </w:p>
        </w:tc>
        <w:tc>
          <w:tcPr>
            <w:tcW w:w="3323" w:type="dxa"/>
            <w:noWrap w:val="0"/>
            <w:vAlign w:val="center"/>
          </w:tcPr>
          <w:p w14:paraId="23C67335">
            <w:pPr>
              <w:keepNext w:val="0"/>
              <w:keepLines w:val="0"/>
              <w:pageBreakBefore w:val="0"/>
              <w:widowControl/>
              <w:kinsoku/>
              <w:wordWrap/>
              <w:overflowPunct/>
              <w:topLinePunct w:val="0"/>
              <w:autoSpaceDE/>
              <w:autoSpaceDN/>
              <w:bidi w:val="0"/>
              <w:adjustRightInd/>
              <w:snapToGrid/>
              <w:spacing w:line="300" w:lineRule="exact"/>
              <w:ind w:left="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参加政府采购活动近三年内,在经营活动中没有重大违法记录的书面声明</w:t>
            </w:r>
          </w:p>
        </w:tc>
        <w:tc>
          <w:tcPr>
            <w:tcW w:w="4947" w:type="dxa"/>
            <w:noWrap w:val="0"/>
            <w:vAlign w:val="center"/>
          </w:tcPr>
          <w:p w14:paraId="662FF0E6">
            <w:pPr>
              <w:keepNext w:val="0"/>
              <w:keepLines w:val="0"/>
              <w:pageBreakBefore w:val="0"/>
              <w:widowControl/>
              <w:kinsoku/>
              <w:wordWrap/>
              <w:overflowPunct/>
              <w:topLinePunct w:val="0"/>
              <w:autoSpaceDE/>
              <w:autoSpaceDN/>
              <w:bidi w:val="0"/>
              <w:adjustRightInd/>
              <w:snapToGrid/>
              <w:spacing w:line="300" w:lineRule="exact"/>
              <w:ind w:left="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若响应供应商自成立之日起不足3年的,需提供成立至今的书面声明原件扫描件</w:t>
            </w:r>
          </w:p>
        </w:tc>
      </w:tr>
      <w:tr w14:paraId="4D9BD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882" w:type="dxa"/>
            <w:noWrap w:val="0"/>
            <w:vAlign w:val="center"/>
          </w:tcPr>
          <w:p w14:paraId="7E76CBFF">
            <w:pPr>
              <w:keepNext w:val="0"/>
              <w:keepLines w:val="0"/>
              <w:pageBreakBefore w:val="0"/>
              <w:numPr>
                <w:ilvl w:val="0"/>
                <w:numId w:val="15"/>
              </w:numPr>
              <w:kinsoku/>
              <w:wordWrap/>
              <w:overflowPunct/>
              <w:topLinePunct w:val="0"/>
              <w:autoSpaceDE/>
              <w:autoSpaceDN/>
              <w:bidi w:val="0"/>
              <w:adjustRightInd/>
              <w:snapToGrid/>
              <w:spacing w:line="300" w:lineRule="exact"/>
              <w:ind w:left="425" w:hanging="425"/>
              <w:jc w:val="center"/>
              <w:textAlignment w:val="auto"/>
              <w:rPr>
                <w:rFonts w:hint="eastAsia" w:ascii="仿宋" w:hAnsi="仿宋" w:eastAsia="仿宋" w:cs="仿宋"/>
                <w:sz w:val="24"/>
                <w:szCs w:val="24"/>
                <w:highlight w:val="none"/>
              </w:rPr>
            </w:pPr>
          </w:p>
        </w:tc>
        <w:tc>
          <w:tcPr>
            <w:tcW w:w="3323" w:type="dxa"/>
            <w:noWrap w:val="0"/>
            <w:vAlign w:val="center"/>
          </w:tcPr>
          <w:p w14:paraId="2006751B">
            <w:pPr>
              <w:keepNext w:val="0"/>
              <w:keepLines w:val="0"/>
              <w:pageBreakBefore w:val="0"/>
              <w:widowControl/>
              <w:kinsoku/>
              <w:wordWrap/>
              <w:overflowPunct/>
              <w:topLinePunct w:val="0"/>
              <w:autoSpaceDE/>
              <w:autoSpaceDN/>
              <w:bidi w:val="0"/>
              <w:adjustRightInd/>
              <w:snapToGrid/>
              <w:spacing w:line="300" w:lineRule="exact"/>
              <w:ind w:left="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本项目的特定资格</w:t>
            </w:r>
          </w:p>
        </w:tc>
        <w:tc>
          <w:tcPr>
            <w:tcW w:w="4947" w:type="dxa"/>
            <w:noWrap w:val="0"/>
            <w:vAlign w:val="center"/>
          </w:tcPr>
          <w:p w14:paraId="4D8B34F3">
            <w:pPr>
              <w:keepNext w:val="0"/>
              <w:keepLines w:val="0"/>
              <w:pageBreakBefore w:val="0"/>
              <w:widowControl/>
              <w:kinsoku/>
              <w:wordWrap/>
              <w:overflowPunct/>
              <w:topLinePunct w:val="0"/>
              <w:autoSpaceDE/>
              <w:autoSpaceDN/>
              <w:bidi w:val="0"/>
              <w:adjustRightInd/>
              <w:snapToGrid/>
              <w:spacing w:line="300" w:lineRule="exact"/>
              <w:ind w:left="0"/>
              <w:textAlignment w:val="auto"/>
              <w:rPr>
                <w:rFonts w:hint="eastAsia" w:ascii="仿宋" w:hAnsi="仿宋" w:eastAsia="仿宋" w:cs="仿宋"/>
                <w:sz w:val="24"/>
                <w:szCs w:val="24"/>
                <w:highlight w:val="none"/>
                <w:lang w:eastAsia="zh-CN"/>
              </w:rPr>
            </w:pPr>
            <w:r>
              <w:rPr>
                <w:rFonts w:hint="eastAsia" w:ascii="仿宋" w:hAnsi="仿宋" w:eastAsia="仿宋" w:cs="仿宋"/>
                <w:color w:val="auto"/>
                <w:sz w:val="24"/>
                <w:highlight w:val="none"/>
                <w:lang w:eastAsia="zh-CN"/>
              </w:rPr>
              <w:t>有效的《食品经营许可证》或《食品生产许可证》</w:t>
            </w:r>
          </w:p>
        </w:tc>
      </w:tr>
      <w:tr w14:paraId="7CE69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82" w:type="dxa"/>
            <w:noWrap w:val="0"/>
            <w:vAlign w:val="center"/>
          </w:tcPr>
          <w:p w14:paraId="638A9447">
            <w:pPr>
              <w:keepNext w:val="0"/>
              <w:keepLines w:val="0"/>
              <w:pageBreakBefore w:val="0"/>
              <w:numPr>
                <w:ilvl w:val="0"/>
                <w:numId w:val="15"/>
              </w:numPr>
              <w:kinsoku/>
              <w:wordWrap/>
              <w:overflowPunct/>
              <w:topLinePunct w:val="0"/>
              <w:autoSpaceDE/>
              <w:autoSpaceDN/>
              <w:bidi w:val="0"/>
              <w:adjustRightInd/>
              <w:snapToGrid/>
              <w:spacing w:line="300" w:lineRule="exact"/>
              <w:ind w:left="425" w:hanging="425"/>
              <w:jc w:val="center"/>
              <w:textAlignment w:val="auto"/>
              <w:rPr>
                <w:rFonts w:hint="eastAsia" w:ascii="仿宋" w:hAnsi="仿宋" w:eastAsia="仿宋" w:cs="仿宋"/>
                <w:sz w:val="24"/>
                <w:szCs w:val="24"/>
                <w:highlight w:val="none"/>
              </w:rPr>
            </w:pPr>
          </w:p>
        </w:tc>
        <w:tc>
          <w:tcPr>
            <w:tcW w:w="3323" w:type="dxa"/>
            <w:noWrap w:val="0"/>
            <w:vAlign w:val="center"/>
          </w:tcPr>
          <w:p w14:paraId="0804F182">
            <w:pPr>
              <w:keepNext w:val="0"/>
              <w:keepLines w:val="0"/>
              <w:pageBreakBefore w:val="0"/>
              <w:widowControl/>
              <w:kinsoku/>
              <w:wordWrap/>
              <w:overflowPunct/>
              <w:topLinePunct w:val="0"/>
              <w:autoSpaceDE/>
              <w:autoSpaceDN/>
              <w:bidi w:val="0"/>
              <w:adjustRightInd/>
              <w:snapToGrid/>
              <w:spacing w:line="300" w:lineRule="exact"/>
              <w:ind w:left="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信用记录或承诺函</w:t>
            </w:r>
          </w:p>
        </w:tc>
        <w:tc>
          <w:tcPr>
            <w:tcW w:w="4947" w:type="dxa"/>
            <w:noWrap w:val="0"/>
            <w:vAlign w:val="center"/>
          </w:tcPr>
          <w:p w14:paraId="2EB4ECE6">
            <w:pPr>
              <w:keepNext w:val="0"/>
              <w:keepLines w:val="0"/>
              <w:pageBreakBefore w:val="0"/>
              <w:kinsoku/>
              <w:wordWrap/>
              <w:overflowPunct/>
              <w:topLinePunct w:val="0"/>
              <w:autoSpaceDE/>
              <w:autoSpaceDN/>
              <w:bidi w:val="0"/>
              <w:adjustRightInd/>
              <w:snapToGrid/>
              <w:spacing w:line="300" w:lineRule="exact"/>
              <w:ind w:left="0"/>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承诺函或网页截图，加盖公章。需体现查询日期（附件15）</w:t>
            </w:r>
          </w:p>
        </w:tc>
      </w:tr>
      <w:tr w14:paraId="31BF2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82" w:type="dxa"/>
            <w:noWrap w:val="0"/>
            <w:vAlign w:val="center"/>
          </w:tcPr>
          <w:p w14:paraId="1ABF2EA6">
            <w:pPr>
              <w:keepNext w:val="0"/>
              <w:keepLines w:val="0"/>
              <w:pageBreakBefore w:val="0"/>
              <w:numPr>
                <w:ilvl w:val="0"/>
                <w:numId w:val="15"/>
              </w:numPr>
              <w:kinsoku/>
              <w:wordWrap/>
              <w:overflowPunct/>
              <w:topLinePunct w:val="0"/>
              <w:autoSpaceDE/>
              <w:autoSpaceDN/>
              <w:bidi w:val="0"/>
              <w:adjustRightInd/>
              <w:snapToGrid/>
              <w:spacing w:line="300" w:lineRule="exact"/>
              <w:ind w:left="425" w:hanging="425"/>
              <w:jc w:val="center"/>
              <w:textAlignment w:val="auto"/>
              <w:rPr>
                <w:rFonts w:hint="eastAsia" w:ascii="仿宋" w:hAnsi="仿宋" w:eastAsia="仿宋" w:cs="仿宋"/>
                <w:sz w:val="24"/>
                <w:szCs w:val="24"/>
                <w:highlight w:val="none"/>
              </w:rPr>
            </w:pPr>
          </w:p>
        </w:tc>
        <w:tc>
          <w:tcPr>
            <w:tcW w:w="3323" w:type="dxa"/>
            <w:noWrap w:val="0"/>
            <w:vAlign w:val="center"/>
          </w:tcPr>
          <w:p w14:paraId="6CEC3A4A">
            <w:pPr>
              <w:keepNext w:val="0"/>
              <w:keepLines w:val="0"/>
              <w:pageBreakBefore w:val="0"/>
              <w:widowControl/>
              <w:kinsoku/>
              <w:wordWrap/>
              <w:overflowPunct/>
              <w:topLinePunct w:val="0"/>
              <w:autoSpaceDE/>
              <w:autoSpaceDN/>
              <w:bidi w:val="0"/>
              <w:adjustRightInd/>
              <w:snapToGrid/>
              <w:spacing w:line="300" w:lineRule="exact"/>
              <w:ind w:left="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投标保证金缴纳凭证</w:t>
            </w:r>
          </w:p>
        </w:tc>
        <w:tc>
          <w:tcPr>
            <w:tcW w:w="4947" w:type="dxa"/>
            <w:noWrap w:val="0"/>
            <w:vAlign w:val="center"/>
          </w:tcPr>
          <w:p w14:paraId="7FF3D1F0">
            <w:pPr>
              <w:keepNext w:val="0"/>
              <w:keepLines w:val="0"/>
              <w:pageBreakBefore w:val="0"/>
              <w:widowControl/>
              <w:kinsoku/>
              <w:wordWrap/>
              <w:overflowPunct/>
              <w:topLinePunct w:val="0"/>
              <w:autoSpaceDE/>
              <w:autoSpaceDN/>
              <w:bidi w:val="0"/>
              <w:adjustRightInd/>
              <w:snapToGrid/>
              <w:spacing w:line="300" w:lineRule="exact"/>
              <w:ind w:left="0"/>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电汇凭证或收据等</w:t>
            </w:r>
          </w:p>
        </w:tc>
      </w:tr>
      <w:tr w14:paraId="64F5B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82" w:type="dxa"/>
            <w:noWrap w:val="0"/>
            <w:vAlign w:val="center"/>
          </w:tcPr>
          <w:p w14:paraId="6FB02990">
            <w:pPr>
              <w:keepNext w:val="0"/>
              <w:keepLines w:val="0"/>
              <w:pageBreakBefore w:val="0"/>
              <w:numPr>
                <w:ilvl w:val="0"/>
                <w:numId w:val="15"/>
              </w:numPr>
              <w:kinsoku/>
              <w:wordWrap/>
              <w:overflowPunct/>
              <w:topLinePunct w:val="0"/>
              <w:autoSpaceDE/>
              <w:autoSpaceDN/>
              <w:bidi w:val="0"/>
              <w:adjustRightInd/>
              <w:snapToGrid/>
              <w:spacing w:line="300" w:lineRule="exact"/>
              <w:ind w:left="425" w:hanging="425"/>
              <w:jc w:val="center"/>
              <w:textAlignment w:val="auto"/>
              <w:rPr>
                <w:rFonts w:hint="eastAsia" w:ascii="仿宋" w:hAnsi="仿宋" w:eastAsia="仿宋" w:cs="仿宋"/>
                <w:sz w:val="24"/>
                <w:szCs w:val="24"/>
                <w:highlight w:val="none"/>
              </w:rPr>
            </w:pPr>
          </w:p>
        </w:tc>
        <w:tc>
          <w:tcPr>
            <w:tcW w:w="3323" w:type="dxa"/>
            <w:noWrap w:val="0"/>
            <w:vAlign w:val="center"/>
          </w:tcPr>
          <w:p w14:paraId="621136E8">
            <w:pPr>
              <w:keepNext w:val="0"/>
              <w:keepLines w:val="0"/>
              <w:pageBreakBefore w:val="0"/>
              <w:widowControl/>
              <w:kinsoku/>
              <w:wordWrap/>
              <w:overflowPunct/>
              <w:topLinePunct w:val="0"/>
              <w:autoSpaceDE/>
              <w:autoSpaceDN/>
              <w:bidi w:val="0"/>
              <w:adjustRightInd/>
              <w:snapToGrid/>
              <w:spacing w:line="300" w:lineRule="exact"/>
              <w:ind w:left="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投标函</w:t>
            </w:r>
          </w:p>
        </w:tc>
        <w:tc>
          <w:tcPr>
            <w:tcW w:w="4947" w:type="dxa"/>
            <w:noWrap w:val="0"/>
            <w:vAlign w:val="center"/>
          </w:tcPr>
          <w:p w14:paraId="1267377A">
            <w:pPr>
              <w:keepNext w:val="0"/>
              <w:keepLines w:val="0"/>
              <w:pageBreakBefore w:val="0"/>
              <w:widowControl/>
              <w:kinsoku/>
              <w:wordWrap/>
              <w:overflowPunct/>
              <w:topLinePunct w:val="0"/>
              <w:autoSpaceDE/>
              <w:autoSpaceDN/>
              <w:bidi w:val="0"/>
              <w:adjustRightInd/>
              <w:snapToGrid/>
              <w:spacing w:line="300" w:lineRule="exact"/>
              <w:ind w:left="0"/>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（附件1）</w:t>
            </w:r>
          </w:p>
        </w:tc>
      </w:tr>
      <w:tr w14:paraId="39D54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82" w:type="dxa"/>
            <w:noWrap w:val="0"/>
            <w:vAlign w:val="center"/>
          </w:tcPr>
          <w:p w14:paraId="242E7830">
            <w:pPr>
              <w:keepNext w:val="0"/>
              <w:keepLines w:val="0"/>
              <w:pageBreakBefore w:val="0"/>
              <w:numPr>
                <w:ilvl w:val="0"/>
                <w:numId w:val="15"/>
              </w:numPr>
              <w:kinsoku/>
              <w:wordWrap/>
              <w:overflowPunct/>
              <w:topLinePunct w:val="0"/>
              <w:autoSpaceDE/>
              <w:autoSpaceDN/>
              <w:bidi w:val="0"/>
              <w:adjustRightInd/>
              <w:snapToGrid/>
              <w:spacing w:line="300" w:lineRule="exact"/>
              <w:ind w:left="425" w:hanging="425"/>
              <w:jc w:val="center"/>
              <w:textAlignment w:val="auto"/>
              <w:rPr>
                <w:rFonts w:hint="eastAsia" w:ascii="仿宋" w:hAnsi="仿宋" w:eastAsia="仿宋" w:cs="仿宋"/>
                <w:sz w:val="24"/>
                <w:szCs w:val="24"/>
                <w:highlight w:val="none"/>
              </w:rPr>
            </w:pPr>
          </w:p>
        </w:tc>
        <w:tc>
          <w:tcPr>
            <w:tcW w:w="3323" w:type="dxa"/>
            <w:noWrap w:val="0"/>
            <w:vAlign w:val="center"/>
          </w:tcPr>
          <w:p w14:paraId="057962B8">
            <w:pPr>
              <w:keepNext w:val="0"/>
              <w:keepLines w:val="0"/>
              <w:pageBreakBefore w:val="0"/>
              <w:widowControl/>
              <w:kinsoku/>
              <w:wordWrap/>
              <w:overflowPunct/>
              <w:topLinePunct w:val="0"/>
              <w:autoSpaceDE/>
              <w:autoSpaceDN/>
              <w:bidi w:val="0"/>
              <w:adjustRightInd/>
              <w:snapToGrid/>
              <w:spacing w:line="300" w:lineRule="exact"/>
              <w:ind w:left="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关于资格的声明函</w:t>
            </w:r>
          </w:p>
        </w:tc>
        <w:tc>
          <w:tcPr>
            <w:tcW w:w="4947" w:type="dxa"/>
            <w:noWrap w:val="0"/>
            <w:vAlign w:val="center"/>
          </w:tcPr>
          <w:p w14:paraId="38F0DE8F">
            <w:pPr>
              <w:keepNext w:val="0"/>
              <w:keepLines w:val="0"/>
              <w:pageBreakBefore w:val="0"/>
              <w:widowControl/>
              <w:kinsoku/>
              <w:wordWrap/>
              <w:overflowPunct/>
              <w:topLinePunct w:val="0"/>
              <w:autoSpaceDE/>
              <w:autoSpaceDN/>
              <w:bidi w:val="0"/>
              <w:adjustRightInd/>
              <w:snapToGrid/>
              <w:spacing w:line="300" w:lineRule="exact"/>
              <w:ind w:left="0"/>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（附件2） </w:t>
            </w:r>
          </w:p>
        </w:tc>
      </w:tr>
      <w:tr w14:paraId="4EF15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82" w:type="dxa"/>
            <w:noWrap w:val="0"/>
            <w:vAlign w:val="center"/>
          </w:tcPr>
          <w:p w14:paraId="7C957375">
            <w:pPr>
              <w:keepNext w:val="0"/>
              <w:keepLines w:val="0"/>
              <w:pageBreakBefore w:val="0"/>
              <w:numPr>
                <w:ilvl w:val="0"/>
                <w:numId w:val="15"/>
              </w:numPr>
              <w:kinsoku/>
              <w:wordWrap/>
              <w:overflowPunct/>
              <w:topLinePunct w:val="0"/>
              <w:autoSpaceDE/>
              <w:autoSpaceDN/>
              <w:bidi w:val="0"/>
              <w:adjustRightInd/>
              <w:snapToGrid/>
              <w:spacing w:line="300" w:lineRule="exact"/>
              <w:ind w:left="425" w:hanging="425"/>
              <w:jc w:val="center"/>
              <w:textAlignment w:val="auto"/>
              <w:rPr>
                <w:rFonts w:hint="eastAsia" w:ascii="仿宋" w:hAnsi="仿宋" w:eastAsia="仿宋" w:cs="仿宋"/>
                <w:sz w:val="24"/>
                <w:szCs w:val="24"/>
                <w:highlight w:val="none"/>
              </w:rPr>
            </w:pPr>
          </w:p>
        </w:tc>
        <w:tc>
          <w:tcPr>
            <w:tcW w:w="3323" w:type="dxa"/>
            <w:noWrap w:val="0"/>
            <w:vAlign w:val="center"/>
          </w:tcPr>
          <w:p w14:paraId="5E51880E">
            <w:pPr>
              <w:keepNext w:val="0"/>
              <w:keepLines w:val="0"/>
              <w:pageBreakBefore w:val="0"/>
              <w:widowControl/>
              <w:kinsoku/>
              <w:wordWrap/>
              <w:overflowPunct/>
              <w:topLinePunct w:val="0"/>
              <w:autoSpaceDE/>
              <w:autoSpaceDN/>
              <w:bidi w:val="0"/>
              <w:adjustRightInd/>
              <w:snapToGrid/>
              <w:spacing w:line="300" w:lineRule="exact"/>
              <w:ind w:left="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授权委托书</w:t>
            </w:r>
          </w:p>
        </w:tc>
        <w:tc>
          <w:tcPr>
            <w:tcW w:w="4947" w:type="dxa"/>
            <w:noWrap w:val="0"/>
            <w:vAlign w:val="center"/>
          </w:tcPr>
          <w:p w14:paraId="5612AF42">
            <w:pPr>
              <w:keepNext w:val="0"/>
              <w:keepLines w:val="0"/>
              <w:pageBreakBefore w:val="0"/>
              <w:widowControl/>
              <w:kinsoku/>
              <w:wordWrap/>
              <w:overflowPunct/>
              <w:topLinePunct w:val="0"/>
              <w:autoSpaceDE/>
              <w:autoSpaceDN/>
              <w:bidi w:val="0"/>
              <w:adjustRightInd/>
              <w:snapToGrid/>
              <w:spacing w:line="300" w:lineRule="exact"/>
              <w:ind w:left="0"/>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（附件3）</w:t>
            </w:r>
          </w:p>
        </w:tc>
      </w:tr>
      <w:tr w14:paraId="67115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82" w:type="dxa"/>
            <w:noWrap w:val="0"/>
            <w:vAlign w:val="center"/>
          </w:tcPr>
          <w:p w14:paraId="498453F1">
            <w:pPr>
              <w:keepNext w:val="0"/>
              <w:keepLines w:val="0"/>
              <w:pageBreakBefore w:val="0"/>
              <w:numPr>
                <w:ilvl w:val="0"/>
                <w:numId w:val="15"/>
              </w:numPr>
              <w:kinsoku/>
              <w:wordWrap/>
              <w:overflowPunct/>
              <w:topLinePunct w:val="0"/>
              <w:autoSpaceDE/>
              <w:autoSpaceDN/>
              <w:bidi w:val="0"/>
              <w:adjustRightInd/>
              <w:snapToGrid/>
              <w:spacing w:line="300" w:lineRule="exact"/>
              <w:ind w:left="425" w:hanging="425"/>
              <w:jc w:val="center"/>
              <w:textAlignment w:val="auto"/>
              <w:rPr>
                <w:rFonts w:hint="eastAsia" w:ascii="仿宋" w:hAnsi="仿宋" w:eastAsia="仿宋" w:cs="仿宋"/>
                <w:sz w:val="24"/>
                <w:szCs w:val="24"/>
                <w:highlight w:val="none"/>
              </w:rPr>
            </w:pPr>
          </w:p>
        </w:tc>
        <w:tc>
          <w:tcPr>
            <w:tcW w:w="3323" w:type="dxa"/>
            <w:noWrap w:val="0"/>
            <w:vAlign w:val="center"/>
          </w:tcPr>
          <w:p w14:paraId="52F5DF3B">
            <w:pPr>
              <w:keepNext w:val="0"/>
              <w:keepLines w:val="0"/>
              <w:pageBreakBefore w:val="0"/>
              <w:widowControl/>
              <w:kinsoku/>
              <w:wordWrap/>
              <w:overflowPunct/>
              <w:topLinePunct w:val="0"/>
              <w:autoSpaceDE/>
              <w:autoSpaceDN/>
              <w:bidi w:val="0"/>
              <w:adjustRightInd/>
              <w:snapToGrid/>
              <w:spacing w:line="300" w:lineRule="exact"/>
              <w:ind w:left="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商务条款偏离表</w:t>
            </w:r>
          </w:p>
        </w:tc>
        <w:tc>
          <w:tcPr>
            <w:tcW w:w="4947" w:type="dxa"/>
            <w:noWrap w:val="0"/>
            <w:vAlign w:val="center"/>
          </w:tcPr>
          <w:p w14:paraId="24D9A3D0">
            <w:pPr>
              <w:keepNext w:val="0"/>
              <w:keepLines w:val="0"/>
              <w:pageBreakBefore w:val="0"/>
              <w:kinsoku/>
              <w:wordWrap/>
              <w:overflowPunct/>
              <w:topLinePunct w:val="0"/>
              <w:autoSpaceDE/>
              <w:autoSpaceDN/>
              <w:bidi w:val="0"/>
              <w:adjustRightInd/>
              <w:snapToGrid/>
              <w:spacing w:line="300" w:lineRule="exact"/>
              <w:ind w:left="0"/>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（附件4）</w:t>
            </w:r>
          </w:p>
        </w:tc>
      </w:tr>
      <w:tr w14:paraId="536F8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82" w:type="dxa"/>
            <w:noWrap w:val="0"/>
            <w:vAlign w:val="center"/>
          </w:tcPr>
          <w:p w14:paraId="591676DC">
            <w:pPr>
              <w:keepNext w:val="0"/>
              <w:keepLines w:val="0"/>
              <w:pageBreakBefore w:val="0"/>
              <w:numPr>
                <w:ilvl w:val="0"/>
                <w:numId w:val="15"/>
              </w:numPr>
              <w:kinsoku/>
              <w:wordWrap/>
              <w:overflowPunct/>
              <w:topLinePunct w:val="0"/>
              <w:autoSpaceDE/>
              <w:autoSpaceDN/>
              <w:bidi w:val="0"/>
              <w:adjustRightInd/>
              <w:snapToGrid/>
              <w:spacing w:line="300" w:lineRule="exact"/>
              <w:ind w:left="425" w:hanging="425"/>
              <w:jc w:val="center"/>
              <w:textAlignment w:val="auto"/>
              <w:rPr>
                <w:rFonts w:hint="eastAsia" w:ascii="仿宋" w:hAnsi="仿宋" w:eastAsia="仿宋" w:cs="仿宋"/>
                <w:sz w:val="24"/>
                <w:szCs w:val="24"/>
                <w:highlight w:val="none"/>
              </w:rPr>
            </w:pPr>
          </w:p>
        </w:tc>
        <w:tc>
          <w:tcPr>
            <w:tcW w:w="3323" w:type="dxa"/>
            <w:noWrap w:val="0"/>
            <w:vAlign w:val="center"/>
          </w:tcPr>
          <w:p w14:paraId="4DCBD348">
            <w:pPr>
              <w:keepNext w:val="0"/>
              <w:keepLines w:val="0"/>
              <w:pageBreakBefore w:val="0"/>
              <w:widowControl/>
              <w:kinsoku/>
              <w:wordWrap/>
              <w:overflowPunct/>
              <w:topLinePunct w:val="0"/>
              <w:autoSpaceDE/>
              <w:autoSpaceDN/>
              <w:bidi w:val="0"/>
              <w:adjustRightInd/>
              <w:snapToGrid/>
              <w:spacing w:line="300" w:lineRule="exact"/>
              <w:ind w:left="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技术参数（服务需求）偏离表</w:t>
            </w:r>
          </w:p>
        </w:tc>
        <w:tc>
          <w:tcPr>
            <w:tcW w:w="4947" w:type="dxa"/>
            <w:noWrap w:val="0"/>
            <w:vAlign w:val="center"/>
          </w:tcPr>
          <w:p w14:paraId="62003D74">
            <w:pPr>
              <w:keepNext w:val="0"/>
              <w:keepLines w:val="0"/>
              <w:pageBreakBefore w:val="0"/>
              <w:kinsoku/>
              <w:wordWrap/>
              <w:overflowPunct/>
              <w:topLinePunct w:val="0"/>
              <w:autoSpaceDE/>
              <w:autoSpaceDN/>
              <w:bidi w:val="0"/>
              <w:adjustRightInd/>
              <w:snapToGrid/>
              <w:spacing w:line="300" w:lineRule="exact"/>
              <w:ind w:left="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（附件</w:t>
            </w:r>
            <w:r>
              <w:rPr>
                <w:rFonts w:hint="eastAsia" w:ascii="仿宋" w:hAnsi="仿宋" w:eastAsia="仿宋" w:cs="仿宋"/>
                <w:kern w:val="0"/>
                <w:sz w:val="24"/>
                <w:szCs w:val="24"/>
                <w:highlight w:val="none"/>
              </w:rPr>
              <w:t>5</w:t>
            </w:r>
            <w:r>
              <w:rPr>
                <w:rFonts w:hint="eastAsia" w:ascii="仿宋" w:hAnsi="仿宋" w:eastAsia="仿宋" w:cs="仿宋"/>
                <w:sz w:val="24"/>
                <w:szCs w:val="24"/>
                <w:highlight w:val="none"/>
              </w:rPr>
              <w:t>）</w:t>
            </w:r>
          </w:p>
        </w:tc>
      </w:tr>
      <w:tr w14:paraId="3E1C2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82" w:type="dxa"/>
            <w:noWrap w:val="0"/>
            <w:vAlign w:val="center"/>
          </w:tcPr>
          <w:p w14:paraId="5B66EA71">
            <w:pPr>
              <w:keepNext w:val="0"/>
              <w:keepLines w:val="0"/>
              <w:pageBreakBefore w:val="0"/>
              <w:numPr>
                <w:ilvl w:val="0"/>
                <w:numId w:val="15"/>
              </w:numPr>
              <w:kinsoku/>
              <w:wordWrap/>
              <w:overflowPunct/>
              <w:topLinePunct w:val="0"/>
              <w:autoSpaceDE/>
              <w:autoSpaceDN/>
              <w:bidi w:val="0"/>
              <w:adjustRightInd/>
              <w:snapToGrid/>
              <w:spacing w:line="300" w:lineRule="exact"/>
              <w:ind w:left="425" w:hanging="425"/>
              <w:jc w:val="center"/>
              <w:textAlignment w:val="auto"/>
              <w:rPr>
                <w:rFonts w:hint="eastAsia" w:ascii="仿宋" w:hAnsi="仿宋" w:eastAsia="仿宋" w:cs="仿宋"/>
                <w:sz w:val="24"/>
                <w:szCs w:val="24"/>
                <w:highlight w:val="none"/>
              </w:rPr>
            </w:pPr>
          </w:p>
        </w:tc>
        <w:tc>
          <w:tcPr>
            <w:tcW w:w="3323" w:type="dxa"/>
            <w:noWrap w:val="0"/>
            <w:vAlign w:val="center"/>
          </w:tcPr>
          <w:p w14:paraId="5B9B4D14">
            <w:pPr>
              <w:keepNext w:val="0"/>
              <w:keepLines w:val="0"/>
              <w:pageBreakBefore w:val="0"/>
              <w:widowControl/>
              <w:kinsoku/>
              <w:wordWrap/>
              <w:overflowPunct/>
              <w:topLinePunct w:val="0"/>
              <w:autoSpaceDE/>
              <w:autoSpaceDN/>
              <w:bidi w:val="0"/>
              <w:adjustRightInd/>
              <w:snapToGrid/>
              <w:spacing w:line="300" w:lineRule="exact"/>
              <w:ind w:left="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近三年相关业绩证明材料</w:t>
            </w:r>
          </w:p>
        </w:tc>
        <w:tc>
          <w:tcPr>
            <w:tcW w:w="4947" w:type="dxa"/>
            <w:noWrap w:val="0"/>
            <w:vAlign w:val="center"/>
          </w:tcPr>
          <w:p w14:paraId="7411644E">
            <w:pPr>
              <w:keepNext w:val="0"/>
              <w:keepLines w:val="0"/>
              <w:pageBreakBefore w:val="0"/>
              <w:kinsoku/>
              <w:wordWrap/>
              <w:overflowPunct/>
              <w:topLinePunct w:val="0"/>
              <w:autoSpaceDE/>
              <w:autoSpaceDN/>
              <w:bidi w:val="0"/>
              <w:adjustRightInd/>
              <w:snapToGrid/>
              <w:spacing w:line="300" w:lineRule="exact"/>
              <w:ind w:left="0"/>
              <w:jc w:val="left"/>
              <w:textAlignment w:val="auto"/>
              <w:rPr>
                <w:rFonts w:hint="eastAsia" w:ascii="仿宋" w:hAnsi="仿宋" w:eastAsia="仿宋" w:cs="仿宋"/>
                <w:sz w:val="24"/>
                <w:szCs w:val="24"/>
                <w:highlight w:val="none"/>
              </w:rPr>
            </w:pPr>
            <w:r>
              <w:rPr>
                <w:rFonts w:hint="eastAsia" w:ascii="仿宋" w:hAnsi="仿宋" w:eastAsia="仿宋" w:cs="仿宋"/>
                <w:bCs/>
                <w:sz w:val="24"/>
                <w:szCs w:val="24"/>
                <w:highlight w:val="none"/>
              </w:rPr>
              <w:t>请提供</w:t>
            </w:r>
            <w:r>
              <w:rPr>
                <w:rFonts w:hint="eastAsia" w:ascii="仿宋" w:hAnsi="仿宋" w:eastAsia="仿宋" w:cs="仿宋"/>
                <w:sz w:val="24"/>
                <w:szCs w:val="24"/>
                <w:highlight w:val="none"/>
              </w:rPr>
              <w:t>合同及发票原件扫描件。</w:t>
            </w:r>
            <w:r>
              <w:rPr>
                <w:rFonts w:hint="eastAsia" w:ascii="仿宋" w:hAnsi="仿宋" w:eastAsia="仿宋" w:cs="仿宋"/>
                <w:bCs/>
                <w:sz w:val="24"/>
                <w:szCs w:val="24"/>
                <w:highlight w:val="none"/>
              </w:rPr>
              <w:t>（附件6）</w:t>
            </w:r>
          </w:p>
        </w:tc>
      </w:tr>
      <w:tr w14:paraId="6A940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82" w:type="dxa"/>
            <w:noWrap w:val="0"/>
            <w:vAlign w:val="center"/>
          </w:tcPr>
          <w:p w14:paraId="009C80F1">
            <w:pPr>
              <w:keepNext w:val="0"/>
              <w:keepLines w:val="0"/>
              <w:pageBreakBefore w:val="0"/>
              <w:numPr>
                <w:ilvl w:val="0"/>
                <w:numId w:val="15"/>
              </w:numPr>
              <w:kinsoku/>
              <w:wordWrap/>
              <w:overflowPunct/>
              <w:topLinePunct w:val="0"/>
              <w:autoSpaceDE/>
              <w:autoSpaceDN/>
              <w:bidi w:val="0"/>
              <w:adjustRightInd/>
              <w:snapToGrid/>
              <w:spacing w:line="300" w:lineRule="exact"/>
              <w:ind w:left="425" w:hanging="425"/>
              <w:jc w:val="center"/>
              <w:textAlignment w:val="auto"/>
              <w:rPr>
                <w:rFonts w:hint="eastAsia" w:ascii="仿宋" w:hAnsi="仿宋" w:eastAsia="仿宋" w:cs="仿宋"/>
                <w:sz w:val="24"/>
                <w:szCs w:val="24"/>
                <w:highlight w:val="none"/>
              </w:rPr>
            </w:pPr>
          </w:p>
        </w:tc>
        <w:tc>
          <w:tcPr>
            <w:tcW w:w="3323" w:type="dxa"/>
            <w:noWrap w:val="0"/>
            <w:vAlign w:val="center"/>
          </w:tcPr>
          <w:p w14:paraId="366BE1A1">
            <w:pPr>
              <w:keepNext w:val="0"/>
              <w:keepLines w:val="0"/>
              <w:pageBreakBefore w:val="0"/>
              <w:widowControl/>
              <w:kinsoku/>
              <w:wordWrap/>
              <w:overflowPunct/>
              <w:topLinePunct w:val="0"/>
              <w:autoSpaceDE/>
              <w:autoSpaceDN/>
              <w:bidi w:val="0"/>
              <w:adjustRightInd/>
              <w:snapToGrid/>
              <w:spacing w:line="300" w:lineRule="exact"/>
              <w:ind w:left="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拟指派项目负责人及主要成员信息表</w:t>
            </w:r>
          </w:p>
        </w:tc>
        <w:tc>
          <w:tcPr>
            <w:tcW w:w="4947" w:type="dxa"/>
            <w:noWrap w:val="0"/>
            <w:vAlign w:val="center"/>
          </w:tcPr>
          <w:p w14:paraId="66EFD94A">
            <w:pPr>
              <w:keepNext w:val="0"/>
              <w:keepLines w:val="0"/>
              <w:pageBreakBefore w:val="0"/>
              <w:kinsoku/>
              <w:wordWrap/>
              <w:overflowPunct/>
              <w:topLinePunct w:val="0"/>
              <w:autoSpaceDE/>
              <w:autoSpaceDN/>
              <w:bidi w:val="0"/>
              <w:adjustRightInd/>
              <w:snapToGrid/>
              <w:spacing w:line="300" w:lineRule="exact"/>
              <w:ind w:left="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附件（7）</w:t>
            </w:r>
          </w:p>
        </w:tc>
      </w:tr>
      <w:tr w14:paraId="6B499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82" w:type="dxa"/>
            <w:noWrap w:val="0"/>
            <w:vAlign w:val="center"/>
          </w:tcPr>
          <w:p w14:paraId="3609E114">
            <w:pPr>
              <w:keepNext w:val="0"/>
              <w:keepLines w:val="0"/>
              <w:pageBreakBefore w:val="0"/>
              <w:numPr>
                <w:ilvl w:val="0"/>
                <w:numId w:val="15"/>
              </w:numPr>
              <w:kinsoku/>
              <w:wordWrap/>
              <w:overflowPunct/>
              <w:topLinePunct w:val="0"/>
              <w:autoSpaceDE/>
              <w:autoSpaceDN/>
              <w:bidi w:val="0"/>
              <w:adjustRightInd/>
              <w:snapToGrid/>
              <w:spacing w:line="300" w:lineRule="exact"/>
              <w:ind w:left="425" w:hanging="425"/>
              <w:jc w:val="center"/>
              <w:textAlignment w:val="auto"/>
              <w:rPr>
                <w:rFonts w:hint="eastAsia" w:ascii="仿宋" w:hAnsi="仿宋" w:eastAsia="仿宋" w:cs="仿宋"/>
                <w:sz w:val="24"/>
                <w:szCs w:val="24"/>
                <w:highlight w:val="none"/>
              </w:rPr>
            </w:pPr>
          </w:p>
        </w:tc>
        <w:tc>
          <w:tcPr>
            <w:tcW w:w="3323" w:type="dxa"/>
            <w:noWrap w:val="0"/>
            <w:vAlign w:val="center"/>
          </w:tcPr>
          <w:p w14:paraId="148E3DD1">
            <w:pPr>
              <w:keepNext w:val="0"/>
              <w:keepLines w:val="0"/>
              <w:pageBreakBefore w:val="0"/>
              <w:widowControl/>
              <w:kinsoku/>
              <w:wordWrap/>
              <w:overflowPunct/>
              <w:topLinePunct w:val="0"/>
              <w:autoSpaceDE/>
              <w:autoSpaceDN/>
              <w:bidi w:val="0"/>
              <w:adjustRightInd/>
              <w:snapToGrid/>
              <w:spacing w:line="300" w:lineRule="exact"/>
              <w:ind w:left="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服务方案及保障措施等</w:t>
            </w:r>
          </w:p>
        </w:tc>
        <w:tc>
          <w:tcPr>
            <w:tcW w:w="4947" w:type="dxa"/>
            <w:noWrap w:val="0"/>
            <w:vAlign w:val="center"/>
          </w:tcPr>
          <w:p w14:paraId="5C4BF7FD">
            <w:pPr>
              <w:keepNext w:val="0"/>
              <w:keepLines w:val="0"/>
              <w:pageBreakBefore w:val="0"/>
              <w:kinsoku/>
              <w:wordWrap/>
              <w:overflowPunct/>
              <w:topLinePunct w:val="0"/>
              <w:autoSpaceDE/>
              <w:autoSpaceDN/>
              <w:bidi w:val="0"/>
              <w:adjustRightInd/>
              <w:snapToGrid/>
              <w:spacing w:line="300" w:lineRule="exact"/>
              <w:ind w:left="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根据采购需求，制定合理的服务方案，并提供完善的保障措施，格式自定</w:t>
            </w:r>
          </w:p>
        </w:tc>
      </w:tr>
      <w:tr w14:paraId="6190D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82" w:type="dxa"/>
            <w:noWrap w:val="0"/>
            <w:vAlign w:val="center"/>
          </w:tcPr>
          <w:p w14:paraId="3EBC5921">
            <w:pPr>
              <w:keepNext w:val="0"/>
              <w:keepLines w:val="0"/>
              <w:pageBreakBefore w:val="0"/>
              <w:numPr>
                <w:ilvl w:val="0"/>
                <w:numId w:val="15"/>
              </w:numPr>
              <w:kinsoku/>
              <w:wordWrap/>
              <w:overflowPunct/>
              <w:topLinePunct w:val="0"/>
              <w:autoSpaceDE/>
              <w:autoSpaceDN/>
              <w:bidi w:val="0"/>
              <w:adjustRightInd/>
              <w:snapToGrid/>
              <w:spacing w:line="300" w:lineRule="exact"/>
              <w:ind w:left="425" w:hanging="425"/>
              <w:jc w:val="center"/>
              <w:textAlignment w:val="auto"/>
              <w:rPr>
                <w:rFonts w:hint="eastAsia" w:ascii="仿宋" w:hAnsi="仿宋" w:eastAsia="仿宋" w:cs="仿宋"/>
                <w:sz w:val="24"/>
                <w:szCs w:val="24"/>
                <w:highlight w:val="none"/>
              </w:rPr>
            </w:pPr>
          </w:p>
        </w:tc>
        <w:tc>
          <w:tcPr>
            <w:tcW w:w="3323" w:type="dxa"/>
            <w:noWrap w:val="0"/>
            <w:vAlign w:val="center"/>
          </w:tcPr>
          <w:p w14:paraId="4287F2FE">
            <w:pPr>
              <w:keepNext w:val="0"/>
              <w:keepLines w:val="0"/>
              <w:pageBreakBefore w:val="0"/>
              <w:widowControl/>
              <w:kinsoku/>
              <w:wordWrap/>
              <w:overflowPunct/>
              <w:topLinePunct w:val="0"/>
              <w:autoSpaceDE/>
              <w:autoSpaceDN/>
              <w:bidi w:val="0"/>
              <w:adjustRightInd/>
              <w:snapToGrid/>
              <w:spacing w:line="300" w:lineRule="exact"/>
              <w:ind w:left="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服务承诺书</w:t>
            </w:r>
          </w:p>
        </w:tc>
        <w:tc>
          <w:tcPr>
            <w:tcW w:w="4947" w:type="dxa"/>
            <w:noWrap w:val="0"/>
            <w:vAlign w:val="center"/>
          </w:tcPr>
          <w:p w14:paraId="73317DF1">
            <w:pPr>
              <w:keepNext w:val="0"/>
              <w:keepLines w:val="0"/>
              <w:pageBreakBefore w:val="0"/>
              <w:kinsoku/>
              <w:wordWrap/>
              <w:overflowPunct/>
              <w:topLinePunct w:val="0"/>
              <w:autoSpaceDE/>
              <w:autoSpaceDN/>
              <w:bidi w:val="0"/>
              <w:adjustRightInd/>
              <w:snapToGrid/>
              <w:spacing w:line="300" w:lineRule="exact"/>
              <w:ind w:left="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（附件</w:t>
            </w:r>
            <w:r>
              <w:rPr>
                <w:rFonts w:hint="eastAsia" w:ascii="仿宋" w:hAnsi="仿宋" w:eastAsia="仿宋" w:cs="仿宋"/>
                <w:kern w:val="0"/>
                <w:sz w:val="24"/>
                <w:szCs w:val="24"/>
                <w:highlight w:val="none"/>
              </w:rPr>
              <w:t>8</w:t>
            </w:r>
            <w:r>
              <w:rPr>
                <w:rFonts w:hint="eastAsia" w:ascii="仿宋" w:hAnsi="仿宋" w:eastAsia="仿宋" w:cs="仿宋"/>
                <w:sz w:val="24"/>
                <w:szCs w:val="24"/>
                <w:highlight w:val="none"/>
              </w:rPr>
              <w:t>）</w:t>
            </w:r>
          </w:p>
        </w:tc>
      </w:tr>
      <w:tr w14:paraId="039AB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82" w:type="dxa"/>
            <w:noWrap w:val="0"/>
            <w:vAlign w:val="center"/>
          </w:tcPr>
          <w:p w14:paraId="0E81A525">
            <w:pPr>
              <w:keepNext w:val="0"/>
              <w:keepLines w:val="0"/>
              <w:pageBreakBefore w:val="0"/>
              <w:numPr>
                <w:ilvl w:val="0"/>
                <w:numId w:val="15"/>
              </w:numPr>
              <w:kinsoku/>
              <w:wordWrap/>
              <w:overflowPunct/>
              <w:topLinePunct w:val="0"/>
              <w:autoSpaceDE/>
              <w:autoSpaceDN/>
              <w:bidi w:val="0"/>
              <w:adjustRightInd/>
              <w:snapToGrid/>
              <w:spacing w:line="300" w:lineRule="exact"/>
              <w:ind w:left="425" w:hanging="425"/>
              <w:jc w:val="center"/>
              <w:textAlignment w:val="auto"/>
              <w:rPr>
                <w:rFonts w:hint="eastAsia" w:ascii="仿宋" w:hAnsi="仿宋" w:eastAsia="仿宋" w:cs="仿宋"/>
                <w:sz w:val="24"/>
                <w:szCs w:val="24"/>
                <w:highlight w:val="none"/>
              </w:rPr>
            </w:pPr>
          </w:p>
        </w:tc>
        <w:tc>
          <w:tcPr>
            <w:tcW w:w="3323" w:type="dxa"/>
            <w:noWrap w:val="0"/>
            <w:vAlign w:val="center"/>
          </w:tcPr>
          <w:p w14:paraId="4486F90D">
            <w:pPr>
              <w:keepNext w:val="0"/>
              <w:keepLines w:val="0"/>
              <w:pageBreakBefore w:val="0"/>
              <w:widowControl/>
              <w:kinsoku/>
              <w:wordWrap/>
              <w:overflowPunct/>
              <w:topLinePunct w:val="0"/>
              <w:autoSpaceDE/>
              <w:autoSpaceDN/>
              <w:bidi w:val="0"/>
              <w:adjustRightInd/>
              <w:snapToGrid/>
              <w:spacing w:line="300" w:lineRule="exact"/>
              <w:ind w:left="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免费提供某项产品、部件或服务的说明</w:t>
            </w:r>
          </w:p>
        </w:tc>
        <w:tc>
          <w:tcPr>
            <w:tcW w:w="4947" w:type="dxa"/>
            <w:noWrap w:val="0"/>
            <w:vAlign w:val="center"/>
          </w:tcPr>
          <w:p w14:paraId="1365F109">
            <w:pPr>
              <w:keepNext w:val="0"/>
              <w:keepLines w:val="0"/>
              <w:pageBreakBefore w:val="0"/>
              <w:kinsoku/>
              <w:wordWrap/>
              <w:overflowPunct/>
              <w:topLinePunct w:val="0"/>
              <w:autoSpaceDE/>
              <w:autoSpaceDN/>
              <w:bidi w:val="0"/>
              <w:adjustRightInd/>
              <w:snapToGrid/>
              <w:spacing w:line="300" w:lineRule="exact"/>
              <w:ind w:left="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格式自定</w:t>
            </w:r>
          </w:p>
        </w:tc>
      </w:tr>
      <w:tr w14:paraId="50987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82" w:type="dxa"/>
            <w:noWrap w:val="0"/>
            <w:vAlign w:val="center"/>
          </w:tcPr>
          <w:p w14:paraId="7BC97C12">
            <w:pPr>
              <w:keepNext w:val="0"/>
              <w:keepLines w:val="0"/>
              <w:pageBreakBefore w:val="0"/>
              <w:numPr>
                <w:ilvl w:val="0"/>
                <w:numId w:val="15"/>
              </w:numPr>
              <w:kinsoku/>
              <w:wordWrap/>
              <w:overflowPunct/>
              <w:topLinePunct w:val="0"/>
              <w:autoSpaceDE/>
              <w:autoSpaceDN/>
              <w:bidi w:val="0"/>
              <w:adjustRightInd/>
              <w:snapToGrid/>
              <w:spacing w:line="300" w:lineRule="exact"/>
              <w:ind w:left="425" w:hanging="425"/>
              <w:jc w:val="center"/>
              <w:textAlignment w:val="auto"/>
              <w:rPr>
                <w:rFonts w:hint="eastAsia" w:ascii="仿宋" w:hAnsi="仿宋" w:eastAsia="仿宋" w:cs="仿宋"/>
                <w:sz w:val="24"/>
                <w:szCs w:val="24"/>
                <w:highlight w:val="none"/>
              </w:rPr>
            </w:pPr>
          </w:p>
        </w:tc>
        <w:tc>
          <w:tcPr>
            <w:tcW w:w="3323" w:type="dxa"/>
            <w:noWrap w:val="0"/>
            <w:vAlign w:val="center"/>
          </w:tcPr>
          <w:p w14:paraId="26388FC0">
            <w:pPr>
              <w:keepNext w:val="0"/>
              <w:keepLines w:val="0"/>
              <w:pageBreakBefore w:val="0"/>
              <w:widowControl/>
              <w:kinsoku/>
              <w:wordWrap/>
              <w:overflowPunct/>
              <w:topLinePunct w:val="0"/>
              <w:autoSpaceDE/>
              <w:autoSpaceDN/>
              <w:bidi w:val="0"/>
              <w:adjustRightInd/>
              <w:snapToGrid/>
              <w:spacing w:line="300" w:lineRule="exact"/>
              <w:ind w:left="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反商业贿赂承诺书</w:t>
            </w:r>
          </w:p>
        </w:tc>
        <w:tc>
          <w:tcPr>
            <w:tcW w:w="4947" w:type="dxa"/>
            <w:noWrap w:val="0"/>
            <w:vAlign w:val="center"/>
          </w:tcPr>
          <w:p w14:paraId="00725FD2">
            <w:pPr>
              <w:keepNext w:val="0"/>
              <w:keepLines w:val="0"/>
              <w:pageBreakBefore w:val="0"/>
              <w:kinsoku/>
              <w:wordWrap/>
              <w:overflowPunct/>
              <w:topLinePunct w:val="0"/>
              <w:autoSpaceDE/>
              <w:autoSpaceDN/>
              <w:bidi w:val="0"/>
              <w:adjustRightInd/>
              <w:snapToGrid/>
              <w:spacing w:line="300" w:lineRule="exact"/>
              <w:ind w:left="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（附件</w:t>
            </w:r>
            <w:r>
              <w:rPr>
                <w:rFonts w:hint="eastAsia" w:ascii="仿宋" w:hAnsi="仿宋" w:eastAsia="仿宋" w:cs="仿宋"/>
                <w:kern w:val="0"/>
                <w:sz w:val="24"/>
                <w:szCs w:val="24"/>
                <w:highlight w:val="none"/>
              </w:rPr>
              <w:t>9</w:t>
            </w:r>
            <w:r>
              <w:rPr>
                <w:rFonts w:hint="eastAsia" w:ascii="仿宋" w:hAnsi="仿宋" w:eastAsia="仿宋" w:cs="仿宋"/>
                <w:sz w:val="24"/>
                <w:szCs w:val="24"/>
                <w:highlight w:val="none"/>
              </w:rPr>
              <w:t>）</w:t>
            </w:r>
          </w:p>
        </w:tc>
      </w:tr>
      <w:tr w14:paraId="6AAA7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82" w:type="dxa"/>
            <w:noWrap w:val="0"/>
            <w:vAlign w:val="center"/>
          </w:tcPr>
          <w:p w14:paraId="4DF71830">
            <w:pPr>
              <w:keepNext w:val="0"/>
              <w:keepLines w:val="0"/>
              <w:pageBreakBefore w:val="0"/>
              <w:numPr>
                <w:ilvl w:val="0"/>
                <w:numId w:val="15"/>
              </w:numPr>
              <w:kinsoku/>
              <w:wordWrap/>
              <w:overflowPunct/>
              <w:topLinePunct w:val="0"/>
              <w:autoSpaceDE/>
              <w:autoSpaceDN/>
              <w:bidi w:val="0"/>
              <w:adjustRightInd/>
              <w:snapToGrid/>
              <w:spacing w:line="300" w:lineRule="exact"/>
              <w:ind w:left="425" w:hanging="425"/>
              <w:jc w:val="center"/>
              <w:textAlignment w:val="auto"/>
              <w:rPr>
                <w:rFonts w:hint="eastAsia" w:ascii="仿宋" w:hAnsi="仿宋" w:eastAsia="仿宋" w:cs="仿宋"/>
                <w:sz w:val="24"/>
                <w:szCs w:val="24"/>
                <w:highlight w:val="none"/>
              </w:rPr>
            </w:pPr>
          </w:p>
        </w:tc>
        <w:tc>
          <w:tcPr>
            <w:tcW w:w="3323" w:type="dxa"/>
            <w:noWrap w:val="0"/>
            <w:vAlign w:val="center"/>
          </w:tcPr>
          <w:p w14:paraId="12CD23CC">
            <w:pPr>
              <w:keepNext w:val="0"/>
              <w:keepLines w:val="0"/>
              <w:pageBreakBefore w:val="0"/>
              <w:widowControl/>
              <w:kinsoku/>
              <w:wordWrap/>
              <w:overflowPunct/>
              <w:topLinePunct w:val="0"/>
              <w:autoSpaceDE/>
              <w:autoSpaceDN/>
              <w:bidi w:val="0"/>
              <w:adjustRightInd/>
              <w:snapToGrid/>
              <w:spacing w:line="300" w:lineRule="exact"/>
              <w:ind w:left="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开标一览表</w:t>
            </w:r>
          </w:p>
        </w:tc>
        <w:tc>
          <w:tcPr>
            <w:tcW w:w="4947" w:type="dxa"/>
            <w:noWrap w:val="0"/>
            <w:vAlign w:val="center"/>
          </w:tcPr>
          <w:p w14:paraId="0D954213">
            <w:pPr>
              <w:keepNext w:val="0"/>
              <w:keepLines w:val="0"/>
              <w:pageBreakBefore w:val="0"/>
              <w:kinsoku/>
              <w:wordWrap/>
              <w:overflowPunct/>
              <w:topLinePunct w:val="0"/>
              <w:autoSpaceDE/>
              <w:autoSpaceDN/>
              <w:bidi w:val="0"/>
              <w:adjustRightInd/>
              <w:snapToGrid/>
              <w:spacing w:line="300" w:lineRule="exact"/>
              <w:ind w:left="0"/>
              <w:jc w:val="center"/>
              <w:textAlignment w:val="auto"/>
              <w:rPr>
                <w:rFonts w:hint="eastAsia" w:ascii="仿宋" w:hAnsi="仿宋" w:eastAsia="仿宋" w:cs="仿宋"/>
                <w:kern w:val="0"/>
                <w:sz w:val="24"/>
                <w:szCs w:val="24"/>
                <w:highlight w:val="none"/>
              </w:rPr>
            </w:pPr>
            <w:r>
              <w:rPr>
                <w:rFonts w:hint="eastAsia" w:ascii="仿宋" w:hAnsi="仿宋" w:eastAsia="仿宋" w:cs="仿宋"/>
                <w:sz w:val="24"/>
                <w:szCs w:val="24"/>
                <w:highlight w:val="none"/>
              </w:rPr>
              <w:t>（附件</w:t>
            </w:r>
            <w:r>
              <w:rPr>
                <w:rFonts w:hint="eastAsia" w:ascii="仿宋" w:hAnsi="仿宋" w:eastAsia="仿宋" w:cs="仿宋"/>
                <w:kern w:val="0"/>
                <w:sz w:val="24"/>
                <w:szCs w:val="24"/>
                <w:highlight w:val="none"/>
              </w:rPr>
              <w:t>10</w:t>
            </w:r>
            <w:r>
              <w:rPr>
                <w:rFonts w:hint="eastAsia" w:ascii="仿宋" w:hAnsi="仿宋" w:eastAsia="仿宋" w:cs="仿宋"/>
                <w:sz w:val="24"/>
                <w:szCs w:val="24"/>
                <w:highlight w:val="none"/>
              </w:rPr>
              <w:t>）</w:t>
            </w:r>
          </w:p>
        </w:tc>
      </w:tr>
      <w:tr w14:paraId="532E6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82" w:type="dxa"/>
            <w:noWrap w:val="0"/>
            <w:vAlign w:val="center"/>
          </w:tcPr>
          <w:p w14:paraId="47412110">
            <w:pPr>
              <w:keepNext w:val="0"/>
              <w:keepLines w:val="0"/>
              <w:pageBreakBefore w:val="0"/>
              <w:numPr>
                <w:ilvl w:val="0"/>
                <w:numId w:val="15"/>
              </w:numPr>
              <w:kinsoku/>
              <w:wordWrap/>
              <w:overflowPunct/>
              <w:topLinePunct w:val="0"/>
              <w:autoSpaceDE/>
              <w:autoSpaceDN/>
              <w:bidi w:val="0"/>
              <w:adjustRightInd/>
              <w:snapToGrid/>
              <w:spacing w:line="300" w:lineRule="exact"/>
              <w:ind w:left="425" w:hanging="425"/>
              <w:jc w:val="center"/>
              <w:textAlignment w:val="auto"/>
              <w:rPr>
                <w:rFonts w:hint="eastAsia" w:ascii="仿宋" w:hAnsi="仿宋" w:eastAsia="仿宋" w:cs="仿宋"/>
                <w:sz w:val="24"/>
                <w:szCs w:val="24"/>
                <w:highlight w:val="none"/>
              </w:rPr>
            </w:pPr>
          </w:p>
        </w:tc>
        <w:tc>
          <w:tcPr>
            <w:tcW w:w="3323" w:type="dxa"/>
            <w:noWrap w:val="0"/>
            <w:vAlign w:val="center"/>
          </w:tcPr>
          <w:p w14:paraId="64A4B561">
            <w:pPr>
              <w:keepNext w:val="0"/>
              <w:keepLines w:val="0"/>
              <w:pageBreakBefore w:val="0"/>
              <w:widowControl/>
              <w:kinsoku/>
              <w:wordWrap/>
              <w:overflowPunct/>
              <w:topLinePunct w:val="0"/>
              <w:autoSpaceDE/>
              <w:autoSpaceDN/>
              <w:bidi w:val="0"/>
              <w:adjustRightInd/>
              <w:snapToGrid/>
              <w:spacing w:line="300" w:lineRule="exact"/>
              <w:ind w:left="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分项价格表（明细报价表）</w:t>
            </w:r>
          </w:p>
        </w:tc>
        <w:tc>
          <w:tcPr>
            <w:tcW w:w="4947" w:type="dxa"/>
            <w:noWrap w:val="0"/>
            <w:vAlign w:val="center"/>
          </w:tcPr>
          <w:p w14:paraId="03D598CA">
            <w:pPr>
              <w:keepNext w:val="0"/>
              <w:keepLines w:val="0"/>
              <w:pageBreakBefore w:val="0"/>
              <w:widowControl/>
              <w:kinsoku/>
              <w:wordWrap/>
              <w:overflowPunct/>
              <w:topLinePunct w:val="0"/>
              <w:autoSpaceDE/>
              <w:autoSpaceDN/>
              <w:bidi w:val="0"/>
              <w:adjustRightInd/>
              <w:snapToGrid/>
              <w:spacing w:line="300" w:lineRule="exact"/>
              <w:ind w:left="0"/>
              <w:jc w:val="center"/>
              <w:textAlignment w:val="auto"/>
              <w:rPr>
                <w:rFonts w:hint="eastAsia" w:ascii="仿宋" w:hAnsi="仿宋" w:eastAsia="仿宋" w:cs="仿宋"/>
                <w:kern w:val="0"/>
                <w:sz w:val="24"/>
                <w:szCs w:val="24"/>
                <w:highlight w:val="none"/>
              </w:rPr>
            </w:pPr>
            <w:r>
              <w:rPr>
                <w:rFonts w:hint="eastAsia" w:ascii="仿宋" w:hAnsi="仿宋" w:eastAsia="仿宋" w:cs="仿宋"/>
                <w:sz w:val="24"/>
                <w:szCs w:val="24"/>
                <w:highlight w:val="none"/>
              </w:rPr>
              <w:t>（附件</w:t>
            </w:r>
            <w:r>
              <w:rPr>
                <w:rFonts w:hint="eastAsia" w:ascii="仿宋" w:hAnsi="仿宋" w:eastAsia="仿宋" w:cs="仿宋"/>
                <w:kern w:val="0"/>
                <w:sz w:val="24"/>
                <w:szCs w:val="24"/>
                <w:highlight w:val="none"/>
              </w:rPr>
              <w:t>11</w:t>
            </w:r>
            <w:r>
              <w:rPr>
                <w:rFonts w:hint="eastAsia" w:ascii="仿宋" w:hAnsi="仿宋" w:eastAsia="仿宋" w:cs="仿宋"/>
                <w:sz w:val="24"/>
                <w:szCs w:val="24"/>
                <w:highlight w:val="none"/>
              </w:rPr>
              <w:t>）</w:t>
            </w:r>
          </w:p>
        </w:tc>
      </w:tr>
      <w:tr w14:paraId="102F8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82" w:type="dxa"/>
            <w:noWrap w:val="0"/>
            <w:vAlign w:val="center"/>
          </w:tcPr>
          <w:p w14:paraId="668145DB">
            <w:pPr>
              <w:keepNext w:val="0"/>
              <w:keepLines w:val="0"/>
              <w:pageBreakBefore w:val="0"/>
              <w:widowControl/>
              <w:numPr>
                <w:ilvl w:val="0"/>
                <w:numId w:val="15"/>
              </w:numPr>
              <w:kinsoku/>
              <w:wordWrap/>
              <w:overflowPunct/>
              <w:topLinePunct w:val="0"/>
              <w:autoSpaceDE/>
              <w:autoSpaceDN/>
              <w:bidi w:val="0"/>
              <w:adjustRightInd/>
              <w:snapToGrid/>
              <w:spacing w:line="300" w:lineRule="exact"/>
              <w:ind w:left="425" w:hanging="425"/>
              <w:jc w:val="center"/>
              <w:textAlignment w:val="auto"/>
              <w:rPr>
                <w:rFonts w:hint="eastAsia" w:ascii="仿宋" w:hAnsi="仿宋" w:eastAsia="仿宋" w:cs="仿宋"/>
                <w:sz w:val="24"/>
                <w:szCs w:val="24"/>
                <w:highlight w:val="none"/>
              </w:rPr>
            </w:pPr>
          </w:p>
        </w:tc>
        <w:tc>
          <w:tcPr>
            <w:tcW w:w="3323" w:type="dxa"/>
            <w:noWrap w:val="0"/>
            <w:vAlign w:val="center"/>
          </w:tcPr>
          <w:p w14:paraId="28617AD9">
            <w:pPr>
              <w:keepNext w:val="0"/>
              <w:keepLines w:val="0"/>
              <w:pageBreakBefore w:val="0"/>
              <w:widowControl/>
              <w:kinsoku/>
              <w:wordWrap/>
              <w:overflowPunct/>
              <w:topLinePunct w:val="0"/>
              <w:autoSpaceDE/>
              <w:autoSpaceDN/>
              <w:bidi w:val="0"/>
              <w:adjustRightInd/>
              <w:snapToGrid/>
              <w:spacing w:line="300" w:lineRule="exact"/>
              <w:ind w:left="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中小企业声明函</w:t>
            </w:r>
          </w:p>
        </w:tc>
        <w:tc>
          <w:tcPr>
            <w:tcW w:w="4947" w:type="dxa"/>
            <w:noWrap w:val="0"/>
            <w:vAlign w:val="center"/>
          </w:tcPr>
          <w:p w14:paraId="3E7856F5">
            <w:pPr>
              <w:keepNext w:val="0"/>
              <w:keepLines w:val="0"/>
              <w:pageBreakBefore w:val="0"/>
              <w:kinsoku/>
              <w:wordWrap/>
              <w:overflowPunct/>
              <w:topLinePunct w:val="0"/>
              <w:autoSpaceDE/>
              <w:autoSpaceDN/>
              <w:bidi w:val="0"/>
              <w:adjustRightInd/>
              <w:snapToGrid/>
              <w:spacing w:line="300" w:lineRule="exact"/>
              <w:ind w:left="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（附件12）</w:t>
            </w:r>
          </w:p>
          <w:p w14:paraId="2722ABFC">
            <w:pPr>
              <w:keepNext w:val="0"/>
              <w:keepLines w:val="0"/>
              <w:pageBreakBefore w:val="0"/>
              <w:kinsoku/>
              <w:wordWrap/>
              <w:overflowPunct/>
              <w:topLinePunct w:val="0"/>
              <w:autoSpaceDE/>
              <w:autoSpaceDN/>
              <w:bidi w:val="0"/>
              <w:adjustRightInd/>
              <w:snapToGrid/>
              <w:spacing w:line="300" w:lineRule="exact"/>
              <w:ind w:left="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投标人根据项目要求及自身情况，进行提供</w:t>
            </w:r>
          </w:p>
        </w:tc>
      </w:tr>
      <w:tr w14:paraId="37C38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82" w:type="dxa"/>
            <w:noWrap w:val="0"/>
            <w:vAlign w:val="center"/>
          </w:tcPr>
          <w:p w14:paraId="6F48C8B4">
            <w:pPr>
              <w:keepNext w:val="0"/>
              <w:keepLines w:val="0"/>
              <w:pageBreakBefore w:val="0"/>
              <w:numPr>
                <w:ilvl w:val="0"/>
                <w:numId w:val="15"/>
              </w:numPr>
              <w:kinsoku/>
              <w:wordWrap/>
              <w:overflowPunct/>
              <w:topLinePunct w:val="0"/>
              <w:autoSpaceDE/>
              <w:autoSpaceDN/>
              <w:bidi w:val="0"/>
              <w:adjustRightInd/>
              <w:snapToGrid/>
              <w:spacing w:line="300" w:lineRule="exact"/>
              <w:ind w:left="425" w:hanging="425"/>
              <w:jc w:val="center"/>
              <w:textAlignment w:val="auto"/>
              <w:rPr>
                <w:rFonts w:hint="eastAsia" w:ascii="仿宋" w:hAnsi="仿宋" w:eastAsia="仿宋" w:cs="仿宋"/>
                <w:sz w:val="24"/>
                <w:szCs w:val="24"/>
                <w:highlight w:val="none"/>
              </w:rPr>
            </w:pPr>
          </w:p>
        </w:tc>
        <w:tc>
          <w:tcPr>
            <w:tcW w:w="3323" w:type="dxa"/>
            <w:noWrap w:val="0"/>
            <w:vAlign w:val="center"/>
          </w:tcPr>
          <w:p w14:paraId="38BC367E">
            <w:pPr>
              <w:keepNext w:val="0"/>
              <w:keepLines w:val="0"/>
              <w:pageBreakBefore w:val="0"/>
              <w:widowControl/>
              <w:kinsoku/>
              <w:wordWrap/>
              <w:overflowPunct/>
              <w:topLinePunct w:val="0"/>
              <w:autoSpaceDE/>
              <w:autoSpaceDN/>
              <w:bidi w:val="0"/>
              <w:adjustRightInd/>
              <w:snapToGrid/>
              <w:spacing w:line="300" w:lineRule="exact"/>
              <w:ind w:left="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监狱企业声明函</w:t>
            </w:r>
          </w:p>
        </w:tc>
        <w:tc>
          <w:tcPr>
            <w:tcW w:w="4947" w:type="dxa"/>
            <w:noWrap w:val="0"/>
            <w:vAlign w:val="center"/>
          </w:tcPr>
          <w:p w14:paraId="1D886834">
            <w:pPr>
              <w:keepNext w:val="0"/>
              <w:keepLines w:val="0"/>
              <w:pageBreakBefore w:val="0"/>
              <w:kinsoku/>
              <w:wordWrap/>
              <w:overflowPunct/>
              <w:topLinePunct w:val="0"/>
              <w:autoSpaceDE/>
              <w:autoSpaceDN/>
              <w:bidi w:val="0"/>
              <w:adjustRightInd/>
              <w:snapToGrid/>
              <w:spacing w:line="300" w:lineRule="exact"/>
              <w:ind w:left="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（附件13）</w:t>
            </w:r>
          </w:p>
          <w:p w14:paraId="74B17369">
            <w:pPr>
              <w:keepNext w:val="0"/>
              <w:keepLines w:val="0"/>
              <w:pageBreakBefore w:val="0"/>
              <w:kinsoku/>
              <w:wordWrap/>
              <w:overflowPunct/>
              <w:topLinePunct w:val="0"/>
              <w:autoSpaceDE/>
              <w:autoSpaceDN/>
              <w:bidi w:val="0"/>
              <w:adjustRightInd/>
              <w:snapToGrid/>
              <w:spacing w:line="300" w:lineRule="exact"/>
              <w:ind w:left="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投标人根据情况自行选择，不享受相关政策的投标人无需提供</w:t>
            </w:r>
          </w:p>
        </w:tc>
      </w:tr>
      <w:tr w14:paraId="56A28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82" w:type="dxa"/>
            <w:noWrap w:val="0"/>
            <w:vAlign w:val="center"/>
          </w:tcPr>
          <w:p w14:paraId="000EBA53">
            <w:pPr>
              <w:keepNext w:val="0"/>
              <w:keepLines w:val="0"/>
              <w:pageBreakBefore w:val="0"/>
              <w:widowControl/>
              <w:numPr>
                <w:ilvl w:val="0"/>
                <w:numId w:val="15"/>
              </w:numPr>
              <w:kinsoku/>
              <w:wordWrap/>
              <w:overflowPunct/>
              <w:topLinePunct w:val="0"/>
              <w:autoSpaceDE/>
              <w:autoSpaceDN/>
              <w:bidi w:val="0"/>
              <w:adjustRightInd/>
              <w:snapToGrid/>
              <w:spacing w:line="300" w:lineRule="exact"/>
              <w:ind w:left="425" w:hanging="425"/>
              <w:jc w:val="center"/>
              <w:textAlignment w:val="auto"/>
              <w:rPr>
                <w:rFonts w:hint="eastAsia" w:ascii="仿宋" w:hAnsi="仿宋" w:eastAsia="仿宋" w:cs="仿宋"/>
                <w:kern w:val="0"/>
                <w:sz w:val="24"/>
                <w:szCs w:val="24"/>
                <w:highlight w:val="none"/>
              </w:rPr>
            </w:pPr>
          </w:p>
        </w:tc>
        <w:tc>
          <w:tcPr>
            <w:tcW w:w="3323" w:type="dxa"/>
            <w:noWrap w:val="0"/>
            <w:vAlign w:val="center"/>
          </w:tcPr>
          <w:p w14:paraId="3970C076">
            <w:pPr>
              <w:keepNext w:val="0"/>
              <w:keepLines w:val="0"/>
              <w:pageBreakBefore w:val="0"/>
              <w:widowControl/>
              <w:kinsoku/>
              <w:wordWrap/>
              <w:overflowPunct/>
              <w:topLinePunct w:val="0"/>
              <w:autoSpaceDE/>
              <w:autoSpaceDN/>
              <w:bidi w:val="0"/>
              <w:adjustRightInd/>
              <w:snapToGrid/>
              <w:spacing w:line="300" w:lineRule="exact"/>
              <w:ind w:left="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残疾人福利性单位声明函</w:t>
            </w:r>
          </w:p>
        </w:tc>
        <w:tc>
          <w:tcPr>
            <w:tcW w:w="4947" w:type="dxa"/>
            <w:noWrap w:val="0"/>
            <w:vAlign w:val="center"/>
          </w:tcPr>
          <w:p w14:paraId="17FC168E">
            <w:pPr>
              <w:keepNext w:val="0"/>
              <w:keepLines w:val="0"/>
              <w:pageBreakBefore w:val="0"/>
              <w:kinsoku/>
              <w:wordWrap/>
              <w:overflowPunct/>
              <w:topLinePunct w:val="0"/>
              <w:autoSpaceDE/>
              <w:autoSpaceDN/>
              <w:bidi w:val="0"/>
              <w:adjustRightInd/>
              <w:snapToGrid/>
              <w:spacing w:line="300" w:lineRule="exact"/>
              <w:ind w:left="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（附件14）</w:t>
            </w:r>
          </w:p>
          <w:p w14:paraId="0C3139C3">
            <w:pPr>
              <w:keepNext w:val="0"/>
              <w:keepLines w:val="0"/>
              <w:pageBreakBefore w:val="0"/>
              <w:kinsoku/>
              <w:wordWrap/>
              <w:overflowPunct/>
              <w:topLinePunct w:val="0"/>
              <w:autoSpaceDE/>
              <w:autoSpaceDN/>
              <w:bidi w:val="0"/>
              <w:adjustRightInd/>
              <w:snapToGrid/>
              <w:spacing w:line="300" w:lineRule="exact"/>
              <w:ind w:left="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投标人根据情况自行选择，不享受相关政策的投标人无需提供</w:t>
            </w:r>
          </w:p>
        </w:tc>
      </w:tr>
      <w:tr w14:paraId="0F137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82" w:type="dxa"/>
            <w:noWrap w:val="0"/>
            <w:vAlign w:val="center"/>
          </w:tcPr>
          <w:p w14:paraId="718A1B96">
            <w:pPr>
              <w:keepNext w:val="0"/>
              <w:keepLines w:val="0"/>
              <w:pageBreakBefore w:val="0"/>
              <w:widowControl/>
              <w:numPr>
                <w:ilvl w:val="0"/>
                <w:numId w:val="15"/>
              </w:numPr>
              <w:kinsoku/>
              <w:wordWrap/>
              <w:overflowPunct/>
              <w:topLinePunct w:val="0"/>
              <w:autoSpaceDE/>
              <w:autoSpaceDN/>
              <w:bidi w:val="0"/>
              <w:adjustRightInd/>
              <w:snapToGrid/>
              <w:spacing w:line="300" w:lineRule="exact"/>
              <w:ind w:left="425" w:hanging="425"/>
              <w:jc w:val="center"/>
              <w:textAlignment w:val="auto"/>
              <w:rPr>
                <w:rFonts w:hint="eastAsia" w:ascii="仿宋" w:hAnsi="仿宋" w:eastAsia="仿宋" w:cs="仿宋"/>
                <w:kern w:val="0"/>
                <w:sz w:val="24"/>
                <w:szCs w:val="24"/>
                <w:highlight w:val="none"/>
              </w:rPr>
            </w:pPr>
          </w:p>
        </w:tc>
        <w:tc>
          <w:tcPr>
            <w:tcW w:w="3323" w:type="dxa"/>
            <w:noWrap w:val="0"/>
            <w:vAlign w:val="center"/>
          </w:tcPr>
          <w:p w14:paraId="0ACDCCFA">
            <w:pPr>
              <w:keepNext w:val="0"/>
              <w:keepLines w:val="0"/>
              <w:pageBreakBefore w:val="0"/>
              <w:kinsoku/>
              <w:wordWrap/>
              <w:overflowPunct/>
              <w:topLinePunct w:val="0"/>
              <w:autoSpaceDE/>
              <w:autoSpaceDN/>
              <w:bidi w:val="0"/>
              <w:adjustRightInd/>
              <w:snapToGrid/>
              <w:spacing w:line="300" w:lineRule="exact"/>
              <w:ind w:left="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招标文件中要求提交的和投标人认为需要提供的其它说明和资料。</w:t>
            </w:r>
          </w:p>
        </w:tc>
        <w:tc>
          <w:tcPr>
            <w:tcW w:w="4947" w:type="dxa"/>
            <w:noWrap w:val="0"/>
            <w:vAlign w:val="center"/>
          </w:tcPr>
          <w:p w14:paraId="415D72C1">
            <w:pPr>
              <w:keepNext w:val="0"/>
              <w:keepLines w:val="0"/>
              <w:pageBreakBefore w:val="0"/>
              <w:kinsoku/>
              <w:wordWrap/>
              <w:overflowPunct/>
              <w:topLinePunct w:val="0"/>
              <w:autoSpaceDE/>
              <w:autoSpaceDN/>
              <w:bidi w:val="0"/>
              <w:adjustRightInd/>
              <w:snapToGrid/>
              <w:spacing w:line="300" w:lineRule="exact"/>
              <w:ind w:left="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格式自定，如</w:t>
            </w:r>
            <w:r>
              <w:rPr>
                <w:rFonts w:hint="eastAsia" w:ascii="仿宋" w:hAnsi="仿宋" w:eastAsia="仿宋" w:cs="仿宋"/>
                <w:sz w:val="24"/>
                <w:szCs w:val="24"/>
                <w:highlight w:val="none"/>
                <w:lang w:eastAsia="zh-CN"/>
              </w:rPr>
              <w:t>获奖情况</w:t>
            </w:r>
            <w:r>
              <w:rPr>
                <w:rFonts w:hint="eastAsia" w:ascii="仿宋" w:hAnsi="仿宋" w:eastAsia="仿宋" w:cs="仿宋"/>
                <w:sz w:val="24"/>
                <w:szCs w:val="24"/>
                <w:highlight w:val="none"/>
              </w:rPr>
              <w:t>等</w:t>
            </w:r>
          </w:p>
        </w:tc>
      </w:tr>
    </w:tbl>
    <w:p w14:paraId="482992B8">
      <w:pPr>
        <w:ind w:firstLine="360" w:firstLineChars="150"/>
        <w:rPr>
          <w:rFonts w:hint="eastAsia" w:ascii="仿宋" w:hAnsi="仿宋" w:eastAsia="仿宋" w:cs="仿宋"/>
          <w:sz w:val="24"/>
          <w:highlight w:val="none"/>
        </w:rPr>
      </w:pPr>
      <w:r>
        <w:rPr>
          <w:rFonts w:hint="eastAsia" w:ascii="仿宋" w:hAnsi="仿宋" w:eastAsia="仿宋" w:cs="仿宋"/>
          <w:sz w:val="24"/>
          <w:highlight w:val="none"/>
        </w:rPr>
        <w:br w:type="page"/>
      </w:r>
    </w:p>
    <w:p w14:paraId="23C3FC76">
      <w:pPr>
        <w:spacing w:line="440" w:lineRule="exact"/>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6、投标报价</w:t>
      </w:r>
    </w:p>
    <w:p w14:paraId="7E319D74">
      <w:pPr>
        <w:pStyle w:val="19"/>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6.1 投标人应按招标文件规定的供货及服务要求、责任范围和合同条件以人民币形式进行报价。投标报价应为完税价。</w:t>
      </w:r>
    </w:p>
    <w:p w14:paraId="3A2858E5">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6.2 开标一览表</w:t>
      </w:r>
    </w:p>
    <w:p w14:paraId="5E57D15B">
      <w:pPr>
        <w:spacing w:line="3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提交开标一览表是为了便于开标时唱标，投标人必须按本招标文件所附的格式填写，签字并加盖公章。 </w:t>
      </w:r>
    </w:p>
    <w:p w14:paraId="50ED97C7">
      <w:pPr>
        <w:pStyle w:val="19"/>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6.3 投标人必须按开标一览表和明细报价表的内容和格式要求填写各项货物及服务的分项价格和总价。投标人在投标人须知前附表规定的投标文件截止之日前修改开标一览表中的报价的，应同时修改其明细报价表中的报价。</w:t>
      </w:r>
    </w:p>
    <w:p w14:paraId="452693B7">
      <w:pPr>
        <w:spacing w:line="440" w:lineRule="exact"/>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6.4 投标人应在明细报价表上标明综合单价和总价。</w:t>
      </w:r>
    </w:p>
    <w:p w14:paraId="5146C848">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（1）投标文件中开标一览表（报价表）内容与投标文件中相应内容不一致的，以开标一览表（报价表）为准；</w:t>
      </w:r>
    </w:p>
    <w:p w14:paraId="6AE36188">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（2）大写金额和小写金额不一致的，以大写金额为准；</w:t>
      </w:r>
    </w:p>
    <w:p w14:paraId="067D1E4D">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（3）单价金额小数点或者百分比有明显错位的，以开标一览表的总价为准，并修改单价；</w:t>
      </w:r>
    </w:p>
    <w:p w14:paraId="20F9DC5D">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（4）总价金额与按单价汇总金额不一致的，以单价金额计算结果为准。</w:t>
      </w:r>
    </w:p>
    <w:p w14:paraId="3D579362">
      <w:pPr>
        <w:pStyle w:val="19"/>
        <w:spacing w:line="44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同时出现两种以上不一致的，按照前款规定的顺序修正。修正后的报价经投标人确认后产生约束力，投标人不确认的，其投标无效。</w:t>
      </w:r>
    </w:p>
    <w:p w14:paraId="15678DD6">
      <w:pPr>
        <w:pStyle w:val="19"/>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★6.5　投标人对每种货物及服务只允许有一个报价，不接受可变动性报价，否则，在评标时将其视为无效投标。</w:t>
      </w:r>
    </w:p>
    <w:p w14:paraId="2E01E79E">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6.6  投标报价不符合招标文件对投标报价要求的，为无效投标。</w:t>
      </w:r>
    </w:p>
    <w:p w14:paraId="329228B0">
      <w:pPr>
        <w:spacing w:line="440" w:lineRule="exact"/>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rPr>
        <w:t>6.7投标报价超预算金额（最高限价）的，为无效投标。</w:t>
      </w:r>
    </w:p>
    <w:p w14:paraId="61342D6C">
      <w:pPr>
        <w:spacing w:line="440" w:lineRule="exact"/>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6.8 投标报价是履行合同的最终价格，应包括下列几项费用：</w:t>
      </w:r>
    </w:p>
    <w:p w14:paraId="2AAA3E88">
      <w:pPr>
        <w:spacing w:line="440" w:lineRule="exact"/>
        <w:ind w:firstLine="360" w:firstLineChars="150"/>
        <w:rPr>
          <w:rFonts w:hint="eastAsia" w:ascii="仿宋" w:hAnsi="仿宋" w:eastAsia="仿宋" w:cs="仿宋"/>
          <w:bCs/>
          <w:sz w:val="24"/>
          <w:highlight w:val="none"/>
        </w:rPr>
      </w:pPr>
      <w:r>
        <w:rPr>
          <w:rFonts w:hint="eastAsia" w:ascii="仿宋" w:hAnsi="仿宋" w:eastAsia="仿宋" w:cs="仿宋"/>
          <w:bCs/>
          <w:sz w:val="24"/>
          <w:highlight w:val="none"/>
        </w:rPr>
        <w:t>（1）招标文件中特别要求的备品备件、易损件和专用工具的费用；</w:t>
      </w:r>
    </w:p>
    <w:p w14:paraId="35AA8FCC">
      <w:pPr>
        <w:spacing w:line="440" w:lineRule="exact"/>
        <w:ind w:firstLine="360" w:firstLineChars="150"/>
        <w:rPr>
          <w:rFonts w:hint="eastAsia" w:ascii="仿宋" w:hAnsi="仿宋" w:eastAsia="仿宋" w:cs="仿宋"/>
          <w:bCs/>
          <w:sz w:val="24"/>
          <w:highlight w:val="none"/>
        </w:rPr>
      </w:pPr>
      <w:r>
        <w:rPr>
          <w:rFonts w:hint="eastAsia" w:ascii="仿宋" w:hAnsi="仿宋" w:eastAsia="仿宋" w:cs="仿宋"/>
          <w:bCs/>
          <w:sz w:val="24"/>
          <w:highlight w:val="none"/>
        </w:rPr>
        <w:t>（2）招标文件中特别要求的安装、调试、培训、运输、保险及其它附带服务的全部费用；</w:t>
      </w:r>
    </w:p>
    <w:p w14:paraId="3F8CBE7F">
      <w:pPr>
        <w:spacing w:line="440" w:lineRule="exact"/>
        <w:ind w:firstLine="360" w:firstLineChars="150"/>
        <w:rPr>
          <w:rFonts w:hint="eastAsia" w:ascii="仿宋" w:hAnsi="仿宋" w:eastAsia="仿宋" w:cs="仿宋"/>
          <w:bCs/>
          <w:sz w:val="24"/>
          <w:highlight w:val="none"/>
        </w:rPr>
      </w:pPr>
      <w:r>
        <w:rPr>
          <w:rFonts w:hint="eastAsia" w:ascii="仿宋" w:hAnsi="仿宋" w:eastAsia="仿宋" w:cs="仿宋"/>
          <w:bCs/>
          <w:sz w:val="24"/>
          <w:highlight w:val="none"/>
        </w:rPr>
        <w:t>（3）投标人提供的在中华人民共和国制造的货物，其货物的投标价即交货价中，包括制造、组装该货物所使用的零部件及原材料已付的全部关税、销售税和其他税。</w:t>
      </w:r>
    </w:p>
    <w:p w14:paraId="146D728B">
      <w:pPr>
        <w:spacing w:line="440" w:lineRule="exact"/>
        <w:ind w:firstLine="360" w:firstLineChars="150"/>
        <w:rPr>
          <w:rFonts w:hint="eastAsia" w:ascii="仿宋" w:hAnsi="仿宋" w:eastAsia="仿宋" w:cs="仿宋"/>
          <w:bCs/>
          <w:sz w:val="24"/>
          <w:highlight w:val="none"/>
        </w:rPr>
      </w:pPr>
      <w:r>
        <w:rPr>
          <w:rFonts w:hint="eastAsia" w:ascii="仿宋" w:hAnsi="仿宋" w:eastAsia="仿宋" w:cs="仿宋"/>
          <w:bCs/>
          <w:sz w:val="24"/>
          <w:highlight w:val="none"/>
        </w:rPr>
        <w:t>（4）综合单价必须包括货物、安装、调试、技术支持、运输保险、售后服务、培训及其它必需服务的报价。</w:t>
      </w:r>
    </w:p>
    <w:p w14:paraId="45798F26">
      <w:pPr>
        <w:spacing w:line="440" w:lineRule="exact"/>
        <w:ind w:left="480"/>
        <w:rPr>
          <w:rFonts w:hint="eastAsia" w:ascii="仿宋" w:hAnsi="仿宋" w:eastAsia="仿宋" w:cs="仿宋"/>
          <w:b/>
          <w:sz w:val="24"/>
          <w:highlight w:val="none"/>
        </w:rPr>
      </w:pPr>
      <w:r>
        <w:rPr>
          <w:rFonts w:hint="eastAsia" w:ascii="仿宋" w:hAnsi="仿宋" w:eastAsia="仿宋" w:cs="仿宋"/>
          <w:b/>
          <w:sz w:val="24"/>
          <w:highlight w:val="none"/>
        </w:rPr>
        <w:t>7、证明货物（如本项目为货物项目）的合格性和符合招标文件规定的文件</w:t>
      </w:r>
    </w:p>
    <w:p w14:paraId="5253253C">
      <w:pPr>
        <w:adjustRightInd w:val="0"/>
        <w:snapToGrid w:val="0"/>
        <w:spacing w:line="440" w:lineRule="exact"/>
        <w:ind w:firstLine="424" w:firstLineChars="177"/>
        <w:rPr>
          <w:rFonts w:hint="eastAsia" w:ascii="仿宋" w:hAnsi="仿宋" w:eastAsia="仿宋" w:cs="仿宋"/>
          <w:sz w:val="24"/>
          <w:highlight w:val="none"/>
        </w:rPr>
      </w:pPr>
      <w:r>
        <w:rPr>
          <w:rFonts w:hint="eastAsia" w:ascii="仿宋" w:hAnsi="仿宋" w:eastAsia="仿宋" w:cs="仿宋"/>
          <w:sz w:val="24"/>
          <w:highlight w:val="none"/>
        </w:rPr>
        <w:t>7.1 投标人应提交证明文件证明其拟投标的货物的合格性符合招标文件规定。该证明文件作为投标文件的一部分。</w:t>
      </w:r>
    </w:p>
    <w:p w14:paraId="4F466ED1">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7.2 投标人的服务承诺应按不低于招标文件中要求的服务标准做出响应。</w:t>
      </w:r>
    </w:p>
    <w:p w14:paraId="07097C78">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7.3 上述文件可以是文字资料、图纸和数据等，并提供：</w:t>
      </w:r>
    </w:p>
    <w:p w14:paraId="4A54909B">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（1）货物主要技术及性能特点的详细描述； </w:t>
      </w:r>
    </w:p>
    <w:p w14:paraId="01E787CA">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（2）货物主要部件的详细资料，包括检验报告等；</w:t>
      </w:r>
    </w:p>
    <w:p w14:paraId="1EF6E7AA">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（3）一份在技术规格中规定的保证服务正常和连续运转期间所需要的所有备件和专业工具的详细清单包括供货来源信息。</w:t>
      </w:r>
    </w:p>
    <w:p w14:paraId="566E7D5B">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7.4 没有按要求提供资料或提供资料不完全的或仅仅复制招标文件提供的技术参数并与实际提供设备参数不符，将被视为对招标文件没有做出实质性响应，其风险由投标人自行承担。</w:t>
      </w:r>
    </w:p>
    <w:p w14:paraId="2EFD11FC">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7.5 投标人提供的设备必须是正规厂家生产的高质量产品，不能提供劣质三无产品（无厂址,无商标,无合格证）。</w:t>
      </w:r>
    </w:p>
    <w:p w14:paraId="338773C2">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7.6 产品资料和检测报告所反映的技术参数和性能指标将作为验收产品实物的依据。</w:t>
      </w:r>
    </w:p>
    <w:p w14:paraId="65CF7D1A">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7.7 对照招标文件技术规格、参数与要求，逐条说明所提供货物和服务已对招标文件的技术规格、参数与要求做出了实质性的响应，或申明与技术规格、参数与要求条文的偏差和例外。特别对于有具体参数要求的指标，投标人必须提供所投设备的具体参数值。</w:t>
      </w:r>
    </w:p>
    <w:p w14:paraId="1510C5FE">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7.8 投标人在阐述上述时应注意招标文件“货物技术规格、参数与要求”中指出的工艺、材料和设备的标准以及参照的牌号或分类号仅起说明作用，并没有任何限制性。投标人在响应中可以选用替代标准、牌号或分类号，但这些替代要实质上相当于技术规格的要求，并且使采购方满意。</w:t>
      </w:r>
    </w:p>
    <w:p w14:paraId="14F353C9">
      <w:pPr>
        <w:spacing w:line="440" w:lineRule="exact"/>
        <w:ind w:firstLine="361" w:firstLineChars="150"/>
        <w:rPr>
          <w:rFonts w:hint="eastAsia" w:ascii="仿宋" w:hAnsi="仿宋" w:eastAsia="仿宋" w:cs="仿宋"/>
          <w:b/>
          <w:bCs/>
          <w:sz w:val="24"/>
          <w:highlight w:val="none"/>
        </w:rPr>
      </w:pPr>
      <w:r>
        <w:rPr>
          <w:rFonts w:hint="eastAsia" w:ascii="仿宋" w:hAnsi="仿宋" w:eastAsia="仿宋" w:cs="仿宋"/>
          <w:b/>
          <w:bCs/>
          <w:sz w:val="24"/>
          <w:highlight w:val="none"/>
        </w:rPr>
        <w:t>8、投标有效期</w:t>
      </w:r>
    </w:p>
    <w:p w14:paraId="213AF9B2">
      <w:pPr>
        <w:spacing w:line="440" w:lineRule="exact"/>
        <w:ind w:firstLine="360" w:firstLineChars="150"/>
        <w:rPr>
          <w:rFonts w:hint="eastAsia" w:ascii="仿宋" w:hAnsi="仿宋" w:eastAsia="仿宋" w:cs="仿宋"/>
          <w:sz w:val="24"/>
          <w:highlight w:val="none"/>
        </w:rPr>
      </w:pPr>
      <w:r>
        <w:rPr>
          <w:rFonts w:hint="eastAsia" w:ascii="仿宋" w:hAnsi="仿宋" w:eastAsia="仿宋" w:cs="仿宋"/>
          <w:sz w:val="24"/>
          <w:highlight w:val="none"/>
        </w:rPr>
        <w:t>8.1　投标有效期见投标人须知前附表，在此期间投标文件对投标人具有法律约束力，以保证采购人有足够的时间完成评标、定标以及签订合同。投标有效期从投标人须知前附表规定的投标截止之日起计算。投标有效期不足的，在评标时将其视为无效投标。</w:t>
      </w:r>
    </w:p>
    <w:p w14:paraId="1AFA7DFC">
      <w:pPr>
        <w:spacing w:line="440" w:lineRule="exact"/>
        <w:ind w:firstLine="360" w:firstLineChars="150"/>
        <w:rPr>
          <w:rFonts w:hint="eastAsia" w:ascii="仿宋" w:hAnsi="仿宋" w:eastAsia="仿宋" w:cs="仿宋"/>
          <w:sz w:val="24"/>
          <w:highlight w:val="none"/>
        </w:rPr>
      </w:pPr>
      <w:r>
        <w:rPr>
          <w:rFonts w:hint="eastAsia" w:ascii="仿宋" w:hAnsi="仿宋" w:eastAsia="仿宋" w:cs="仿宋"/>
          <w:sz w:val="24"/>
          <w:highlight w:val="none"/>
        </w:rPr>
        <w:t>8.2　特殊情况需延长投标有效期的，采购人或采购代理机构可于投标有效期届满之前，要求投标人同意延长有效期，采购人或采购代理机构的要求与投标人的答复均应为书面形式。投标人拒绝延长的，其投标在原投标有效期届满后将不再有效，但有权收回其投标保证金；投标人同意延长的，应相应延长其投标保证金的有效期，但不允许修改或撤回投标文件。</w:t>
      </w:r>
    </w:p>
    <w:p w14:paraId="5F3C4CBA">
      <w:pPr>
        <w:spacing w:line="440" w:lineRule="exact"/>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9、投标文件的签署和规定</w:t>
      </w:r>
      <w:r>
        <w:rPr>
          <w:rFonts w:hint="eastAsia" w:ascii="仿宋" w:hAnsi="仿宋" w:eastAsia="仿宋" w:cs="仿宋"/>
          <w:b/>
          <w:bCs/>
          <w:sz w:val="24"/>
          <w:highlight w:val="none"/>
        </w:rPr>
        <w:t>见前投标须知前附表</w:t>
      </w:r>
    </w:p>
    <w:p w14:paraId="73494877">
      <w:pPr>
        <w:pStyle w:val="19"/>
        <w:tabs>
          <w:tab w:val="left" w:pos="397"/>
        </w:tabs>
        <w:spacing w:line="440" w:lineRule="exact"/>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10、投标文件的密封和标记见前投标须知前附表。</w:t>
      </w:r>
    </w:p>
    <w:p w14:paraId="0ACC18D3">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11、投标保证金</w:t>
      </w:r>
    </w:p>
    <w:p w14:paraId="3129939A">
      <w:pPr>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11.1  招标方因投标人的违规行为而受到损害时将不予退还投标人的投标保证金，将其作为所受损害的补偿。</w:t>
      </w:r>
    </w:p>
    <w:p w14:paraId="03CE4A25">
      <w:pPr>
        <w:pStyle w:val="19"/>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11.2　投标保证金应当以支票、汇票、本票等非现金形式提交，必须从投标人基本账户转出，其有效期应不低于投标有效期。投标人未按照招标文件要求提交投标保证金的，投标无效。</w:t>
      </w:r>
    </w:p>
    <w:p w14:paraId="5415D822">
      <w:pPr>
        <w:pStyle w:val="19"/>
        <w:ind w:firstLine="482" w:firstLineChars="200"/>
        <w:rPr>
          <w:rFonts w:hint="eastAsia" w:ascii="仿宋" w:hAnsi="仿宋" w:eastAsia="仿宋" w:cs="仿宋"/>
          <w:b/>
          <w:bCs/>
          <w:sz w:val="24"/>
          <w:szCs w:val="24"/>
          <w:highlight w:val="none"/>
          <w:u w:val="single"/>
        </w:rPr>
      </w:pPr>
      <w:r>
        <w:rPr>
          <w:rFonts w:hint="eastAsia" w:ascii="仿宋" w:hAnsi="仿宋" w:eastAsia="仿宋" w:cs="仿宋"/>
          <w:b/>
          <w:bCs/>
          <w:sz w:val="24"/>
          <w:szCs w:val="24"/>
          <w:highlight w:val="none"/>
          <w:u w:val="single"/>
        </w:rPr>
        <w:t>投标保证金应于开标截止时间之前缴纳，并在开标截止时间之前到达指定账户。即不论投标人采取何种方式缴纳投标保证金，均以招标代理机构指定银行账户到账时间为准。（投标企业在开标截止时间以前缴纳投标保证金，但招标代理机构银行账户在开标截止时间以后收到投标企业投标保证金的，视为未按期缴纳投标保证金。）敬请投标企业提前缴纳投标保证金!</w:t>
      </w:r>
    </w:p>
    <w:p w14:paraId="042F5BB6">
      <w:pPr>
        <w:pStyle w:val="19"/>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11.3  投标人应提交投标保证金，并于投标保证金缴纳截止时间前到达新疆中鼎远航招标有限公司指定账户（人民币）。如是本地转账支票需于投标保证金缴纳截止时间三个工作日前向新疆中鼎远航招标有限公司送达，如投标保证金为汇款形式的，（汇款时汇款单填写内容须备注投标企业名称、项目名称及项目编号）。</w:t>
      </w:r>
    </w:p>
    <w:p w14:paraId="3E71EB1F">
      <w:pPr>
        <w:pStyle w:val="19"/>
        <w:ind w:firstLine="482" w:firstLineChars="200"/>
        <w:rPr>
          <w:rFonts w:hint="eastAsia" w:ascii="仿宋" w:hAnsi="仿宋" w:eastAsia="仿宋" w:cs="仿宋"/>
          <w:b/>
          <w:bCs/>
          <w:sz w:val="24"/>
          <w:szCs w:val="24"/>
          <w:highlight w:val="none"/>
          <w:u w:val="single"/>
        </w:rPr>
      </w:pPr>
      <w:r>
        <w:rPr>
          <w:rFonts w:hint="eastAsia" w:ascii="仿宋" w:hAnsi="仿宋" w:eastAsia="仿宋" w:cs="仿宋"/>
          <w:b/>
          <w:bCs/>
          <w:sz w:val="24"/>
          <w:szCs w:val="24"/>
          <w:highlight w:val="none"/>
          <w:u w:val="single"/>
        </w:rPr>
        <w:t>投标保证金可直接交入：</w:t>
      </w:r>
    </w:p>
    <w:p w14:paraId="5546E1BD">
      <w:pPr>
        <w:ind w:firstLine="482" w:firstLineChars="200"/>
        <w:rPr>
          <w:rFonts w:hint="eastAsia" w:ascii="仿宋" w:hAnsi="仿宋" w:eastAsia="仿宋" w:cs="仿宋"/>
          <w:b/>
          <w:bCs/>
          <w:sz w:val="24"/>
          <w:highlight w:val="none"/>
          <w:u w:val="single"/>
        </w:rPr>
      </w:pPr>
      <w:r>
        <w:rPr>
          <w:rFonts w:hint="eastAsia" w:ascii="仿宋" w:hAnsi="仿宋" w:eastAsia="仿宋" w:cs="仿宋"/>
          <w:b/>
          <w:bCs/>
          <w:sz w:val="24"/>
          <w:highlight w:val="none"/>
          <w:u w:val="single"/>
        </w:rPr>
        <w:t>账户名：新疆中鼎远航招标有限公司</w:t>
      </w:r>
    </w:p>
    <w:p w14:paraId="1BB8A1F3">
      <w:pPr>
        <w:ind w:firstLine="482" w:firstLineChars="200"/>
        <w:rPr>
          <w:rFonts w:hint="eastAsia" w:ascii="仿宋" w:hAnsi="仿宋" w:eastAsia="仿宋" w:cs="仿宋"/>
          <w:b/>
          <w:bCs/>
          <w:sz w:val="24"/>
          <w:highlight w:val="none"/>
          <w:u w:val="single"/>
        </w:rPr>
      </w:pPr>
      <w:r>
        <w:rPr>
          <w:rFonts w:hint="eastAsia" w:ascii="仿宋" w:hAnsi="仿宋" w:eastAsia="仿宋" w:cs="仿宋"/>
          <w:b/>
          <w:bCs/>
          <w:sz w:val="24"/>
          <w:highlight w:val="none"/>
          <w:u w:val="single"/>
        </w:rPr>
        <w:t>开户行：新疆天山农村商业银行股份有限公司北京南路支行</w:t>
      </w:r>
    </w:p>
    <w:p w14:paraId="74021EAD">
      <w:pPr>
        <w:ind w:firstLine="482" w:firstLineChars="200"/>
        <w:rPr>
          <w:rFonts w:hint="eastAsia" w:ascii="仿宋" w:hAnsi="仿宋" w:eastAsia="仿宋" w:cs="仿宋"/>
          <w:b/>
          <w:bCs/>
          <w:sz w:val="24"/>
          <w:highlight w:val="none"/>
          <w:u w:val="single"/>
        </w:rPr>
      </w:pPr>
      <w:r>
        <w:rPr>
          <w:rFonts w:hint="eastAsia" w:ascii="仿宋" w:hAnsi="仿宋" w:eastAsia="仿宋" w:cs="仿宋"/>
          <w:b/>
          <w:bCs/>
          <w:sz w:val="24"/>
          <w:highlight w:val="none"/>
          <w:u w:val="single"/>
        </w:rPr>
        <w:t>帐  号： 802021012010109109789</w:t>
      </w:r>
    </w:p>
    <w:p w14:paraId="269D9A3F">
      <w:pPr>
        <w:ind w:firstLine="482" w:firstLineChars="200"/>
        <w:rPr>
          <w:rFonts w:hint="eastAsia" w:ascii="仿宋" w:hAnsi="仿宋" w:eastAsia="仿宋" w:cs="仿宋"/>
          <w:b/>
          <w:bCs/>
          <w:sz w:val="24"/>
          <w:highlight w:val="none"/>
          <w:u w:val="single"/>
        </w:rPr>
      </w:pPr>
      <w:r>
        <w:rPr>
          <w:rFonts w:hint="eastAsia" w:ascii="仿宋" w:hAnsi="仿宋" w:eastAsia="仿宋" w:cs="仿宋"/>
          <w:b/>
          <w:bCs/>
          <w:sz w:val="24"/>
          <w:highlight w:val="none"/>
          <w:u w:val="single"/>
        </w:rPr>
        <w:t>注：汇款单上需注明项目编号，用途为投标保证金，以便核对查实。</w:t>
      </w:r>
    </w:p>
    <w:p w14:paraId="21DB3911">
      <w:pPr>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11.4未中标的投标人的投标保证金，将在中标通知书发出后5个工作日内无息退还。</w:t>
      </w:r>
    </w:p>
    <w:p w14:paraId="4EF9A1C5">
      <w:pPr>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11.5 中标人的投标保证金，将在领取中标通知书，缴纳履约保证金并签订合同后5个工作日内无息退还，中标企业退还保证金时，还需提供采购合同复印件。</w:t>
      </w:r>
    </w:p>
    <w:p w14:paraId="5790D655">
      <w:pPr>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11.6 退还时，请携带投标单位收到退还保证金收据一份。</w:t>
      </w:r>
    </w:p>
    <w:p w14:paraId="2AEEA9FD">
      <w:pPr>
        <w:ind w:firstLine="480" w:firstLineChars="200"/>
        <w:rPr>
          <w:rFonts w:hint="eastAsia" w:ascii="仿宋" w:hAnsi="仿宋" w:eastAsia="仿宋" w:cs="仿宋"/>
          <w:sz w:val="24"/>
          <w:highlight w:val="none"/>
        </w:rPr>
      </w:pPr>
      <w:r>
        <w:rPr>
          <w:rFonts w:hint="eastAsia" w:ascii="仿宋" w:hAnsi="仿宋" w:eastAsia="仿宋" w:cs="仿宋"/>
          <w:sz w:val="24"/>
          <w:highlight w:val="none"/>
        </w:rPr>
        <w:t>退还投标保证金也可办理电汇业务（请提供单位名称、账号、行号、退还保证金收据等相关资料，并承担电汇手续费）我单位不退还现金。</w:t>
      </w:r>
    </w:p>
    <w:p w14:paraId="7163882D">
      <w:pPr>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11.7在评标过程中，如发现下列情况之一的，其投标将被拒绝；</w:t>
      </w:r>
    </w:p>
    <w:p w14:paraId="77D72347">
      <w:pPr>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（1）投标文件技术规格中的响应与事实不符或虚假投标的；</w:t>
      </w:r>
    </w:p>
    <w:p w14:paraId="77C78323">
      <w:pPr>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（2）投标人复制招标文件的技术规格相关部分内容作为其投标文件的一部分；</w:t>
      </w:r>
    </w:p>
    <w:p w14:paraId="5F294B63">
      <w:pPr>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（3）投标文件符合招标文件中规定废标的其它技术条款；</w:t>
      </w:r>
    </w:p>
    <w:p w14:paraId="31BE6EDC">
      <w:pPr>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（4）投标文件有不符合招标文件带“*”要求的内容的；</w:t>
      </w:r>
    </w:p>
    <w:p w14:paraId="3C0B33BF">
      <w:pPr>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（5）其他不符合招标文件重要参数的。</w:t>
      </w:r>
    </w:p>
    <w:p w14:paraId="5D0CADF0">
      <w:pPr>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11.8 以下情形被视为投标无效；</w:t>
      </w:r>
    </w:p>
    <w:p w14:paraId="32A8A027">
      <w:pPr>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（1）未按规定提交投标保证金的投标；</w:t>
      </w:r>
    </w:p>
    <w:p w14:paraId="7CD09AD1">
      <w:pPr>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（2）投标文件与招标文件有重大负偏离的；</w:t>
      </w:r>
    </w:p>
    <w:p w14:paraId="01D84AA1">
      <w:pPr>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（3）投标人拒绝修正错误的；</w:t>
      </w:r>
    </w:p>
    <w:p w14:paraId="319CD44E">
      <w:pPr>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（4）投标文件的关键内容字迹模糊，无法辨认的；</w:t>
      </w:r>
    </w:p>
    <w:p w14:paraId="67434B30">
      <w:pPr>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（5）投标有效期不足的；</w:t>
      </w:r>
    </w:p>
    <w:p w14:paraId="3E3168DA">
      <w:pPr>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（6）其他违反相关法律法规规定的行为的；</w:t>
      </w:r>
    </w:p>
    <w:p w14:paraId="5558A1D9">
      <w:pPr>
        <w:ind w:firstLine="480" w:firstLineChars="200"/>
        <w:rPr>
          <w:rFonts w:hint="eastAsia" w:ascii="仿宋" w:hAnsi="仿宋" w:eastAsia="仿宋" w:cs="仿宋"/>
          <w:sz w:val="24"/>
          <w:highlight w:val="none"/>
        </w:rPr>
      </w:pPr>
      <w:r>
        <w:rPr>
          <w:rFonts w:hint="eastAsia" w:ascii="仿宋" w:hAnsi="仿宋" w:eastAsia="仿宋" w:cs="仿宋"/>
          <w:sz w:val="24"/>
          <w:highlight w:val="none"/>
        </w:rPr>
        <w:t>（7）评标委员会认为是其他应当否决的投标。</w:t>
      </w:r>
    </w:p>
    <w:p w14:paraId="1861BC47">
      <w:pPr>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11.9下列任何情况发生时，投标保证金将不予退还，转为违约金：</w:t>
      </w:r>
    </w:p>
    <w:p w14:paraId="0E1657AF">
      <w:pPr>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  投标人在投标截止期后，投标有效期内撤回投标；</w:t>
      </w:r>
    </w:p>
    <w:p w14:paraId="5416E79F">
      <w:pPr>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  投标人在规定期限内未按规定向采购人缴纳履约保证金；</w:t>
      </w:r>
    </w:p>
    <w:p w14:paraId="2037480C">
      <w:pPr>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  中标人未按投标人须知规定缴纳招标代理费；</w:t>
      </w:r>
    </w:p>
    <w:p w14:paraId="5E08914A">
      <w:pPr>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  以他人名义投标或者以其他方式弄虚作假，骗取中标；</w:t>
      </w:r>
    </w:p>
    <w:p w14:paraId="392EAF12">
      <w:pPr>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  打架斗殴，扰乱标场秩序；</w:t>
      </w:r>
    </w:p>
    <w:p w14:paraId="46FFD8EA">
      <w:pPr>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  本招标文件中或《政府采购货物和服务招标投标管理办法》第七十五条规定的其他不予退还投标保证金的情形。</w:t>
      </w:r>
    </w:p>
    <w:p w14:paraId="426F0498">
      <w:pPr>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上述不予退还投标保证金的情况并给招标代理机构造成损失的，还要承担赔偿责任。</w:t>
      </w:r>
    </w:p>
    <w:p w14:paraId="7F234C83">
      <w:pPr>
        <w:spacing w:line="440" w:lineRule="exact"/>
        <w:ind w:firstLine="3373" w:firstLineChars="1200"/>
        <w:outlineLvl w:val="9"/>
        <w:rPr>
          <w:rFonts w:hint="eastAsia" w:ascii="仿宋" w:hAnsi="仿宋" w:eastAsia="仿宋" w:cs="仿宋"/>
          <w:b/>
          <w:sz w:val="28"/>
          <w:szCs w:val="22"/>
          <w:highlight w:val="none"/>
        </w:rPr>
      </w:pPr>
      <w:bookmarkStart w:id="45" w:name="_Toc507513101"/>
    </w:p>
    <w:p w14:paraId="5623D02A">
      <w:pPr>
        <w:pStyle w:val="37"/>
        <w:outlineLvl w:val="9"/>
        <w:rPr>
          <w:rFonts w:hint="eastAsia"/>
          <w:highlight w:val="none"/>
        </w:rPr>
      </w:pPr>
    </w:p>
    <w:p w14:paraId="76AE400C">
      <w:pPr>
        <w:rPr>
          <w:rFonts w:hint="eastAsia"/>
          <w:highlight w:val="none"/>
        </w:rPr>
      </w:pPr>
    </w:p>
    <w:p w14:paraId="2D875FAC">
      <w:pPr>
        <w:rPr>
          <w:rFonts w:hint="eastAsia"/>
          <w:highlight w:val="none"/>
        </w:rPr>
      </w:pPr>
      <w:r>
        <w:rPr>
          <w:highlight w:val="none"/>
        </w:rPr>
        <w:br w:type="page"/>
      </w:r>
    </w:p>
    <w:p w14:paraId="3E41D96B">
      <w:pPr>
        <w:spacing w:line="440" w:lineRule="exact"/>
        <w:ind w:firstLine="3373" w:firstLineChars="1200"/>
        <w:outlineLvl w:val="1"/>
        <w:rPr>
          <w:rFonts w:hint="eastAsia" w:ascii="仿宋" w:hAnsi="仿宋" w:eastAsia="仿宋" w:cs="仿宋"/>
          <w:b/>
          <w:sz w:val="28"/>
          <w:szCs w:val="22"/>
          <w:highlight w:val="none"/>
        </w:rPr>
      </w:pPr>
      <w:r>
        <w:rPr>
          <w:rFonts w:hint="eastAsia" w:ascii="仿宋" w:hAnsi="仿宋" w:eastAsia="仿宋" w:cs="仿宋"/>
          <w:b/>
          <w:sz w:val="28"/>
          <w:szCs w:val="22"/>
          <w:highlight w:val="none"/>
        </w:rPr>
        <w:t>第三章 投标文件的递交</w:t>
      </w:r>
      <w:bookmarkEnd w:id="45"/>
    </w:p>
    <w:p w14:paraId="51AB2445">
      <w:pPr>
        <w:spacing w:line="440" w:lineRule="exact"/>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12、投标文件的标记</w:t>
      </w:r>
    </w:p>
    <w:p w14:paraId="1B2D3769">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12.1任何不完整或不满足招标文件要求的投标文件将被拒绝。</w:t>
      </w:r>
    </w:p>
    <w:p w14:paraId="0D54BB50">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12.2由于不可抗拒原因或无法控制的事件而导致的丢失或损坏投标包装体内的投标文件时，招标方将不负责任。</w:t>
      </w:r>
    </w:p>
    <w:p w14:paraId="2984482D">
      <w:pPr>
        <w:spacing w:line="440" w:lineRule="exact"/>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13、投标截止时间</w:t>
      </w:r>
    </w:p>
    <w:p w14:paraId="53931D91">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13.1 投标文件应在投标人须知前附表规定的投标截止时间之前加密上传到投标人须知前附表指定的地点。</w:t>
      </w:r>
    </w:p>
    <w:p w14:paraId="1E066176">
      <w:pPr>
        <w:pStyle w:val="19"/>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13.2所有投标文件均派人送交（不接受邮寄），必须在招标方规定的投标截止时间之前送达招标文件指定地点，在此之后送达的投标文件，为无效投标，投标文件将一律被拒绝。任何单位和个人不得在开标前开启投标文件。</w:t>
      </w:r>
    </w:p>
    <w:p w14:paraId="25B6D65C">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13.3 出现因招标文件的修改而推迟投标截止时间的情况时，投标人则需按招标方的书面修改通知重新规定的投标时间递交。</w:t>
      </w:r>
    </w:p>
    <w:p w14:paraId="7DB0681C">
      <w:pPr>
        <w:spacing w:line="440" w:lineRule="exact"/>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14、投标文件的修改和撤销</w:t>
      </w:r>
    </w:p>
    <w:p w14:paraId="33E60408">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14.1投标人在递交投标文件后，可在规定的投标截止时间之前，对其投标文件以书面通知的形式进行修改或撤消。该通知须有投标人的法定代表人或其委托代理人的签字，并得到招标方的确认。</w:t>
      </w:r>
    </w:p>
    <w:p w14:paraId="77E4D8A7">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14.2 投标人对投标文件修改的书面材料或撤消通知应按招标文件要求进行密封、标注和递交，并注明“修改投标文件”或“撤消投标”字样，修改或撤销的内容须按招标文件的要求签署、盖章，并作为投标文件的组成部分。</w:t>
      </w:r>
    </w:p>
    <w:p w14:paraId="63AD0487">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14.3对投标文件修改的书面材料应于投标截止日前送达招标方，投标截止时间以后不得修改投标文件。</w:t>
      </w:r>
    </w:p>
    <w:p w14:paraId="1A5FCFBC">
      <w:pPr>
        <w:ind w:firstLine="2811" w:firstLineChars="1000"/>
        <w:outlineLvl w:val="9"/>
        <w:rPr>
          <w:rFonts w:hint="eastAsia" w:ascii="仿宋" w:hAnsi="仿宋" w:eastAsia="仿宋" w:cs="仿宋"/>
          <w:b/>
          <w:sz w:val="28"/>
          <w:szCs w:val="22"/>
          <w:highlight w:val="none"/>
        </w:rPr>
      </w:pPr>
    </w:p>
    <w:p w14:paraId="40932176">
      <w:pPr>
        <w:pStyle w:val="37"/>
        <w:outlineLvl w:val="9"/>
        <w:rPr>
          <w:rFonts w:hint="eastAsia" w:ascii="仿宋" w:hAnsi="仿宋" w:eastAsia="仿宋" w:cs="仿宋"/>
          <w:b w:val="0"/>
          <w:sz w:val="28"/>
          <w:szCs w:val="22"/>
          <w:highlight w:val="none"/>
        </w:rPr>
      </w:pPr>
    </w:p>
    <w:p w14:paraId="3FE5B0C0">
      <w:pPr>
        <w:pStyle w:val="37"/>
        <w:outlineLvl w:val="9"/>
        <w:rPr>
          <w:rFonts w:hint="eastAsia"/>
          <w:highlight w:val="none"/>
        </w:rPr>
      </w:pPr>
    </w:p>
    <w:p w14:paraId="0EB8EA42">
      <w:pPr>
        <w:rPr>
          <w:rFonts w:hint="eastAsia"/>
          <w:highlight w:val="none"/>
        </w:rPr>
      </w:pPr>
    </w:p>
    <w:p w14:paraId="37D11F41">
      <w:pPr>
        <w:pStyle w:val="11"/>
        <w:rPr>
          <w:rFonts w:hint="eastAsia"/>
          <w:highlight w:val="none"/>
        </w:rPr>
      </w:pPr>
    </w:p>
    <w:p w14:paraId="471DF0AC">
      <w:pPr>
        <w:rPr>
          <w:rFonts w:hint="eastAsia"/>
          <w:highlight w:val="none"/>
        </w:rPr>
      </w:pPr>
    </w:p>
    <w:p w14:paraId="04D92133">
      <w:pPr>
        <w:pStyle w:val="11"/>
        <w:rPr>
          <w:rFonts w:hint="eastAsia"/>
          <w:highlight w:val="none"/>
        </w:rPr>
      </w:pPr>
    </w:p>
    <w:p w14:paraId="24A0CBC6">
      <w:pPr>
        <w:pStyle w:val="37"/>
        <w:outlineLvl w:val="9"/>
        <w:rPr>
          <w:rFonts w:hint="eastAsia" w:ascii="仿宋" w:hAnsi="仿宋" w:eastAsia="仿宋" w:cs="仿宋"/>
          <w:b w:val="0"/>
          <w:sz w:val="28"/>
          <w:szCs w:val="22"/>
          <w:highlight w:val="none"/>
        </w:rPr>
      </w:pPr>
    </w:p>
    <w:p w14:paraId="3E310F99">
      <w:pPr>
        <w:ind w:firstLine="2811" w:firstLineChars="1000"/>
        <w:outlineLvl w:val="1"/>
        <w:rPr>
          <w:rFonts w:hint="eastAsia" w:ascii="仿宋" w:hAnsi="仿宋" w:eastAsia="仿宋" w:cs="仿宋"/>
          <w:b/>
          <w:sz w:val="28"/>
          <w:szCs w:val="22"/>
          <w:highlight w:val="none"/>
        </w:rPr>
      </w:pPr>
      <w:r>
        <w:rPr>
          <w:rFonts w:hint="eastAsia" w:ascii="仿宋" w:hAnsi="仿宋" w:eastAsia="仿宋" w:cs="仿宋"/>
          <w:b/>
          <w:sz w:val="28"/>
          <w:szCs w:val="22"/>
          <w:highlight w:val="none"/>
        </w:rPr>
        <w:t>第四章  评标委员会</w:t>
      </w:r>
    </w:p>
    <w:p w14:paraId="0DBC0F8C">
      <w:pPr>
        <w:spacing w:line="440" w:lineRule="exact"/>
        <w:ind w:left="481" w:leftChars="229"/>
        <w:rPr>
          <w:rFonts w:hint="eastAsia" w:ascii="仿宋" w:hAnsi="仿宋" w:eastAsia="仿宋" w:cs="仿宋"/>
          <w:b/>
          <w:sz w:val="24"/>
          <w:highlight w:val="none"/>
        </w:rPr>
      </w:pPr>
      <w:r>
        <w:rPr>
          <w:rFonts w:hint="eastAsia" w:ascii="仿宋" w:hAnsi="仿宋" w:eastAsia="仿宋" w:cs="仿宋"/>
          <w:b/>
          <w:sz w:val="24"/>
          <w:highlight w:val="none"/>
        </w:rPr>
        <w:t>15、评标委员会</w:t>
      </w:r>
    </w:p>
    <w:p w14:paraId="1ADDA219">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15.1 招标方将根据《中华人民共和国政府采购法》和相关法律法规，依法组建本次招标的评标委员会，负责本次招标的评标活动。评标委员会负责按招标文件规定的评标标准向招标方推荐中标候选人，并标明排列顺序。</w:t>
      </w:r>
    </w:p>
    <w:p w14:paraId="0C58645C">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15.2评标委员会人选于开标前确定。评标委员会成员名单在中标结果确定前保密。</w:t>
      </w:r>
    </w:p>
    <w:p w14:paraId="3352D1EA">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15.3 评标委员会由有关技术、经济等方面的五名以上专家组成。</w:t>
      </w:r>
    </w:p>
    <w:p w14:paraId="3757BC69">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15.4 按前款规定，评标委员会的成员，由招标方从专家库采取随机抽取的方式确定。对于技术复杂、专业性要求较高或者国家有特殊要求的招标项目，采取随机抽取的方式抽取的专家不能满足评标工作需要时，可采取直接确定的方式选定评标委员会的人选。</w:t>
      </w:r>
    </w:p>
    <w:p w14:paraId="6F85F967">
      <w:pPr>
        <w:spacing w:line="440" w:lineRule="exact"/>
        <w:ind w:firstLine="480" w:firstLineChars="200"/>
        <w:rPr>
          <w:rFonts w:hint="eastAsia" w:ascii="仿宋" w:hAnsi="仿宋" w:eastAsia="仿宋" w:cs="仿宋"/>
          <w:spacing w:val="-2"/>
          <w:sz w:val="24"/>
          <w:highlight w:val="none"/>
        </w:rPr>
      </w:pPr>
      <w:r>
        <w:rPr>
          <w:rFonts w:hint="eastAsia" w:ascii="仿宋" w:hAnsi="仿宋" w:eastAsia="仿宋" w:cs="仿宋"/>
          <w:bCs/>
          <w:sz w:val="24"/>
          <w:highlight w:val="none"/>
        </w:rPr>
        <w:t xml:space="preserve">15.5 </w:t>
      </w:r>
      <w:r>
        <w:rPr>
          <w:rFonts w:hint="eastAsia" w:ascii="仿宋" w:hAnsi="仿宋" w:eastAsia="仿宋" w:cs="仿宋"/>
          <w:spacing w:val="-2"/>
          <w:sz w:val="24"/>
          <w:highlight w:val="none"/>
        </w:rPr>
        <w:t>评标委员会成员应当熟悉并认真研究招标文件，至少应了解和熟悉以下内容：</w:t>
      </w:r>
    </w:p>
    <w:p w14:paraId="295AD3ED">
      <w:pPr>
        <w:spacing w:line="440" w:lineRule="exact"/>
        <w:ind w:firstLine="480" w:firstLineChars="200"/>
        <w:rPr>
          <w:rFonts w:hint="eastAsia" w:ascii="仿宋" w:hAnsi="仿宋" w:eastAsia="仿宋" w:cs="仿宋"/>
          <w:spacing w:val="-2"/>
          <w:sz w:val="24"/>
          <w:highlight w:val="none"/>
        </w:rPr>
      </w:pPr>
      <w:r>
        <w:rPr>
          <w:rFonts w:hint="eastAsia" w:ascii="仿宋" w:hAnsi="仿宋" w:eastAsia="仿宋" w:cs="仿宋"/>
          <w:sz w:val="24"/>
          <w:highlight w:val="none"/>
        </w:rPr>
        <w:t>（1）</w:t>
      </w:r>
      <w:r>
        <w:rPr>
          <w:rFonts w:hint="eastAsia" w:ascii="仿宋" w:hAnsi="仿宋" w:eastAsia="仿宋" w:cs="仿宋"/>
          <w:spacing w:val="-2"/>
          <w:sz w:val="24"/>
          <w:highlight w:val="none"/>
        </w:rPr>
        <w:t>招标目的；</w:t>
      </w:r>
    </w:p>
    <w:p w14:paraId="09F1B5BF">
      <w:pPr>
        <w:spacing w:line="440" w:lineRule="exact"/>
        <w:ind w:firstLine="480" w:firstLineChars="200"/>
        <w:rPr>
          <w:rFonts w:hint="eastAsia" w:ascii="仿宋" w:hAnsi="仿宋" w:eastAsia="仿宋" w:cs="仿宋"/>
          <w:spacing w:val="-2"/>
          <w:sz w:val="24"/>
          <w:highlight w:val="none"/>
        </w:rPr>
      </w:pPr>
      <w:r>
        <w:rPr>
          <w:rFonts w:hint="eastAsia" w:ascii="仿宋" w:hAnsi="仿宋" w:eastAsia="仿宋" w:cs="仿宋"/>
          <w:sz w:val="24"/>
          <w:highlight w:val="none"/>
        </w:rPr>
        <w:t>（2）</w:t>
      </w:r>
      <w:r>
        <w:rPr>
          <w:rFonts w:hint="eastAsia" w:ascii="仿宋" w:hAnsi="仿宋" w:eastAsia="仿宋" w:cs="仿宋"/>
          <w:spacing w:val="-2"/>
          <w:sz w:val="24"/>
          <w:highlight w:val="none"/>
        </w:rPr>
        <w:t>招标项目的范围、性质；</w:t>
      </w:r>
    </w:p>
    <w:p w14:paraId="265187C2">
      <w:pPr>
        <w:spacing w:line="440" w:lineRule="exact"/>
        <w:ind w:firstLine="480" w:firstLineChars="200"/>
        <w:rPr>
          <w:rFonts w:hint="eastAsia" w:ascii="仿宋" w:hAnsi="仿宋" w:eastAsia="仿宋" w:cs="仿宋"/>
          <w:spacing w:val="-2"/>
          <w:sz w:val="24"/>
          <w:highlight w:val="none"/>
        </w:rPr>
      </w:pPr>
      <w:r>
        <w:rPr>
          <w:rFonts w:hint="eastAsia" w:ascii="仿宋" w:hAnsi="仿宋" w:eastAsia="仿宋" w:cs="仿宋"/>
          <w:sz w:val="24"/>
          <w:highlight w:val="none"/>
        </w:rPr>
        <w:t>（3）</w:t>
      </w:r>
      <w:r>
        <w:rPr>
          <w:rFonts w:hint="eastAsia" w:ascii="仿宋" w:hAnsi="仿宋" w:eastAsia="仿宋" w:cs="仿宋"/>
          <w:spacing w:val="-2"/>
          <w:sz w:val="24"/>
          <w:highlight w:val="none"/>
        </w:rPr>
        <w:t>招标文件中规定的主要技术要求、标准和商务条款；</w:t>
      </w:r>
    </w:p>
    <w:p w14:paraId="028058EF">
      <w:pPr>
        <w:spacing w:line="440" w:lineRule="exact"/>
        <w:ind w:firstLine="480" w:firstLineChars="200"/>
        <w:rPr>
          <w:rFonts w:hint="eastAsia" w:ascii="仿宋" w:hAnsi="仿宋" w:eastAsia="仿宋" w:cs="仿宋"/>
          <w:spacing w:val="-2"/>
          <w:sz w:val="24"/>
          <w:highlight w:val="none"/>
        </w:rPr>
      </w:pPr>
      <w:r>
        <w:rPr>
          <w:rFonts w:hint="eastAsia" w:ascii="仿宋" w:hAnsi="仿宋" w:eastAsia="仿宋" w:cs="仿宋"/>
          <w:sz w:val="24"/>
          <w:highlight w:val="none"/>
        </w:rPr>
        <w:t>（4）</w:t>
      </w:r>
      <w:r>
        <w:rPr>
          <w:rFonts w:hint="eastAsia" w:ascii="仿宋" w:hAnsi="仿宋" w:eastAsia="仿宋" w:cs="仿宋"/>
          <w:spacing w:val="-2"/>
          <w:sz w:val="24"/>
          <w:highlight w:val="none"/>
        </w:rPr>
        <w:t>招标文件规定的评标标准、评标方法和在评标过程中应考虑的相关因素。</w:t>
      </w:r>
    </w:p>
    <w:p w14:paraId="163214F1">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15.6 评标委员会应当根据招标文件规定的评标标准和方法，对投标文件进行系统地评审。招标文件中没有规定的标准和方法不得作为评标的依据。</w:t>
      </w:r>
    </w:p>
    <w:p w14:paraId="72FEAFFA">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15.7 评标委员会成员应当客观、公正地履行职责，遵守职业道德，并对所提出的评审意见承担个人责任。评标委员会成员不得与任何投标人或者与招标结果有利害关系的人员进行私下接触，不得收受投标人、中介人或其他有利害关系人的财物或好处。</w:t>
      </w:r>
    </w:p>
    <w:p w14:paraId="122B6DF1">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15.8 评标委员会成员和与本次评标活动有关的工作人员，不得透露对投标文件的评审和中标候选人的推荐情况以及与评标有关的其他情况。</w:t>
      </w:r>
    </w:p>
    <w:p w14:paraId="53E34F5D">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15.9 与评标活动有关的工作人员，是指评标委员会成员以外的、因参与评标监督工作或者事务性工作而知悉有关评标情况的所有人员。</w:t>
      </w:r>
    </w:p>
    <w:p w14:paraId="2E50F82A">
      <w:pPr>
        <w:pStyle w:val="113"/>
        <w:ind w:firstLine="472"/>
        <w:rPr>
          <w:rFonts w:hint="eastAsia" w:ascii="仿宋" w:hAnsi="仿宋" w:eastAsia="仿宋" w:cs="仿宋"/>
          <w:spacing w:val="-2"/>
          <w:sz w:val="24"/>
          <w:highlight w:val="none"/>
        </w:rPr>
      </w:pPr>
    </w:p>
    <w:p w14:paraId="542B16C0">
      <w:pPr>
        <w:pStyle w:val="113"/>
        <w:ind w:firstLine="472"/>
        <w:rPr>
          <w:rFonts w:hint="eastAsia" w:ascii="仿宋" w:hAnsi="仿宋" w:eastAsia="仿宋" w:cs="仿宋"/>
          <w:spacing w:val="-2"/>
          <w:sz w:val="24"/>
          <w:highlight w:val="none"/>
        </w:rPr>
      </w:pPr>
    </w:p>
    <w:p w14:paraId="263448B3">
      <w:pPr>
        <w:pStyle w:val="113"/>
        <w:ind w:firstLine="472"/>
        <w:rPr>
          <w:rFonts w:hint="eastAsia" w:ascii="仿宋" w:hAnsi="仿宋" w:eastAsia="仿宋" w:cs="仿宋"/>
          <w:spacing w:val="-2"/>
          <w:sz w:val="24"/>
          <w:highlight w:val="none"/>
        </w:rPr>
      </w:pPr>
      <w:r>
        <w:rPr>
          <w:rFonts w:hint="eastAsia" w:ascii="仿宋" w:hAnsi="仿宋" w:eastAsia="仿宋" w:cs="仿宋"/>
          <w:spacing w:val="-2"/>
          <w:sz w:val="24"/>
          <w:highlight w:val="none"/>
        </w:rPr>
        <w:br w:type="page"/>
      </w:r>
    </w:p>
    <w:p w14:paraId="20F8588C">
      <w:pPr>
        <w:jc w:val="center"/>
        <w:outlineLvl w:val="1"/>
        <w:rPr>
          <w:rFonts w:hint="eastAsia" w:ascii="仿宋" w:hAnsi="仿宋" w:eastAsia="仿宋" w:cs="仿宋"/>
          <w:b/>
          <w:sz w:val="28"/>
          <w:szCs w:val="22"/>
          <w:highlight w:val="none"/>
        </w:rPr>
      </w:pPr>
      <w:bookmarkStart w:id="46" w:name="_Toc507513103"/>
      <w:r>
        <w:rPr>
          <w:rFonts w:hint="eastAsia" w:ascii="仿宋" w:hAnsi="仿宋" w:eastAsia="仿宋" w:cs="仿宋"/>
          <w:b/>
          <w:sz w:val="28"/>
          <w:szCs w:val="22"/>
          <w:highlight w:val="none"/>
        </w:rPr>
        <w:t>第五章 开　标</w:t>
      </w:r>
      <w:bookmarkEnd w:id="46"/>
    </w:p>
    <w:p w14:paraId="69F194F1">
      <w:pPr>
        <w:spacing w:line="440" w:lineRule="exact"/>
        <w:ind w:firstLine="482" w:firstLineChars="200"/>
        <w:rPr>
          <w:rFonts w:hint="eastAsia" w:ascii="仿宋" w:hAnsi="仿宋" w:eastAsia="仿宋" w:cs="仿宋"/>
          <w:b/>
          <w:sz w:val="24"/>
          <w:highlight w:val="none"/>
        </w:rPr>
      </w:pPr>
      <w:bookmarkStart w:id="47" w:name="_Toc507513104"/>
      <w:r>
        <w:rPr>
          <w:rFonts w:hint="eastAsia" w:ascii="仿宋" w:hAnsi="仿宋" w:eastAsia="仿宋" w:cs="仿宋"/>
          <w:b/>
          <w:sz w:val="24"/>
          <w:highlight w:val="none"/>
        </w:rPr>
        <w:t>16、开标</w:t>
      </w:r>
    </w:p>
    <w:p w14:paraId="33E52FC8">
      <w:pPr>
        <w:ind w:firstLine="472" w:firstLineChars="200"/>
        <w:rPr>
          <w:rFonts w:hint="eastAsia" w:ascii="仿宋" w:hAnsi="仿宋" w:eastAsia="仿宋" w:cs="仿宋"/>
          <w:sz w:val="24"/>
          <w:highlight w:val="none"/>
        </w:rPr>
      </w:pPr>
      <w:r>
        <w:rPr>
          <w:rFonts w:hint="eastAsia" w:ascii="仿宋" w:hAnsi="仿宋" w:eastAsia="仿宋" w:cs="仿宋"/>
          <w:spacing w:val="-2"/>
          <w:sz w:val="24"/>
          <w:highlight w:val="none"/>
        </w:rPr>
        <w:t xml:space="preserve">16.1 </w:t>
      </w:r>
      <w:r>
        <w:rPr>
          <w:rFonts w:hint="eastAsia" w:ascii="仿宋" w:hAnsi="仿宋" w:eastAsia="仿宋" w:cs="仿宋"/>
          <w:sz w:val="24"/>
          <w:highlight w:val="none"/>
        </w:rPr>
        <w:t>本项目开标的时间、地点见投标人须知前附表。</w:t>
      </w:r>
    </w:p>
    <w:p w14:paraId="4C356743">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16.2 采购人或采购代理机构在投标人须知前附表规定的开标时间和开标地点组织公开开标，邀请投标人参加。投标人不足3家的，不得开标。</w:t>
      </w:r>
    </w:p>
    <w:p w14:paraId="6C43275B">
      <w:pPr>
        <w:pStyle w:val="224"/>
        <w:spacing w:line="500" w:lineRule="exact"/>
        <w:ind w:firstLine="472" w:firstLineChars="200"/>
        <w:rPr>
          <w:rFonts w:ascii="宋体" w:hAnsi="宋体" w:eastAsia="宋体" w:cs="宋体"/>
          <w:kern w:val="2"/>
          <w:sz w:val="24"/>
          <w:szCs w:val="22"/>
          <w:highlight w:val="none"/>
        </w:rPr>
      </w:pPr>
      <w:r>
        <w:rPr>
          <w:rFonts w:hint="eastAsia" w:ascii="仿宋" w:hAnsi="仿宋" w:eastAsia="仿宋" w:cs="仿宋"/>
          <w:spacing w:val="-2"/>
          <w:sz w:val="24"/>
          <w:szCs w:val="24"/>
          <w:highlight w:val="none"/>
        </w:rPr>
        <w:t>16.3 开标时，招标人在规定的投标截止时间（开标时间）和投标人须知前附表规定的地点开标。投标人的法定代表人或其委托代理人无需到达开标现场，仅需在任意地点通过政采云不见面开标系统，使用CA密钥完成远程解密、提疑澄清、开标唱标、结果公布等交互环节。</w:t>
      </w:r>
    </w:p>
    <w:p w14:paraId="5034A2B8">
      <w:pPr>
        <w:pStyle w:val="224"/>
        <w:spacing w:line="500" w:lineRule="exact"/>
        <w:ind w:firstLine="472" w:firstLineChars="200"/>
        <w:rPr>
          <w:rFonts w:ascii="宋体" w:hAnsi="宋体" w:eastAsia="宋体" w:cs="宋体"/>
          <w:kern w:val="2"/>
          <w:sz w:val="24"/>
          <w:szCs w:val="22"/>
          <w:highlight w:val="none"/>
        </w:rPr>
      </w:pPr>
      <w:r>
        <w:rPr>
          <w:rFonts w:hint="eastAsia" w:ascii="仿宋" w:hAnsi="仿宋" w:eastAsia="仿宋" w:cs="仿宋"/>
          <w:spacing w:val="-2"/>
          <w:sz w:val="24"/>
          <w:szCs w:val="24"/>
          <w:highlight w:val="none"/>
        </w:rPr>
        <w:t>16.4 法定代表人或法定代表人授权委托人参与远程交互，中途不得更换，在废标、澄清、提疑、传送文件等特殊情况下需要交互时，投标人一端参与交互的人员将均被视为是投标人的授权委托人或法人代表，投标人不得以不承认交互人员的资格或身份等为借口推脱，投标人自行承担随意更换人员所导致的一切后果。</w:t>
      </w:r>
    </w:p>
    <w:p w14:paraId="20844311">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16.5 投标人对开标过程有异议，以及认为采购人、采购代理机构相关工作人员有需要回避的情形的，应当提出询问或者回避申请。采购人、采购代理机构对投标人代表提出的询问或者回避申请应当及时处理。</w:t>
      </w:r>
    </w:p>
    <w:p w14:paraId="713F1632">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w:t>
      </w:r>
      <w:r>
        <w:rPr>
          <w:rFonts w:hint="eastAsia" w:ascii="仿宋" w:hAnsi="仿宋" w:eastAsia="仿宋" w:cs="仿宋"/>
          <w:b/>
          <w:bCs/>
          <w:spacing w:val="-2"/>
          <w:sz w:val="24"/>
          <w:highlight w:val="none"/>
        </w:rPr>
        <w:t>17、资格审查</w:t>
      </w:r>
    </w:p>
    <w:p w14:paraId="2C912A4D">
      <w:pPr>
        <w:pStyle w:val="19"/>
        <w:spacing w:line="440" w:lineRule="exact"/>
        <w:ind w:firstLine="472" w:firstLineChars="200"/>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rPr>
        <w:t>17.1 公开招标采购项目开标结束后，采购人或者采购代理机构应当依法对投标人的资格进行审查。合格投标人不足3家的，不得评标。</w:t>
      </w:r>
    </w:p>
    <w:p w14:paraId="1AC20294">
      <w:pPr>
        <w:pStyle w:val="19"/>
        <w:spacing w:line="440" w:lineRule="exact"/>
        <w:ind w:firstLine="472" w:firstLineChars="200"/>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rPr>
        <w:t>资格审查内容如下：</w:t>
      </w:r>
    </w:p>
    <w:p w14:paraId="0FD801FD">
      <w:pPr>
        <w:pStyle w:val="19"/>
        <w:spacing w:line="440" w:lineRule="exact"/>
        <w:ind w:firstLine="472" w:firstLineChars="200"/>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rPr>
        <w:br w:type="page"/>
      </w:r>
    </w:p>
    <w:p w14:paraId="11EE005A">
      <w:pPr>
        <w:pStyle w:val="113"/>
        <w:ind w:firstLine="562"/>
        <w:jc w:val="center"/>
        <w:rPr>
          <w:rFonts w:ascii="仿宋" w:hAnsi="仿宋" w:eastAsia="仿宋" w:cs="仿宋"/>
          <w:b/>
          <w:sz w:val="28"/>
          <w:szCs w:val="22"/>
          <w:highlight w:val="none"/>
        </w:rPr>
      </w:pPr>
      <w:r>
        <w:rPr>
          <w:rFonts w:hint="eastAsia" w:ascii="仿宋" w:hAnsi="仿宋" w:eastAsia="仿宋" w:cs="仿宋"/>
          <w:b/>
          <w:sz w:val="28"/>
          <w:szCs w:val="22"/>
          <w:highlight w:val="none"/>
        </w:rPr>
        <w:t>资格审查表</w:t>
      </w:r>
    </w:p>
    <w:tbl>
      <w:tblPr>
        <w:tblStyle w:val="41"/>
        <w:tblW w:w="9371" w:type="dxa"/>
        <w:tblInd w:w="-1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2143"/>
        <w:gridCol w:w="4622"/>
        <w:gridCol w:w="666"/>
        <w:gridCol w:w="666"/>
        <w:gridCol w:w="667"/>
      </w:tblGrid>
      <w:tr w14:paraId="54D4D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750" w:type="dxa"/>
            <w:gridSpan w:val="2"/>
            <w:vMerge w:val="restart"/>
            <w:noWrap w:val="0"/>
            <w:vAlign w:val="center"/>
          </w:tcPr>
          <w:p w14:paraId="71AE91E9">
            <w:pPr>
              <w:pStyle w:val="19"/>
              <w:spacing w:line="320" w:lineRule="exact"/>
              <w:ind w:firstLine="474" w:firstLineChars="200"/>
              <w:jc w:val="center"/>
              <w:rPr>
                <w:rFonts w:hint="eastAsia" w:ascii="仿宋" w:hAnsi="仿宋" w:eastAsia="仿宋" w:cs="仿宋"/>
                <w:b/>
                <w:bCs/>
                <w:spacing w:val="-2"/>
                <w:kern w:val="0"/>
                <w:sz w:val="24"/>
                <w:szCs w:val="24"/>
                <w:highlight w:val="none"/>
              </w:rPr>
            </w:pPr>
            <w:r>
              <w:rPr>
                <w:rFonts w:hint="eastAsia" w:ascii="仿宋" w:hAnsi="仿宋" w:eastAsia="仿宋" w:cs="仿宋"/>
                <w:b/>
                <w:bCs/>
                <w:spacing w:val="-2"/>
                <w:kern w:val="0"/>
                <w:sz w:val="24"/>
                <w:szCs w:val="24"/>
                <w:highlight w:val="none"/>
              </w:rPr>
              <w:t>审查内容</w:t>
            </w:r>
          </w:p>
        </w:tc>
        <w:tc>
          <w:tcPr>
            <w:tcW w:w="4622" w:type="dxa"/>
            <w:vMerge w:val="restart"/>
            <w:noWrap w:val="0"/>
            <w:vAlign w:val="center"/>
          </w:tcPr>
          <w:p w14:paraId="4F4F1E8F">
            <w:pPr>
              <w:pStyle w:val="19"/>
              <w:spacing w:line="320" w:lineRule="exact"/>
              <w:ind w:firstLine="474" w:firstLineChars="200"/>
              <w:jc w:val="center"/>
              <w:rPr>
                <w:rFonts w:hint="eastAsia" w:ascii="仿宋" w:hAnsi="仿宋" w:eastAsia="仿宋" w:cs="仿宋"/>
                <w:b/>
                <w:bCs/>
                <w:spacing w:val="-2"/>
                <w:kern w:val="0"/>
                <w:sz w:val="24"/>
                <w:szCs w:val="24"/>
                <w:highlight w:val="none"/>
              </w:rPr>
            </w:pPr>
            <w:r>
              <w:rPr>
                <w:rFonts w:hint="eastAsia" w:ascii="仿宋" w:hAnsi="仿宋" w:eastAsia="仿宋" w:cs="仿宋"/>
                <w:b/>
                <w:bCs/>
                <w:spacing w:val="-2"/>
                <w:kern w:val="0"/>
                <w:sz w:val="24"/>
                <w:szCs w:val="24"/>
                <w:highlight w:val="none"/>
              </w:rPr>
              <w:t>审查标准</w:t>
            </w:r>
          </w:p>
        </w:tc>
        <w:tc>
          <w:tcPr>
            <w:tcW w:w="1999" w:type="dxa"/>
            <w:gridSpan w:val="3"/>
            <w:noWrap w:val="0"/>
            <w:vAlign w:val="center"/>
          </w:tcPr>
          <w:p w14:paraId="2CECDC5E">
            <w:pPr>
              <w:pStyle w:val="19"/>
              <w:spacing w:line="320" w:lineRule="exact"/>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投标企业名称</w:t>
            </w:r>
          </w:p>
        </w:tc>
      </w:tr>
      <w:tr w14:paraId="26FC7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750" w:type="dxa"/>
            <w:gridSpan w:val="2"/>
            <w:vMerge w:val="continue"/>
            <w:noWrap w:val="0"/>
            <w:vAlign w:val="center"/>
          </w:tcPr>
          <w:p w14:paraId="34FBD45A">
            <w:pPr>
              <w:pStyle w:val="19"/>
              <w:spacing w:line="320" w:lineRule="exact"/>
              <w:ind w:firstLine="474" w:firstLineChars="200"/>
              <w:rPr>
                <w:rFonts w:hint="eastAsia" w:ascii="仿宋" w:hAnsi="仿宋" w:eastAsia="仿宋" w:cs="仿宋"/>
                <w:b/>
                <w:bCs/>
                <w:spacing w:val="-2"/>
                <w:kern w:val="0"/>
                <w:sz w:val="24"/>
                <w:szCs w:val="24"/>
                <w:highlight w:val="none"/>
              </w:rPr>
            </w:pPr>
          </w:p>
        </w:tc>
        <w:tc>
          <w:tcPr>
            <w:tcW w:w="4622" w:type="dxa"/>
            <w:vMerge w:val="continue"/>
            <w:noWrap w:val="0"/>
            <w:vAlign w:val="center"/>
          </w:tcPr>
          <w:p w14:paraId="58591BC8">
            <w:pPr>
              <w:pStyle w:val="19"/>
              <w:spacing w:line="320" w:lineRule="exact"/>
              <w:ind w:firstLine="474" w:firstLineChars="200"/>
              <w:rPr>
                <w:rFonts w:hint="eastAsia" w:ascii="仿宋" w:hAnsi="仿宋" w:eastAsia="仿宋" w:cs="仿宋"/>
                <w:b/>
                <w:bCs/>
                <w:spacing w:val="-2"/>
                <w:kern w:val="0"/>
                <w:sz w:val="24"/>
                <w:szCs w:val="24"/>
                <w:highlight w:val="none"/>
              </w:rPr>
            </w:pPr>
          </w:p>
        </w:tc>
        <w:tc>
          <w:tcPr>
            <w:tcW w:w="666" w:type="dxa"/>
            <w:noWrap w:val="0"/>
            <w:vAlign w:val="center"/>
          </w:tcPr>
          <w:p w14:paraId="0F0D0C88">
            <w:pPr>
              <w:pStyle w:val="19"/>
              <w:spacing w:line="320" w:lineRule="exact"/>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1</w:t>
            </w:r>
          </w:p>
        </w:tc>
        <w:tc>
          <w:tcPr>
            <w:tcW w:w="666" w:type="dxa"/>
            <w:noWrap w:val="0"/>
            <w:vAlign w:val="center"/>
          </w:tcPr>
          <w:p w14:paraId="006146D7">
            <w:pPr>
              <w:pStyle w:val="19"/>
              <w:spacing w:line="320" w:lineRule="exact"/>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2</w:t>
            </w:r>
          </w:p>
        </w:tc>
        <w:tc>
          <w:tcPr>
            <w:tcW w:w="667" w:type="dxa"/>
            <w:noWrap w:val="0"/>
            <w:vAlign w:val="center"/>
          </w:tcPr>
          <w:p w14:paraId="71683A35">
            <w:pPr>
              <w:pStyle w:val="19"/>
              <w:spacing w:line="320" w:lineRule="exact"/>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w:t>
            </w:r>
          </w:p>
        </w:tc>
      </w:tr>
      <w:tr w14:paraId="1597B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607" w:type="dxa"/>
            <w:noWrap w:val="0"/>
            <w:vAlign w:val="center"/>
          </w:tcPr>
          <w:p w14:paraId="377FAA64">
            <w:pPr>
              <w:spacing w:line="32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2143" w:type="dxa"/>
            <w:noWrap w:val="0"/>
            <w:vAlign w:val="center"/>
          </w:tcPr>
          <w:p w14:paraId="196CAC37">
            <w:pPr>
              <w:spacing w:line="3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具有独立承担民事责任的能力</w:t>
            </w:r>
          </w:p>
        </w:tc>
        <w:tc>
          <w:tcPr>
            <w:tcW w:w="4622" w:type="dxa"/>
            <w:noWrap w:val="0"/>
            <w:vAlign w:val="center"/>
          </w:tcPr>
          <w:p w14:paraId="6020F0BF">
            <w:pPr>
              <w:spacing w:line="3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法人或者其他组织的营业执照等证明文件；</w:t>
            </w:r>
          </w:p>
          <w:p w14:paraId="2F840A58">
            <w:pPr>
              <w:spacing w:line="3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自然人需提供身份证明；</w:t>
            </w:r>
          </w:p>
        </w:tc>
        <w:tc>
          <w:tcPr>
            <w:tcW w:w="666" w:type="dxa"/>
            <w:noWrap w:val="0"/>
            <w:vAlign w:val="center"/>
          </w:tcPr>
          <w:p w14:paraId="1B48AB54">
            <w:pPr>
              <w:pStyle w:val="19"/>
              <w:spacing w:line="320" w:lineRule="exact"/>
              <w:ind w:firstLine="480" w:firstLineChars="200"/>
              <w:rPr>
                <w:rFonts w:hint="eastAsia" w:ascii="仿宋" w:hAnsi="仿宋" w:eastAsia="仿宋" w:cs="仿宋"/>
                <w:kern w:val="0"/>
                <w:sz w:val="24"/>
                <w:szCs w:val="24"/>
                <w:highlight w:val="none"/>
              </w:rPr>
            </w:pPr>
          </w:p>
        </w:tc>
        <w:tc>
          <w:tcPr>
            <w:tcW w:w="666" w:type="dxa"/>
            <w:noWrap w:val="0"/>
            <w:vAlign w:val="top"/>
          </w:tcPr>
          <w:p w14:paraId="2762F6F2">
            <w:pPr>
              <w:pStyle w:val="19"/>
              <w:spacing w:line="320" w:lineRule="exact"/>
              <w:ind w:firstLine="480" w:firstLineChars="200"/>
              <w:rPr>
                <w:rFonts w:hint="eastAsia" w:ascii="仿宋" w:hAnsi="仿宋" w:eastAsia="仿宋" w:cs="仿宋"/>
                <w:kern w:val="0"/>
                <w:sz w:val="24"/>
                <w:szCs w:val="24"/>
                <w:highlight w:val="none"/>
              </w:rPr>
            </w:pPr>
          </w:p>
        </w:tc>
        <w:tc>
          <w:tcPr>
            <w:tcW w:w="667" w:type="dxa"/>
            <w:noWrap w:val="0"/>
            <w:vAlign w:val="top"/>
          </w:tcPr>
          <w:p w14:paraId="1377E48A">
            <w:pPr>
              <w:pStyle w:val="19"/>
              <w:spacing w:line="320" w:lineRule="exact"/>
              <w:ind w:firstLine="480" w:firstLineChars="200"/>
              <w:rPr>
                <w:rFonts w:hint="eastAsia" w:ascii="仿宋" w:hAnsi="仿宋" w:eastAsia="仿宋" w:cs="仿宋"/>
                <w:kern w:val="0"/>
                <w:sz w:val="24"/>
                <w:szCs w:val="24"/>
                <w:highlight w:val="none"/>
              </w:rPr>
            </w:pPr>
          </w:p>
        </w:tc>
      </w:tr>
      <w:tr w14:paraId="2C970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607" w:type="dxa"/>
            <w:noWrap w:val="0"/>
            <w:vAlign w:val="center"/>
          </w:tcPr>
          <w:p w14:paraId="10D38092">
            <w:pPr>
              <w:spacing w:line="32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2143" w:type="dxa"/>
            <w:noWrap w:val="0"/>
            <w:vAlign w:val="center"/>
          </w:tcPr>
          <w:p w14:paraId="5110CE7C">
            <w:pPr>
              <w:spacing w:line="3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具有良好的商业信誉和健全的</w:t>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"http://www.so.com/s?q=%E8%B4%A2%E5%8A%A1%E4%BC%9A%E8%AE%A1%E5%88%B6%E5%BA%A6&amp;ie=utf-8&amp;src=internal_wenda_recommend_textn" \t "https://wenda.so.com/q/_blank"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财务会计制度</w:t>
            </w:r>
            <w:r>
              <w:rPr>
                <w:rFonts w:hint="eastAsia" w:ascii="仿宋" w:hAnsi="仿宋" w:eastAsia="仿宋" w:cs="仿宋"/>
                <w:sz w:val="24"/>
                <w:szCs w:val="24"/>
                <w:highlight w:val="none"/>
              </w:rPr>
              <w:fldChar w:fldCharType="end"/>
            </w:r>
          </w:p>
        </w:tc>
        <w:tc>
          <w:tcPr>
            <w:tcW w:w="4622" w:type="dxa"/>
            <w:noWrap w:val="0"/>
            <w:vAlign w:val="center"/>
          </w:tcPr>
          <w:p w14:paraId="6C5A0A9D">
            <w:pPr>
              <w:spacing w:line="300" w:lineRule="exac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2025年1月1日以前注册成立的供应商提供2024年度的财务审计报告或财务报表，2025年1月1日以后注册成立的供应商提供具有健全的财务制度承诺。</w:t>
            </w:r>
          </w:p>
        </w:tc>
        <w:tc>
          <w:tcPr>
            <w:tcW w:w="666" w:type="dxa"/>
            <w:noWrap w:val="0"/>
            <w:vAlign w:val="center"/>
          </w:tcPr>
          <w:p w14:paraId="0BFCCE30">
            <w:pPr>
              <w:pStyle w:val="19"/>
              <w:spacing w:line="320" w:lineRule="exact"/>
              <w:ind w:firstLine="480" w:firstLineChars="200"/>
              <w:rPr>
                <w:rFonts w:hint="eastAsia" w:ascii="仿宋" w:hAnsi="仿宋" w:eastAsia="仿宋" w:cs="仿宋"/>
                <w:kern w:val="0"/>
                <w:sz w:val="24"/>
                <w:szCs w:val="24"/>
                <w:highlight w:val="none"/>
              </w:rPr>
            </w:pPr>
          </w:p>
        </w:tc>
        <w:tc>
          <w:tcPr>
            <w:tcW w:w="666" w:type="dxa"/>
            <w:noWrap w:val="0"/>
            <w:vAlign w:val="top"/>
          </w:tcPr>
          <w:p w14:paraId="7D51216C">
            <w:pPr>
              <w:pStyle w:val="19"/>
              <w:spacing w:line="320" w:lineRule="exact"/>
              <w:ind w:firstLine="480" w:firstLineChars="200"/>
              <w:rPr>
                <w:rFonts w:hint="eastAsia" w:ascii="仿宋" w:hAnsi="仿宋" w:eastAsia="仿宋" w:cs="仿宋"/>
                <w:kern w:val="0"/>
                <w:sz w:val="24"/>
                <w:szCs w:val="24"/>
                <w:highlight w:val="none"/>
              </w:rPr>
            </w:pPr>
          </w:p>
        </w:tc>
        <w:tc>
          <w:tcPr>
            <w:tcW w:w="667" w:type="dxa"/>
            <w:noWrap w:val="0"/>
            <w:vAlign w:val="top"/>
          </w:tcPr>
          <w:p w14:paraId="7747A578">
            <w:pPr>
              <w:pStyle w:val="19"/>
              <w:spacing w:line="320" w:lineRule="exact"/>
              <w:ind w:firstLine="480" w:firstLineChars="200"/>
              <w:rPr>
                <w:rFonts w:hint="eastAsia" w:ascii="仿宋" w:hAnsi="仿宋" w:eastAsia="仿宋" w:cs="仿宋"/>
                <w:kern w:val="0"/>
                <w:sz w:val="24"/>
                <w:szCs w:val="24"/>
                <w:highlight w:val="none"/>
              </w:rPr>
            </w:pPr>
          </w:p>
        </w:tc>
      </w:tr>
      <w:tr w14:paraId="415C0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607" w:type="dxa"/>
            <w:noWrap w:val="0"/>
            <w:vAlign w:val="center"/>
          </w:tcPr>
          <w:p w14:paraId="79E3722B">
            <w:pPr>
              <w:spacing w:line="32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2143" w:type="dxa"/>
            <w:noWrap w:val="0"/>
            <w:vAlign w:val="center"/>
          </w:tcPr>
          <w:p w14:paraId="1FAE5423">
            <w:pPr>
              <w:spacing w:line="3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具有履行合同所必需的设备和专业技术能力</w:t>
            </w:r>
          </w:p>
        </w:tc>
        <w:tc>
          <w:tcPr>
            <w:tcW w:w="4622" w:type="dxa"/>
            <w:noWrap w:val="0"/>
            <w:vAlign w:val="center"/>
          </w:tcPr>
          <w:p w14:paraId="04A5FDAF">
            <w:pPr>
              <w:spacing w:line="3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提供具有履行合同所必需的设备和专业技术能力相关证明材料或声明；</w:t>
            </w:r>
          </w:p>
        </w:tc>
        <w:tc>
          <w:tcPr>
            <w:tcW w:w="666" w:type="dxa"/>
            <w:noWrap w:val="0"/>
            <w:vAlign w:val="center"/>
          </w:tcPr>
          <w:p w14:paraId="4A2FF1D9">
            <w:pPr>
              <w:pStyle w:val="19"/>
              <w:spacing w:line="320" w:lineRule="exact"/>
              <w:ind w:firstLine="480" w:firstLineChars="200"/>
              <w:rPr>
                <w:rFonts w:hint="eastAsia" w:ascii="仿宋" w:hAnsi="仿宋" w:eastAsia="仿宋" w:cs="仿宋"/>
                <w:kern w:val="0"/>
                <w:sz w:val="24"/>
                <w:szCs w:val="24"/>
                <w:highlight w:val="none"/>
              </w:rPr>
            </w:pPr>
          </w:p>
        </w:tc>
        <w:tc>
          <w:tcPr>
            <w:tcW w:w="666" w:type="dxa"/>
            <w:noWrap w:val="0"/>
            <w:vAlign w:val="top"/>
          </w:tcPr>
          <w:p w14:paraId="76C7743C">
            <w:pPr>
              <w:pStyle w:val="19"/>
              <w:spacing w:line="320" w:lineRule="exact"/>
              <w:ind w:firstLine="480" w:firstLineChars="200"/>
              <w:rPr>
                <w:rFonts w:hint="eastAsia" w:ascii="仿宋" w:hAnsi="仿宋" w:eastAsia="仿宋" w:cs="仿宋"/>
                <w:kern w:val="0"/>
                <w:sz w:val="24"/>
                <w:szCs w:val="24"/>
                <w:highlight w:val="none"/>
              </w:rPr>
            </w:pPr>
          </w:p>
        </w:tc>
        <w:tc>
          <w:tcPr>
            <w:tcW w:w="667" w:type="dxa"/>
            <w:noWrap w:val="0"/>
            <w:vAlign w:val="top"/>
          </w:tcPr>
          <w:p w14:paraId="54B2620E">
            <w:pPr>
              <w:pStyle w:val="19"/>
              <w:spacing w:line="320" w:lineRule="exact"/>
              <w:ind w:firstLine="480" w:firstLineChars="200"/>
              <w:rPr>
                <w:rFonts w:hint="eastAsia" w:ascii="仿宋" w:hAnsi="仿宋" w:eastAsia="仿宋" w:cs="仿宋"/>
                <w:kern w:val="0"/>
                <w:sz w:val="24"/>
                <w:szCs w:val="24"/>
                <w:highlight w:val="none"/>
              </w:rPr>
            </w:pPr>
          </w:p>
        </w:tc>
      </w:tr>
      <w:tr w14:paraId="76CDB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607" w:type="dxa"/>
            <w:noWrap w:val="0"/>
            <w:vAlign w:val="center"/>
          </w:tcPr>
          <w:p w14:paraId="265F9D7F">
            <w:pPr>
              <w:spacing w:line="32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4</w:t>
            </w:r>
          </w:p>
        </w:tc>
        <w:tc>
          <w:tcPr>
            <w:tcW w:w="2143" w:type="dxa"/>
            <w:noWrap w:val="0"/>
            <w:vAlign w:val="center"/>
          </w:tcPr>
          <w:p w14:paraId="7680FBF3">
            <w:pPr>
              <w:spacing w:line="3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有依法缴纳税收和</w:t>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"http://www.so.com/s?q=%E7%A4%BE%E4%BC%9A%E4%BF%9D%E9%9A%9C%E8%B5%84%E9%87%91&amp;ie=utf-8&amp;src=internal_wenda_recommend_textn" \t "https://wenda.so.com/q/_blank"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社会保障资金</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t>的良好记录</w:t>
            </w:r>
          </w:p>
        </w:tc>
        <w:tc>
          <w:tcPr>
            <w:tcW w:w="4622" w:type="dxa"/>
            <w:noWrap w:val="0"/>
            <w:vAlign w:val="center"/>
          </w:tcPr>
          <w:p w14:paraId="47D38CAF">
            <w:pPr>
              <w:spacing w:line="3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有依法缴纳税收和社会保障资金的良好记录 (提供近半年任意一月依法缴纳税收和社会保障资金的相关材料,如依法免税或不需要缴纳社会保障资金的,应提供相应证明文件)</w:t>
            </w:r>
          </w:p>
        </w:tc>
        <w:tc>
          <w:tcPr>
            <w:tcW w:w="666" w:type="dxa"/>
            <w:noWrap w:val="0"/>
            <w:vAlign w:val="center"/>
          </w:tcPr>
          <w:p w14:paraId="71AE4019">
            <w:pPr>
              <w:spacing w:line="320" w:lineRule="exact"/>
              <w:jc w:val="center"/>
              <w:rPr>
                <w:rFonts w:hint="eastAsia" w:ascii="仿宋" w:hAnsi="仿宋" w:eastAsia="仿宋" w:cs="仿宋"/>
                <w:sz w:val="24"/>
                <w:highlight w:val="none"/>
              </w:rPr>
            </w:pPr>
          </w:p>
        </w:tc>
        <w:tc>
          <w:tcPr>
            <w:tcW w:w="666" w:type="dxa"/>
            <w:noWrap w:val="0"/>
            <w:vAlign w:val="top"/>
          </w:tcPr>
          <w:p w14:paraId="35C8F17C">
            <w:pPr>
              <w:spacing w:line="320" w:lineRule="exact"/>
              <w:jc w:val="center"/>
              <w:rPr>
                <w:rFonts w:hint="eastAsia" w:ascii="仿宋" w:hAnsi="仿宋" w:eastAsia="仿宋" w:cs="仿宋"/>
                <w:sz w:val="24"/>
                <w:highlight w:val="none"/>
              </w:rPr>
            </w:pPr>
          </w:p>
        </w:tc>
        <w:tc>
          <w:tcPr>
            <w:tcW w:w="667" w:type="dxa"/>
            <w:noWrap w:val="0"/>
            <w:vAlign w:val="top"/>
          </w:tcPr>
          <w:p w14:paraId="3374421D">
            <w:pPr>
              <w:spacing w:line="320" w:lineRule="exact"/>
              <w:jc w:val="center"/>
              <w:rPr>
                <w:rFonts w:hint="eastAsia" w:ascii="仿宋" w:hAnsi="仿宋" w:eastAsia="仿宋" w:cs="仿宋"/>
                <w:sz w:val="24"/>
                <w:highlight w:val="none"/>
              </w:rPr>
            </w:pPr>
          </w:p>
        </w:tc>
      </w:tr>
      <w:tr w14:paraId="62C32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607" w:type="dxa"/>
            <w:noWrap w:val="0"/>
            <w:vAlign w:val="center"/>
          </w:tcPr>
          <w:p w14:paraId="4CBE31E8">
            <w:pPr>
              <w:spacing w:line="32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5</w:t>
            </w:r>
          </w:p>
        </w:tc>
        <w:tc>
          <w:tcPr>
            <w:tcW w:w="2143" w:type="dxa"/>
            <w:noWrap w:val="0"/>
            <w:vAlign w:val="center"/>
          </w:tcPr>
          <w:p w14:paraId="56764DA1">
            <w:pPr>
              <w:spacing w:line="3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参加政府采购活动前三年内，在经营活动中没有重大违法记录</w:t>
            </w:r>
          </w:p>
        </w:tc>
        <w:tc>
          <w:tcPr>
            <w:tcW w:w="4622" w:type="dxa"/>
            <w:noWrap w:val="0"/>
            <w:vAlign w:val="center"/>
          </w:tcPr>
          <w:p w14:paraId="52F76DFC">
            <w:pPr>
              <w:spacing w:line="3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参加政府采购活动近三年内,在经营活动中没有重大违法记录的书面声明文件。若响应供应商自成立之日起不足3年的,需提供成立至今的书面声明</w:t>
            </w:r>
          </w:p>
        </w:tc>
        <w:tc>
          <w:tcPr>
            <w:tcW w:w="666" w:type="dxa"/>
            <w:noWrap w:val="0"/>
            <w:vAlign w:val="center"/>
          </w:tcPr>
          <w:p w14:paraId="1A5C8888">
            <w:pPr>
              <w:spacing w:line="320" w:lineRule="exact"/>
              <w:jc w:val="center"/>
              <w:rPr>
                <w:rFonts w:hint="eastAsia" w:ascii="仿宋" w:hAnsi="仿宋" w:eastAsia="仿宋" w:cs="仿宋"/>
                <w:sz w:val="24"/>
                <w:highlight w:val="none"/>
              </w:rPr>
            </w:pPr>
          </w:p>
        </w:tc>
        <w:tc>
          <w:tcPr>
            <w:tcW w:w="666" w:type="dxa"/>
            <w:noWrap w:val="0"/>
            <w:vAlign w:val="top"/>
          </w:tcPr>
          <w:p w14:paraId="088C900D">
            <w:pPr>
              <w:spacing w:line="320" w:lineRule="exact"/>
              <w:jc w:val="center"/>
              <w:rPr>
                <w:rFonts w:hint="eastAsia" w:ascii="仿宋" w:hAnsi="仿宋" w:eastAsia="仿宋" w:cs="仿宋"/>
                <w:sz w:val="24"/>
                <w:highlight w:val="none"/>
              </w:rPr>
            </w:pPr>
          </w:p>
        </w:tc>
        <w:tc>
          <w:tcPr>
            <w:tcW w:w="667" w:type="dxa"/>
            <w:noWrap w:val="0"/>
            <w:vAlign w:val="top"/>
          </w:tcPr>
          <w:p w14:paraId="78C3E385">
            <w:pPr>
              <w:spacing w:line="320" w:lineRule="exact"/>
              <w:jc w:val="center"/>
              <w:rPr>
                <w:rFonts w:hint="eastAsia" w:ascii="仿宋" w:hAnsi="仿宋" w:eastAsia="仿宋" w:cs="仿宋"/>
                <w:sz w:val="24"/>
                <w:highlight w:val="none"/>
              </w:rPr>
            </w:pPr>
          </w:p>
        </w:tc>
      </w:tr>
      <w:tr w14:paraId="51313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607" w:type="dxa"/>
            <w:noWrap w:val="0"/>
            <w:vAlign w:val="center"/>
          </w:tcPr>
          <w:p w14:paraId="7C1BBD99">
            <w:pPr>
              <w:spacing w:line="32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6</w:t>
            </w:r>
          </w:p>
        </w:tc>
        <w:tc>
          <w:tcPr>
            <w:tcW w:w="2143" w:type="dxa"/>
            <w:noWrap w:val="0"/>
            <w:vAlign w:val="center"/>
          </w:tcPr>
          <w:p w14:paraId="5AA862F4">
            <w:pPr>
              <w:spacing w:line="320" w:lineRule="exact"/>
              <w:rPr>
                <w:rFonts w:hint="eastAsia" w:ascii="仿宋" w:hAnsi="仿宋" w:eastAsia="仿宋" w:cs="仿宋"/>
                <w:spacing w:val="-2"/>
                <w:kern w:val="0"/>
                <w:sz w:val="24"/>
                <w:szCs w:val="24"/>
                <w:highlight w:val="none"/>
              </w:rPr>
            </w:pPr>
            <w:r>
              <w:rPr>
                <w:rFonts w:hint="eastAsia" w:ascii="仿宋" w:hAnsi="仿宋" w:eastAsia="仿宋" w:cs="仿宋"/>
                <w:spacing w:val="-2"/>
                <w:kern w:val="0"/>
                <w:sz w:val="24"/>
                <w:szCs w:val="24"/>
                <w:highlight w:val="none"/>
              </w:rPr>
              <w:t>信用查询结果或</w:t>
            </w:r>
          </w:p>
          <w:p w14:paraId="568D42F2">
            <w:pPr>
              <w:spacing w:line="320" w:lineRule="exact"/>
              <w:rPr>
                <w:rFonts w:hint="eastAsia" w:ascii="仿宋" w:hAnsi="仿宋" w:eastAsia="仿宋" w:cs="仿宋"/>
                <w:spacing w:val="-2"/>
                <w:sz w:val="24"/>
                <w:szCs w:val="24"/>
                <w:highlight w:val="none"/>
              </w:rPr>
            </w:pPr>
            <w:r>
              <w:rPr>
                <w:rFonts w:hint="eastAsia" w:ascii="仿宋" w:hAnsi="仿宋" w:eastAsia="仿宋" w:cs="仿宋"/>
                <w:spacing w:val="-2"/>
                <w:kern w:val="0"/>
                <w:sz w:val="24"/>
                <w:szCs w:val="24"/>
                <w:highlight w:val="none"/>
              </w:rPr>
              <w:t>承诺函</w:t>
            </w:r>
          </w:p>
        </w:tc>
        <w:tc>
          <w:tcPr>
            <w:tcW w:w="4622" w:type="dxa"/>
            <w:noWrap w:val="0"/>
            <w:vAlign w:val="center"/>
          </w:tcPr>
          <w:p w14:paraId="1295362C">
            <w:pPr>
              <w:spacing w:line="30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信用记录查询方式：</w:t>
            </w:r>
          </w:p>
          <w:p w14:paraId="19B037D8">
            <w:pPr>
              <w:numPr>
                <w:ilvl w:val="0"/>
                <w:numId w:val="16"/>
              </w:numPr>
              <w:spacing w:line="300" w:lineRule="exact"/>
              <w:ind w:firstLine="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“信用中国”（www.creditchina.gov.cn）未被列入</w:t>
            </w:r>
            <w:r>
              <w:rPr>
                <w:rFonts w:hint="eastAsia" w:ascii="仿宋" w:hAnsi="仿宋" w:eastAsia="仿宋" w:cs="仿宋"/>
                <w:sz w:val="24"/>
                <w:szCs w:val="24"/>
                <w:highlight w:val="none"/>
                <w:lang w:eastAsia="zh-CN"/>
              </w:rPr>
              <w:t>重大税收违法失信主体</w:t>
            </w:r>
            <w:r>
              <w:rPr>
                <w:rFonts w:hint="eastAsia" w:ascii="仿宋" w:hAnsi="仿宋" w:eastAsia="仿宋" w:cs="仿宋"/>
                <w:sz w:val="24"/>
                <w:szCs w:val="24"/>
                <w:highlight w:val="none"/>
              </w:rPr>
              <w:t>；</w:t>
            </w:r>
          </w:p>
          <w:p w14:paraId="06B12A5F">
            <w:pPr>
              <w:numPr>
                <w:ilvl w:val="0"/>
                <w:numId w:val="16"/>
              </w:numPr>
              <w:spacing w:line="300" w:lineRule="exact"/>
              <w:ind w:firstLine="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“中国执行信息公开网”（http://zxgk.court.gov.cn/）未被列入失信被执行人；</w:t>
            </w:r>
          </w:p>
          <w:p w14:paraId="64C8624E">
            <w:pPr>
              <w:numPr>
                <w:ilvl w:val="0"/>
                <w:numId w:val="16"/>
              </w:numPr>
              <w:spacing w:line="300" w:lineRule="exact"/>
              <w:ind w:firstLine="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“中国政府采购网”（www.ccgp.gov.cn）网站上未被列入政府采购严重违法失信行为记录名单；</w:t>
            </w:r>
          </w:p>
          <w:p w14:paraId="75264227">
            <w:pPr>
              <w:spacing w:line="30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也可提供以上情况的承诺函</w:t>
            </w:r>
          </w:p>
        </w:tc>
        <w:tc>
          <w:tcPr>
            <w:tcW w:w="666" w:type="dxa"/>
            <w:noWrap w:val="0"/>
            <w:vAlign w:val="center"/>
          </w:tcPr>
          <w:p w14:paraId="40B3FE44">
            <w:pPr>
              <w:spacing w:line="320" w:lineRule="exact"/>
              <w:jc w:val="center"/>
              <w:rPr>
                <w:rFonts w:hint="eastAsia" w:ascii="仿宋" w:hAnsi="仿宋" w:eastAsia="仿宋" w:cs="仿宋"/>
                <w:sz w:val="24"/>
                <w:highlight w:val="none"/>
              </w:rPr>
            </w:pPr>
          </w:p>
        </w:tc>
        <w:tc>
          <w:tcPr>
            <w:tcW w:w="666" w:type="dxa"/>
            <w:noWrap w:val="0"/>
            <w:vAlign w:val="top"/>
          </w:tcPr>
          <w:p w14:paraId="2E358CB6">
            <w:pPr>
              <w:spacing w:line="320" w:lineRule="exact"/>
              <w:jc w:val="center"/>
              <w:rPr>
                <w:rFonts w:hint="eastAsia" w:ascii="仿宋" w:hAnsi="仿宋" w:eastAsia="仿宋" w:cs="仿宋"/>
                <w:sz w:val="24"/>
                <w:highlight w:val="none"/>
              </w:rPr>
            </w:pPr>
          </w:p>
        </w:tc>
        <w:tc>
          <w:tcPr>
            <w:tcW w:w="667" w:type="dxa"/>
            <w:noWrap w:val="0"/>
            <w:vAlign w:val="top"/>
          </w:tcPr>
          <w:p w14:paraId="2750DD7B">
            <w:pPr>
              <w:spacing w:line="320" w:lineRule="exact"/>
              <w:jc w:val="center"/>
              <w:rPr>
                <w:rFonts w:hint="eastAsia" w:ascii="仿宋" w:hAnsi="仿宋" w:eastAsia="仿宋" w:cs="仿宋"/>
                <w:sz w:val="24"/>
                <w:highlight w:val="none"/>
              </w:rPr>
            </w:pPr>
          </w:p>
        </w:tc>
      </w:tr>
      <w:tr w14:paraId="5A1FB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607" w:type="dxa"/>
            <w:noWrap w:val="0"/>
            <w:vAlign w:val="center"/>
          </w:tcPr>
          <w:p w14:paraId="0518D564">
            <w:pPr>
              <w:spacing w:line="32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7</w:t>
            </w:r>
          </w:p>
        </w:tc>
        <w:tc>
          <w:tcPr>
            <w:tcW w:w="2143" w:type="dxa"/>
            <w:noWrap w:val="0"/>
            <w:vAlign w:val="center"/>
          </w:tcPr>
          <w:p w14:paraId="05D54EE7">
            <w:pPr>
              <w:spacing w:line="3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投标人代表身份证明</w:t>
            </w:r>
          </w:p>
        </w:tc>
        <w:tc>
          <w:tcPr>
            <w:tcW w:w="4622" w:type="dxa"/>
            <w:noWrap w:val="0"/>
            <w:vAlign w:val="center"/>
          </w:tcPr>
          <w:p w14:paraId="75F8675B">
            <w:pPr>
              <w:spacing w:line="3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《法定代表人授权委托书》原件的扫描件；</w:t>
            </w:r>
          </w:p>
          <w:p w14:paraId="597559B4">
            <w:pPr>
              <w:spacing w:line="3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投标人代表身份证原件的扫描件</w:t>
            </w:r>
          </w:p>
        </w:tc>
        <w:tc>
          <w:tcPr>
            <w:tcW w:w="666" w:type="dxa"/>
            <w:noWrap w:val="0"/>
            <w:vAlign w:val="center"/>
          </w:tcPr>
          <w:p w14:paraId="61247CCC">
            <w:pPr>
              <w:spacing w:line="320" w:lineRule="exact"/>
              <w:jc w:val="center"/>
              <w:rPr>
                <w:rFonts w:hint="eastAsia" w:ascii="仿宋" w:hAnsi="仿宋" w:eastAsia="仿宋" w:cs="仿宋"/>
                <w:sz w:val="24"/>
                <w:highlight w:val="none"/>
              </w:rPr>
            </w:pPr>
          </w:p>
        </w:tc>
        <w:tc>
          <w:tcPr>
            <w:tcW w:w="666" w:type="dxa"/>
            <w:noWrap w:val="0"/>
            <w:vAlign w:val="top"/>
          </w:tcPr>
          <w:p w14:paraId="3FD947EE">
            <w:pPr>
              <w:spacing w:line="320" w:lineRule="exact"/>
              <w:jc w:val="center"/>
              <w:rPr>
                <w:rFonts w:hint="eastAsia" w:ascii="仿宋" w:hAnsi="仿宋" w:eastAsia="仿宋" w:cs="仿宋"/>
                <w:sz w:val="24"/>
                <w:highlight w:val="none"/>
              </w:rPr>
            </w:pPr>
          </w:p>
        </w:tc>
        <w:tc>
          <w:tcPr>
            <w:tcW w:w="667" w:type="dxa"/>
            <w:noWrap w:val="0"/>
            <w:vAlign w:val="top"/>
          </w:tcPr>
          <w:p w14:paraId="4D08D024">
            <w:pPr>
              <w:spacing w:line="320" w:lineRule="exact"/>
              <w:jc w:val="center"/>
              <w:rPr>
                <w:rFonts w:hint="eastAsia" w:ascii="仿宋" w:hAnsi="仿宋" w:eastAsia="仿宋" w:cs="仿宋"/>
                <w:sz w:val="24"/>
                <w:highlight w:val="none"/>
              </w:rPr>
            </w:pPr>
          </w:p>
        </w:tc>
      </w:tr>
      <w:tr w14:paraId="21F8E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07" w:type="dxa"/>
            <w:noWrap w:val="0"/>
            <w:vAlign w:val="center"/>
          </w:tcPr>
          <w:p w14:paraId="2E94C368">
            <w:pPr>
              <w:spacing w:line="320"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w:t>
            </w:r>
          </w:p>
        </w:tc>
        <w:tc>
          <w:tcPr>
            <w:tcW w:w="2143" w:type="dxa"/>
            <w:noWrap w:val="0"/>
            <w:vAlign w:val="center"/>
          </w:tcPr>
          <w:p w14:paraId="005620A9">
            <w:pPr>
              <w:spacing w:line="300" w:lineRule="exac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具有有效的《食品经营许可证》或《食品生产许可证》</w:t>
            </w:r>
          </w:p>
        </w:tc>
        <w:tc>
          <w:tcPr>
            <w:tcW w:w="4622" w:type="dxa"/>
            <w:noWrap w:val="0"/>
            <w:vAlign w:val="center"/>
          </w:tcPr>
          <w:p w14:paraId="6B38D53A">
            <w:pPr>
              <w:spacing w:line="3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原件的扫描件</w:t>
            </w:r>
          </w:p>
        </w:tc>
        <w:tc>
          <w:tcPr>
            <w:tcW w:w="666" w:type="dxa"/>
            <w:noWrap w:val="0"/>
            <w:vAlign w:val="center"/>
          </w:tcPr>
          <w:p w14:paraId="47E3374B">
            <w:pPr>
              <w:spacing w:line="320" w:lineRule="exact"/>
              <w:jc w:val="center"/>
              <w:rPr>
                <w:rFonts w:hint="eastAsia" w:ascii="仿宋" w:hAnsi="仿宋" w:eastAsia="仿宋" w:cs="仿宋"/>
                <w:sz w:val="24"/>
                <w:highlight w:val="none"/>
              </w:rPr>
            </w:pPr>
          </w:p>
        </w:tc>
        <w:tc>
          <w:tcPr>
            <w:tcW w:w="666" w:type="dxa"/>
            <w:noWrap w:val="0"/>
            <w:vAlign w:val="top"/>
          </w:tcPr>
          <w:p w14:paraId="14D915B1">
            <w:pPr>
              <w:spacing w:line="320" w:lineRule="exact"/>
              <w:jc w:val="center"/>
              <w:rPr>
                <w:rFonts w:hint="eastAsia" w:ascii="仿宋" w:hAnsi="仿宋" w:eastAsia="仿宋" w:cs="仿宋"/>
                <w:sz w:val="24"/>
                <w:highlight w:val="none"/>
              </w:rPr>
            </w:pPr>
          </w:p>
        </w:tc>
        <w:tc>
          <w:tcPr>
            <w:tcW w:w="667" w:type="dxa"/>
            <w:noWrap w:val="0"/>
            <w:vAlign w:val="top"/>
          </w:tcPr>
          <w:p w14:paraId="2EAED5AB">
            <w:pPr>
              <w:spacing w:line="320" w:lineRule="exact"/>
              <w:jc w:val="center"/>
              <w:rPr>
                <w:rFonts w:hint="eastAsia" w:ascii="仿宋" w:hAnsi="仿宋" w:eastAsia="仿宋" w:cs="仿宋"/>
                <w:sz w:val="24"/>
                <w:highlight w:val="none"/>
              </w:rPr>
            </w:pPr>
          </w:p>
        </w:tc>
      </w:tr>
      <w:tr w14:paraId="301B0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07" w:type="dxa"/>
            <w:noWrap w:val="0"/>
            <w:vAlign w:val="center"/>
          </w:tcPr>
          <w:p w14:paraId="2CB4406C">
            <w:pPr>
              <w:spacing w:line="320"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w:t>
            </w:r>
          </w:p>
        </w:tc>
        <w:tc>
          <w:tcPr>
            <w:tcW w:w="2143" w:type="dxa"/>
            <w:noWrap w:val="0"/>
            <w:vAlign w:val="center"/>
          </w:tcPr>
          <w:p w14:paraId="23949DAF">
            <w:pPr>
              <w:spacing w:line="300" w:lineRule="exac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中小企业声明函</w:t>
            </w:r>
          </w:p>
        </w:tc>
        <w:tc>
          <w:tcPr>
            <w:tcW w:w="4622" w:type="dxa"/>
            <w:noWrap w:val="0"/>
            <w:vAlign w:val="center"/>
          </w:tcPr>
          <w:p w14:paraId="3CA5B65A">
            <w:pPr>
              <w:spacing w:line="300" w:lineRule="exac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原件的扫描件</w:t>
            </w:r>
          </w:p>
        </w:tc>
        <w:tc>
          <w:tcPr>
            <w:tcW w:w="666" w:type="dxa"/>
            <w:noWrap w:val="0"/>
            <w:vAlign w:val="center"/>
          </w:tcPr>
          <w:p w14:paraId="7E6B744D">
            <w:pPr>
              <w:spacing w:line="320" w:lineRule="exact"/>
              <w:jc w:val="center"/>
              <w:rPr>
                <w:rFonts w:hint="eastAsia" w:ascii="仿宋" w:hAnsi="仿宋" w:eastAsia="仿宋" w:cs="仿宋"/>
                <w:sz w:val="24"/>
                <w:highlight w:val="none"/>
              </w:rPr>
            </w:pPr>
          </w:p>
        </w:tc>
        <w:tc>
          <w:tcPr>
            <w:tcW w:w="666" w:type="dxa"/>
            <w:noWrap w:val="0"/>
            <w:vAlign w:val="top"/>
          </w:tcPr>
          <w:p w14:paraId="32EF8EBD">
            <w:pPr>
              <w:spacing w:line="320" w:lineRule="exact"/>
              <w:jc w:val="center"/>
              <w:rPr>
                <w:rFonts w:hint="eastAsia" w:ascii="仿宋" w:hAnsi="仿宋" w:eastAsia="仿宋" w:cs="仿宋"/>
                <w:sz w:val="24"/>
                <w:highlight w:val="none"/>
              </w:rPr>
            </w:pPr>
          </w:p>
        </w:tc>
        <w:tc>
          <w:tcPr>
            <w:tcW w:w="667" w:type="dxa"/>
            <w:noWrap w:val="0"/>
            <w:vAlign w:val="top"/>
          </w:tcPr>
          <w:p w14:paraId="7D20474D">
            <w:pPr>
              <w:spacing w:line="320" w:lineRule="exact"/>
              <w:jc w:val="center"/>
              <w:rPr>
                <w:rFonts w:hint="eastAsia" w:ascii="仿宋" w:hAnsi="仿宋" w:eastAsia="仿宋" w:cs="仿宋"/>
                <w:sz w:val="24"/>
                <w:highlight w:val="none"/>
              </w:rPr>
            </w:pPr>
          </w:p>
        </w:tc>
      </w:tr>
      <w:tr w14:paraId="123D6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372" w:type="dxa"/>
            <w:gridSpan w:val="3"/>
            <w:noWrap w:val="0"/>
            <w:vAlign w:val="center"/>
          </w:tcPr>
          <w:p w14:paraId="3D810B73">
            <w:pPr>
              <w:spacing w:line="320" w:lineRule="exact"/>
              <w:jc w:val="center"/>
              <w:rPr>
                <w:rFonts w:hint="eastAsia" w:ascii="仿宋" w:hAnsi="仿宋" w:eastAsia="仿宋" w:cs="仿宋"/>
                <w:b/>
                <w:bCs/>
                <w:sz w:val="24"/>
                <w:highlight w:val="none"/>
              </w:rPr>
            </w:pPr>
            <w:r>
              <w:rPr>
                <w:rFonts w:hint="eastAsia" w:ascii="仿宋" w:hAnsi="仿宋" w:eastAsia="仿宋" w:cs="仿宋"/>
                <w:b/>
                <w:bCs/>
                <w:sz w:val="24"/>
                <w:highlight w:val="none"/>
              </w:rPr>
              <w:t>资格审查结果</w:t>
            </w:r>
          </w:p>
        </w:tc>
        <w:tc>
          <w:tcPr>
            <w:tcW w:w="666" w:type="dxa"/>
            <w:noWrap w:val="0"/>
            <w:vAlign w:val="center"/>
          </w:tcPr>
          <w:p w14:paraId="72D5F041">
            <w:pPr>
              <w:spacing w:line="320" w:lineRule="exact"/>
              <w:jc w:val="center"/>
              <w:rPr>
                <w:rFonts w:hint="eastAsia" w:ascii="仿宋" w:hAnsi="仿宋" w:eastAsia="仿宋" w:cs="仿宋"/>
                <w:sz w:val="24"/>
                <w:highlight w:val="none"/>
              </w:rPr>
            </w:pPr>
          </w:p>
        </w:tc>
        <w:tc>
          <w:tcPr>
            <w:tcW w:w="666" w:type="dxa"/>
            <w:noWrap w:val="0"/>
            <w:vAlign w:val="top"/>
          </w:tcPr>
          <w:p w14:paraId="38CDEF13">
            <w:pPr>
              <w:spacing w:line="320" w:lineRule="exact"/>
              <w:jc w:val="center"/>
              <w:rPr>
                <w:rFonts w:hint="eastAsia" w:ascii="仿宋" w:hAnsi="仿宋" w:eastAsia="仿宋" w:cs="仿宋"/>
                <w:sz w:val="24"/>
                <w:highlight w:val="none"/>
              </w:rPr>
            </w:pPr>
          </w:p>
        </w:tc>
        <w:tc>
          <w:tcPr>
            <w:tcW w:w="667" w:type="dxa"/>
            <w:noWrap w:val="0"/>
            <w:vAlign w:val="top"/>
          </w:tcPr>
          <w:p w14:paraId="1DB8360B">
            <w:pPr>
              <w:spacing w:line="320" w:lineRule="exact"/>
              <w:jc w:val="center"/>
              <w:rPr>
                <w:rFonts w:hint="eastAsia" w:ascii="仿宋" w:hAnsi="仿宋" w:eastAsia="仿宋" w:cs="仿宋"/>
                <w:sz w:val="24"/>
                <w:highlight w:val="none"/>
              </w:rPr>
            </w:pPr>
          </w:p>
        </w:tc>
      </w:tr>
      <w:tr w14:paraId="01586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7372" w:type="dxa"/>
            <w:gridSpan w:val="3"/>
            <w:noWrap w:val="0"/>
            <w:vAlign w:val="center"/>
          </w:tcPr>
          <w:p w14:paraId="1C451D3D">
            <w:pPr>
              <w:spacing w:line="320" w:lineRule="exact"/>
              <w:jc w:val="center"/>
              <w:rPr>
                <w:rFonts w:hint="eastAsia" w:ascii="仿宋" w:hAnsi="仿宋" w:eastAsia="仿宋" w:cs="仿宋"/>
                <w:b/>
                <w:bCs/>
                <w:sz w:val="24"/>
                <w:highlight w:val="none"/>
              </w:rPr>
            </w:pPr>
            <w:r>
              <w:rPr>
                <w:rFonts w:hint="eastAsia" w:ascii="仿宋" w:hAnsi="仿宋" w:eastAsia="仿宋" w:cs="仿宋"/>
                <w:b/>
                <w:bCs/>
                <w:sz w:val="24"/>
                <w:highlight w:val="none"/>
              </w:rPr>
              <w:t>不通过理由说明</w:t>
            </w:r>
          </w:p>
        </w:tc>
        <w:tc>
          <w:tcPr>
            <w:tcW w:w="666" w:type="dxa"/>
            <w:noWrap w:val="0"/>
            <w:vAlign w:val="center"/>
          </w:tcPr>
          <w:p w14:paraId="676BDA36">
            <w:pPr>
              <w:spacing w:line="320" w:lineRule="exact"/>
              <w:jc w:val="center"/>
              <w:rPr>
                <w:rFonts w:hint="eastAsia" w:ascii="仿宋" w:hAnsi="仿宋" w:eastAsia="仿宋" w:cs="仿宋"/>
                <w:sz w:val="24"/>
                <w:highlight w:val="none"/>
              </w:rPr>
            </w:pPr>
          </w:p>
        </w:tc>
        <w:tc>
          <w:tcPr>
            <w:tcW w:w="666" w:type="dxa"/>
            <w:noWrap w:val="0"/>
            <w:vAlign w:val="top"/>
          </w:tcPr>
          <w:p w14:paraId="26A630C1">
            <w:pPr>
              <w:spacing w:line="320" w:lineRule="exact"/>
              <w:jc w:val="center"/>
              <w:rPr>
                <w:rFonts w:hint="eastAsia" w:ascii="仿宋" w:hAnsi="仿宋" w:eastAsia="仿宋" w:cs="仿宋"/>
                <w:sz w:val="24"/>
                <w:highlight w:val="none"/>
              </w:rPr>
            </w:pPr>
          </w:p>
        </w:tc>
        <w:tc>
          <w:tcPr>
            <w:tcW w:w="667" w:type="dxa"/>
            <w:noWrap w:val="0"/>
            <w:vAlign w:val="top"/>
          </w:tcPr>
          <w:p w14:paraId="6F085352">
            <w:pPr>
              <w:spacing w:line="320" w:lineRule="exact"/>
              <w:jc w:val="center"/>
              <w:rPr>
                <w:rFonts w:hint="eastAsia" w:ascii="仿宋" w:hAnsi="仿宋" w:eastAsia="仿宋" w:cs="仿宋"/>
                <w:sz w:val="24"/>
                <w:highlight w:val="none"/>
              </w:rPr>
            </w:pPr>
          </w:p>
        </w:tc>
      </w:tr>
    </w:tbl>
    <w:p w14:paraId="59BBEE71">
      <w:pPr>
        <w:rPr>
          <w:rFonts w:hint="eastAsia" w:ascii="仿宋" w:hAnsi="仿宋" w:eastAsia="仿宋" w:cs="仿宋"/>
          <w:sz w:val="24"/>
          <w:highlight w:val="none"/>
        </w:rPr>
      </w:pPr>
      <w:r>
        <w:rPr>
          <w:rFonts w:hint="eastAsia" w:ascii="仿宋" w:hAnsi="仿宋" w:eastAsia="仿宋" w:cs="仿宋"/>
          <w:sz w:val="24"/>
          <w:highlight w:val="none"/>
        </w:rPr>
        <w:t>1.资格审查合格的打“√”，不合格的打“×”。</w:t>
      </w:r>
    </w:p>
    <w:p w14:paraId="267C864C">
      <w:pPr>
        <w:rPr>
          <w:rFonts w:hint="eastAsia" w:ascii="仿宋" w:hAnsi="仿宋" w:eastAsia="仿宋" w:cs="仿宋"/>
          <w:sz w:val="24"/>
          <w:highlight w:val="none"/>
        </w:rPr>
      </w:pPr>
      <w:r>
        <w:rPr>
          <w:rFonts w:hint="eastAsia" w:ascii="仿宋" w:hAnsi="仿宋" w:eastAsia="仿宋" w:cs="仿宋"/>
          <w:sz w:val="24"/>
          <w:highlight w:val="none"/>
        </w:rPr>
        <w:t>2.资格审查结果，通过打“√”，不通过的打“×”。</w:t>
      </w:r>
    </w:p>
    <w:p w14:paraId="46C3913B">
      <w:pPr>
        <w:rPr>
          <w:rFonts w:hint="eastAsia" w:ascii="仿宋" w:hAnsi="仿宋" w:eastAsia="仿宋" w:cs="仿宋"/>
          <w:sz w:val="24"/>
          <w:highlight w:val="none"/>
        </w:rPr>
      </w:pPr>
      <w:r>
        <w:rPr>
          <w:rFonts w:hint="eastAsia" w:ascii="仿宋" w:hAnsi="仿宋" w:eastAsia="仿宋" w:cs="仿宋"/>
          <w:sz w:val="24"/>
          <w:highlight w:val="none"/>
        </w:rPr>
        <w:t>3.请填写不通过资格审查的供应商的原因。</w:t>
      </w:r>
    </w:p>
    <w:p w14:paraId="2B9E5550">
      <w:pPr>
        <w:rPr>
          <w:rFonts w:hint="eastAsia" w:ascii="仿宋" w:hAnsi="仿宋" w:eastAsia="仿宋" w:cs="仿宋"/>
          <w:sz w:val="24"/>
          <w:highlight w:val="none"/>
        </w:rPr>
      </w:pPr>
      <w:r>
        <w:rPr>
          <w:rFonts w:hint="eastAsia" w:ascii="仿宋" w:hAnsi="仿宋" w:eastAsia="仿宋" w:cs="仿宋"/>
          <w:sz w:val="24"/>
          <w:highlight w:val="none"/>
        </w:rPr>
        <w:t>17.2　已经进行资格预审的，可以不再对供应商资格进行审查，资格预审合格的供应商在评审阶段资格发生变化的，应当通知采购人和采购代理机构。</w:t>
      </w:r>
    </w:p>
    <w:p w14:paraId="2FFAFBDE">
      <w:pPr>
        <w:rPr>
          <w:rFonts w:hint="eastAsia"/>
          <w:highlight w:val="none"/>
        </w:rPr>
      </w:pPr>
    </w:p>
    <w:p w14:paraId="6E9801CE">
      <w:pPr>
        <w:spacing w:line="440" w:lineRule="exact"/>
        <w:ind w:firstLine="3486" w:firstLineChars="1240"/>
        <w:outlineLvl w:val="1"/>
        <w:rPr>
          <w:rFonts w:hint="eastAsia" w:ascii="仿宋" w:hAnsi="仿宋" w:eastAsia="仿宋" w:cs="仿宋"/>
          <w:b/>
          <w:sz w:val="28"/>
          <w:szCs w:val="22"/>
          <w:highlight w:val="none"/>
        </w:rPr>
      </w:pPr>
      <w:r>
        <w:rPr>
          <w:rFonts w:hint="eastAsia" w:ascii="仿宋" w:hAnsi="仿宋" w:eastAsia="仿宋" w:cs="仿宋"/>
          <w:b/>
          <w:sz w:val="28"/>
          <w:szCs w:val="22"/>
          <w:highlight w:val="none"/>
        </w:rPr>
        <w:t>第六章 评　标</w:t>
      </w:r>
      <w:bookmarkEnd w:id="47"/>
    </w:p>
    <w:p w14:paraId="431142AB">
      <w:pPr>
        <w:spacing w:line="440" w:lineRule="exact"/>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18、评标依据</w:t>
      </w:r>
    </w:p>
    <w:p w14:paraId="5DDDFFA9">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18.1　评标的依据为招标文件。</w:t>
      </w:r>
    </w:p>
    <w:p w14:paraId="2FBF6308">
      <w:pPr>
        <w:spacing w:line="440" w:lineRule="exact"/>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19、投标文件的澄清</w:t>
      </w:r>
    </w:p>
    <w:p w14:paraId="4D7E2AE3">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19.1　为有助于对投标文件进行审查、评估，评标委员会将对认为需要（不是每一个）的投标人进行询标，请投标人澄清其投标内容。投标人有责任按照招标方通知的时间、地点指派专人进行答疑和澄清。询标时投标人代表根据评标委员会要求作书面记录，并对答疑和澄清的内容做出书面答复。</w:t>
      </w:r>
    </w:p>
    <w:p w14:paraId="4B9A9594">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19.2　答疑和澄清的内容应是书面的，但不得对投标的价格、技术指标和参数等内容进行实质性修改。澄清文件须由投标人法定代表人或其授权代表签字或加盖投标人公章，并作为投标文件的组成部分。</w:t>
      </w:r>
    </w:p>
    <w:p w14:paraId="66279C3F">
      <w:pPr>
        <w:spacing w:line="440" w:lineRule="exact"/>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20、评标过程的保密</w:t>
      </w:r>
    </w:p>
    <w:p w14:paraId="01FE4FF4">
      <w:pPr>
        <w:spacing w:line="440" w:lineRule="exact"/>
        <w:ind w:firstLine="480" w:firstLineChars="200"/>
        <w:rPr>
          <w:rFonts w:hint="eastAsia" w:ascii="仿宋" w:hAnsi="仿宋" w:eastAsia="仿宋" w:cs="仿宋"/>
          <w:spacing w:val="-2"/>
          <w:sz w:val="24"/>
          <w:highlight w:val="none"/>
        </w:rPr>
      </w:pPr>
      <w:r>
        <w:rPr>
          <w:rFonts w:hint="eastAsia" w:ascii="仿宋" w:hAnsi="仿宋" w:eastAsia="仿宋" w:cs="仿宋"/>
          <w:sz w:val="24"/>
          <w:highlight w:val="none"/>
        </w:rPr>
        <w:t xml:space="preserve">20.1  </w:t>
      </w:r>
      <w:r>
        <w:rPr>
          <w:rFonts w:hint="eastAsia" w:ascii="仿宋" w:hAnsi="仿宋" w:eastAsia="仿宋" w:cs="仿宋"/>
          <w:spacing w:val="-2"/>
          <w:sz w:val="24"/>
          <w:highlight w:val="none"/>
        </w:rPr>
        <w:t>开标后，凡是属于审查、澄清、评价的有关资料以及授标建议等，评标委员会成员或参与评标的有关工作人员均不得向投标人或其他无关的人员透露，违者给予警告、取消担任评标委员会成员的资格，不得再参加任何投标项目的评标。</w:t>
      </w:r>
    </w:p>
    <w:p w14:paraId="4D18AF6D">
      <w:pPr>
        <w:spacing w:line="440" w:lineRule="exact"/>
        <w:ind w:firstLine="480" w:firstLineChars="200"/>
        <w:rPr>
          <w:rFonts w:hint="eastAsia" w:ascii="仿宋" w:hAnsi="仿宋" w:eastAsia="仿宋" w:cs="仿宋"/>
          <w:spacing w:val="-2"/>
          <w:sz w:val="24"/>
          <w:highlight w:val="none"/>
        </w:rPr>
      </w:pPr>
      <w:r>
        <w:rPr>
          <w:rFonts w:hint="eastAsia" w:ascii="仿宋" w:hAnsi="仿宋" w:eastAsia="仿宋" w:cs="仿宋"/>
          <w:sz w:val="24"/>
          <w:highlight w:val="none"/>
        </w:rPr>
        <w:t xml:space="preserve">20.2 </w:t>
      </w:r>
      <w:r>
        <w:rPr>
          <w:rFonts w:hint="eastAsia" w:ascii="仿宋" w:hAnsi="仿宋" w:eastAsia="仿宋" w:cs="仿宋"/>
          <w:spacing w:val="-2"/>
          <w:sz w:val="24"/>
          <w:highlight w:val="none"/>
        </w:rPr>
        <w:t>投标人在评标过程中，所进行的试图影响评标结果的不符合《中华人民共和国政府采购法》</w:t>
      </w:r>
      <w:r>
        <w:rPr>
          <w:rFonts w:hint="eastAsia" w:ascii="仿宋" w:hAnsi="仿宋" w:eastAsia="仿宋" w:cs="仿宋"/>
          <w:sz w:val="24"/>
          <w:highlight w:val="none"/>
        </w:rPr>
        <w:t>和相关法律法规</w:t>
      </w:r>
      <w:r>
        <w:rPr>
          <w:rFonts w:hint="eastAsia" w:ascii="仿宋" w:hAnsi="仿宋" w:eastAsia="仿宋" w:cs="仿宋"/>
          <w:spacing w:val="-2"/>
          <w:sz w:val="24"/>
          <w:highlight w:val="none"/>
        </w:rPr>
        <w:t>及本次招标有关规定的活动，将被取消中标资格。</w:t>
      </w:r>
    </w:p>
    <w:p w14:paraId="4840F053">
      <w:pPr>
        <w:spacing w:line="440" w:lineRule="exact"/>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21、初步评审</w:t>
      </w:r>
    </w:p>
    <w:p w14:paraId="5548E85D">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21.1  评标委员会可以以书面方式要求投标人对投标文件中含义不明确、对同类问题表述不一致或者有明显文字和计算错误的内容作必要的澄清、说明或补正。澄清、说明或补正应以书面方式进行,且不得超出投标文件的范围或者改变投标文件的实质性内容。</w:t>
      </w:r>
    </w:p>
    <w:p w14:paraId="63A38136">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21.2　招标方不接受不符合国家有关部门相关规定的投标报价或优惠方案。</w:t>
      </w:r>
    </w:p>
    <w:p w14:paraId="5B06FC4D">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21.3　在评标过程中，评标委员会发现投标人以他人名义投标、串通投标、以行贿手段谋取中标或者以其他弄虚作假方式投标的，该投标人的投标应作无效标处理。</w:t>
      </w:r>
    </w:p>
    <w:p w14:paraId="57E82847">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21.4  投标人拒不按照要求对投标文件进行澄清、说明或补正的，评标委员会可以否决其投标。</w:t>
      </w:r>
    </w:p>
    <w:p w14:paraId="2B8CCAFF">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21.5  评标委员会应当审查每一投标文件是否对招标文件提出的所有实质性要求和条件做出满足。未能在实质上满足的投标，应作无效标处理。</w:t>
      </w:r>
    </w:p>
    <w:p w14:paraId="5BA5F2CF">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21.6　投标人不得误导、干扰招标方的评标活动，否则将废除其投标。</w:t>
      </w:r>
    </w:p>
    <w:p w14:paraId="7E338F2E">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21.7  对投标文件满足招标文件条款的审查：</w:t>
      </w:r>
    </w:p>
    <w:p w14:paraId="50813EBF">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（1）开标后，评标委员会将组织对投标文件进行审查，检查投标文件是否完整，是否出现计算性错误，投标文件正本是否满足招标文件的格式要求；</w:t>
      </w:r>
    </w:p>
    <w:p w14:paraId="5B309EE7">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2）评标委员会将确定每一投标人是否对招标文件的要求做出了实质性满足。实质性满足的投标是指符合招标文件的所有条款、条件和规定且没有重大偏离的投标。重大偏离是指影响到招标文件规定的服务范围和质量，或限制了招标人的权力和投标人义务的规定，而纠正这些偏离将影响到其他提交实质性满足的投标人的公平竞争地位；</w:t>
      </w:r>
    </w:p>
    <w:p w14:paraId="6011EFEE">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（3）评标委员会判断投标文件的满足性仅基于投标文件本身而不靠外部证据；</w:t>
      </w:r>
    </w:p>
    <w:p w14:paraId="3125D1BA">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（4）评标委员会将拒绝被确定为非实质性满足的投标。投标人不能通过修正或撤消不符合之处而使其投标成为实质性满足的投标。</w:t>
      </w:r>
    </w:p>
    <w:p w14:paraId="14FDF38A">
      <w:pPr>
        <w:jc w:val="center"/>
        <w:rPr>
          <w:rFonts w:hint="eastAsia" w:ascii="仿宋" w:hAnsi="仿宋" w:eastAsia="仿宋" w:cs="仿宋"/>
          <w:b/>
          <w:bCs/>
          <w:spacing w:val="-2"/>
          <w:sz w:val="24"/>
          <w:highlight w:val="none"/>
        </w:rPr>
      </w:pPr>
      <w:r>
        <w:rPr>
          <w:rFonts w:hint="eastAsia" w:ascii="仿宋" w:hAnsi="仿宋" w:eastAsia="仿宋" w:cs="仿宋"/>
          <w:b/>
          <w:bCs/>
          <w:spacing w:val="-2"/>
          <w:sz w:val="24"/>
          <w:highlight w:val="none"/>
        </w:rPr>
        <w:t>符合性审查</w:t>
      </w:r>
    </w:p>
    <w:tbl>
      <w:tblPr>
        <w:tblStyle w:val="41"/>
        <w:tblW w:w="9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6540"/>
        <w:gridCol w:w="663"/>
        <w:gridCol w:w="663"/>
        <w:gridCol w:w="663"/>
        <w:gridCol w:w="668"/>
      </w:tblGrid>
      <w:tr w14:paraId="3B968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exact"/>
          <w:jc w:val="center"/>
        </w:trPr>
        <w:tc>
          <w:tcPr>
            <w:tcW w:w="7182" w:type="dxa"/>
            <w:gridSpan w:val="2"/>
            <w:vMerge w:val="restart"/>
            <w:noWrap w:val="0"/>
            <w:vAlign w:val="center"/>
          </w:tcPr>
          <w:p w14:paraId="03C3B41B">
            <w:pPr>
              <w:jc w:val="center"/>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rPr>
              <w:t>评审内容</w:t>
            </w:r>
          </w:p>
        </w:tc>
        <w:tc>
          <w:tcPr>
            <w:tcW w:w="2657" w:type="dxa"/>
            <w:gridSpan w:val="4"/>
            <w:noWrap w:val="0"/>
            <w:vAlign w:val="center"/>
          </w:tcPr>
          <w:p w14:paraId="033FBDB8">
            <w:pPr>
              <w:jc w:val="center"/>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rPr>
              <w:t>投标企业名称</w:t>
            </w:r>
          </w:p>
        </w:tc>
      </w:tr>
      <w:tr w14:paraId="70659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exact"/>
          <w:jc w:val="center"/>
        </w:trPr>
        <w:tc>
          <w:tcPr>
            <w:tcW w:w="7182" w:type="dxa"/>
            <w:gridSpan w:val="2"/>
            <w:vMerge w:val="continue"/>
            <w:noWrap w:val="0"/>
            <w:vAlign w:val="center"/>
          </w:tcPr>
          <w:p w14:paraId="07FC3560">
            <w:pPr>
              <w:jc w:val="center"/>
              <w:rPr>
                <w:rFonts w:hint="eastAsia" w:ascii="仿宋_GB2312" w:hAnsi="仿宋_GB2312" w:eastAsia="仿宋_GB2312" w:cs="仿宋_GB2312"/>
                <w:b/>
                <w:sz w:val="24"/>
                <w:highlight w:val="none"/>
              </w:rPr>
            </w:pPr>
          </w:p>
        </w:tc>
        <w:tc>
          <w:tcPr>
            <w:tcW w:w="663" w:type="dxa"/>
            <w:noWrap w:val="0"/>
            <w:vAlign w:val="center"/>
          </w:tcPr>
          <w:p w14:paraId="6628138D">
            <w:pPr>
              <w:jc w:val="center"/>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rPr>
              <w:t>1</w:t>
            </w:r>
          </w:p>
        </w:tc>
        <w:tc>
          <w:tcPr>
            <w:tcW w:w="663" w:type="dxa"/>
            <w:noWrap w:val="0"/>
            <w:vAlign w:val="center"/>
          </w:tcPr>
          <w:p w14:paraId="63D5177E">
            <w:pPr>
              <w:jc w:val="center"/>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rPr>
              <w:t>2</w:t>
            </w:r>
          </w:p>
        </w:tc>
        <w:tc>
          <w:tcPr>
            <w:tcW w:w="663" w:type="dxa"/>
            <w:noWrap w:val="0"/>
            <w:vAlign w:val="center"/>
          </w:tcPr>
          <w:p w14:paraId="250DDA0A">
            <w:pPr>
              <w:jc w:val="center"/>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rPr>
              <w:t>3</w:t>
            </w:r>
          </w:p>
        </w:tc>
        <w:tc>
          <w:tcPr>
            <w:tcW w:w="668" w:type="dxa"/>
            <w:noWrap w:val="0"/>
            <w:vAlign w:val="center"/>
          </w:tcPr>
          <w:p w14:paraId="2D674134">
            <w:pPr>
              <w:jc w:val="center"/>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rPr>
              <w:t>…</w:t>
            </w:r>
          </w:p>
        </w:tc>
      </w:tr>
      <w:tr w14:paraId="5764A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42" w:type="dxa"/>
            <w:noWrap w:val="0"/>
            <w:vAlign w:val="center"/>
          </w:tcPr>
          <w:p w14:paraId="620459FC">
            <w:pPr>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w:t>
            </w:r>
          </w:p>
        </w:tc>
        <w:tc>
          <w:tcPr>
            <w:tcW w:w="6540" w:type="dxa"/>
            <w:noWrap w:val="0"/>
            <w:vAlign w:val="center"/>
          </w:tcPr>
          <w:p w14:paraId="09C72C12">
            <w:pPr>
              <w:widowControl/>
              <w:jc w:val="left"/>
              <w:textAlignment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提供资格声明函；</w:t>
            </w:r>
          </w:p>
        </w:tc>
        <w:tc>
          <w:tcPr>
            <w:tcW w:w="663" w:type="dxa"/>
            <w:noWrap w:val="0"/>
            <w:vAlign w:val="center"/>
          </w:tcPr>
          <w:p w14:paraId="4F2E0A30">
            <w:pPr>
              <w:rPr>
                <w:rFonts w:hint="eastAsia" w:ascii="仿宋_GB2312" w:hAnsi="仿宋_GB2312" w:eastAsia="仿宋_GB2312" w:cs="仿宋_GB2312"/>
                <w:sz w:val="24"/>
                <w:highlight w:val="none"/>
              </w:rPr>
            </w:pPr>
          </w:p>
        </w:tc>
        <w:tc>
          <w:tcPr>
            <w:tcW w:w="663" w:type="dxa"/>
            <w:noWrap w:val="0"/>
            <w:vAlign w:val="center"/>
          </w:tcPr>
          <w:p w14:paraId="46E2F7C8">
            <w:pPr>
              <w:rPr>
                <w:rFonts w:hint="eastAsia" w:ascii="仿宋_GB2312" w:hAnsi="仿宋_GB2312" w:eastAsia="仿宋_GB2312" w:cs="仿宋_GB2312"/>
                <w:sz w:val="24"/>
                <w:highlight w:val="none"/>
              </w:rPr>
            </w:pPr>
          </w:p>
        </w:tc>
        <w:tc>
          <w:tcPr>
            <w:tcW w:w="663" w:type="dxa"/>
            <w:noWrap w:val="0"/>
            <w:vAlign w:val="center"/>
          </w:tcPr>
          <w:p w14:paraId="5C48DEBE">
            <w:pPr>
              <w:rPr>
                <w:rFonts w:hint="eastAsia" w:ascii="仿宋_GB2312" w:hAnsi="仿宋_GB2312" w:eastAsia="仿宋_GB2312" w:cs="仿宋_GB2312"/>
                <w:sz w:val="24"/>
                <w:highlight w:val="none"/>
              </w:rPr>
            </w:pPr>
          </w:p>
        </w:tc>
        <w:tc>
          <w:tcPr>
            <w:tcW w:w="668" w:type="dxa"/>
            <w:noWrap w:val="0"/>
            <w:vAlign w:val="center"/>
          </w:tcPr>
          <w:p w14:paraId="46F81364">
            <w:pPr>
              <w:jc w:val="center"/>
              <w:rPr>
                <w:rFonts w:hint="eastAsia" w:ascii="仿宋_GB2312" w:hAnsi="仿宋_GB2312" w:eastAsia="仿宋_GB2312" w:cs="仿宋_GB2312"/>
                <w:sz w:val="24"/>
                <w:highlight w:val="none"/>
              </w:rPr>
            </w:pPr>
          </w:p>
        </w:tc>
      </w:tr>
      <w:tr w14:paraId="379D7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642" w:type="dxa"/>
            <w:noWrap w:val="0"/>
            <w:vAlign w:val="center"/>
          </w:tcPr>
          <w:p w14:paraId="49090D40">
            <w:pPr>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2</w:t>
            </w:r>
          </w:p>
        </w:tc>
        <w:tc>
          <w:tcPr>
            <w:tcW w:w="6540" w:type="dxa"/>
            <w:noWrap w:val="0"/>
            <w:vAlign w:val="center"/>
          </w:tcPr>
          <w:p w14:paraId="3B71DB25">
            <w:pPr>
              <w:widowControl/>
              <w:jc w:val="left"/>
              <w:textAlignment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投标函有单位盖章及法定代表人或法定代表人授权的代理人签字或盖章的；</w:t>
            </w:r>
          </w:p>
        </w:tc>
        <w:tc>
          <w:tcPr>
            <w:tcW w:w="663" w:type="dxa"/>
            <w:noWrap w:val="0"/>
            <w:vAlign w:val="center"/>
          </w:tcPr>
          <w:p w14:paraId="2909C5DD">
            <w:pPr>
              <w:rPr>
                <w:rFonts w:hint="eastAsia" w:ascii="仿宋_GB2312" w:hAnsi="仿宋_GB2312" w:eastAsia="仿宋_GB2312" w:cs="仿宋_GB2312"/>
                <w:sz w:val="24"/>
                <w:highlight w:val="none"/>
              </w:rPr>
            </w:pPr>
          </w:p>
        </w:tc>
        <w:tc>
          <w:tcPr>
            <w:tcW w:w="663" w:type="dxa"/>
            <w:noWrap w:val="0"/>
            <w:vAlign w:val="center"/>
          </w:tcPr>
          <w:p w14:paraId="37EDFDD3">
            <w:pPr>
              <w:rPr>
                <w:rFonts w:hint="eastAsia" w:ascii="仿宋_GB2312" w:hAnsi="仿宋_GB2312" w:eastAsia="仿宋_GB2312" w:cs="仿宋_GB2312"/>
                <w:sz w:val="24"/>
                <w:highlight w:val="none"/>
              </w:rPr>
            </w:pPr>
          </w:p>
        </w:tc>
        <w:tc>
          <w:tcPr>
            <w:tcW w:w="663" w:type="dxa"/>
            <w:noWrap w:val="0"/>
            <w:vAlign w:val="center"/>
          </w:tcPr>
          <w:p w14:paraId="71BEFFB5">
            <w:pPr>
              <w:rPr>
                <w:rFonts w:hint="eastAsia" w:ascii="仿宋_GB2312" w:hAnsi="仿宋_GB2312" w:eastAsia="仿宋_GB2312" w:cs="仿宋_GB2312"/>
                <w:sz w:val="24"/>
                <w:highlight w:val="none"/>
              </w:rPr>
            </w:pPr>
          </w:p>
        </w:tc>
        <w:tc>
          <w:tcPr>
            <w:tcW w:w="668" w:type="dxa"/>
            <w:noWrap w:val="0"/>
            <w:vAlign w:val="center"/>
          </w:tcPr>
          <w:p w14:paraId="603F5C90">
            <w:pPr>
              <w:jc w:val="center"/>
              <w:rPr>
                <w:rFonts w:hint="eastAsia" w:ascii="仿宋_GB2312" w:hAnsi="仿宋_GB2312" w:eastAsia="仿宋_GB2312" w:cs="仿宋_GB2312"/>
                <w:sz w:val="24"/>
                <w:highlight w:val="none"/>
              </w:rPr>
            </w:pPr>
          </w:p>
        </w:tc>
      </w:tr>
      <w:tr w14:paraId="10E0F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42" w:type="dxa"/>
            <w:noWrap w:val="0"/>
            <w:vAlign w:val="center"/>
          </w:tcPr>
          <w:p w14:paraId="0354C9F7">
            <w:pPr>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3</w:t>
            </w:r>
          </w:p>
        </w:tc>
        <w:tc>
          <w:tcPr>
            <w:tcW w:w="6540" w:type="dxa"/>
            <w:noWrap w:val="0"/>
            <w:vAlign w:val="center"/>
          </w:tcPr>
          <w:p w14:paraId="24BFE6D5">
            <w:pPr>
              <w:widowControl/>
              <w:jc w:val="left"/>
              <w:textAlignment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按规定时间和形式提交投标文件</w:t>
            </w:r>
          </w:p>
        </w:tc>
        <w:tc>
          <w:tcPr>
            <w:tcW w:w="663" w:type="dxa"/>
            <w:noWrap w:val="0"/>
            <w:vAlign w:val="center"/>
          </w:tcPr>
          <w:p w14:paraId="3DB62F88">
            <w:pPr>
              <w:rPr>
                <w:rFonts w:hint="eastAsia" w:ascii="仿宋_GB2312" w:hAnsi="仿宋_GB2312" w:eastAsia="仿宋_GB2312" w:cs="仿宋_GB2312"/>
                <w:sz w:val="24"/>
                <w:highlight w:val="none"/>
              </w:rPr>
            </w:pPr>
          </w:p>
        </w:tc>
        <w:tc>
          <w:tcPr>
            <w:tcW w:w="663" w:type="dxa"/>
            <w:noWrap w:val="0"/>
            <w:vAlign w:val="center"/>
          </w:tcPr>
          <w:p w14:paraId="287DD5C0">
            <w:pPr>
              <w:rPr>
                <w:rFonts w:hint="eastAsia" w:ascii="仿宋_GB2312" w:hAnsi="仿宋_GB2312" w:eastAsia="仿宋_GB2312" w:cs="仿宋_GB2312"/>
                <w:sz w:val="24"/>
                <w:highlight w:val="none"/>
              </w:rPr>
            </w:pPr>
          </w:p>
        </w:tc>
        <w:tc>
          <w:tcPr>
            <w:tcW w:w="663" w:type="dxa"/>
            <w:noWrap w:val="0"/>
            <w:vAlign w:val="center"/>
          </w:tcPr>
          <w:p w14:paraId="400D18DE">
            <w:pPr>
              <w:rPr>
                <w:rFonts w:hint="eastAsia" w:ascii="仿宋_GB2312" w:hAnsi="仿宋_GB2312" w:eastAsia="仿宋_GB2312" w:cs="仿宋_GB2312"/>
                <w:sz w:val="24"/>
                <w:highlight w:val="none"/>
              </w:rPr>
            </w:pPr>
          </w:p>
        </w:tc>
        <w:tc>
          <w:tcPr>
            <w:tcW w:w="668" w:type="dxa"/>
            <w:noWrap w:val="0"/>
            <w:vAlign w:val="center"/>
          </w:tcPr>
          <w:p w14:paraId="230F0FDA">
            <w:pPr>
              <w:jc w:val="center"/>
              <w:rPr>
                <w:rFonts w:hint="eastAsia" w:ascii="仿宋_GB2312" w:hAnsi="仿宋_GB2312" w:eastAsia="仿宋_GB2312" w:cs="仿宋_GB2312"/>
                <w:sz w:val="24"/>
                <w:highlight w:val="none"/>
              </w:rPr>
            </w:pPr>
          </w:p>
        </w:tc>
      </w:tr>
      <w:tr w14:paraId="62878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642" w:type="dxa"/>
            <w:noWrap w:val="0"/>
            <w:vAlign w:val="center"/>
          </w:tcPr>
          <w:p w14:paraId="6420E64E">
            <w:pPr>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4</w:t>
            </w:r>
          </w:p>
        </w:tc>
        <w:tc>
          <w:tcPr>
            <w:tcW w:w="6540" w:type="dxa"/>
            <w:noWrap w:val="0"/>
            <w:vAlign w:val="center"/>
          </w:tcPr>
          <w:p w14:paraId="39A4805D">
            <w:pPr>
              <w:widowControl/>
              <w:jc w:val="left"/>
              <w:textAlignment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按规定的格式填写，无内容不全或关键字迹模糊、无法辨认的；</w:t>
            </w:r>
          </w:p>
        </w:tc>
        <w:tc>
          <w:tcPr>
            <w:tcW w:w="663" w:type="dxa"/>
            <w:noWrap w:val="0"/>
            <w:vAlign w:val="center"/>
          </w:tcPr>
          <w:p w14:paraId="2BD9B35D">
            <w:pPr>
              <w:rPr>
                <w:rFonts w:hint="eastAsia" w:ascii="仿宋_GB2312" w:hAnsi="仿宋_GB2312" w:eastAsia="仿宋_GB2312" w:cs="仿宋_GB2312"/>
                <w:sz w:val="24"/>
                <w:highlight w:val="none"/>
              </w:rPr>
            </w:pPr>
          </w:p>
        </w:tc>
        <w:tc>
          <w:tcPr>
            <w:tcW w:w="663" w:type="dxa"/>
            <w:noWrap w:val="0"/>
            <w:vAlign w:val="center"/>
          </w:tcPr>
          <w:p w14:paraId="72CA4953">
            <w:pPr>
              <w:rPr>
                <w:rFonts w:hint="eastAsia" w:ascii="仿宋_GB2312" w:hAnsi="仿宋_GB2312" w:eastAsia="仿宋_GB2312" w:cs="仿宋_GB2312"/>
                <w:sz w:val="24"/>
                <w:highlight w:val="none"/>
              </w:rPr>
            </w:pPr>
          </w:p>
        </w:tc>
        <w:tc>
          <w:tcPr>
            <w:tcW w:w="663" w:type="dxa"/>
            <w:noWrap w:val="0"/>
            <w:vAlign w:val="center"/>
          </w:tcPr>
          <w:p w14:paraId="024F3ECE">
            <w:pPr>
              <w:rPr>
                <w:rFonts w:hint="eastAsia" w:ascii="仿宋_GB2312" w:hAnsi="仿宋_GB2312" w:eastAsia="仿宋_GB2312" w:cs="仿宋_GB2312"/>
                <w:sz w:val="24"/>
                <w:highlight w:val="none"/>
              </w:rPr>
            </w:pPr>
          </w:p>
        </w:tc>
        <w:tc>
          <w:tcPr>
            <w:tcW w:w="668" w:type="dxa"/>
            <w:noWrap w:val="0"/>
            <w:vAlign w:val="center"/>
          </w:tcPr>
          <w:p w14:paraId="79D00F50">
            <w:pPr>
              <w:jc w:val="center"/>
              <w:rPr>
                <w:rFonts w:hint="eastAsia" w:ascii="仿宋_GB2312" w:hAnsi="仿宋_GB2312" w:eastAsia="仿宋_GB2312" w:cs="仿宋_GB2312"/>
                <w:sz w:val="24"/>
                <w:highlight w:val="none"/>
              </w:rPr>
            </w:pPr>
          </w:p>
        </w:tc>
      </w:tr>
      <w:tr w14:paraId="40DFE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42" w:type="dxa"/>
            <w:noWrap w:val="0"/>
            <w:vAlign w:val="center"/>
          </w:tcPr>
          <w:p w14:paraId="573693DF">
            <w:pPr>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5</w:t>
            </w:r>
          </w:p>
        </w:tc>
        <w:tc>
          <w:tcPr>
            <w:tcW w:w="6540" w:type="dxa"/>
            <w:noWrap w:val="0"/>
            <w:vAlign w:val="center"/>
          </w:tcPr>
          <w:p w14:paraId="08C6AAA3">
            <w:pPr>
              <w:widowControl/>
              <w:jc w:val="left"/>
              <w:textAlignment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投标文件按照招标文件要求编写、装订；</w:t>
            </w:r>
          </w:p>
        </w:tc>
        <w:tc>
          <w:tcPr>
            <w:tcW w:w="663" w:type="dxa"/>
            <w:noWrap w:val="0"/>
            <w:vAlign w:val="center"/>
          </w:tcPr>
          <w:p w14:paraId="5D678A63">
            <w:pPr>
              <w:rPr>
                <w:rFonts w:hint="eastAsia" w:ascii="仿宋_GB2312" w:hAnsi="仿宋_GB2312" w:eastAsia="仿宋_GB2312" w:cs="仿宋_GB2312"/>
                <w:sz w:val="24"/>
                <w:highlight w:val="none"/>
              </w:rPr>
            </w:pPr>
          </w:p>
        </w:tc>
        <w:tc>
          <w:tcPr>
            <w:tcW w:w="663" w:type="dxa"/>
            <w:noWrap w:val="0"/>
            <w:vAlign w:val="center"/>
          </w:tcPr>
          <w:p w14:paraId="208E4213">
            <w:pPr>
              <w:rPr>
                <w:rFonts w:hint="eastAsia" w:ascii="仿宋_GB2312" w:hAnsi="仿宋_GB2312" w:eastAsia="仿宋_GB2312" w:cs="仿宋_GB2312"/>
                <w:sz w:val="24"/>
                <w:highlight w:val="none"/>
              </w:rPr>
            </w:pPr>
          </w:p>
        </w:tc>
        <w:tc>
          <w:tcPr>
            <w:tcW w:w="663" w:type="dxa"/>
            <w:noWrap w:val="0"/>
            <w:vAlign w:val="center"/>
          </w:tcPr>
          <w:p w14:paraId="7DC5316A">
            <w:pPr>
              <w:rPr>
                <w:rFonts w:hint="eastAsia" w:ascii="仿宋_GB2312" w:hAnsi="仿宋_GB2312" w:eastAsia="仿宋_GB2312" w:cs="仿宋_GB2312"/>
                <w:sz w:val="24"/>
                <w:highlight w:val="none"/>
              </w:rPr>
            </w:pPr>
          </w:p>
        </w:tc>
        <w:tc>
          <w:tcPr>
            <w:tcW w:w="668" w:type="dxa"/>
            <w:noWrap w:val="0"/>
            <w:vAlign w:val="center"/>
          </w:tcPr>
          <w:p w14:paraId="6941566B">
            <w:pPr>
              <w:jc w:val="center"/>
              <w:rPr>
                <w:rFonts w:hint="eastAsia" w:ascii="仿宋_GB2312" w:hAnsi="仿宋_GB2312" w:eastAsia="仿宋_GB2312" w:cs="仿宋_GB2312"/>
                <w:sz w:val="24"/>
                <w:highlight w:val="none"/>
              </w:rPr>
            </w:pPr>
          </w:p>
        </w:tc>
      </w:tr>
      <w:tr w14:paraId="1FCA3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42" w:type="dxa"/>
            <w:noWrap w:val="0"/>
            <w:vAlign w:val="center"/>
          </w:tcPr>
          <w:p w14:paraId="6BD2A5B9">
            <w:pPr>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6</w:t>
            </w:r>
          </w:p>
        </w:tc>
        <w:tc>
          <w:tcPr>
            <w:tcW w:w="6540" w:type="dxa"/>
            <w:noWrap w:val="0"/>
            <w:vAlign w:val="center"/>
          </w:tcPr>
          <w:p w14:paraId="72CF7440">
            <w:pPr>
              <w:widowControl/>
              <w:jc w:val="left"/>
              <w:textAlignment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投标总报价未超过预算金额</w:t>
            </w:r>
            <w:r>
              <w:rPr>
                <w:rFonts w:hint="eastAsia" w:ascii="仿宋_GB2312" w:hAnsi="仿宋_GB2312" w:eastAsia="仿宋_GB2312" w:cs="仿宋_GB2312"/>
                <w:kern w:val="0"/>
                <w:sz w:val="24"/>
                <w:highlight w:val="none"/>
                <w:lang w:eastAsia="zh-CN"/>
              </w:rPr>
              <w:t>及最高限价</w:t>
            </w:r>
            <w:r>
              <w:rPr>
                <w:rFonts w:hint="eastAsia" w:ascii="仿宋_GB2312" w:hAnsi="仿宋_GB2312" w:eastAsia="仿宋_GB2312" w:cs="仿宋_GB2312"/>
                <w:kern w:val="0"/>
                <w:sz w:val="24"/>
                <w:highlight w:val="none"/>
              </w:rPr>
              <w:t>；</w:t>
            </w:r>
          </w:p>
        </w:tc>
        <w:tc>
          <w:tcPr>
            <w:tcW w:w="663" w:type="dxa"/>
            <w:noWrap w:val="0"/>
            <w:vAlign w:val="center"/>
          </w:tcPr>
          <w:p w14:paraId="68619B00">
            <w:pPr>
              <w:rPr>
                <w:rFonts w:hint="eastAsia" w:ascii="仿宋_GB2312" w:hAnsi="仿宋_GB2312" w:eastAsia="仿宋_GB2312" w:cs="仿宋_GB2312"/>
                <w:sz w:val="24"/>
                <w:highlight w:val="none"/>
              </w:rPr>
            </w:pPr>
          </w:p>
        </w:tc>
        <w:tc>
          <w:tcPr>
            <w:tcW w:w="663" w:type="dxa"/>
            <w:noWrap w:val="0"/>
            <w:vAlign w:val="center"/>
          </w:tcPr>
          <w:p w14:paraId="47945FFF">
            <w:pPr>
              <w:rPr>
                <w:rFonts w:hint="eastAsia" w:ascii="仿宋_GB2312" w:hAnsi="仿宋_GB2312" w:eastAsia="仿宋_GB2312" w:cs="仿宋_GB2312"/>
                <w:sz w:val="24"/>
                <w:highlight w:val="none"/>
              </w:rPr>
            </w:pPr>
          </w:p>
        </w:tc>
        <w:tc>
          <w:tcPr>
            <w:tcW w:w="663" w:type="dxa"/>
            <w:noWrap w:val="0"/>
            <w:vAlign w:val="center"/>
          </w:tcPr>
          <w:p w14:paraId="35AEE4B6">
            <w:pPr>
              <w:rPr>
                <w:rFonts w:hint="eastAsia" w:ascii="仿宋_GB2312" w:hAnsi="仿宋_GB2312" w:eastAsia="仿宋_GB2312" w:cs="仿宋_GB2312"/>
                <w:sz w:val="24"/>
                <w:highlight w:val="none"/>
              </w:rPr>
            </w:pPr>
          </w:p>
        </w:tc>
        <w:tc>
          <w:tcPr>
            <w:tcW w:w="668" w:type="dxa"/>
            <w:noWrap w:val="0"/>
            <w:vAlign w:val="center"/>
          </w:tcPr>
          <w:p w14:paraId="359E3E08">
            <w:pPr>
              <w:jc w:val="center"/>
              <w:rPr>
                <w:rFonts w:hint="eastAsia" w:ascii="仿宋_GB2312" w:hAnsi="仿宋_GB2312" w:eastAsia="仿宋_GB2312" w:cs="仿宋_GB2312"/>
                <w:sz w:val="24"/>
                <w:highlight w:val="none"/>
              </w:rPr>
            </w:pPr>
          </w:p>
        </w:tc>
      </w:tr>
      <w:tr w14:paraId="321C6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42" w:type="dxa"/>
            <w:noWrap w:val="0"/>
            <w:vAlign w:val="center"/>
          </w:tcPr>
          <w:p w14:paraId="0689C9BF">
            <w:pPr>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7</w:t>
            </w:r>
          </w:p>
        </w:tc>
        <w:tc>
          <w:tcPr>
            <w:tcW w:w="6540" w:type="dxa"/>
            <w:noWrap w:val="0"/>
            <w:vAlign w:val="center"/>
          </w:tcPr>
          <w:p w14:paraId="0ADE531A">
            <w:pPr>
              <w:widowControl/>
              <w:jc w:val="left"/>
              <w:textAlignment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满足招标文件规定的服务期限；</w:t>
            </w:r>
          </w:p>
        </w:tc>
        <w:tc>
          <w:tcPr>
            <w:tcW w:w="663" w:type="dxa"/>
            <w:noWrap w:val="0"/>
            <w:vAlign w:val="center"/>
          </w:tcPr>
          <w:p w14:paraId="7CE30810">
            <w:pPr>
              <w:rPr>
                <w:rFonts w:hint="eastAsia" w:ascii="仿宋_GB2312" w:hAnsi="仿宋_GB2312" w:eastAsia="仿宋_GB2312" w:cs="仿宋_GB2312"/>
                <w:sz w:val="24"/>
                <w:highlight w:val="none"/>
              </w:rPr>
            </w:pPr>
          </w:p>
        </w:tc>
        <w:tc>
          <w:tcPr>
            <w:tcW w:w="663" w:type="dxa"/>
            <w:noWrap w:val="0"/>
            <w:vAlign w:val="center"/>
          </w:tcPr>
          <w:p w14:paraId="094AB2DE">
            <w:pPr>
              <w:rPr>
                <w:rFonts w:hint="eastAsia" w:ascii="仿宋_GB2312" w:hAnsi="仿宋_GB2312" w:eastAsia="仿宋_GB2312" w:cs="仿宋_GB2312"/>
                <w:sz w:val="24"/>
                <w:highlight w:val="none"/>
              </w:rPr>
            </w:pPr>
          </w:p>
        </w:tc>
        <w:tc>
          <w:tcPr>
            <w:tcW w:w="663" w:type="dxa"/>
            <w:noWrap w:val="0"/>
            <w:vAlign w:val="center"/>
          </w:tcPr>
          <w:p w14:paraId="584CDD29">
            <w:pPr>
              <w:rPr>
                <w:rFonts w:hint="eastAsia" w:ascii="仿宋_GB2312" w:hAnsi="仿宋_GB2312" w:eastAsia="仿宋_GB2312" w:cs="仿宋_GB2312"/>
                <w:sz w:val="24"/>
                <w:highlight w:val="none"/>
              </w:rPr>
            </w:pPr>
          </w:p>
        </w:tc>
        <w:tc>
          <w:tcPr>
            <w:tcW w:w="668" w:type="dxa"/>
            <w:noWrap w:val="0"/>
            <w:vAlign w:val="center"/>
          </w:tcPr>
          <w:p w14:paraId="1BA454FA">
            <w:pPr>
              <w:jc w:val="center"/>
              <w:rPr>
                <w:rFonts w:hint="eastAsia" w:ascii="仿宋_GB2312" w:hAnsi="仿宋_GB2312" w:eastAsia="仿宋_GB2312" w:cs="仿宋_GB2312"/>
                <w:sz w:val="24"/>
                <w:highlight w:val="none"/>
              </w:rPr>
            </w:pPr>
          </w:p>
        </w:tc>
      </w:tr>
      <w:tr w14:paraId="4A595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42" w:type="dxa"/>
            <w:noWrap w:val="0"/>
            <w:vAlign w:val="center"/>
          </w:tcPr>
          <w:p w14:paraId="32C40C5D">
            <w:pPr>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8</w:t>
            </w:r>
          </w:p>
        </w:tc>
        <w:tc>
          <w:tcPr>
            <w:tcW w:w="6540" w:type="dxa"/>
            <w:noWrap w:val="0"/>
            <w:vAlign w:val="center"/>
          </w:tcPr>
          <w:p w14:paraId="608F1542">
            <w:pPr>
              <w:widowControl/>
              <w:jc w:val="left"/>
              <w:textAlignment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投标有效期满足招标文件要求的；</w:t>
            </w:r>
          </w:p>
        </w:tc>
        <w:tc>
          <w:tcPr>
            <w:tcW w:w="663" w:type="dxa"/>
            <w:noWrap w:val="0"/>
            <w:vAlign w:val="center"/>
          </w:tcPr>
          <w:p w14:paraId="43D00BA5">
            <w:pPr>
              <w:rPr>
                <w:rFonts w:hint="eastAsia" w:ascii="仿宋_GB2312" w:hAnsi="仿宋_GB2312" w:eastAsia="仿宋_GB2312" w:cs="仿宋_GB2312"/>
                <w:sz w:val="24"/>
                <w:highlight w:val="none"/>
              </w:rPr>
            </w:pPr>
          </w:p>
        </w:tc>
        <w:tc>
          <w:tcPr>
            <w:tcW w:w="663" w:type="dxa"/>
            <w:noWrap w:val="0"/>
            <w:vAlign w:val="center"/>
          </w:tcPr>
          <w:p w14:paraId="101835C8">
            <w:pPr>
              <w:rPr>
                <w:rFonts w:hint="eastAsia" w:ascii="仿宋_GB2312" w:hAnsi="仿宋_GB2312" w:eastAsia="仿宋_GB2312" w:cs="仿宋_GB2312"/>
                <w:sz w:val="24"/>
                <w:highlight w:val="none"/>
              </w:rPr>
            </w:pPr>
          </w:p>
        </w:tc>
        <w:tc>
          <w:tcPr>
            <w:tcW w:w="663" w:type="dxa"/>
            <w:noWrap w:val="0"/>
            <w:vAlign w:val="center"/>
          </w:tcPr>
          <w:p w14:paraId="67D62348">
            <w:pPr>
              <w:rPr>
                <w:rFonts w:hint="eastAsia" w:ascii="仿宋_GB2312" w:hAnsi="仿宋_GB2312" w:eastAsia="仿宋_GB2312" w:cs="仿宋_GB2312"/>
                <w:sz w:val="24"/>
                <w:highlight w:val="none"/>
              </w:rPr>
            </w:pPr>
          </w:p>
        </w:tc>
        <w:tc>
          <w:tcPr>
            <w:tcW w:w="668" w:type="dxa"/>
            <w:noWrap w:val="0"/>
            <w:vAlign w:val="center"/>
          </w:tcPr>
          <w:p w14:paraId="6E2E6627">
            <w:pPr>
              <w:jc w:val="center"/>
              <w:rPr>
                <w:rFonts w:hint="eastAsia" w:ascii="仿宋_GB2312" w:hAnsi="仿宋_GB2312" w:eastAsia="仿宋_GB2312" w:cs="仿宋_GB2312"/>
                <w:sz w:val="24"/>
                <w:highlight w:val="none"/>
              </w:rPr>
            </w:pPr>
          </w:p>
        </w:tc>
      </w:tr>
      <w:tr w14:paraId="6D789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42" w:type="dxa"/>
            <w:noWrap w:val="0"/>
            <w:vAlign w:val="center"/>
          </w:tcPr>
          <w:p w14:paraId="701A4767">
            <w:pPr>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9</w:t>
            </w:r>
          </w:p>
        </w:tc>
        <w:tc>
          <w:tcPr>
            <w:tcW w:w="6540" w:type="dxa"/>
            <w:noWrap w:val="0"/>
            <w:vAlign w:val="center"/>
          </w:tcPr>
          <w:p w14:paraId="123DA228">
            <w:pPr>
              <w:widowControl/>
              <w:jc w:val="left"/>
              <w:textAlignment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投标文件未附有招标人不能接受的条件；</w:t>
            </w:r>
          </w:p>
        </w:tc>
        <w:tc>
          <w:tcPr>
            <w:tcW w:w="663" w:type="dxa"/>
            <w:noWrap w:val="0"/>
            <w:vAlign w:val="center"/>
          </w:tcPr>
          <w:p w14:paraId="59F35A72">
            <w:pPr>
              <w:rPr>
                <w:rFonts w:hint="eastAsia" w:ascii="仿宋_GB2312" w:hAnsi="仿宋_GB2312" w:eastAsia="仿宋_GB2312" w:cs="仿宋_GB2312"/>
                <w:sz w:val="24"/>
                <w:highlight w:val="none"/>
              </w:rPr>
            </w:pPr>
          </w:p>
        </w:tc>
        <w:tc>
          <w:tcPr>
            <w:tcW w:w="663" w:type="dxa"/>
            <w:noWrap w:val="0"/>
            <w:vAlign w:val="center"/>
          </w:tcPr>
          <w:p w14:paraId="2D13C8F1">
            <w:pPr>
              <w:rPr>
                <w:rFonts w:hint="eastAsia" w:ascii="仿宋_GB2312" w:hAnsi="仿宋_GB2312" w:eastAsia="仿宋_GB2312" w:cs="仿宋_GB2312"/>
                <w:sz w:val="24"/>
                <w:highlight w:val="none"/>
              </w:rPr>
            </w:pPr>
          </w:p>
        </w:tc>
        <w:tc>
          <w:tcPr>
            <w:tcW w:w="663" w:type="dxa"/>
            <w:noWrap w:val="0"/>
            <w:vAlign w:val="center"/>
          </w:tcPr>
          <w:p w14:paraId="6D4C5903">
            <w:pPr>
              <w:rPr>
                <w:rFonts w:hint="eastAsia" w:ascii="仿宋_GB2312" w:hAnsi="仿宋_GB2312" w:eastAsia="仿宋_GB2312" w:cs="仿宋_GB2312"/>
                <w:sz w:val="24"/>
                <w:highlight w:val="none"/>
              </w:rPr>
            </w:pPr>
          </w:p>
        </w:tc>
        <w:tc>
          <w:tcPr>
            <w:tcW w:w="668" w:type="dxa"/>
            <w:noWrap w:val="0"/>
            <w:vAlign w:val="center"/>
          </w:tcPr>
          <w:p w14:paraId="37065CDB">
            <w:pPr>
              <w:jc w:val="center"/>
              <w:rPr>
                <w:rFonts w:hint="eastAsia" w:ascii="仿宋_GB2312" w:hAnsi="仿宋_GB2312" w:eastAsia="仿宋_GB2312" w:cs="仿宋_GB2312"/>
                <w:sz w:val="24"/>
                <w:highlight w:val="none"/>
              </w:rPr>
            </w:pPr>
          </w:p>
        </w:tc>
      </w:tr>
      <w:tr w14:paraId="3F148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42" w:type="dxa"/>
            <w:noWrap w:val="0"/>
            <w:vAlign w:val="center"/>
          </w:tcPr>
          <w:p w14:paraId="27B79226">
            <w:pPr>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10</w:t>
            </w:r>
          </w:p>
        </w:tc>
        <w:tc>
          <w:tcPr>
            <w:tcW w:w="6540" w:type="dxa"/>
            <w:noWrap w:val="0"/>
            <w:vAlign w:val="center"/>
          </w:tcPr>
          <w:p w14:paraId="57337726">
            <w:pPr>
              <w:widowControl/>
              <w:jc w:val="left"/>
              <w:textAlignment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投标文件未附有不符合招标文件中规定的其他实质性要求；</w:t>
            </w:r>
          </w:p>
        </w:tc>
        <w:tc>
          <w:tcPr>
            <w:tcW w:w="663" w:type="dxa"/>
            <w:noWrap w:val="0"/>
            <w:vAlign w:val="center"/>
          </w:tcPr>
          <w:p w14:paraId="18CD9818">
            <w:pPr>
              <w:rPr>
                <w:rFonts w:hint="eastAsia" w:ascii="仿宋_GB2312" w:hAnsi="仿宋_GB2312" w:eastAsia="仿宋_GB2312" w:cs="仿宋_GB2312"/>
                <w:sz w:val="24"/>
                <w:highlight w:val="none"/>
              </w:rPr>
            </w:pPr>
          </w:p>
        </w:tc>
        <w:tc>
          <w:tcPr>
            <w:tcW w:w="663" w:type="dxa"/>
            <w:noWrap w:val="0"/>
            <w:vAlign w:val="center"/>
          </w:tcPr>
          <w:p w14:paraId="6259B878">
            <w:pPr>
              <w:rPr>
                <w:rFonts w:hint="eastAsia" w:ascii="仿宋_GB2312" w:hAnsi="仿宋_GB2312" w:eastAsia="仿宋_GB2312" w:cs="仿宋_GB2312"/>
                <w:sz w:val="24"/>
                <w:highlight w:val="none"/>
              </w:rPr>
            </w:pPr>
          </w:p>
        </w:tc>
        <w:tc>
          <w:tcPr>
            <w:tcW w:w="663" w:type="dxa"/>
            <w:noWrap w:val="0"/>
            <w:vAlign w:val="center"/>
          </w:tcPr>
          <w:p w14:paraId="6DDB0375">
            <w:pPr>
              <w:rPr>
                <w:rFonts w:hint="eastAsia" w:ascii="仿宋_GB2312" w:hAnsi="仿宋_GB2312" w:eastAsia="仿宋_GB2312" w:cs="仿宋_GB2312"/>
                <w:sz w:val="24"/>
                <w:highlight w:val="none"/>
              </w:rPr>
            </w:pPr>
          </w:p>
        </w:tc>
        <w:tc>
          <w:tcPr>
            <w:tcW w:w="668" w:type="dxa"/>
            <w:noWrap w:val="0"/>
            <w:vAlign w:val="center"/>
          </w:tcPr>
          <w:p w14:paraId="31A8D8D7">
            <w:pPr>
              <w:jc w:val="center"/>
              <w:rPr>
                <w:rFonts w:hint="eastAsia" w:ascii="仿宋_GB2312" w:hAnsi="仿宋_GB2312" w:eastAsia="仿宋_GB2312" w:cs="仿宋_GB2312"/>
                <w:sz w:val="24"/>
                <w:highlight w:val="none"/>
              </w:rPr>
            </w:pPr>
          </w:p>
        </w:tc>
      </w:tr>
      <w:tr w14:paraId="6601E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42" w:type="dxa"/>
            <w:noWrap w:val="0"/>
            <w:vAlign w:val="center"/>
          </w:tcPr>
          <w:p w14:paraId="476A5724">
            <w:pPr>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11</w:t>
            </w:r>
          </w:p>
        </w:tc>
        <w:tc>
          <w:tcPr>
            <w:tcW w:w="6540" w:type="dxa"/>
            <w:noWrap w:val="0"/>
            <w:vAlign w:val="center"/>
          </w:tcPr>
          <w:p w14:paraId="68C49986">
            <w:pPr>
              <w:widowControl/>
              <w:jc w:val="left"/>
              <w:textAlignment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投标人未有违反招标投标纪律的。</w:t>
            </w:r>
          </w:p>
        </w:tc>
        <w:tc>
          <w:tcPr>
            <w:tcW w:w="663" w:type="dxa"/>
            <w:noWrap w:val="0"/>
            <w:vAlign w:val="center"/>
          </w:tcPr>
          <w:p w14:paraId="783C88BF">
            <w:pPr>
              <w:rPr>
                <w:rFonts w:hint="eastAsia" w:ascii="仿宋_GB2312" w:hAnsi="仿宋_GB2312" w:eastAsia="仿宋_GB2312" w:cs="仿宋_GB2312"/>
                <w:sz w:val="24"/>
                <w:highlight w:val="none"/>
              </w:rPr>
            </w:pPr>
          </w:p>
        </w:tc>
        <w:tc>
          <w:tcPr>
            <w:tcW w:w="663" w:type="dxa"/>
            <w:noWrap w:val="0"/>
            <w:vAlign w:val="center"/>
          </w:tcPr>
          <w:p w14:paraId="277B5290">
            <w:pPr>
              <w:rPr>
                <w:rFonts w:hint="eastAsia" w:ascii="仿宋_GB2312" w:hAnsi="仿宋_GB2312" w:eastAsia="仿宋_GB2312" w:cs="仿宋_GB2312"/>
                <w:sz w:val="24"/>
                <w:highlight w:val="none"/>
              </w:rPr>
            </w:pPr>
          </w:p>
        </w:tc>
        <w:tc>
          <w:tcPr>
            <w:tcW w:w="663" w:type="dxa"/>
            <w:noWrap w:val="0"/>
            <w:vAlign w:val="center"/>
          </w:tcPr>
          <w:p w14:paraId="34405A03">
            <w:pPr>
              <w:rPr>
                <w:rFonts w:hint="eastAsia" w:ascii="仿宋_GB2312" w:hAnsi="仿宋_GB2312" w:eastAsia="仿宋_GB2312" w:cs="仿宋_GB2312"/>
                <w:sz w:val="24"/>
                <w:highlight w:val="none"/>
              </w:rPr>
            </w:pPr>
          </w:p>
        </w:tc>
        <w:tc>
          <w:tcPr>
            <w:tcW w:w="668" w:type="dxa"/>
            <w:noWrap w:val="0"/>
            <w:vAlign w:val="center"/>
          </w:tcPr>
          <w:p w14:paraId="6C7E6E0B">
            <w:pPr>
              <w:jc w:val="center"/>
              <w:rPr>
                <w:rFonts w:hint="eastAsia" w:ascii="仿宋_GB2312" w:hAnsi="仿宋_GB2312" w:eastAsia="仿宋_GB2312" w:cs="仿宋_GB2312"/>
                <w:sz w:val="24"/>
                <w:highlight w:val="none"/>
              </w:rPr>
            </w:pPr>
          </w:p>
        </w:tc>
      </w:tr>
      <w:tr w14:paraId="7A41D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42" w:type="dxa"/>
            <w:noWrap w:val="0"/>
            <w:vAlign w:val="center"/>
          </w:tcPr>
          <w:p w14:paraId="069C5962">
            <w:pPr>
              <w:pStyle w:val="19"/>
              <w:spacing w:line="32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12</w:t>
            </w:r>
          </w:p>
        </w:tc>
        <w:tc>
          <w:tcPr>
            <w:tcW w:w="6540" w:type="dxa"/>
            <w:noWrap w:val="0"/>
            <w:vAlign w:val="center"/>
          </w:tcPr>
          <w:p w14:paraId="29EA5EB9">
            <w:pPr>
              <w:pStyle w:val="19"/>
              <w:spacing w:line="300" w:lineRule="exact"/>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szCs w:val="24"/>
                <w:highlight w:val="none"/>
              </w:rPr>
              <w:t>是否按照投标须知要求金额缴纳了投标保证金，并提供了投标保证金缴纳凭证。</w:t>
            </w:r>
          </w:p>
        </w:tc>
        <w:tc>
          <w:tcPr>
            <w:tcW w:w="663" w:type="dxa"/>
            <w:noWrap w:val="0"/>
            <w:vAlign w:val="center"/>
          </w:tcPr>
          <w:p w14:paraId="01B1FAC0">
            <w:pPr>
              <w:rPr>
                <w:rFonts w:hint="eastAsia" w:ascii="仿宋_GB2312" w:hAnsi="仿宋_GB2312" w:eastAsia="仿宋_GB2312" w:cs="仿宋_GB2312"/>
                <w:sz w:val="24"/>
                <w:highlight w:val="none"/>
              </w:rPr>
            </w:pPr>
          </w:p>
        </w:tc>
        <w:tc>
          <w:tcPr>
            <w:tcW w:w="663" w:type="dxa"/>
            <w:noWrap w:val="0"/>
            <w:vAlign w:val="center"/>
          </w:tcPr>
          <w:p w14:paraId="56F5287A">
            <w:pPr>
              <w:rPr>
                <w:rFonts w:hint="eastAsia" w:ascii="仿宋_GB2312" w:hAnsi="仿宋_GB2312" w:eastAsia="仿宋_GB2312" w:cs="仿宋_GB2312"/>
                <w:sz w:val="24"/>
                <w:highlight w:val="none"/>
              </w:rPr>
            </w:pPr>
          </w:p>
        </w:tc>
        <w:tc>
          <w:tcPr>
            <w:tcW w:w="663" w:type="dxa"/>
            <w:noWrap w:val="0"/>
            <w:vAlign w:val="center"/>
          </w:tcPr>
          <w:p w14:paraId="6666506F">
            <w:pPr>
              <w:rPr>
                <w:rFonts w:hint="eastAsia" w:ascii="仿宋_GB2312" w:hAnsi="仿宋_GB2312" w:eastAsia="仿宋_GB2312" w:cs="仿宋_GB2312"/>
                <w:sz w:val="24"/>
                <w:highlight w:val="none"/>
              </w:rPr>
            </w:pPr>
          </w:p>
        </w:tc>
        <w:tc>
          <w:tcPr>
            <w:tcW w:w="668" w:type="dxa"/>
            <w:noWrap w:val="0"/>
            <w:vAlign w:val="center"/>
          </w:tcPr>
          <w:p w14:paraId="7D8536DC">
            <w:pPr>
              <w:jc w:val="center"/>
              <w:rPr>
                <w:rFonts w:hint="eastAsia" w:ascii="仿宋_GB2312" w:hAnsi="仿宋_GB2312" w:eastAsia="仿宋_GB2312" w:cs="仿宋_GB2312"/>
                <w:sz w:val="24"/>
                <w:highlight w:val="none"/>
              </w:rPr>
            </w:pPr>
          </w:p>
        </w:tc>
      </w:tr>
      <w:tr w14:paraId="2231C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7182" w:type="dxa"/>
            <w:gridSpan w:val="2"/>
            <w:noWrap w:val="0"/>
            <w:vAlign w:val="center"/>
          </w:tcPr>
          <w:p w14:paraId="6502B0DE">
            <w:pPr>
              <w:jc w:val="center"/>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审查结果</w:t>
            </w:r>
          </w:p>
        </w:tc>
        <w:tc>
          <w:tcPr>
            <w:tcW w:w="663" w:type="dxa"/>
            <w:noWrap w:val="0"/>
            <w:vAlign w:val="center"/>
          </w:tcPr>
          <w:p w14:paraId="446BC488">
            <w:pPr>
              <w:rPr>
                <w:rFonts w:hint="eastAsia" w:ascii="仿宋_GB2312" w:hAnsi="仿宋_GB2312" w:eastAsia="仿宋_GB2312" w:cs="仿宋_GB2312"/>
                <w:sz w:val="24"/>
                <w:highlight w:val="none"/>
              </w:rPr>
            </w:pPr>
          </w:p>
        </w:tc>
        <w:tc>
          <w:tcPr>
            <w:tcW w:w="663" w:type="dxa"/>
            <w:noWrap w:val="0"/>
            <w:vAlign w:val="center"/>
          </w:tcPr>
          <w:p w14:paraId="67814743">
            <w:pPr>
              <w:rPr>
                <w:rFonts w:hint="eastAsia" w:ascii="仿宋_GB2312" w:hAnsi="仿宋_GB2312" w:eastAsia="仿宋_GB2312" w:cs="仿宋_GB2312"/>
                <w:sz w:val="24"/>
                <w:highlight w:val="none"/>
              </w:rPr>
            </w:pPr>
          </w:p>
        </w:tc>
        <w:tc>
          <w:tcPr>
            <w:tcW w:w="663" w:type="dxa"/>
            <w:noWrap w:val="0"/>
            <w:vAlign w:val="center"/>
          </w:tcPr>
          <w:p w14:paraId="413BEF24">
            <w:pPr>
              <w:jc w:val="center"/>
              <w:rPr>
                <w:rFonts w:hint="eastAsia" w:ascii="仿宋_GB2312" w:hAnsi="仿宋_GB2312" w:eastAsia="仿宋_GB2312" w:cs="仿宋_GB2312"/>
                <w:sz w:val="24"/>
                <w:highlight w:val="none"/>
              </w:rPr>
            </w:pPr>
          </w:p>
        </w:tc>
        <w:tc>
          <w:tcPr>
            <w:tcW w:w="668" w:type="dxa"/>
            <w:noWrap w:val="0"/>
            <w:vAlign w:val="center"/>
          </w:tcPr>
          <w:p w14:paraId="0B698877">
            <w:pPr>
              <w:jc w:val="center"/>
              <w:rPr>
                <w:rFonts w:hint="eastAsia" w:ascii="仿宋_GB2312" w:hAnsi="仿宋_GB2312" w:eastAsia="仿宋_GB2312" w:cs="仿宋_GB2312"/>
                <w:sz w:val="24"/>
                <w:highlight w:val="none"/>
              </w:rPr>
            </w:pPr>
          </w:p>
        </w:tc>
      </w:tr>
      <w:tr w14:paraId="561A4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182" w:type="dxa"/>
            <w:gridSpan w:val="2"/>
            <w:noWrap w:val="0"/>
            <w:vAlign w:val="center"/>
          </w:tcPr>
          <w:p w14:paraId="2ADB6998">
            <w:pPr>
              <w:jc w:val="center"/>
              <w:rPr>
                <w:rFonts w:ascii="仿宋_GB2312" w:hAnsi="仿宋_GB2312" w:eastAsia="仿宋_GB2312" w:cs="仿宋_GB2312"/>
                <w:sz w:val="24"/>
                <w:highlight w:val="none"/>
              </w:rPr>
            </w:pPr>
            <w:r>
              <w:rPr>
                <w:rFonts w:hint="eastAsia" w:ascii="仿宋_GB2312" w:hAnsi="仿宋_GB2312" w:eastAsia="仿宋_GB2312" w:cs="仿宋_GB2312"/>
                <w:b/>
                <w:bCs/>
                <w:sz w:val="24"/>
                <w:highlight w:val="none"/>
              </w:rPr>
              <w:t>不通过理由</w:t>
            </w:r>
          </w:p>
        </w:tc>
        <w:tc>
          <w:tcPr>
            <w:tcW w:w="663" w:type="dxa"/>
            <w:noWrap w:val="0"/>
            <w:vAlign w:val="center"/>
          </w:tcPr>
          <w:p w14:paraId="3F9C70D1">
            <w:pPr>
              <w:rPr>
                <w:rFonts w:hint="eastAsia" w:ascii="仿宋_GB2312" w:hAnsi="仿宋_GB2312" w:eastAsia="仿宋_GB2312" w:cs="仿宋_GB2312"/>
                <w:sz w:val="24"/>
                <w:highlight w:val="none"/>
              </w:rPr>
            </w:pPr>
          </w:p>
        </w:tc>
        <w:tc>
          <w:tcPr>
            <w:tcW w:w="663" w:type="dxa"/>
            <w:noWrap w:val="0"/>
            <w:vAlign w:val="center"/>
          </w:tcPr>
          <w:p w14:paraId="3447905F">
            <w:pPr>
              <w:rPr>
                <w:rFonts w:hint="eastAsia" w:ascii="仿宋_GB2312" w:hAnsi="仿宋_GB2312" w:eastAsia="仿宋_GB2312" w:cs="仿宋_GB2312"/>
                <w:sz w:val="24"/>
                <w:highlight w:val="none"/>
              </w:rPr>
            </w:pPr>
          </w:p>
        </w:tc>
        <w:tc>
          <w:tcPr>
            <w:tcW w:w="663" w:type="dxa"/>
            <w:noWrap w:val="0"/>
            <w:vAlign w:val="center"/>
          </w:tcPr>
          <w:p w14:paraId="47D0A3E1">
            <w:pPr>
              <w:jc w:val="center"/>
              <w:rPr>
                <w:rFonts w:hint="eastAsia" w:ascii="仿宋_GB2312" w:hAnsi="仿宋_GB2312" w:eastAsia="仿宋_GB2312" w:cs="仿宋_GB2312"/>
                <w:sz w:val="24"/>
                <w:highlight w:val="none"/>
              </w:rPr>
            </w:pPr>
          </w:p>
        </w:tc>
        <w:tc>
          <w:tcPr>
            <w:tcW w:w="668" w:type="dxa"/>
            <w:noWrap w:val="0"/>
            <w:vAlign w:val="center"/>
          </w:tcPr>
          <w:p w14:paraId="791BCDD1">
            <w:pPr>
              <w:jc w:val="center"/>
              <w:rPr>
                <w:rFonts w:hint="eastAsia" w:ascii="仿宋_GB2312" w:hAnsi="仿宋_GB2312" w:eastAsia="仿宋_GB2312" w:cs="仿宋_GB2312"/>
                <w:sz w:val="24"/>
                <w:highlight w:val="none"/>
              </w:rPr>
            </w:pPr>
          </w:p>
        </w:tc>
      </w:tr>
    </w:tbl>
    <w:p w14:paraId="2CFAD318">
      <w:pPr>
        <w:rPr>
          <w:rFonts w:hint="eastAsia" w:ascii="仿宋" w:hAnsi="仿宋" w:eastAsia="仿宋" w:cs="仿宋"/>
          <w:sz w:val="24"/>
          <w:highlight w:val="none"/>
        </w:rPr>
      </w:pPr>
      <w:r>
        <w:rPr>
          <w:rFonts w:hint="eastAsia" w:ascii="仿宋" w:hAnsi="仿宋" w:eastAsia="仿宋" w:cs="仿宋"/>
          <w:sz w:val="24"/>
          <w:highlight w:val="none"/>
        </w:rPr>
        <w:t>1. 符合性审查审查合格的打“√”，不合格的打“×”。</w:t>
      </w:r>
    </w:p>
    <w:p w14:paraId="3350C633">
      <w:pPr>
        <w:rPr>
          <w:rFonts w:hint="eastAsia" w:ascii="仿宋" w:hAnsi="仿宋" w:eastAsia="仿宋" w:cs="仿宋"/>
          <w:sz w:val="24"/>
          <w:highlight w:val="none"/>
        </w:rPr>
      </w:pPr>
      <w:r>
        <w:rPr>
          <w:rFonts w:hint="eastAsia" w:ascii="仿宋" w:hAnsi="仿宋" w:eastAsia="仿宋" w:cs="仿宋"/>
          <w:sz w:val="24"/>
          <w:highlight w:val="none"/>
        </w:rPr>
        <w:t>2. 符合性审查审查结果，通过打“√”，不通过的打“×”。</w:t>
      </w:r>
    </w:p>
    <w:p w14:paraId="5B10B43B">
      <w:pPr>
        <w:rPr>
          <w:rFonts w:hint="eastAsia" w:ascii="仿宋" w:hAnsi="仿宋" w:eastAsia="仿宋" w:cs="仿宋"/>
          <w:sz w:val="24"/>
          <w:highlight w:val="none"/>
        </w:rPr>
      </w:pPr>
      <w:r>
        <w:rPr>
          <w:rFonts w:hint="eastAsia" w:ascii="仿宋" w:hAnsi="仿宋" w:eastAsia="仿宋" w:cs="仿宋"/>
          <w:sz w:val="24"/>
          <w:highlight w:val="none"/>
        </w:rPr>
        <w:t>3.请填写不通过符合性审查审查的供应商的原因。</w:t>
      </w:r>
    </w:p>
    <w:p w14:paraId="12EFA1ED">
      <w:pPr>
        <w:ind w:firstLine="482" w:firstLineChars="200"/>
        <w:rPr>
          <w:rFonts w:hint="eastAsia" w:ascii="仿宋" w:hAnsi="仿宋" w:eastAsia="仿宋" w:cs="仿宋"/>
          <w:b/>
          <w:bCs/>
          <w:sz w:val="24"/>
          <w:highlight w:val="none"/>
          <w:u w:val="single"/>
        </w:rPr>
      </w:pPr>
      <w:r>
        <w:rPr>
          <w:rFonts w:hint="eastAsia" w:ascii="仿宋" w:hAnsi="仿宋" w:eastAsia="仿宋" w:cs="仿宋"/>
          <w:b/>
          <w:bCs/>
          <w:sz w:val="24"/>
          <w:highlight w:val="none"/>
          <w:u w:val="single"/>
        </w:rPr>
        <w:t>投标文件响应程度初步审查通过的投标企业，进入下一步详细评审阶段，未通过投标文件响应程度初步审查的企业，其投标作为无效标，不进入后期评审阶</w:t>
      </w:r>
    </w:p>
    <w:p w14:paraId="213B8543">
      <w:pPr>
        <w:tabs>
          <w:tab w:val="left" w:pos="0"/>
        </w:tabs>
        <w:adjustRightInd w:val="0"/>
        <w:snapToGrid w:val="0"/>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21.8评标委员会将根据政府采购政策支持中小企业政策对最后报价进行价格折扣，折扣的价格将作为评审价格。</w:t>
      </w:r>
    </w:p>
    <w:p w14:paraId="3EFB4478">
      <w:pPr>
        <w:tabs>
          <w:tab w:val="left" w:pos="0"/>
        </w:tabs>
        <w:adjustRightInd w:val="0"/>
        <w:snapToGrid w:val="0"/>
        <w:spacing w:line="440" w:lineRule="exact"/>
        <w:rPr>
          <w:rFonts w:hint="eastAsia" w:ascii="仿宋" w:hAnsi="仿宋" w:eastAsia="仿宋" w:cs="仿宋"/>
          <w:sz w:val="24"/>
          <w:highlight w:val="none"/>
        </w:rPr>
      </w:pPr>
      <w:r>
        <w:rPr>
          <w:rFonts w:hint="eastAsia" w:ascii="仿宋" w:hAnsi="仿宋" w:eastAsia="仿宋" w:cs="仿宋"/>
          <w:sz w:val="24"/>
          <w:highlight w:val="none"/>
        </w:rPr>
        <w:t>（1）节能产品及环保产品价格折扣比例及方法</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
      <w:tblGrid>
        <w:gridCol w:w="844"/>
        <w:gridCol w:w="1807"/>
        <w:gridCol w:w="7203"/>
      </w:tblGrid>
      <w:tr w14:paraId="2BB80C16">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trHeight w:val="420" w:hRule="atLeast"/>
          <w:jc w:val="center"/>
        </w:trPr>
        <w:tc>
          <w:tcPr>
            <w:tcW w:w="844" w:type="dxa"/>
            <w:tcBorders>
              <w:top w:val="single" w:color="auto" w:sz="4" w:space="0"/>
            </w:tcBorders>
            <w:noWrap w:val="0"/>
            <w:vAlign w:val="center"/>
          </w:tcPr>
          <w:p w14:paraId="0661C500">
            <w:pPr>
              <w:adjustRightInd w:val="0"/>
              <w:snapToGrid w:val="0"/>
              <w:spacing w:line="440" w:lineRule="exact"/>
              <w:jc w:val="center"/>
              <w:rPr>
                <w:rFonts w:hint="eastAsia" w:ascii="仿宋" w:hAnsi="仿宋" w:eastAsia="仿宋" w:cs="仿宋"/>
                <w:b/>
                <w:highlight w:val="none"/>
              </w:rPr>
            </w:pPr>
            <w:r>
              <w:rPr>
                <w:rFonts w:hint="eastAsia" w:ascii="仿宋" w:hAnsi="仿宋" w:eastAsia="仿宋" w:cs="仿宋"/>
                <w:b/>
                <w:highlight w:val="none"/>
              </w:rPr>
              <w:t>序号</w:t>
            </w:r>
          </w:p>
        </w:tc>
        <w:tc>
          <w:tcPr>
            <w:tcW w:w="1807" w:type="dxa"/>
            <w:tcBorders>
              <w:top w:val="single" w:color="auto" w:sz="4" w:space="0"/>
            </w:tcBorders>
            <w:noWrap w:val="0"/>
            <w:vAlign w:val="center"/>
          </w:tcPr>
          <w:p w14:paraId="1507AD6E">
            <w:pPr>
              <w:adjustRightInd w:val="0"/>
              <w:snapToGrid w:val="0"/>
              <w:spacing w:line="440" w:lineRule="exact"/>
              <w:jc w:val="center"/>
              <w:rPr>
                <w:rFonts w:hint="eastAsia" w:ascii="仿宋" w:hAnsi="仿宋" w:eastAsia="仿宋" w:cs="仿宋"/>
                <w:b/>
                <w:highlight w:val="none"/>
              </w:rPr>
            </w:pPr>
            <w:r>
              <w:rPr>
                <w:rFonts w:hint="eastAsia" w:ascii="仿宋" w:hAnsi="仿宋" w:eastAsia="仿宋" w:cs="仿宋"/>
                <w:b/>
                <w:highlight w:val="none"/>
              </w:rPr>
              <w:t>项目</w:t>
            </w:r>
          </w:p>
        </w:tc>
        <w:tc>
          <w:tcPr>
            <w:tcW w:w="7203" w:type="dxa"/>
            <w:tcBorders>
              <w:top w:val="single" w:color="auto" w:sz="4" w:space="0"/>
            </w:tcBorders>
            <w:noWrap w:val="0"/>
            <w:vAlign w:val="center"/>
          </w:tcPr>
          <w:p w14:paraId="7823E140">
            <w:pPr>
              <w:adjustRightInd w:val="0"/>
              <w:snapToGrid w:val="0"/>
              <w:spacing w:line="440" w:lineRule="exact"/>
              <w:jc w:val="center"/>
              <w:rPr>
                <w:rFonts w:hint="eastAsia" w:ascii="仿宋" w:hAnsi="仿宋" w:eastAsia="仿宋" w:cs="仿宋"/>
                <w:b/>
                <w:highlight w:val="none"/>
              </w:rPr>
            </w:pPr>
            <w:r>
              <w:rPr>
                <w:rFonts w:hint="eastAsia" w:ascii="仿宋" w:hAnsi="仿宋" w:eastAsia="仿宋" w:cs="仿宋"/>
                <w:b/>
                <w:highlight w:val="none"/>
              </w:rPr>
              <w:t>折扣比例及方法</w:t>
            </w:r>
          </w:p>
        </w:tc>
      </w:tr>
      <w:tr w14:paraId="24E32DA2">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trHeight w:val="493" w:hRule="atLeast"/>
          <w:jc w:val="center"/>
        </w:trPr>
        <w:tc>
          <w:tcPr>
            <w:tcW w:w="844" w:type="dxa"/>
            <w:noWrap w:val="0"/>
            <w:vAlign w:val="center"/>
          </w:tcPr>
          <w:p w14:paraId="44121FAF">
            <w:pPr>
              <w:adjustRightInd w:val="0"/>
              <w:snapToGrid w:val="0"/>
              <w:spacing w:line="440" w:lineRule="exact"/>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1807" w:type="dxa"/>
            <w:noWrap w:val="0"/>
            <w:vAlign w:val="center"/>
          </w:tcPr>
          <w:p w14:paraId="59E51D34">
            <w:pPr>
              <w:adjustRightInd w:val="0"/>
              <w:snapToGrid w:val="0"/>
              <w:spacing w:line="440" w:lineRule="exact"/>
              <w:jc w:val="center"/>
              <w:rPr>
                <w:rFonts w:hint="eastAsia" w:ascii="仿宋" w:hAnsi="仿宋" w:eastAsia="仿宋" w:cs="仿宋"/>
                <w:sz w:val="24"/>
                <w:highlight w:val="none"/>
              </w:rPr>
            </w:pPr>
            <w:r>
              <w:rPr>
                <w:rFonts w:hint="eastAsia" w:ascii="仿宋" w:hAnsi="仿宋" w:eastAsia="仿宋" w:cs="仿宋"/>
                <w:sz w:val="24"/>
                <w:highlight w:val="none"/>
              </w:rPr>
              <w:t>节能产品</w:t>
            </w:r>
          </w:p>
        </w:tc>
        <w:tc>
          <w:tcPr>
            <w:tcW w:w="7203" w:type="dxa"/>
            <w:noWrap w:val="0"/>
            <w:vAlign w:val="center"/>
          </w:tcPr>
          <w:p w14:paraId="4DA99556">
            <w:pPr>
              <w:spacing w:line="440" w:lineRule="exact"/>
              <w:rPr>
                <w:rFonts w:hint="eastAsia" w:ascii="仿宋" w:hAnsi="仿宋" w:eastAsia="仿宋" w:cs="仿宋"/>
                <w:sz w:val="24"/>
                <w:highlight w:val="none"/>
              </w:rPr>
            </w:pPr>
            <w:r>
              <w:rPr>
                <w:rFonts w:hint="eastAsia" w:ascii="仿宋" w:hAnsi="仿宋" w:eastAsia="仿宋" w:cs="仿宋"/>
                <w:sz w:val="24"/>
                <w:highlight w:val="none"/>
              </w:rPr>
              <w:t>折扣金额=（节能清单部分产品的价格/首次报价）×3%×最后报价</w:t>
            </w:r>
          </w:p>
        </w:tc>
      </w:tr>
      <w:tr w14:paraId="716DB68A">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trHeight w:val="613" w:hRule="atLeast"/>
          <w:jc w:val="center"/>
        </w:trPr>
        <w:tc>
          <w:tcPr>
            <w:tcW w:w="844" w:type="dxa"/>
            <w:noWrap w:val="0"/>
            <w:vAlign w:val="center"/>
          </w:tcPr>
          <w:p w14:paraId="661C2670">
            <w:pPr>
              <w:adjustRightInd w:val="0"/>
              <w:snapToGrid w:val="0"/>
              <w:spacing w:line="440" w:lineRule="exact"/>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1807" w:type="dxa"/>
            <w:noWrap w:val="0"/>
            <w:vAlign w:val="center"/>
          </w:tcPr>
          <w:p w14:paraId="6CFC4865">
            <w:pPr>
              <w:adjustRightInd w:val="0"/>
              <w:snapToGrid w:val="0"/>
              <w:spacing w:line="440" w:lineRule="exact"/>
              <w:jc w:val="center"/>
              <w:rPr>
                <w:rFonts w:hint="eastAsia" w:ascii="仿宋" w:hAnsi="仿宋" w:eastAsia="仿宋" w:cs="仿宋"/>
                <w:sz w:val="24"/>
                <w:highlight w:val="none"/>
              </w:rPr>
            </w:pPr>
            <w:r>
              <w:rPr>
                <w:rFonts w:hint="eastAsia" w:ascii="仿宋" w:hAnsi="仿宋" w:eastAsia="仿宋" w:cs="仿宋"/>
                <w:sz w:val="24"/>
                <w:highlight w:val="none"/>
              </w:rPr>
              <w:t>环保产品</w:t>
            </w:r>
          </w:p>
        </w:tc>
        <w:tc>
          <w:tcPr>
            <w:tcW w:w="7203" w:type="dxa"/>
            <w:noWrap w:val="0"/>
            <w:vAlign w:val="center"/>
          </w:tcPr>
          <w:p w14:paraId="48E966AC">
            <w:pPr>
              <w:spacing w:line="440" w:lineRule="exact"/>
              <w:rPr>
                <w:rFonts w:hint="eastAsia" w:ascii="仿宋" w:hAnsi="仿宋" w:eastAsia="仿宋" w:cs="仿宋"/>
                <w:sz w:val="24"/>
                <w:highlight w:val="none"/>
              </w:rPr>
            </w:pPr>
            <w:r>
              <w:rPr>
                <w:rFonts w:hint="eastAsia" w:ascii="仿宋" w:hAnsi="仿宋" w:eastAsia="仿宋" w:cs="仿宋"/>
                <w:sz w:val="24"/>
                <w:highlight w:val="none"/>
              </w:rPr>
              <w:t>折扣金额=（环境清单部分产品的价格/首次报价）×3%×最后报价</w:t>
            </w:r>
          </w:p>
        </w:tc>
      </w:tr>
      <w:tr w14:paraId="48EEB263">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trHeight w:val="420" w:hRule="atLeast"/>
          <w:jc w:val="center"/>
        </w:trPr>
        <w:tc>
          <w:tcPr>
            <w:tcW w:w="844" w:type="dxa"/>
            <w:tcBorders>
              <w:bottom w:val="single" w:color="auto" w:sz="4" w:space="0"/>
            </w:tcBorders>
            <w:noWrap w:val="0"/>
            <w:vAlign w:val="center"/>
          </w:tcPr>
          <w:p w14:paraId="52EA658B">
            <w:pPr>
              <w:adjustRightInd w:val="0"/>
              <w:snapToGrid w:val="0"/>
              <w:spacing w:line="440" w:lineRule="exact"/>
              <w:jc w:val="center"/>
              <w:rPr>
                <w:rFonts w:hint="eastAsia" w:ascii="仿宋" w:hAnsi="仿宋" w:eastAsia="仿宋" w:cs="仿宋"/>
                <w:sz w:val="24"/>
                <w:highlight w:val="none"/>
              </w:rPr>
            </w:pPr>
            <w:r>
              <w:rPr>
                <w:rFonts w:hint="eastAsia" w:ascii="仿宋" w:hAnsi="仿宋" w:eastAsia="仿宋" w:cs="仿宋"/>
                <w:sz w:val="24"/>
                <w:highlight w:val="none"/>
              </w:rPr>
              <w:t>3</w:t>
            </w:r>
          </w:p>
        </w:tc>
        <w:tc>
          <w:tcPr>
            <w:tcW w:w="1807" w:type="dxa"/>
            <w:tcBorders>
              <w:bottom w:val="single" w:color="auto" w:sz="4" w:space="0"/>
            </w:tcBorders>
            <w:noWrap w:val="0"/>
            <w:vAlign w:val="center"/>
          </w:tcPr>
          <w:p w14:paraId="6DD21C45">
            <w:pPr>
              <w:adjustRightInd w:val="0"/>
              <w:snapToGrid w:val="0"/>
              <w:spacing w:line="440" w:lineRule="exact"/>
              <w:jc w:val="center"/>
              <w:rPr>
                <w:rFonts w:hint="eastAsia" w:ascii="仿宋" w:hAnsi="仿宋" w:eastAsia="仿宋" w:cs="仿宋"/>
                <w:sz w:val="24"/>
                <w:highlight w:val="none"/>
              </w:rPr>
            </w:pPr>
            <w:r>
              <w:rPr>
                <w:rFonts w:hint="eastAsia" w:ascii="仿宋" w:hAnsi="仿宋" w:eastAsia="仿宋" w:cs="仿宋"/>
                <w:sz w:val="24"/>
                <w:highlight w:val="none"/>
              </w:rPr>
              <w:t>证明材料说明</w:t>
            </w:r>
          </w:p>
        </w:tc>
        <w:tc>
          <w:tcPr>
            <w:tcW w:w="7203" w:type="dxa"/>
            <w:tcBorders>
              <w:bottom w:val="single" w:color="auto" w:sz="4" w:space="0"/>
            </w:tcBorders>
            <w:noWrap w:val="0"/>
            <w:vAlign w:val="center"/>
          </w:tcPr>
          <w:p w14:paraId="13E130E5">
            <w:pPr>
              <w:spacing w:line="440" w:lineRule="exact"/>
              <w:rPr>
                <w:rFonts w:hint="eastAsia" w:ascii="仿宋" w:hAnsi="仿宋" w:eastAsia="仿宋" w:cs="仿宋"/>
                <w:sz w:val="24"/>
                <w:highlight w:val="none"/>
              </w:rPr>
            </w:pPr>
            <w:r>
              <w:rPr>
                <w:rFonts w:hint="eastAsia" w:ascii="仿宋" w:hAnsi="仿宋" w:eastAsia="仿宋" w:cs="仿宋"/>
                <w:sz w:val="24"/>
                <w:highlight w:val="none"/>
              </w:rPr>
              <w:t>1、须提供中国政府采购网节能环保查询结果</w:t>
            </w:r>
          </w:p>
        </w:tc>
      </w:tr>
    </w:tbl>
    <w:p w14:paraId="7AAD0540">
      <w:pPr>
        <w:tabs>
          <w:tab w:val="left" w:pos="0"/>
        </w:tabs>
        <w:adjustRightInd w:val="0"/>
        <w:snapToGrid w:val="0"/>
        <w:spacing w:line="440" w:lineRule="exact"/>
        <w:rPr>
          <w:rFonts w:hint="eastAsia" w:ascii="仿宋" w:hAnsi="仿宋" w:eastAsia="仿宋" w:cs="仿宋"/>
          <w:sz w:val="24"/>
          <w:highlight w:val="none"/>
        </w:rPr>
      </w:pPr>
      <w:r>
        <w:rPr>
          <w:rFonts w:hint="eastAsia" w:ascii="仿宋" w:hAnsi="仿宋" w:eastAsia="仿宋" w:cs="仿宋"/>
          <w:sz w:val="24"/>
          <w:highlight w:val="none"/>
        </w:rPr>
        <w:t>说明：1.如有多种产品符合此项政策时，折扣价格为每种产品的折扣金额汇总。</w:t>
      </w:r>
    </w:p>
    <w:p w14:paraId="13D3356E">
      <w:pPr>
        <w:tabs>
          <w:tab w:val="left" w:pos="0"/>
        </w:tabs>
        <w:adjustRightInd w:val="0"/>
        <w:snapToGrid w:val="0"/>
        <w:spacing w:line="440" w:lineRule="exact"/>
        <w:rPr>
          <w:rFonts w:hint="eastAsia" w:ascii="仿宋" w:hAnsi="仿宋" w:eastAsia="仿宋" w:cs="仿宋"/>
          <w:sz w:val="24"/>
          <w:highlight w:val="none"/>
        </w:rPr>
      </w:pPr>
      <w:r>
        <w:rPr>
          <w:rFonts w:hint="eastAsia" w:ascii="仿宋" w:hAnsi="仿宋" w:eastAsia="仿宋" w:cs="仿宋"/>
          <w:sz w:val="24"/>
          <w:highlight w:val="none"/>
        </w:rPr>
        <w:t xml:space="preserve">      2.若所投产品同时属于节能产品及环保产品，只进行一次价格折扣认定。</w:t>
      </w:r>
    </w:p>
    <w:p w14:paraId="4404BCA9">
      <w:pPr>
        <w:tabs>
          <w:tab w:val="left" w:pos="0"/>
        </w:tabs>
        <w:adjustRightInd w:val="0"/>
        <w:snapToGrid w:val="0"/>
        <w:spacing w:line="440" w:lineRule="exact"/>
        <w:rPr>
          <w:rFonts w:hint="eastAsia" w:ascii="仿宋" w:hAnsi="仿宋" w:eastAsia="仿宋" w:cs="仿宋"/>
          <w:sz w:val="24"/>
          <w:highlight w:val="none"/>
        </w:rPr>
      </w:pPr>
      <w:r>
        <w:rPr>
          <w:rFonts w:hint="eastAsia" w:ascii="仿宋" w:hAnsi="仿宋" w:eastAsia="仿宋" w:cs="仿宋"/>
          <w:sz w:val="24"/>
          <w:highlight w:val="none"/>
        </w:rPr>
        <w:t>（2）中小企业价格折扣比例及方法</w:t>
      </w:r>
    </w:p>
    <w:tbl>
      <w:tblPr>
        <w:tblStyle w:val="4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54"/>
      </w:tblGrid>
      <w:tr w14:paraId="4B24BB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9854" w:type="dxa"/>
            <w:tcBorders>
              <w:top w:val="single" w:color="auto" w:sz="4" w:space="0"/>
              <w:bottom w:val="single" w:color="auto" w:sz="4" w:space="0"/>
            </w:tcBorders>
            <w:noWrap w:val="0"/>
            <w:vAlign w:val="center"/>
          </w:tcPr>
          <w:p w14:paraId="673071F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根据《政府采购促进中小企业发展管理办法》（〔2020〕46号）、《关于印发扎实稳住经济一揽子政策措施的通知》（国发〔2022〕12号）、《关于印发&lt;自治区贯彻落实国发〔2022〕12号文件精神推进经济稳增长一揽子政策措施&gt;的通知》（新政发〔2022〕61号）的规定，属于中小企业评审优惠内容及幅度如下：</w:t>
            </w:r>
          </w:p>
          <w:p w14:paraId="21B98EF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中小企业（含中型、小型、微型企业）应当符合中小企业划分标准，按《关于印发中小企业划型标准规定的通知》（工信部联企业〔2011〕300号）执行）；</w:t>
            </w:r>
          </w:p>
          <w:p w14:paraId="1EE4B8C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（二）价格扣除办法：</w:t>
            </w:r>
          </w:p>
          <w:p w14:paraId="674F052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对非专门面向中小企业（含中型、小型、微型企业）采购项目，根据《政府采购促进中小企业发展管理办法》（〔2020〕46号）、《关于印发扎实稳住经济一揽子政策措施的通知》（国发〔2022〕12号）、《关于印发&lt;自治区贯彻落实国发〔2022〕12号文件精神推进经济稳增长一揽子政策措施&gt;的通知》（新政发〔2022〕61号）的规定，评标时对符合规定的小微企业（或联合体各方均为小型、微型企业的，残疾人福利性单位、监狱企业视为小微企业）报价给予10%（工程项目为6%）的扣除，用扣除后的价格参加评审。</w:t>
            </w:r>
          </w:p>
          <w:p w14:paraId="051D226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（三）小型和微型企业适用价格扣除办法时应提供的相关资料：</w:t>
            </w:r>
          </w:p>
          <w:p w14:paraId="199745D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供应商《中小企业声明函》或残疾人福利性单位声明函或监狱企业声明函；</w:t>
            </w:r>
          </w:p>
          <w:p w14:paraId="58C36D3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highlight w:val="none"/>
              </w:rPr>
            </w:pPr>
            <w:r>
              <w:rPr>
                <w:rFonts w:hint="eastAsia" w:ascii="仿宋" w:hAnsi="仿宋" w:eastAsia="仿宋" w:cs="仿宋"/>
                <w:sz w:val="24"/>
                <w:szCs w:val="24"/>
                <w:highlight w:val="none"/>
              </w:rPr>
              <w:t>供应商若所供应产品为进口产品的，不适用《政府采购促进中小企业发展管理办法》。中标单位符合小微企业投标时享受中小企业扶持政策的，将随中标结果公开中标供应商的企业类型声明函。</w:t>
            </w:r>
          </w:p>
        </w:tc>
      </w:tr>
    </w:tbl>
    <w:p w14:paraId="7147E26B">
      <w:pPr>
        <w:spacing w:line="440" w:lineRule="exact"/>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22. 详细评审</w:t>
      </w:r>
    </w:p>
    <w:p w14:paraId="269A4187">
      <w:pPr>
        <w:spacing w:line="440" w:lineRule="exact"/>
        <w:ind w:firstLine="472" w:firstLineChars="200"/>
        <w:rPr>
          <w:rFonts w:hint="eastAsia" w:ascii="仿宋" w:hAnsi="仿宋" w:eastAsia="仿宋" w:cs="仿宋"/>
          <w:sz w:val="24"/>
          <w:highlight w:val="none"/>
        </w:rPr>
      </w:pPr>
      <w:r>
        <w:rPr>
          <w:rFonts w:hint="eastAsia" w:ascii="仿宋" w:hAnsi="仿宋" w:eastAsia="仿宋" w:cs="仿宋"/>
          <w:spacing w:val="-2"/>
          <w:sz w:val="24"/>
          <w:highlight w:val="none"/>
        </w:rPr>
        <w:t>22.1  经初步评审合格的投标文件，评标委员会应当根据招标文件确定的评标标准和方法，对</w:t>
      </w:r>
      <w:r>
        <w:rPr>
          <w:rFonts w:hint="eastAsia" w:ascii="仿宋" w:hAnsi="仿宋" w:eastAsia="仿宋" w:cs="仿宋"/>
          <w:sz w:val="24"/>
          <w:highlight w:val="none"/>
        </w:rPr>
        <w:t>投标人所有投标产品的</w:t>
      </w:r>
      <w:r>
        <w:rPr>
          <w:rFonts w:hint="eastAsia" w:ascii="仿宋" w:hAnsi="仿宋" w:eastAsia="仿宋" w:cs="仿宋"/>
          <w:spacing w:val="-2"/>
          <w:sz w:val="24"/>
          <w:highlight w:val="none"/>
        </w:rPr>
        <w:t>技术和商务部分进行详细评审</w:t>
      </w:r>
      <w:r>
        <w:rPr>
          <w:rFonts w:hint="eastAsia" w:ascii="仿宋" w:hAnsi="仿宋" w:eastAsia="仿宋" w:cs="仿宋"/>
          <w:sz w:val="24"/>
          <w:highlight w:val="none"/>
        </w:rPr>
        <w:t>。</w:t>
      </w:r>
    </w:p>
    <w:p w14:paraId="0DEDF5C8">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22.2  在评审过程中，为了有助于对投标文件进行审查、评估，投标人有责任按照招标方通知的时间、地点指派专人进行答疑和澄清。评标委员会可能要求投标人就投标文件中的内容进行答辩，投标人应按要求进行答辩。</w:t>
      </w:r>
    </w:p>
    <w:p w14:paraId="02EFBC12">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22.3采用综合评分法衡量投标文件在是否最大限度地满足招标文件实质性要求前提下，按照招标文件中规定的各项因素进行综合评审后，依据得分高低，依次确定为中标候选人。</w:t>
      </w:r>
    </w:p>
    <w:p w14:paraId="0002AD7E">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2CF90B32">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非单一产品采购项目，采购人应当根据采购项目技术构成、产品价格比重等合理确定核心产品，并在招标文件中载明。多家投标人提供的核心产品品牌相同的，按前款规定处理。</w:t>
      </w:r>
    </w:p>
    <w:p w14:paraId="3AE321F0">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22.3.1当投标人总得分相同时，以投标价格低者排位在前。</w:t>
      </w:r>
    </w:p>
    <w:p w14:paraId="2035E391">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22.4根据综合评分法完成评标后，评标委员会应当拟定一份书面评标报告提交招标方。</w:t>
      </w:r>
    </w:p>
    <w:p w14:paraId="7F892079">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22.5评标和定标一般应当在开标后7个工作日内完成，项目金额较大、技术较为复杂等特殊项目的评标工作应当在30个工作日内完成。不能在开标后30个工作日内完成评标和定标的，招标人应当提前3天通知所有投标人延长投标有效期。同意延长投标有效期的投标人应当相应延长投标保证金的有效期，但不得修改投标文件的实质性内容。</w:t>
      </w:r>
    </w:p>
    <w:p w14:paraId="5863BD11">
      <w:pPr>
        <w:pStyle w:val="11"/>
        <w:rPr>
          <w:rFonts w:hint="eastAsia" w:ascii="仿宋" w:hAnsi="仿宋" w:eastAsia="仿宋" w:cs="仿宋"/>
          <w:spacing w:val="-2"/>
          <w:sz w:val="24"/>
          <w:highlight w:val="none"/>
        </w:rPr>
      </w:pPr>
    </w:p>
    <w:p w14:paraId="48C1218E">
      <w:pPr>
        <w:rPr>
          <w:rFonts w:hint="eastAsia"/>
          <w:highlight w:val="none"/>
        </w:rPr>
      </w:pPr>
    </w:p>
    <w:p w14:paraId="1F97333F">
      <w:pPr>
        <w:rPr>
          <w:rFonts w:hint="eastAsia" w:ascii="仿宋" w:hAnsi="仿宋" w:eastAsia="仿宋" w:cs="仿宋"/>
          <w:b/>
          <w:sz w:val="28"/>
          <w:szCs w:val="22"/>
          <w:highlight w:val="none"/>
        </w:rPr>
      </w:pPr>
      <w:bookmarkStart w:id="48" w:name="_Toc507513105"/>
      <w:r>
        <w:rPr>
          <w:rFonts w:hint="eastAsia" w:ascii="仿宋" w:hAnsi="仿宋" w:eastAsia="仿宋" w:cs="仿宋"/>
          <w:b/>
          <w:sz w:val="28"/>
          <w:szCs w:val="22"/>
          <w:highlight w:val="none"/>
        </w:rPr>
        <w:br w:type="page"/>
      </w:r>
    </w:p>
    <w:p w14:paraId="1CD1777A">
      <w:pPr>
        <w:spacing w:line="400" w:lineRule="exact"/>
        <w:jc w:val="center"/>
        <w:outlineLvl w:val="1"/>
        <w:rPr>
          <w:rFonts w:hint="eastAsia" w:ascii="仿宋" w:hAnsi="仿宋" w:eastAsia="仿宋" w:cs="仿宋"/>
          <w:b/>
          <w:sz w:val="28"/>
          <w:szCs w:val="22"/>
          <w:highlight w:val="none"/>
        </w:rPr>
      </w:pPr>
      <w:r>
        <w:rPr>
          <w:rFonts w:hint="eastAsia" w:ascii="仿宋" w:hAnsi="仿宋" w:eastAsia="仿宋" w:cs="仿宋"/>
          <w:b/>
          <w:sz w:val="28"/>
          <w:szCs w:val="22"/>
          <w:highlight w:val="none"/>
        </w:rPr>
        <w:t>第七章 定　标</w:t>
      </w:r>
      <w:bookmarkEnd w:id="48"/>
    </w:p>
    <w:p w14:paraId="38ED5D48">
      <w:pPr>
        <w:spacing w:line="400" w:lineRule="exact"/>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23、定标标准</w:t>
      </w:r>
    </w:p>
    <w:p w14:paraId="56774FEE">
      <w:pPr>
        <w:spacing w:line="40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23.1　合同将授予被确定为实质性响应招标文件要求，经评定认为具备履行合同能力、报价合理、技术和商务条件都符合招标文件要求的，得分最高的投标人。</w:t>
      </w:r>
    </w:p>
    <w:p w14:paraId="2F7FDA11">
      <w:pPr>
        <w:spacing w:line="40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23.2　如果确定中标人没有条件圆满履行合同，招标方有权按照投标人的得分高低把合同授予下一个中标候选人。</w:t>
      </w:r>
    </w:p>
    <w:p w14:paraId="68E460FD">
      <w:pPr>
        <w:spacing w:line="400" w:lineRule="exact"/>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24、接受和拒绝任何或所有投标的权力</w:t>
      </w:r>
    </w:p>
    <w:p w14:paraId="7628D08E">
      <w:pPr>
        <w:spacing w:line="40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24.1　为维护国家利益，招标方在授予合同之前仍有选择或拒绝任何全部投标的权力。</w:t>
      </w:r>
    </w:p>
    <w:p w14:paraId="0C000108">
      <w:pPr>
        <w:spacing w:line="400" w:lineRule="exact"/>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25、中标通知书</w:t>
      </w:r>
    </w:p>
    <w:p w14:paraId="57FE2543">
      <w:pPr>
        <w:spacing w:line="40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25.1 中标结果确定后，招标方将以书面形式发出《中标通知书》，但发出时间不超过投标有效期，《中标通知书》一经发出即发生法律效力。</w:t>
      </w:r>
    </w:p>
    <w:p w14:paraId="5B2ACC57">
      <w:pPr>
        <w:spacing w:line="40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25.2  《中标通知书》将作为签订合同的依据。</w:t>
      </w:r>
    </w:p>
    <w:p w14:paraId="7BE806CE">
      <w:pPr>
        <w:spacing w:line="40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25.3  中标人在领取《中标通知书》时，必须按招标文件规定向招标代理机构缴纳招标代理服务费。</w:t>
      </w:r>
    </w:p>
    <w:p w14:paraId="238891FB">
      <w:pPr>
        <w:spacing w:line="400" w:lineRule="exact"/>
        <w:ind w:firstLine="424" w:firstLineChars="180"/>
        <w:rPr>
          <w:rFonts w:hint="eastAsia"/>
          <w:highlight w:val="none"/>
        </w:rPr>
      </w:pPr>
      <w:r>
        <w:rPr>
          <w:rFonts w:hint="eastAsia" w:ascii="仿宋" w:hAnsi="仿宋" w:eastAsia="仿宋" w:cs="仿宋"/>
          <w:spacing w:val="-2"/>
          <w:sz w:val="24"/>
          <w:highlight w:val="none"/>
        </w:rPr>
        <w:t xml:space="preserve">  </w:t>
      </w:r>
    </w:p>
    <w:p w14:paraId="350111F1">
      <w:pPr>
        <w:spacing w:line="400" w:lineRule="exact"/>
        <w:jc w:val="center"/>
        <w:outlineLvl w:val="1"/>
        <w:rPr>
          <w:rFonts w:hint="eastAsia" w:ascii="仿宋" w:hAnsi="仿宋" w:eastAsia="仿宋" w:cs="仿宋"/>
          <w:b/>
          <w:sz w:val="28"/>
          <w:szCs w:val="22"/>
          <w:highlight w:val="none"/>
        </w:rPr>
      </w:pPr>
      <w:bookmarkStart w:id="49" w:name="_Toc507513106"/>
      <w:r>
        <w:rPr>
          <w:rFonts w:hint="eastAsia" w:ascii="仿宋" w:hAnsi="仿宋" w:eastAsia="仿宋" w:cs="仿宋"/>
          <w:b/>
          <w:sz w:val="28"/>
          <w:szCs w:val="22"/>
          <w:highlight w:val="none"/>
        </w:rPr>
        <w:t>第八章 授予合同</w:t>
      </w:r>
      <w:bookmarkEnd w:id="49"/>
    </w:p>
    <w:bookmarkEnd w:id="0"/>
    <w:p w14:paraId="5BE30F70">
      <w:pPr>
        <w:spacing w:line="400" w:lineRule="exact"/>
        <w:ind w:firstLine="482" w:firstLineChars="200"/>
        <w:rPr>
          <w:rFonts w:hint="eastAsia" w:ascii="仿宋" w:hAnsi="仿宋" w:eastAsia="仿宋" w:cs="仿宋"/>
          <w:b/>
          <w:sz w:val="24"/>
          <w:highlight w:val="none"/>
        </w:rPr>
      </w:pPr>
      <w:bookmarkStart w:id="50" w:name="_Toc26460"/>
      <w:bookmarkStart w:id="51" w:name="_Toc502852409"/>
      <w:bookmarkStart w:id="52" w:name="_Toc502882149"/>
      <w:r>
        <w:rPr>
          <w:rFonts w:hint="eastAsia" w:ascii="仿宋" w:hAnsi="仿宋" w:eastAsia="仿宋" w:cs="仿宋"/>
          <w:b/>
          <w:sz w:val="24"/>
          <w:highlight w:val="none"/>
        </w:rPr>
        <w:t>26. 签订合同</w:t>
      </w:r>
    </w:p>
    <w:p w14:paraId="37699900">
      <w:pPr>
        <w:spacing w:line="40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26.1  中标人收到招标方的《中标通知书》后三十日内，按照招标文件和中标人投标文件中的约定与采购人签订书面合同，所签订的合同不得对招标文件和中标人的投标文件作实质性修改。</w:t>
      </w:r>
    </w:p>
    <w:p w14:paraId="381CA667">
      <w:pPr>
        <w:spacing w:line="40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26.2  招标方在授予合同时，有权对招标文件中规定的货物和服务的数量在10%的幅度内予以增加。</w:t>
      </w:r>
    </w:p>
    <w:p w14:paraId="064C79B5">
      <w:pPr>
        <w:spacing w:line="40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26.3  如中标人拒签合同，则按违约处理。</w:t>
      </w:r>
    </w:p>
    <w:p w14:paraId="2653365A">
      <w:pPr>
        <w:spacing w:line="40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26.4  招标文件、中标人的投标文件及其澄清文件等，均为签订合同的依据。</w:t>
      </w:r>
    </w:p>
    <w:p w14:paraId="4C3FCD8E">
      <w:pPr>
        <w:spacing w:line="40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26.5  不允许中标人将中标项目标项或转交他人承担。</w:t>
      </w:r>
    </w:p>
    <w:p w14:paraId="63DD3729">
      <w:pPr>
        <w:spacing w:line="40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27 投标人低价恶意中标不能按要求供货的，五年内禁止参加本辖区内的任何招标活动。</w:t>
      </w:r>
    </w:p>
    <w:p w14:paraId="268BE04E">
      <w:pPr>
        <w:pStyle w:val="37"/>
        <w:numPr>
          <w:ilvl w:val="0"/>
          <w:numId w:val="12"/>
        </w:numPr>
        <w:spacing w:before="0" w:after="0" w:line="360" w:lineRule="auto"/>
        <w:rPr>
          <w:rStyle w:val="52"/>
          <w:rFonts w:hint="eastAsia" w:ascii="仿宋" w:hAnsi="仿宋" w:eastAsia="仿宋" w:cs="仿宋"/>
          <w:b/>
          <w:bCs/>
          <w:color w:val="auto"/>
          <w:highlight w:val="none"/>
        </w:rPr>
      </w:pPr>
      <w:r>
        <w:rPr>
          <w:rStyle w:val="52"/>
          <w:rFonts w:hint="eastAsia" w:ascii="仿宋" w:hAnsi="仿宋" w:eastAsia="仿宋" w:cs="仿宋"/>
          <w:b/>
          <w:bCs/>
          <w:color w:val="auto"/>
          <w:highlight w:val="none"/>
        </w:rPr>
        <w:br w:type="page"/>
      </w:r>
      <w:bookmarkStart w:id="53" w:name="_Toc14278"/>
      <w:r>
        <w:rPr>
          <w:rStyle w:val="52"/>
          <w:rFonts w:hint="eastAsia" w:ascii="仿宋" w:hAnsi="仿宋" w:eastAsia="仿宋" w:cs="仿宋"/>
          <w:b/>
          <w:bCs/>
          <w:color w:val="auto"/>
          <w:highlight w:val="none"/>
        </w:rPr>
        <w:t>采购内容及服务需求</w:t>
      </w:r>
      <w:bookmarkEnd w:id="50"/>
      <w:bookmarkEnd w:id="53"/>
    </w:p>
    <w:bookmarkEnd w:id="51"/>
    <w:bookmarkEnd w:id="52"/>
    <w:p w14:paraId="1040834A">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color w:val="auto"/>
          <w:sz w:val="24"/>
          <w:szCs w:val="24"/>
          <w:highlight w:val="none"/>
          <w:lang w:val="en-US" w:eastAsia="zh-CN"/>
        </w:rPr>
      </w:pPr>
      <w:bookmarkStart w:id="54" w:name="_Toc502852418"/>
      <w:bookmarkStart w:id="55" w:name="_Toc380404621"/>
      <w:bookmarkStart w:id="56" w:name="_Toc433042579"/>
      <w:bookmarkStart w:id="57" w:name="_Toc502882158"/>
      <w:bookmarkStart w:id="58" w:name="_Toc1465"/>
      <w:r>
        <w:rPr>
          <w:rFonts w:hint="eastAsia" w:ascii="仿宋" w:hAnsi="仿宋" w:eastAsia="仿宋" w:cs="仿宋"/>
          <w:color w:val="auto"/>
          <w:sz w:val="24"/>
          <w:szCs w:val="24"/>
          <w:highlight w:val="none"/>
          <w:lang w:val="en-US" w:eastAsia="zh-CN"/>
        </w:rPr>
        <w:t>项目名称：新疆维吾尔自治区教育考试院职工食堂蔬菜采购项目</w:t>
      </w:r>
    </w:p>
    <w:p w14:paraId="47AFC47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2、项目预算：</w:t>
      </w:r>
      <w:r>
        <w:rPr>
          <w:rFonts w:hint="eastAsia" w:ascii="仿宋" w:hAnsi="仿宋" w:eastAsia="仿宋" w:cs="仿宋"/>
          <w:sz w:val="24"/>
          <w:szCs w:val="24"/>
          <w:highlight w:val="none"/>
          <w:lang w:val="en-US" w:eastAsia="zh-CN"/>
        </w:rPr>
        <w:t>1110000.00元（人民币壹佰壹拾壹万元整）</w:t>
      </w:r>
    </w:p>
    <w:p w14:paraId="0496A14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39" w:leftChars="114" w:right="0" w:rightChars="0" w:firstLine="240" w:firstLineChars="100"/>
        <w:jc w:val="both"/>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主要标的物:蔬菜、水果等。</w:t>
      </w:r>
    </w:p>
    <w:p w14:paraId="1A5B42E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包括但不限于：葫芦瓜、青笋、长茄子、土豆、娃娃菜、韭菜、生菜、西蓝花、油麦菜、小米辣、面筋、冬瓜、佛手瓜、广东菜心、老豆腐、豆皮、大葱、小葱、生姜、带皮大蒜、去皮大蒜子、蒜苗、胡萝卜、黄萝卜、水萝卜、南瓜、铁棍山药、红薯、大芋头、菠菜、毛白菜、油白菜、快菜、大白菜、包菜、西芹、毛芹、鲜香菇、平菇、海鲜菇、黄瓜、上海青、苹果、香梨、沃柑、甜瓜、春桃、火龙果、猕猴桃、菠萝、当季水果。</w:t>
      </w:r>
    </w:p>
    <w:p w14:paraId="57B0841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3、特殊资质：《食品经营许可证》或《食品生产许可证》。</w:t>
      </w:r>
    </w:p>
    <w:p w14:paraId="078D2EF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4、采购需求：</w:t>
      </w:r>
    </w:p>
    <w:p w14:paraId="377E865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仿宋" w:hAnsi="仿宋" w:eastAsia="仿宋"/>
          <w:color w:val="auto"/>
          <w:sz w:val="24"/>
          <w:highlight w:val="none"/>
          <w:lang w:val="en-US" w:eastAsia="zh-CN"/>
        </w:rPr>
      </w:pPr>
      <w:r>
        <w:rPr>
          <w:rFonts w:hint="eastAsia" w:ascii="仿宋" w:hAnsi="仿宋" w:eastAsia="仿宋" w:cs="Times New Roman"/>
          <w:color w:val="auto"/>
          <w:sz w:val="24"/>
          <w:highlight w:val="none"/>
          <w:lang w:val="en-US" w:eastAsia="zh-CN"/>
        </w:rPr>
        <w:t>为进一步加强食堂餐饮服务与管理，从源头上控制食品安全风险，确保食材的新鲜及时供应，需要选定优秀的食材采购配送服务商，采购和配送的食材主要有：</w:t>
      </w:r>
      <w:r>
        <w:rPr>
          <w:rFonts w:hint="eastAsia" w:ascii="仿宋" w:hAnsi="仿宋" w:eastAsia="仿宋"/>
          <w:color w:val="auto"/>
          <w:sz w:val="24"/>
          <w:highlight w:val="none"/>
        </w:rPr>
        <w:t>蔬菜</w:t>
      </w:r>
      <w:r>
        <w:rPr>
          <w:rFonts w:hint="eastAsia" w:ascii="仿宋" w:hAnsi="仿宋" w:eastAsia="仿宋"/>
          <w:color w:val="auto"/>
          <w:sz w:val="24"/>
          <w:highlight w:val="none"/>
          <w:lang w:eastAsia="zh-CN"/>
        </w:rPr>
        <w:t>、</w:t>
      </w:r>
      <w:r>
        <w:rPr>
          <w:rFonts w:hint="eastAsia" w:ascii="仿宋" w:hAnsi="仿宋" w:eastAsia="仿宋"/>
          <w:color w:val="auto"/>
          <w:sz w:val="24"/>
          <w:highlight w:val="none"/>
          <w:lang w:val="en-US" w:eastAsia="zh-CN"/>
        </w:rPr>
        <w:t>水果</w:t>
      </w:r>
      <w:r>
        <w:rPr>
          <w:rFonts w:hint="eastAsia" w:ascii="仿宋" w:hAnsi="仿宋" w:eastAsia="仿宋" w:cs="Times New Roman"/>
          <w:color w:val="auto"/>
          <w:sz w:val="24"/>
          <w:highlight w:val="none"/>
          <w:lang w:val="en-US" w:eastAsia="zh-CN"/>
        </w:rPr>
        <w:t>等。食材具体品种和数量根据实际需求确定，结算时据实结算。</w:t>
      </w:r>
      <w:r>
        <w:rPr>
          <w:rFonts w:hint="eastAsia" w:ascii="仿宋" w:hAnsi="仿宋" w:eastAsia="仿宋"/>
          <w:color w:val="auto"/>
          <w:sz w:val="24"/>
          <w:highlight w:val="none"/>
          <w:lang w:val="en-US" w:eastAsia="zh-CN"/>
        </w:rPr>
        <w:t>本单位食堂设有早、中、晚三餐，周六周日存在就餐需求。</w:t>
      </w:r>
    </w:p>
    <w:p w14:paraId="4C7B17F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食材供货配送服务期：一年。每日配送（在甲方规定时间内配送到位）。如有临时任务，需要紧急配送时，供应商需接到电话通知后90分钟内送达。</w:t>
      </w:r>
    </w:p>
    <w:p w14:paraId="603BE00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同签订后第1个月为试用期，如试用期内考核不合格（提供不合格产品或品质差的产品或不按要求配送，或延迟配送影响正常就餐的），采购人可立即终止合同。采购人有权每月对中标人的服务质量进行综合考核，若中标单位累计3个月考核不合格，采购人可终止合同。</w:t>
      </w:r>
    </w:p>
    <w:p w14:paraId="38E8DD03">
      <w:pPr>
        <w:spacing w:line="360" w:lineRule="auto"/>
        <w:ind w:firstLine="833" w:firstLineChars="395"/>
        <w:jc w:val="center"/>
        <w:rPr>
          <w:rFonts w:hint="eastAsia" w:ascii="宋体" w:hAnsi="宋体" w:eastAsia="宋体" w:cs="宋体"/>
          <w:b/>
          <w:szCs w:val="21"/>
          <w:highlight w:val="none"/>
          <w:lang w:eastAsia="zh-CN"/>
        </w:rPr>
      </w:pPr>
      <w:r>
        <w:rPr>
          <w:rFonts w:hint="eastAsia" w:ascii="宋体" w:hAnsi="宋体" w:cs="宋体"/>
          <w:b/>
          <w:szCs w:val="21"/>
          <w:highlight w:val="none"/>
        </w:rPr>
        <w:br w:type="page"/>
      </w:r>
      <w:r>
        <w:rPr>
          <w:rFonts w:hint="eastAsia" w:ascii="宋体" w:hAnsi="宋体" w:cs="宋体"/>
          <w:b/>
          <w:szCs w:val="21"/>
          <w:highlight w:val="none"/>
        </w:rPr>
        <w:t>食堂食材配送单位考核细则</w:t>
      </w:r>
      <w:r>
        <w:rPr>
          <w:rFonts w:hint="eastAsia" w:ascii="宋体" w:hAnsi="宋体" w:cs="宋体"/>
          <w:b/>
          <w:szCs w:val="21"/>
          <w:highlight w:val="none"/>
          <w:lang w:eastAsia="zh-CN"/>
        </w:rPr>
        <w:t>（参考）</w:t>
      </w:r>
    </w:p>
    <w:p w14:paraId="61AF3D54">
      <w:pPr>
        <w:spacing w:line="360" w:lineRule="auto"/>
        <w:ind w:firstLine="833" w:firstLineChars="395"/>
        <w:jc w:val="center"/>
        <w:rPr>
          <w:rFonts w:hint="eastAsia" w:ascii="宋体" w:hAnsi="宋体" w:cs="宋体"/>
          <w:b/>
          <w:szCs w:val="21"/>
          <w:highlight w:val="none"/>
        </w:rPr>
      </w:pPr>
    </w:p>
    <w:p w14:paraId="4899B2E0">
      <w:pPr>
        <w:spacing w:line="360" w:lineRule="auto"/>
        <w:rPr>
          <w:rFonts w:hint="eastAsia" w:ascii="宋体" w:hAnsi="宋体" w:cs="宋体"/>
          <w:b/>
          <w:szCs w:val="21"/>
          <w:highlight w:val="none"/>
        </w:rPr>
      </w:pPr>
      <w:r>
        <w:rPr>
          <w:rFonts w:hint="eastAsia" w:ascii="宋体" w:hAnsi="宋体" w:cs="宋体"/>
          <w:b/>
          <w:szCs w:val="21"/>
          <w:highlight w:val="none"/>
        </w:rPr>
        <w:t>被考核单位：                                             考核月份：</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900"/>
        <w:gridCol w:w="1325"/>
        <w:gridCol w:w="725"/>
        <w:gridCol w:w="5842"/>
      </w:tblGrid>
      <w:tr w14:paraId="1BD58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dxa"/>
            <w:noWrap w:val="0"/>
            <w:vAlign w:val="center"/>
          </w:tcPr>
          <w:p w14:paraId="3D6D7B48">
            <w:pPr>
              <w:spacing w:line="360" w:lineRule="auto"/>
              <w:jc w:val="center"/>
              <w:rPr>
                <w:rFonts w:hint="eastAsia" w:ascii="宋体" w:hAnsi="宋体" w:cs="宋体"/>
                <w:szCs w:val="21"/>
                <w:highlight w:val="none"/>
              </w:rPr>
            </w:pPr>
            <w:r>
              <w:rPr>
                <w:rFonts w:hint="eastAsia" w:ascii="宋体" w:hAnsi="宋体" w:cs="宋体"/>
                <w:szCs w:val="21"/>
                <w:highlight w:val="none"/>
              </w:rPr>
              <w:t>序号</w:t>
            </w:r>
          </w:p>
        </w:tc>
        <w:tc>
          <w:tcPr>
            <w:tcW w:w="900" w:type="dxa"/>
            <w:noWrap w:val="0"/>
            <w:vAlign w:val="center"/>
          </w:tcPr>
          <w:p w14:paraId="75DE3BAA">
            <w:pPr>
              <w:spacing w:line="360" w:lineRule="auto"/>
              <w:jc w:val="center"/>
              <w:rPr>
                <w:rFonts w:hint="eastAsia" w:ascii="宋体" w:hAnsi="宋体" w:cs="宋体"/>
                <w:szCs w:val="21"/>
                <w:highlight w:val="none"/>
              </w:rPr>
            </w:pPr>
            <w:r>
              <w:rPr>
                <w:rFonts w:hint="eastAsia" w:ascii="宋体" w:hAnsi="宋体" w:cs="宋体"/>
                <w:szCs w:val="21"/>
                <w:highlight w:val="none"/>
              </w:rPr>
              <w:t>一级指标</w:t>
            </w:r>
          </w:p>
        </w:tc>
        <w:tc>
          <w:tcPr>
            <w:tcW w:w="1325" w:type="dxa"/>
            <w:noWrap w:val="0"/>
            <w:vAlign w:val="center"/>
          </w:tcPr>
          <w:p w14:paraId="48832CB5">
            <w:pPr>
              <w:spacing w:line="360" w:lineRule="auto"/>
              <w:jc w:val="center"/>
              <w:rPr>
                <w:rFonts w:hint="eastAsia" w:ascii="宋体" w:hAnsi="宋体" w:cs="宋体"/>
                <w:szCs w:val="21"/>
                <w:highlight w:val="none"/>
              </w:rPr>
            </w:pPr>
            <w:r>
              <w:rPr>
                <w:rFonts w:hint="eastAsia" w:ascii="宋体" w:hAnsi="宋体" w:cs="宋体"/>
                <w:szCs w:val="21"/>
                <w:highlight w:val="none"/>
              </w:rPr>
              <w:t>二级指标</w:t>
            </w:r>
          </w:p>
        </w:tc>
        <w:tc>
          <w:tcPr>
            <w:tcW w:w="725" w:type="dxa"/>
            <w:noWrap w:val="0"/>
            <w:vAlign w:val="center"/>
          </w:tcPr>
          <w:p w14:paraId="580CCDA6">
            <w:pPr>
              <w:spacing w:line="360" w:lineRule="auto"/>
              <w:jc w:val="center"/>
              <w:rPr>
                <w:rFonts w:hint="eastAsia" w:ascii="宋体" w:hAnsi="宋体" w:cs="宋体"/>
                <w:szCs w:val="21"/>
                <w:highlight w:val="none"/>
              </w:rPr>
            </w:pPr>
            <w:r>
              <w:rPr>
                <w:rFonts w:hint="eastAsia" w:ascii="宋体" w:hAnsi="宋体" w:cs="宋体"/>
                <w:szCs w:val="21"/>
                <w:highlight w:val="none"/>
              </w:rPr>
              <w:t>分值</w:t>
            </w:r>
          </w:p>
        </w:tc>
        <w:tc>
          <w:tcPr>
            <w:tcW w:w="5842" w:type="dxa"/>
            <w:noWrap w:val="0"/>
            <w:vAlign w:val="center"/>
          </w:tcPr>
          <w:p w14:paraId="3925A3F6">
            <w:pPr>
              <w:spacing w:line="360" w:lineRule="auto"/>
              <w:jc w:val="center"/>
              <w:rPr>
                <w:rFonts w:hint="eastAsia" w:ascii="宋体" w:hAnsi="宋体" w:cs="宋体"/>
                <w:szCs w:val="21"/>
                <w:highlight w:val="none"/>
              </w:rPr>
            </w:pPr>
            <w:r>
              <w:rPr>
                <w:rFonts w:hint="eastAsia" w:ascii="宋体" w:hAnsi="宋体" w:cs="宋体"/>
                <w:szCs w:val="21"/>
                <w:highlight w:val="none"/>
              </w:rPr>
              <w:t>评分标准</w:t>
            </w:r>
          </w:p>
        </w:tc>
      </w:tr>
      <w:tr w14:paraId="57F06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94" w:type="dxa"/>
            <w:vMerge w:val="restart"/>
            <w:noWrap w:val="0"/>
            <w:vAlign w:val="center"/>
          </w:tcPr>
          <w:p w14:paraId="4F341A6D">
            <w:pPr>
              <w:spacing w:line="360" w:lineRule="auto"/>
              <w:jc w:val="center"/>
              <w:rPr>
                <w:rFonts w:hint="eastAsia" w:ascii="宋体" w:hAnsi="宋体" w:cs="宋体"/>
                <w:szCs w:val="21"/>
                <w:highlight w:val="none"/>
              </w:rPr>
            </w:pPr>
            <w:r>
              <w:rPr>
                <w:rFonts w:hint="eastAsia" w:ascii="宋体" w:hAnsi="宋体" w:cs="宋体"/>
                <w:szCs w:val="21"/>
                <w:highlight w:val="none"/>
              </w:rPr>
              <w:t>1</w:t>
            </w:r>
          </w:p>
        </w:tc>
        <w:tc>
          <w:tcPr>
            <w:tcW w:w="900" w:type="dxa"/>
            <w:vMerge w:val="restart"/>
            <w:noWrap w:val="0"/>
            <w:vAlign w:val="center"/>
          </w:tcPr>
          <w:p w14:paraId="1336A03C">
            <w:pPr>
              <w:spacing w:line="360" w:lineRule="auto"/>
              <w:jc w:val="center"/>
              <w:rPr>
                <w:rFonts w:hint="eastAsia" w:ascii="宋体" w:hAnsi="宋体" w:cs="宋体"/>
                <w:szCs w:val="21"/>
                <w:highlight w:val="none"/>
              </w:rPr>
            </w:pPr>
          </w:p>
          <w:p w14:paraId="43A3FA88">
            <w:pPr>
              <w:spacing w:line="360" w:lineRule="auto"/>
              <w:jc w:val="center"/>
              <w:rPr>
                <w:rFonts w:hint="eastAsia" w:ascii="宋体" w:hAnsi="宋体" w:cs="宋体"/>
                <w:szCs w:val="21"/>
                <w:highlight w:val="none"/>
              </w:rPr>
            </w:pPr>
            <w:r>
              <w:rPr>
                <w:rFonts w:hint="eastAsia" w:ascii="宋体" w:hAnsi="宋体" w:cs="宋体"/>
                <w:szCs w:val="21"/>
                <w:highlight w:val="none"/>
              </w:rPr>
              <w:t>流程管理</w:t>
            </w:r>
          </w:p>
        </w:tc>
        <w:tc>
          <w:tcPr>
            <w:tcW w:w="1325" w:type="dxa"/>
            <w:noWrap w:val="0"/>
            <w:vAlign w:val="center"/>
          </w:tcPr>
          <w:p w14:paraId="776A985F">
            <w:pPr>
              <w:spacing w:line="360" w:lineRule="auto"/>
              <w:jc w:val="center"/>
              <w:rPr>
                <w:rFonts w:hint="eastAsia" w:ascii="宋体" w:hAnsi="宋体" w:cs="宋体"/>
                <w:szCs w:val="21"/>
                <w:highlight w:val="none"/>
              </w:rPr>
            </w:pPr>
            <w:r>
              <w:rPr>
                <w:rFonts w:hint="eastAsia" w:ascii="宋体" w:hAnsi="宋体" w:cs="宋体"/>
                <w:szCs w:val="21"/>
                <w:highlight w:val="none"/>
              </w:rPr>
              <w:t>按时送货</w:t>
            </w:r>
          </w:p>
        </w:tc>
        <w:tc>
          <w:tcPr>
            <w:tcW w:w="725" w:type="dxa"/>
            <w:noWrap w:val="0"/>
            <w:vAlign w:val="center"/>
          </w:tcPr>
          <w:p w14:paraId="654E814D">
            <w:pPr>
              <w:spacing w:line="360" w:lineRule="auto"/>
              <w:jc w:val="center"/>
              <w:rPr>
                <w:rFonts w:hint="eastAsia" w:ascii="宋体" w:hAnsi="宋体" w:cs="宋体"/>
                <w:szCs w:val="21"/>
                <w:highlight w:val="none"/>
              </w:rPr>
            </w:pPr>
            <w:r>
              <w:rPr>
                <w:rFonts w:hint="eastAsia" w:ascii="宋体" w:hAnsi="宋体" w:cs="宋体"/>
                <w:szCs w:val="21"/>
                <w:highlight w:val="none"/>
              </w:rPr>
              <w:t>12</w:t>
            </w:r>
          </w:p>
        </w:tc>
        <w:tc>
          <w:tcPr>
            <w:tcW w:w="5842" w:type="dxa"/>
            <w:noWrap w:val="0"/>
            <w:vAlign w:val="center"/>
          </w:tcPr>
          <w:p w14:paraId="7780F124">
            <w:pPr>
              <w:spacing w:line="360" w:lineRule="auto"/>
              <w:rPr>
                <w:rFonts w:hint="eastAsia" w:ascii="宋体" w:hAnsi="宋体" w:cs="宋体"/>
                <w:szCs w:val="21"/>
                <w:highlight w:val="none"/>
              </w:rPr>
            </w:pPr>
            <w:r>
              <w:rPr>
                <w:rFonts w:hint="eastAsia" w:ascii="宋体" w:hAnsi="宋体" w:cs="宋体"/>
                <w:szCs w:val="21"/>
                <w:highlight w:val="none"/>
              </w:rPr>
              <w:t>送货准时，每天所需食材一并送达，（非不可抗拒情况下延误一次扣3分，以此类推，扣完为止。如发现委托其他人或其他车代送不得分）需及时做好登记，让双方共同签名确认，作为扣分依据。</w:t>
            </w:r>
          </w:p>
        </w:tc>
      </w:tr>
      <w:tr w14:paraId="4EB5E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94" w:type="dxa"/>
            <w:vMerge w:val="continue"/>
            <w:noWrap w:val="0"/>
            <w:vAlign w:val="center"/>
          </w:tcPr>
          <w:p w14:paraId="03498E73">
            <w:pPr>
              <w:spacing w:line="360" w:lineRule="auto"/>
              <w:jc w:val="center"/>
              <w:rPr>
                <w:rFonts w:hint="eastAsia" w:ascii="宋体" w:hAnsi="宋体" w:cs="宋体"/>
                <w:szCs w:val="21"/>
                <w:highlight w:val="none"/>
              </w:rPr>
            </w:pPr>
          </w:p>
        </w:tc>
        <w:tc>
          <w:tcPr>
            <w:tcW w:w="900" w:type="dxa"/>
            <w:vMerge w:val="continue"/>
            <w:noWrap w:val="0"/>
            <w:vAlign w:val="center"/>
          </w:tcPr>
          <w:p w14:paraId="19B00E0E">
            <w:pPr>
              <w:spacing w:line="360" w:lineRule="auto"/>
              <w:jc w:val="center"/>
              <w:rPr>
                <w:rFonts w:hint="eastAsia" w:ascii="宋体" w:hAnsi="宋体" w:cs="宋体"/>
                <w:szCs w:val="21"/>
                <w:highlight w:val="none"/>
              </w:rPr>
            </w:pPr>
          </w:p>
        </w:tc>
        <w:tc>
          <w:tcPr>
            <w:tcW w:w="1325" w:type="dxa"/>
            <w:noWrap w:val="0"/>
            <w:vAlign w:val="center"/>
          </w:tcPr>
          <w:p w14:paraId="4FAC4752">
            <w:pPr>
              <w:spacing w:line="360" w:lineRule="auto"/>
              <w:jc w:val="center"/>
              <w:rPr>
                <w:rFonts w:hint="eastAsia" w:ascii="宋体" w:hAnsi="宋体" w:cs="宋体"/>
                <w:szCs w:val="21"/>
                <w:highlight w:val="none"/>
              </w:rPr>
            </w:pPr>
            <w:r>
              <w:rPr>
                <w:rFonts w:hint="eastAsia" w:ascii="宋体" w:hAnsi="宋体" w:cs="宋体"/>
                <w:szCs w:val="21"/>
                <w:highlight w:val="none"/>
              </w:rPr>
              <w:t>足斤足两</w:t>
            </w:r>
          </w:p>
        </w:tc>
        <w:tc>
          <w:tcPr>
            <w:tcW w:w="725" w:type="dxa"/>
            <w:noWrap w:val="0"/>
            <w:vAlign w:val="center"/>
          </w:tcPr>
          <w:p w14:paraId="2C5A5EED">
            <w:pPr>
              <w:spacing w:line="360" w:lineRule="auto"/>
              <w:jc w:val="center"/>
              <w:rPr>
                <w:rFonts w:hint="eastAsia" w:ascii="宋体" w:hAnsi="宋体" w:cs="宋体"/>
                <w:szCs w:val="21"/>
                <w:highlight w:val="none"/>
              </w:rPr>
            </w:pPr>
            <w:r>
              <w:rPr>
                <w:rFonts w:hint="eastAsia" w:ascii="宋体" w:hAnsi="宋体" w:cs="宋体"/>
                <w:szCs w:val="21"/>
                <w:highlight w:val="none"/>
              </w:rPr>
              <w:t>8</w:t>
            </w:r>
          </w:p>
        </w:tc>
        <w:tc>
          <w:tcPr>
            <w:tcW w:w="5842" w:type="dxa"/>
            <w:noWrap w:val="0"/>
            <w:vAlign w:val="center"/>
          </w:tcPr>
          <w:p w14:paraId="2A3B628F">
            <w:pPr>
              <w:spacing w:line="360" w:lineRule="auto"/>
              <w:rPr>
                <w:rFonts w:hint="eastAsia" w:ascii="宋体" w:hAnsi="宋体" w:cs="宋体"/>
                <w:szCs w:val="21"/>
                <w:highlight w:val="none"/>
              </w:rPr>
            </w:pPr>
            <w:r>
              <w:rPr>
                <w:rFonts w:hint="eastAsia" w:ascii="宋体" w:hAnsi="宋体" w:cs="宋体"/>
                <w:szCs w:val="21"/>
                <w:highlight w:val="none"/>
              </w:rPr>
              <w:t>送货无缺斤少量现象。（分量短缺达到该类食材配送量5%以上，每次扣2分，扣完为止）需及时做好登记，让双方共同签名确认，作为扣分依据。</w:t>
            </w:r>
          </w:p>
        </w:tc>
      </w:tr>
      <w:tr w14:paraId="332A7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494" w:type="dxa"/>
            <w:vMerge w:val="continue"/>
            <w:noWrap w:val="0"/>
            <w:vAlign w:val="center"/>
          </w:tcPr>
          <w:p w14:paraId="073C8BC6">
            <w:pPr>
              <w:spacing w:line="360" w:lineRule="auto"/>
              <w:jc w:val="center"/>
              <w:rPr>
                <w:rFonts w:hint="eastAsia" w:ascii="宋体" w:hAnsi="宋体" w:cs="宋体"/>
                <w:szCs w:val="21"/>
                <w:highlight w:val="none"/>
              </w:rPr>
            </w:pPr>
          </w:p>
        </w:tc>
        <w:tc>
          <w:tcPr>
            <w:tcW w:w="900" w:type="dxa"/>
            <w:vMerge w:val="continue"/>
            <w:noWrap w:val="0"/>
            <w:vAlign w:val="center"/>
          </w:tcPr>
          <w:p w14:paraId="6886941B">
            <w:pPr>
              <w:spacing w:line="360" w:lineRule="auto"/>
              <w:jc w:val="center"/>
              <w:rPr>
                <w:rFonts w:hint="eastAsia" w:ascii="宋体" w:hAnsi="宋体" w:cs="宋体"/>
                <w:szCs w:val="21"/>
                <w:highlight w:val="none"/>
              </w:rPr>
            </w:pPr>
          </w:p>
        </w:tc>
        <w:tc>
          <w:tcPr>
            <w:tcW w:w="1325" w:type="dxa"/>
            <w:noWrap w:val="0"/>
            <w:vAlign w:val="center"/>
          </w:tcPr>
          <w:p w14:paraId="233B8E43">
            <w:pPr>
              <w:spacing w:line="360" w:lineRule="auto"/>
              <w:jc w:val="center"/>
              <w:rPr>
                <w:rFonts w:hint="eastAsia" w:ascii="宋体" w:hAnsi="宋体" w:cs="宋体"/>
                <w:szCs w:val="21"/>
                <w:highlight w:val="none"/>
              </w:rPr>
            </w:pPr>
            <w:r>
              <w:rPr>
                <w:rFonts w:hint="eastAsia" w:ascii="宋体" w:hAnsi="宋体" w:cs="宋体"/>
                <w:szCs w:val="21"/>
                <w:highlight w:val="none"/>
              </w:rPr>
              <w:t>服务态度</w:t>
            </w:r>
          </w:p>
        </w:tc>
        <w:tc>
          <w:tcPr>
            <w:tcW w:w="725" w:type="dxa"/>
            <w:noWrap w:val="0"/>
            <w:vAlign w:val="center"/>
          </w:tcPr>
          <w:p w14:paraId="2681FB62">
            <w:pPr>
              <w:spacing w:line="360" w:lineRule="auto"/>
              <w:jc w:val="center"/>
              <w:rPr>
                <w:rFonts w:hint="eastAsia" w:ascii="宋体" w:hAnsi="宋体" w:cs="宋体"/>
                <w:szCs w:val="21"/>
                <w:highlight w:val="none"/>
              </w:rPr>
            </w:pPr>
            <w:r>
              <w:rPr>
                <w:rFonts w:hint="eastAsia" w:ascii="宋体" w:hAnsi="宋体" w:cs="宋体"/>
                <w:szCs w:val="21"/>
                <w:highlight w:val="none"/>
              </w:rPr>
              <w:t xml:space="preserve">4 </w:t>
            </w:r>
          </w:p>
        </w:tc>
        <w:tc>
          <w:tcPr>
            <w:tcW w:w="5842" w:type="dxa"/>
            <w:noWrap w:val="0"/>
            <w:vAlign w:val="center"/>
          </w:tcPr>
          <w:p w14:paraId="60A9D1E5">
            <w:pPr>
              <w:spacing w:line="360" w:lineRule="auto"/>
              <w:rPr>
                <w:rFonts w:hint="eastAsia" w:ascii="宋体" w:hAnsi="宋体" w:cs="宋体"/>
                <w:szCs w:val="21"/>
                <w:highlight w:val="none"/>
              </w:rPr>
            </w:pPr>
            <w:r>
              <w:rPr>
                <w:rFonts w:hint="eastAsia" w:ascii="宋体" w:hAnsi="宋体" w:cs="宋体"/>
                <w:szCs w:val="21"/>
                <w:highlight w:val="none"/>
              </w:rPr>
              <w:t>中标方配送人员工作认真负责，服务热情周到，运送文明（配送人员野蛮运装货</w:t>
            </w:r>
            <w:r>
              <w:rPr>
                <w:rFonts w:hint="eastAsia" w:ascii="宋体" w:hAnsi="宋体" w:cs="宋体"/>
                <w:szCs w:val="21"/>
                <w:highlight w:val="none"/>
                <w:lang w:eastAsia="zh-CN"/>
              </w:rPr>
              <w:t>、</w:t>
            </w:r>
            <w:r>
              <w:rPr>
                <w:rFonts w:hint="eastAsia" w:ascii="宋体" w:hAnsi="宋体" w:cs="宋体"/>
                <w:szCs w:val="21"/>
                <w:highlight w:val="none"/>
              </w:rPr>
              <w:t>无正当理由与食堂人员争执，每次扣1分，扣完为止）</w:t>
            </w:r>
          </w:p>
        </w:tc>
      </w:tr>
      <w:tr w14:paraId="5673E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94" w:type="dxa"/>
            <w:vMerge w:val="continue"/>
            <w:noWrap w:val="0"/>
            <w:vAlign w:val="center"/>
          </w:tcPr>
          <w:p w14:paraId="5A214ADC">
            <w:pPr>
              <w:spacing w:line="360" w:lineRule="auto"/>
              <w:jc w:val="center"/>
              <w:rPr>
                <w:rFonts w:hint="eastAsia" w:ascii="宋体" w:hAnsi="宋体" w:cs="宋体"/>
                <w:szCs w:val="21"/>
                <w:highlight w:val="none"/>
              </w:rPr>
            </w:pPr>
          </w:p>
        </w:tc>
        <w:tc>
          <w:tcPr>
            <w:tcW w:w="900" w:type="dxa"/>
            <w:vMerge w:val="continue"/>
            <w:noWrap w:val="0"/>
            <w:vAlign w:val="center"/>
          </w:tcPr>
          <w:p w14:paraId="620D907B">
            <w:pPr>
              <w:spacing w:line="360" w:lineRule="auto"/>
              <w:jc w:val="center"/>
              <w:rPr>
                <w:rFonts w:hint="eastAsia" w:ascii="宋体" w:hAnsi="宋体" w:cs="宋体"/>
                <w:szCs w:val="21"/>
                <w:highlight w:val="none"/>
              </w:rPr>
            </w:pPr>
          </w:p>
        </w:tc>
        <w:tc>
          <w:tcPr>
            <w:tcW w:w="1325" w:type="dxa"/>
            <w:noWrap w:val="0"/>
            <w:vAlign w:val="center"/>
          </w:tcPr>
          <w:p w14:paraId="425A1DD1">
            <w:pPr>
              <w:spacing w:line="360" w:lineRule="auto"/>
              <w:jc w:val="center"/>
              <w:rPr>
                <w:rFonts w:hint="eastAsia" w:ascii="宋体" w:hAnsi="宋体" w:cs="宋体"/>
                <w:szCs w:val="21"/>
                <w:highlight w:val="none"/>
              </w:rPr>
            </w:pPr>
            <w:r>
              <w:rPr>
                <w:rFonts w:hint="eastAsia" w:ascii="宋体" w:hAnsi="宋体" w:cs="宋体"/>
                <w:szCs w:val="21"/>
                <w:highlight w:val="none"/>
              </w:rPr>
              <w:t>着装要求</w:t>
            </w:r>
          </w:p>
        </w:tc>
        <w:tc>
          <w:tcPr>
            <w:tcW w:w="725" w:type="dxa"/>
            <w:noWrap w:val="0"/>
            <w:vAlign w:val="center"/>
          </w:tcPr>
          <w:p w14:paraId="47EE1A90">
            <w:pPr>
              <w:spacing w:line="360" w:lineRule="auto"/>
              <w:jc w:val="center"/>
              <w:rPr>
                <w:rFonts w:hint="eastAsia" w:ascii="宋体" w:hAnsi="宋体" w:cs="宋体"/>
                <w:szCs w:val="21"/>
                <w:highlight w:val="none"/>
              </w:rPr>
            </w:pPr>
            <w:r>
              <w:rPr>
                <w:rFonts w:hint="eastAsia" w:ascii="宋体" w:hAnsi="宋体" w:cs="宋体"/>
                <w:szCs w:val="21"/>
                <w:highlight w:val="none"/>
              </w:rPr>
              <w:t xml:space="preserve">4 </w:t>
            </w:r>
          </w:p>
        </w:tc>
        <w:tc>
          <w:tcPr>
            <w:tcW w:w="5842" w:type="dxa"/>
            <w:noWrap w:val="0"/>
            <w:vAlign w:val="center"/>
          </w:tcPr>
          <w:p w14:paraId="5F663BA2">
            <w:pPr>
              <w:spacing w:line="360" w:lineRule="auto"/>
              <w:rPr>
                <w:rFonts w:hint="eastAsia" w:ascii="宋体" w:hAnsi="宋体" w:cs="宋体"/>
                <w:szCs w:val="21"/>
                <w:highlight w:val="none"/>
              </w:rPr>
            </w:pPr>
            <w:r>
              <w:rPr>
                <w:rFonts w:hint="eastAsia" w:ascii="宋体" w:hAnsi="宋体" w:cs="宋体"/>
                <w:szCs w:val="21"/>
                <w:highlight w:val="none"/>
              </w:rPr>
              <w:t>中标方配送人员每次配送都要统一着工装（不按要求着装每次扣1分，扣完为止）并及时做好登记，让双方共同签名确认，作为扣分依据。</w:t>
            </w:r>
          </w:p>
        </w:tc>
      </w:tr>
      <w:tr w14:paraId="39E34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494" w:type="dxa"/>
            <w:vMerge w:val="continue"/>
            <w:noWrap w:val="0"/>
            <w:vAlign w:val="center"/>
          </w:tcPr>
          <w:p w14:paraId="342EEE46">
            <w:pPr>
              <w:spacing w:line="360" w:lineRule="auto"/>
              <w:jc w:val="center"/>
              <w:rPr>
                <w:rFonts w:hint="eastAsia" w:ascii="宋体" w:hAnsi="宋体" w:cs="宋体"/>
                <w:szCs w:val="21"/>
                <w:highlight w:val="none"/>
              </w:rPr>
            </w:pPr>
          </w:p>
        </w:tc>
        <w:tc>
          <w:tcPr>
            <w:tcW w:w="900" w:type="dxa"/>
            <w:vMerge w:val="continue"/>
            <w:noWrap w:val="0"/>
            <w:vAlign w:val="center"/>
          </w:tcPr>
          <w:p w14:paraId="1022FA51">
            <w:pPr>
              <w:spacing w:line="360" w:lineRule="auto"/>
              <w:jc w:val="center"/>
              <w:rPr>
                <w:rFonts w:hint="eastAsia" w:ascii="宋体" w:hAnsi="宋体" w:cs="宋体"/>
                <w:szCs w:val="21"/>
                <w:highlight w:val="none"/>
              </w:rPr>
            </w:pPr>
          </w:p>
        </w:tc>
        <w:tc>
          <w:tcPr>
            <w:tcW w:w="1325" w:type="dxa"/>
            <w:noWrap w:val="0"/>
            <w:vAlign w:val="center"/>
          </w:tcPr>
          <w:p w14:paraId="639A2724">
            <w:pPr>
              <w:spacing w:line="360" w:lineRule="auto"/>
              <w:jc w:val="center"/>
              <w:rPr>
                <w:rFonts w:hint="eastAsia" w:ascii="宋体" w:hAnsi="宋体" w:cs="宋体"/>
                <w:szCs w:val="21"/>
                <w:highlight w:val="none"/>
              </w:rPr>
            </w:pPr>
            <w:r>
              <w:rPr>
                <w:rFonts w:hint="eastAsia" w:ascii="宋体" w:hAnsi="宋体" w:cs="宋体"/>
                <w:szCs w:val="21"/>
                <w:highlight w:val="none"/>
              </w:rPr>
              <w:t>工作细致</w:t>
            </w:r>
          </w:p>
        </w:tc>
        <w:tc>
          <w:tcPr>
            <w:tcW w:w="725" w:type="dxa"/>
            <w:noWrap w:val="0"/>
            <w:vAlign w:val="center"/>
          </w:tcPr>
          <w:p w14:paraId="4732CF52">
            <w:pPr>
              <w:spacing w:line="360" w:lineRule="auto"/>
              <w:jc w:val="center"/>
              <w:rPr>
                <w:rFonts w:hint="eastAsia" w:ascii="宋体" w:hAnsi="宋体" w:cs="宋体"/>
                <w:szCs w:val="21"/>
                <w:highlight w:val="none"/>
              </w:rPr>
            </w:pPr>
            <w:r>
              <w:rPr>
                <w:rFonts w:hint="eastAsia" w:ascii="宋体" w:hAnsi="宋体" w:cs="宋体"/>
                <w:szCs w:val="21"/>
                <w:highlight w:val="none"/>
              </w:rPr>
              <w:t xml:space="preserve">6 </w:t>
            </w:r>
          </w:p>
        </w:tc>
        <w:tc>
          <w:tcPr>
            <w:tcW w:w="5842" w:type="dxa"/>
            <w:noWrap w:val="0"/>
            <w:vAlign w:val="center"/>
          </w:tcPr>
          <w:p w14:paraId="7244E04B">
            <w:pPr>
              <w:spacing w:line="360" w:lineRule="auto"/>
              <w:rPr>
                <w:rFonts w:hint="eastAsia" w:ascii="宋体" w:hAnsi="宋体" w:cs="宋体"/>
                <w:szCs w:val="21"/>
                <w:highlight w:val="none"/>
              </w:rPr>
            </w:pPr>
            <w:r>
              <w:rPr>
                <w:rFonts w:hint="eastAsia" w:ascii="宋体" w:hAnsi="宋体" w:cs="宋体"/>
                <w:szCs w:val="21"/>
                <w:highlight w:val="none"/>
              </w:rPr>
              <w:t>送货单（结算凭证）项目齐全，机器打印清晰，配送物品清单与实际配送无差错。（项目不齐全或打印不清晰，每次扣1分；配送物品清单与实际配送有差错，每次扣2分。扣完为止）</w:t>
            </w:r>
          </w:p>
        </w:tc>
      </w:tr>
      <w:tr w14:paraId="15A0E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trPr>
        <w:tc>
          <w:tcPr>
            <w:tcW w:w="494" w:type="dxa"/>
            <w:vMerge w:val="continue"/>
            <w:noWrap w:val="0"/>
            <w:vAlign w:val="center"/>
          </w:tcPr>
          <w:p w14:paraId="6A20D136">
            <w:pPr>
              <w:spacing w:line="360" w:lineRule="auto"/>
              <w:jc w:val="center"/>
              <w:rPr>
                <w:rFonts w:hint="eastAsia" w:ascii="宋体" w:hAnsi="宋体" w:cs="宋体"/>
                <w:szCs w:val="21"/>
                <w:highlight w:val="none"/>
              </w:rPr>
            </w:pPr>
          </w:p>
        </w:tc>
        <w:tc>
          <w:tcPr>
            <w:tcW w:w="900" w:type="dxa"/>
            <w:vMerge w:val="continue"/>
            <w:noWrap w:val="0"/>
            <w:vAlign w:val="center"/>
          </w:tcPr>
          <w:p w14:paraId="73A67D85">
            <w:pPr>
              <w:spacing w:line="360" w:lineRule="auto"/>
              <w:jc w:val="center"/>
              <w:rPr>
                <w:rFonts w:hint="eastAsia" w:ascii="宋体" w:hAnsi="宋体" w:cs="宋体"/>
                <w:szCs w:val="21"/>
                <w:highlight w:val="none"/>
              </w:rPr>
            </w:pPr>
          </w:p>
        </w:tc>
        <w:tc>
          <w:tcPr>
            <w:tcW w:w="1325" w:type="dxa"/>
            <w:noWrap w:val="0"/>
            <w:vAlign w:val="center"/>
          </w:tcPr>
          <w:p w14:paraId="3A723595">
            <w:pPr>
              <w:spacing w:line="360" w:lineRule="auto"/>
              <w:jc w:val="center"/>
              <w:rPr>
                <w:rFonts w:hint="eastAsia" w:ascii="宋体" w:hAnsi="宋体" w:cs="宋体"/>
                <w:szCs w:val="21"/>
                <w:highlight w:val="none"/>
              </w:rPr>
            </w:pPr>
            <w:r>
              <w:rPr>
                <w:rFonts w:hint="eastAsia" w:ascii="宋体" w:hAnsi="宋体" w:cs="宋体"/>
                <w:szCs w:val="21"/>
                <w:highlight w:val="none"/>
              </w:rPr>
              <w:t>配送车辆</w:t>
            </w:r>
          </w:p>
        </w:tc>
        <w:tc>
          <w:tcPr>
            <w:tcW w:w="725" w:type="dxa"/>
            <w:noWrap w:val="0"/>
            <w:vAlign w:val="center"/>
          </w:tcPr>
          <w:p w14:paraId="65A3830C">
            <w:pPr>
              <w:spacing w:line="360" w:lineRule="auto"/>
              <w:jc w:val="center"/>
              <w:rPr>
                <w:rFonts w:hint="eastAsia" w:ascii="宋体" w:hAnsi="宋体" w:cs="宋体"/>
                <w:szCs w:val="21"/>
                <w:highlight w:val="none"/>
              </w:rPr>
            </w:pPr>
            <w:r>
              <w:rPr>
                <w:rFonts w:hint="eastAsia" w:ascii="宋体" w:hAnsi="宋体" w:cs="宋体"/>
                <w:szCs w:val="21"/>
                <w:highlight w:val="none"/>
              </w:rPr>
              <w:t xml:space="preserve">6 </w:t>
            </w:r>
          </w:p>
        </w:tc>
        <w:tc>
          <w:tcPr>
            <w:tcW w:w="5842" w:type="dxa"/>
            <w:noWrap w:val="0"/>
            <w:vAlign w:val="center"/>
          </w:tcPr>
          <w:p w14:paraId="25FAD2E6">
            <w:pPr>
              <w:spacing w:line="360" w:lineRule="auto"/>
              <w:rPr>
                <w:rFonts w:hint="eastAsia" w:ascii="宋体" w:hAnsi="宋体" w:cs="宋体"/>
                <w:szCs w:val="21"/>
                <w:highlight w:val="none"/>
              </w:rPr>
            </w:pPr>
            <w:r>
              <w:rPr>
                <w:rFonts w:hint="eastAsia" w:ascii="宋体" w:hAnsi="宋体" w:cs="宋体"/>
                <w:szCs w:val="21"/>
                <w:highlight w:val="none"/>
              </w:rPr>
              <w:t>按要求使用相应的配送车辆，配送车辆卫生干净，无异味。（不符合要求的配送车辆每次扣2分，配送车辆卫生不达标，有异味，每次扣3分。扣完为止）需及时做好登记，让双方共同签名确认，作为评分依据。</w:t>
            </w:r>
          </w:p>
        </w:tc>
      </w:tr>
      <w:tr w14:paraId="1AAA5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494" w:type="dxa"/>
            <w:vMerge w:val="restart"/>
            <w:noWrap w:val="0"/>
            <w:vAlign w:val="center"/>
          </w:tcPr>
          <w:p w14:paraId="0566DB4F">
            <w:pPr>
              <w:spacing w:line="360" w:lineRule="auto"/>
              <w:jc w:val="center"/>
              <w:rPr>
                <w:rFonts w:hint="eastAsia" w:ascii="宋体" w:hAnsi="宋体" w:cs="宋体"/>
                <w:szCs w:val="21"/>
                <w:highlight w:val="none"/>
              </w:rPr>
            </w:pPr>
            <w:r>
              <w:rPr>
                <w:rFonts w:hint="eastAsia" w:ascii="宋体" w:hAnsi="宋体" w:cs="宋体"/>
                <w:szCs w:val="21"/>
                <w:highlight w:val="none"/>
              </w:rPr>
              <w:t>2</w:t>
            </w:r>
          </w:p>
        </w:tc>
        <w:tc>
          <w:tcPr>
            <w:tcW w:w="900" w:type="dxa"/>
            <w:vMerge w:val="restart"/>
            <w:noWrap w:val="0"/>
            <w:vAlign w:val="center"/>
          </w:tcPr>
          <w:p w14:paraId="73E1B1F0">
            <w:pPr>
              <w:spacing w:line="360" w:lineRule="auto"/>
              <w:jc w:val="center"/>
              <w:rPr>
                <w:rFonts w:hint="eastAsia" w:ascii="宋体" w:hAnsi="宋体" w:cs="宋体"/>
                <w:szCs w:val="21"/>
                <w:highlight w:val="none"/>
              </w:rPr>
            </w:pPr>
            <w:r>
              <w:rPr>
                <w:rFonts w:hint="eastAsia" w:ascii="宋体" w:hAnsi="宋体" w:cs="宋体"/>
                <w:szCs w:val="21"/>
                <w:highlight w:val="none"/>
              </w:rPr>
              <w:t>科学管理</w:t>
            </w:r>
          </w:p>
        </w:tc>
        <w:tc>
          <w:tcPr>
            <w:tcW w:w="1325" w:type="dxa"/>
            <w:noWrap w:val="0"/>
            <w:vAlign w:val="center"/>
          </w:tcPr>
          <w:p w14:paraId="6DDB21AB">
            <w:pPr>
              <w:spacing w:line="360" w:lineRule="auto"/>
              <w:jc w:val="center"/>
              <w:rPr>
                <w:rFonts w:hint="eastAsia" w:ascii="宋体" w:hAnsi="宋体" w:cs="宋体"/>
                <w:szCs w:val="21"/>
                <w:highlight w:val="none"/>
              </w:rPr>
            </w:pPr>
            <w:r>
              <w:rPr>
                <w:rFonts w:hint="eastAsia" w:ascii="宋体" w:hAnsi="宋体" w:cs="宋体"/>
                <w:szCs w:val="21"/>
                <w:highlight w:val="none"/>
              </w:rPr>
              <w:t>结算精准</w:t>
            </w:r>
          </w:p>
        </w:tc>
        <w:tc>
          <w:tcPr>
            <w:tcW w:w="725" w:type="dxa"/>
            <w:noWrap w:val="0"/>
            <w:vAlign w:val="center"/>
          </w:tcPr>
          <w:p w14:paraId="4D06846D">
            <w:pPr>
              <w:spacing w:line="360" w:lineRule="auto"/>
              <w:jc w:val="center"/>
              <w:rPr>
                <w:rFonts w:hint="eastAsia" w:ascii="宋体" w:hAnsi="宋体" w:cs="宋体"/>
                <w:szCs w:val="21"/>
                <w:highlight w:val="none"/>
              </w:rPr>
            </w:pPr>
            <w:r>
              <w:rPr>
                <w:rFonts w:hint="eastAsia" w:ascii="宋体" w:hAnsi="宋体" w:cs="宋体"/>
                <w:szCs w:val="21"/>
                <w:highlight w:val="none"/>
              </w:rPr>
              <w:t>4</w:t>
            </w:r>
          </w:p>
        </w:tc>
        <w:tc>
          <w:tcPr>
            <w:tcW w:w="5842" w:type="dxa"/>
            <w:noWrap w:val="0"/>
            <w:vAlign w:val="center"/>
          </w:tcPr>
          <w:p w14:paraId="4E260CDE">
            <w:pPr>
              <w:spacing w:line="360" w:lineRule="auto"/>
              <w:rPr>
                <w:rFonts w:hint="eastAsia" w:ascii="宋体" w:hAnsi="宋体" w:cs="宋体"/>
                <w:szCs w:val="21"/>
                <w:highlight w:val="none"/>
              </w:rPr>
            </w:pPr>
            <w:r>
              <w:rPr>
                <w:rFonts w:hint="eastAsia" w:ascii="宋体" w:hAnsi="宋体" w:cs="宋体"/>
                <w:szCs w:val="21"/>
                <w:highlight w:val="none"/>
              </w:rPr>
              <w:t>送货单上单价、发票上单价</w:t>
            </w:r>
            <w:r>
              <w:rPr>
                <w:rFonts w:hint="eastAsia" w:ascii="宋体" w:hAnsi="宋体" w:cs="宋体"/>
                <w:szCs w:val="21"/>
                <w:highlight w:val="none"/>
                <w:lang w:val="en-US" w:eastAsia="zh-CN"/>
              </w:rPr>
              <w:t>要</w:t>
            </w:r>
            <w:r>
              <w:rPr>
                <w:rFonts w:hint="eastAsia" w:ascii="宋体" w:hAnsi="宋体" w:cs="宋体"/>
                <w:szCs w:val="21"/>
                <w:highlight w:val="none"/>
              </w:rPr>
              <w:t>一致，送货单和发票上的食材数量也要与实际送货数量一致（每发现一次错误扣2分，扣完为止）</w:t>
            </w:r>
          </w:p>
        </w:tc>
      </w:tr>
      <w:tr w14:paraId="20580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494" w:type="dxa"/>
            <w:vMerge w:val="continue"/>
            <w:noWrap w:val="0"/>
            <w:vAlign w:val="center"/>
          </w:tcPr>
          <w:p w14:paraId="4292B56E">
            <w:pPr>
              <w:spacing w:line="360" w:lineRule="auto"/>
              <w:jc w:val="center"/>
              <w:rPr>
                <w:rFonts w:hint="eastAsia" w:ascii="宋体" w:hAnsi="宋体" w:cs="宋体"/>
                <w:szCs w:val="21"/>
                <w:highlight w:val="none"/>
              </w:rPr>
            </w:pPr>
          </w:p>
        </w:tc>
        <w:tc>
          <w:tcPr>
            <w:tcW w:w="900" w:type="dxa"/>
            <w:vMerge w:val="continue"/>
            <w:noWrap w:val="0"/>
            <w:vAlign w:val="center"/>
          </w:tcPr>
          <w:p w14:paraId="05BA6ED2">
            <w:pPr>
              <w:spacing w:line="360" w:lineRule="auto"/>
              <w:jc w:val="center"/>
              <w:rPr>
                <w:rFonts w:hint="eastAsia" w:ascii="宋体" w:hAnsi="宋体" w:cs="宋体"/>
                <w:szCs w:val="21"/>
                <w:highlight w:val="none"/>
              </w:rPr>
            </w:pPr>
          </w:p>
        </w:tc>
        <w:tc>
          <w:tcPr>
            <w:tcW w:w="1325" w:type="dxa"/>
            <w:noWrap w:val="0"/>
            <w:vAlign w:val="center"/>
          </w:tcPr>
          <w:p w14:paraId="5FAF0E12">
            <w:pPr>
              <w:spacing w:line="360" w:lineRule="auto"/>
              <w:jc w:val="center"/>
              <w:rPr>
                <w:rFonts w:hint="eastAsia" w:ascii="宋体" w:hAnsi="宋体" w:cs="宋体"/>
                <w:szCs w:val="21"/>
                <w:highlight w:val="none"/>
              </w:rPr>
            </w:pPr>
            <w:r>
              <w:rPr>
                <w:rFonts w:hint="eastAsia" w:ascii="宋体" w:hAnsi="宋体" w:cs="宋体"/>
                <w:szCs w:val="21"/>
                <w:highlight w:val="none"/>
              </w:rPr>
              <w:t>货源组织</w:t>
            </w:r>
          </w:p>
        </w:tc>
        <w:tc>
          <w:tcPr>
            <w:tcW w:w="725" w:type="dxa"/>
            <w:noWrap w:val="0"/>
            <w:vAlign w:val="center"/>
          </w:tcPr>
          <w:p w14:paraId="2AFD3BDA">
            <w:pPr>
              <w:spacing w:line="360" w:lineRule="auto"/>
              <w:jc w:val="center"/>
              <w:rPr>
                <w:rFonts w:hint="eastAsia" w:ascii="宋体" w:hAnsi="宋体" w:cs="宋体"/>
                <w:szCs w:val="21"/>
                <w:highlight w:val="none"/>
              </w:rPr>
            </w:pPr>
            <w:r>
              <w:rPr>
                <w:rFonts w:hint="eastAsia" w:ascii="宋体" w:hAnsi="宋体" w:cs="宋体"/>
                <w:szCs w:val="21"/>
                <w:highlight w:val="none"/>
              </w:rPr>
              <w:t>6</w:t>
            </w:r>
          </w:p>
        </w:tc>
        <w:tc>
          <w:tcPr>
            <w:tcW w:w="5842" w:type="dxa"/>
            <w:noWrap w:val="0"/>
            <w:vAlign w:val="center"/>
          </w:tcPr>
          <w:p w14:paraId="08C0CEF8">
            <w:pPr>
              <w:spacing w:line="360" w:lineRule="auto"/>
              <w:rPr>
                <w:rFonts w:hint="eastAsia" w:ascii="宋体" w:hAnsi="宋体" w:cs="宋体"/>
                <w:szCs w:val="21"/>
                <w:highlight w:val="none"/>
              </w:rPr>
            </w:pPr>
            <w:r>
              <w:rPr>
                <w:rFonts w:hint="eastAsia" w:ascii="宋体" w:hAnsi="宋体" w:cs="宋体"/>
                <w:szCs w:val="21"/>
                <w:highlight w:val="none"/>
              </w:rPr>
              <w:t>中标人每次食材配送都要提供食材的合格证和检疫证件</w:t>
            </w:r>
            <w:r>
              <w:rPr>
                <w:rFonts w:hint="eastAsia" w:ascii="宋体" w:hAnsi="宋体" w:cs="宋体"/>
                <w:szCs w:val="21"/>
                <w:highlight w:val="none"/>
                <w:lang w:eastAsia="zh-CN"/>
              </w:rPr>
              <w:t>（</w:t>
            </w:r>
            <w:r>
              <w:rPr>
                <w:rFonts w:hint="eastAsia" w:ascii="宋体" w:hAnsi="宋体" w:cs="宋体"/>
                <w:szCs w:val="21"/>
                <w:highlight w:val="none"/>
              </w:rPr>
              <w:t>检测报告</w:t>
            </w:r>
            <w:r>
              <w:rPr>
                <w:rFonts w:hint="eastAsia" w:ascii="宋体" w:hAnsi="宋体" w:cs="宋体"/>
                <w:szCs w:val="21"/>
                <w:highlight w:val="none"/>
                <w:lang w:eastAsia="zh-CN"/>
              </w:rPr>
              <w:t>）</w:t>
            </w:r>
            <w:r>
              <w:rPr>
                <w:rFonts w:hint="eastAsia" w:ascii="宋体" w:hAnsi="宋体" w:cs="宋体"/>
                <w:szCs w:val="21"/>
                <w:highlight w:val="none"/>
              </w:rPr>
              <w:t xml:space="preserve">的复印件，供采购人留底。(缺一扣 </w:t>
            </w:r>
            <w:r>
              <w:rPr>
                <w:rFonts w:hint="eastAsia" w:ascii="宋体" w:hAnsi="宋体" w:cs="宋体"/>
                <w:szCs w:val="21"/>
                <w:highlight w:val="none"/>
                <w:lang w:val="en-US" w:eastAsia="zh-CN"/>
              </w:rPr>
              <w:t>1</w:t>
            </w:r>
            <w:r>
              <w:rPr>
                <w:rFonts w:hint="eastAsia" w:ascii="宋体" w:hAnsi="宋体" w:cs="宋体"/>
                <w:szCs w:val="21"/>
                <w:highlight w:val="none"/>
              </w:rPr>
              <w:t>分，扣完为止)</w:t>
            </w:r>
          </w:p>
        </w:tc>
      </w:tr>
      <w:tr w14:paraId="7CF34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94" w:type="dxa"/>
            <w:vMerge w:val="continue"/>
            <w:noWrap w:val="0"/>
            <w:vAlign w:val="center"/>
          </w:tcPr>
          <w:p w14:paraId="0B646CBF">
            <w:pPr>
              <w:spacing w:line="360" w:lineRule="auto"/>
              <w:jc w:val="center"/>
              <w:rPr>
                <w:rFonts w:hint="eastAsia" w:ascii="宋体" w:hAnsi="宋体" w:cs="宋体"/>
                <w:szCs w:val="21"/>
                <w:highlight w:val="none"/>
              </w:rPr>
            </w:pPr>
          </w:p>
        </w:tc>
        <w:tc>
          <w:tcPr>
            <w:tcW w:w="900" w:type="dxa"/>
            <w:vMerge w:val="continue"/>
            <w:noWrap w:val="0"/>
            <w:vAlign w:val="center"/>
          </w:tcPr>
          <w:p w14:paraId="19C56021">
            <w:pPr>
              <w:spacing w:line="360" w:lineRule="auto"/>
              <w:jc w:val="center"/>
              <w:rPr>
                <w:rFonts w:hint="eastAsia" w:ascii="宋体" w:hAnsi="宋体" w:cs="宋体"/>
                <w:szCs w:val="21"/>
                <w:highlight w:val="none"/>
              </w:rPr>
            </w:pPr>
          </w:p>
        </w:tc>
        <w:tc>
          <w:tcPr>
            <w:tcW w:w="1325" w:type="dxa"/>
            <w:noWrap w:val="0"/>
            <w:vAlign w:val="center"/>
          </w:tcPr>
          <w:p w14:paraId="533C039F">
            <w:pPr>
              <w:spacing w:line="360" w:lineRule="auto"/>
              <w:jc w:val="center"/>
              <w:rPr>
                <w:rFonts w:hint="eastAsia" w:ascii="宋体" w:hAnsi="宋体" w:cs="宋体"/>
                <w:szCs w:val="21"/>
                <w:highlight w:val="none"/>
              </w:rPr>
            </w:pPr>
            <w:r>
              <w:rPr>
                <w:rFonts w:hint="eastAsia" w:ascii="宋体" w:hAnsi="宋体" w:cs="宋体"/>
                <w:szCs w:val="21"/>
                <w:highlight w:val="none"/>
              </w:rPr>
              <w:t>沟通协调</w:t>
            </w:r>
          </w:p>
        </w:tc>
        <w:tc>
          <w:tcPr>
            <w:tcW w:w="725" w:type="dxa"/>
            <w:noWrap w:val="0"/>
            <w:vAlign w:val="center"/>
          </w:tcPr>
          <w:p w14:paraId="20B5C3C9">
            <w:pPr>
              <w:spacing w:line="360" w:lineRule="auto"/>
              <w:jc w:val="center"/>
              <w:rPr>
                <w:rFonts w:hint="eastAsia" w:ascii="宋体" w:hAnsi="宋体" w:cs="宋体"/>
                <w:szCs w:val="21"/>
                <w:highlight w:val="none"/>
              </w:rPr>
            </w:pPr>
            <w:r>
              <w:rPr>
                <w:rFonts w:hint="eastAsia" w:ascii="宋体" w:hAnsi="宋体" w:cs="宋体"/>
                <w:szCs w:val="21"/>
                <w:highlight w:val="none"/>
              </w:rPr>
              <w:t>4</w:t>
            </w:r>
          </w:p>
        </w:tc>
        <w:tc>
          <w:tcPr>
            <w:tcW w:w="5842" w:type="dxa"/>
            <w:noWrap w:val="0"/>
            <w:vAlign w:val="center"/>
          </w:tcPr>
          <w:p w14:paraId="376A8B9B">
            <w:pPr>
              <w:spacing w:line="360" w:lineRule="auto"/>
              <w:rPr>
                <w:rFonts w:hint="eastAsia" w:ascii="宋体" w:hAnsi="宋体" w:cs="宋体"/>
                <w:szCs w:val="21"/>
                <w:highlight w:val="none"/>
              </w:rPr>
            </w:pPr>
            <w:r>
              <w:rPr>
                <w:rFonts w:hint="eastAsia" w:ascii="宋体" w:hAnsi="宋体" w:cs="宋体"/>
                <w:szCs w:val="21"/>
                <w:highlight w:val="none"/>
              </w:rPr>
              <w:t>对于配送中存在的问题愿意主动沟通，寻求解决办法，同时也会主动了解和记录采购人在食材方面的要求，注重沟通与协调（采购人反馈了意见和建议，不予理睬，不愿沟通和协调的，每次扣2分，扣完为止）</w:t>
            </w:r>
          </w:p>
        </w:tc>
      </w:tr>
      <w:tr w14:paraId="25031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494" w:type="dxa"/>
            <w:vMerge w:val="continue"/>
            <w:noWrap w:val="0"/>
            <w:vAlign w:val="center"/>
          </w:tcPr>
          <w:p w14:paraId="67414B8C">
            <w:pPr>
              <w:spacing w:line="360" w:lineRule="auto"/>
              <w:jc w:val="center"/>
              <w:rPr>
                <w:rFonts w:hint="eastAsia" w:ascii="宋体" w:hAnsi="宋体" w:cs="宋体"/>
                <w:szCs w:val="21"/>
                <w:highlight w:val="none"/>
              </w:rPr>
            </w:pPr>
          </w:p>
        </w:tc>
        <w:tc>
          <w:tcPr>
            <w:tcW w:w="900" w:type="dxa"/>
            <w:vMerge w:val="continue"/>
            <w:noWrap w:val="0"/>
            <w:vAlign w:val="center"/>
          </w:tcPr>
          <w:p w14:paraId="0ABBC42B">
            <w:pPr>
              <w:spacing w:line="360" w:lineRule="auto"/>
              <w:jc w:val="center"/>
              <w:rPr>
                <w:rFonts w:hint="eastAsia" w:ascii="宋体" w:hAnsi="宋体" w:cs="宋体"/>
                <w:szCs w:val="21"/>
                <w:highlight w:val="none"/>
              </w:rPr>
            </w:pPr>
          </w:p>
        </w:tc>
        <w:tc>
          <w:tcPr>
            <w:tcW w:w="1325" w:type="dxa"/>
            <w:noWrap w:val="0"/>
            <w:vAlign w:val="center"/>
          </w:tcPr>
          <w:p w14:paraId="1881CC5C">
            <w:pPr>
              <w:spacing w:line="360" w:lineRule="auto"/>
              <w:jc w:val="center"/>
              <w:rPr>
                <w:rFonts w:hint="eastAsia" w:ascii="宋体" w:hAnsi="宋体" w:cs="宋体"/>
                <w:szCs w:val="21"/>
                <w:highlight w:val="none"/>
              </w:rPr>
            </w:pPr>
            <w:r>
              <w:rPr>
                <w:rFonts w:hint="eastAsia" w:ascii="宋体" w:hAnsi="宋体" w:cs="宋体"/>
                <w:szCs w:val="21"/>
                <w:highlight w:val="none"/>
              </w:rPr>
              <w:t>及时整改</w:t>
            </w:r>
          </w:p>
        </w:tc>
        <w:tc>
          <w:tcPr>
            <w:tcW w:w="725" w:type="dxa"/>
            <w:noWrap w:val="0"/>
            <w:vAlign w:val="center"/>
          </w:tcPr>
          <w:p w14:paraId="0258A187">
            <w:pPr>
              <w:spacing w:line="360" w:lineRule="auto"/>
              <w:jc w:val="center"/>
              <w:rPr>
                <w:rFonts w:hint="eastAsia" w:ascii="宋体" w:hAnsi="宋体" w:cs="宋体"/>
                <w:szCs w:val="21"/>
                <w:highlight w:val="none"/>
              </w:rPr>
            </w:pPr>
            <w:r>
              <w:rPr>
                <w:rFonts w:hint="eastAsia" w:ascii="宋体" w:hAnsi="宋体" w:cs="宋体"/>
                <w:szCs w:val="21"/>
                <w:highlight w:val="none"/>
              </w:rPr>
              <w:t>6</w:t>
            </w:r>
          </w:p>
        </w:tc>
        <w:tc>
          <w:tcPr>
            <w:tcW w:w="5842" w:type="dxa"/>
            <w:noWrap w:val="0"/>
            <w:vAlign w:val="center"/>
          </w:tcPr>
          <w:p w14:paraId="58C7CB72">
            <w:pPr>
              <w:spacing w:line="360" w:lineRule="auto"/>
              <w:rPr>
                <w:rFonts w:hint="eastAsia" w:ascii="宋体" w:hAnsi="宋体" w:cs="宋体"/>
                <w:szCs w:val="21"/>
                <w:highlight w:val="none"/>
              </w:rPr>
            </w:pPr>
            <w:r>
              <w:rPr>
                <w:rFonts w:hint="eastAsia" w:ascii="宋体" w:hAnsi="宋体" w:cs="宋体"/>
                <w:szCs w:val="21"/>
                <w:highlight w:val="none"/>
              </w:rPr>
              <w:t>对于采购人的意见和建议要虚心接受，协调有效果，及时整改见实效得6分（整改效果不明显扣2分，未见任何整改效果不得分）</w:t>
            </w:r>
          </w:p>
        </w:tc>
      </w:tr>
      <w:tr w14:paraId="3A726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94" w:type="dxa"/>
            <w:noWrap w:val="0"/>
            <w:vAlign w:val="center"/>
          </w:tcPr>
          <w:p w14:paraId="6662BC17">
            <w:pPr>
              <w:spacing w:line="360" w:lineRule="auto"/>
              <w:jc w:val="center"/>
              <w:rPr>
                <w:rFonts w:hint="eastAsia" w:ascii="宋体" w:hAnsi="宋体" w:cs="宋体"/>
                <w:szCs w:val="21"/>
                <w:highlight w:val="none"/>
              </w:rPr>
            </w:pPr>
            <w:r>
              <w:rPr>
                <w:rFonts w:hint="eastAsia" w:ascii="宋体" w:hAnsi="宋体" w:cs="宋体"/>
                <w:szCs w:val="21"/>
                <w:highlight w:val="none"/>
              </w:rPr>
              <w:t>3</w:t>
            </w:r>
          </w:p>
        </w:tc>
        <w:tc>
          <w:tcPr>
            <w:tcW w:w="900" w:type="dxa"/>
            <w:noWrap w:val="0"/>
            <w:vAlign w:val="center"/>
          </w:tcPr>
          <w:p w14:paraId="19A64B53">
            <w:pPr>
              <w:spacing w:line="360" w:lineRule="auto"/>
              <w:jc w:val="center"/>
              <w:rPr>
                <w:rFonts w:hint="eastAsia" w:ascii="宋体" w:hAnsi="宋体" w:cs="宋体"/>
                <w:szCs w:val="21"/>
                <w:highlight w:val="none"/>
              </w:rPr>
            </w:pPr>
            <w:r>
              <w:rPr>
                <w:rFonts w:hint="eastAsia" w:ascii="宋体" w:hAnsi="宋体" w:cs="宋体"/>
                <w:szCs w:val="21"/>
                <w:highlight w:val="none"/>
              </w:rPr>
              <w:t>质量管理</w:t>
            </w:r>
          </w:p>
        </w:tc>
        <w:tc>
          <w:tcPr>
            <w:tcW w:w="1325" w:type="dxa"/>
            <w:noWrap w:val="0"/>
            <w:vAlign w:val="center"/>
          </w:tcPr>
          <w:p w14:paraId="51686E6A">
            <w:pPr>
              <w:spacing w:line="360" w:lineRule="auto"/>
              <w:jc w:val="center"/>
              <w:rPr>
                <w:rFonts w:hint="eastAsia" w:ascii="宋体" w:hAnsi="宋体" w:cs="宋体"/>
                <w:szCs w:val="21"/>
                <w:highlight w:val="none"/>
              </w:rPr>
            </w:pPr>
            <w:r>
              <w:rPr>
                <w:rFonts w:hint="eastAsia" w:ascii="宋体" w:hAnsi="宋体" w:cs="宋体"/>
                <w:szCs w:val="21"/>
                <w:highlight w:val="none"/>
              </w:rPr>
              <w:t>食材质量</w:t>
            </w:r>
          </w:p>
        </w:tc>
        <w:tc>
          <w:tcPr>
            <w:tcW w:w="725" w:type="dxa"/>
            <w:noWrap w:val="0"/>
            <w:vAlign w:val="center"/>
          </w:tcPr>
          <w:p w14:paraId="2DEBCA4D">
            <w:pPr>
              <w:spacing w:line="360" w:lineRule="auto"/>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30</w:t>
            </w:r>
          </w:p>
        </w:tc>
        <w:tc>
          <w:tcPr>
            <w:tcW w:w="5842" w:type="dxa"/>
            <w:noWrap w:val="0"/>
            <w:vAlign w:val="center"/>
          </w:tcPr>
          <w:p w14:paraId="6F4AA358">
            <w:pPr>
              <w:spacing w:line="360" w:lineRule="auto"/>
              <w:rPr>
                <w:rFonts w:hint="eastAsia" w:ascii="宋体" w:hAnsi="宋体" w:cs="宋体"/>
                <w:szCs w:val="21"/>
                <w:highlight w:val="none"/>
              </w:rPr>
            </w:pPr>
            <w:r>
              <w:rPr>
                <w:rFonts w:hint="eastAsia" w:ascii="宋体" w:hAnsi="宋体" w:cs="宋体"/>
                <w:szCs w:val="21"/>
                <w:highlight w:val="none"/>
              </w:rPr>
              <w:t>发现配送食材质量不符要求，采购人有权要求立即更换食材，并及时做好退换货登记，让双方共同签名确认，作为扣分依据（每次扣2分，扣完为止）</w:t>
            </w:r>
          </w:p>
        </w:tc>
      </w:tr>
      <w:tr w14:paraId="40560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494" w:type="dxa"/>
            <w:noWrap w:val="0"/>
            <w:vAlign w:val="center"/>
          </w:tcPr>
          <w:p w14:paraId="7430C761">
            <w:pPr>
              <w:spacing w:line="360" w:lineRule="auto"/>
              <w:jc w:val="center"/>
              <w:rPr>
                <w:rFonts w:hint="eastAsia" w:ascii="宋体" w:hAnsi="宋体" w:cs="宋体"/>
                <w:szCs w:val="21"/>
                <w:highlight w:val="none"/>
              </w:rPr>
            </w:pPr>
            <w:r>
              <w:rPr>
                <w:rFonts w:hint="eastAsia" w:ascii="宋体" w:hAnsi="宋体" w:cs="宋体"/>
                <w:szCs w:val="21"/>
                <w:highlight w:val="none"/>
              </w:rPr>
              <w:t>4</w:t>
            </w:r>
          </w:p>
        </w:tc>
        <w:tc>
          <w:tcPr>
            <w:tcW w:w="900" w:type="dxa"/>
            <w:noWrap w:val="0"/>
            <w:vAlign w:val="center"/>
          </w:tcPr>
          <w:p w14:paraId="6CEB4FC4">
            <w:pPr>
              <w:spacing w:line="360" w:lineRule="auto"/>
              <w:jc w:val="center"/>
              <w:rPr>
                <w:rFonts w:hint="eastAsia" w:ascii="宋体" w:hAnsi="宋体" w:cs="宋体"/>
                <w:szCs w:val="21"/>
                <w:highlight w:val="none"/>
              </w:rPr>
            </w:pPr>
            <w:r>
              <w:rPr>
                <w:rFonts w:hint="eastAsia" w:ascii="宋体" w:hAnsi="宋体" w:cs="宋体"/>
                <w:szCs w:val="21"/>
                <w:highlight w:val="none"/>
              </w:rPr>
              <w:t>廉政管理</w:t>
            </w:r>
          </w:p>
        </w:tc>
        <w:tc>
          <w:tcPr>
            <w:tcW w:w="1325" w:type="dxa"/>
            <w:noWrap w:val="0"/>
            <w:vAlign w:val="center"/>
          </w:tcPr>
          <w:p w14:paraId="54114B84">
            <w:pPr>
              <w:spacing w:line="360" w:lineRule="auto"/>
              <w:jc w:val="center"/>
              <w:rPr>
                <w:rFonts w:hint="eastAsia" w:ascii="宋体" w:hAnsi="宋体" w:cs="宋体"/>
                <w:szCs w:val="21"/>
                <w:highlight w:val="none"/>
              </w:rPr>
            </w:pPr>
            <w:r>
              <w:rPr>
                <w:rFonts w:hint="eastAsia" w:ascii="宋体" w:hAnsi="宋体" w:cs="宋体"/>
                <w:szCs w:val="21"/>
                <w:highlight w:val="none"/>
              </w:rPr>
              <w:t>廉政承诺</w:t>
            </w:r>
          </w:p>
        </w:tc>
        <w:tc>
          <w:tcPr>
            <w:tcW w:w="725" w:type="dxa"/>
            <w:noWrap w:val="0"/>
            <w:vAlign w:val="center"/>
          </w:tcPr>
          <w:p w14:paraId="3D69A79F">
            <w:pPr>
              <w:spacing w:line="360" w:lineRule="auto"/>
              <w:jc w:val="center"/>
              <w:rPr>
                <w:rFonts w:hint="eastAsia" w:ascii="宋体" w:hAnsi="宋体" w:cs="宋体"/>
                <w:szCs w:val="21"/>
                <w:highlight w:val="none"/>
              </w:rPr>
            </w:pPr>
            <w:r>
              <w:rPr>
                <w:rFonts w:hint="eastAsia" w:ascii="宋体" w:hAnsi="宋体" w:cs="宋体"/>
                <w:szCs w:val="21"/>
                <w:highlight w:val="none"/>
              </w:rPr>
              <w:t xml:space="preserve">10 </w:t>
            </w:r>
          </w:p>
        </w:tc>
        <w:tc>
          <w:tcPr>
            <w:tcW w:w="5842" w:type="dxa"/>
            <w:noWrap w:val="0"/>
            <w:vAlign w:val="center"/>
          </w:tcPr>
          <w:p w14:paraId="305E1475">
            <w:pPr>
              <w:spacing w:line="360" w:lineRule="auto"/>
              <w:rPr>
                <w:rFonts w:hint="eastAsia" w:ascii="宋体" w:hAnsi="宋体" w:cs="宋体"/>
                <w:b/>
                <w:szCs w:val="21"/>
                <w:highlight w:val="none"/>
              </w:rPr>
            </w:pPr>
            <w:r>
              <w:rPr>
                <w:rFonts w:hint="eastAsia" w:ascii="宋体" w:hAnsi="宋体" w:cs="宋体"/>
                <w:szCs w:val="21"/>
                <w:highlight w:val="none"/>
              </w:rPr>
              <w:t>廉政承诺执行情况（发现中标人贿赂食堂工作人员一次扣5分，扣完为止）</w:t>
            </w:r>
          </w:p>
        </w:tc>
      </w:tr>
      <w:tr w14:paraId="6CD58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719" w:type="dxa"/>
            <w:gridSpan w:val="3"/>
            <w:noWrap w:val="0"/>
            <w:vAlign w:val="center"/>
          </w:tcPr>
          <w:p w14:paraId="3BB2BE2F">
            <w:pPr>
              <w:spacing w:line="360" w:lineRule="auto"/>
              <w:jc w:val="center"/>
              <w:rPr>
                <w:rFonts w:hint="eastAsia" w:ascii="宋体" w:hAnsi="宋体" w:cs="宋体"/>
                <w:szCs w:val="21"/>
                <w:highlight w:val="none"/>
              </w:rPr>
            </w:pPr>
            <w:r>
              <w:rPr>
                <w:rFonts w:hint="eastAsia" w:ascii="宋体" w:hAnsi="宋体" w:cs="宋体"/>
                <w:szCs w:val="21"/>
                <w:highlight w:val="none"/>
              </w:rPr>
              <w:t>总分</w:t>
            </w:r>
          </w:p>
        </w:tc>
        <w:tc>
          <w:tcPr>
            <w:tcW w:w="725" w:type="dxa"/>
            <w:noWrap w:val="0"/>
            <w:vAlign w:val="center"/>
          </w:tcPr>
          <w:p w14:paraId="2B6DAE89">
            <w:pPr>
              <w:spacing w:line="360" w:lineRule="auto"/>
              <w:jc w:val="center"/>
              <w:rPr>
                <w:rFonts w:hint="eastAsia" w:ascii="宋体" w:hAnsi="宋体" w:cs="宋体"/>
                <w:szCs w:val="21"/>
                <w:highlight w:val="none"/>
              </w:rPr>
            </w:pPr>
            <w:r>
              <w:rPr>
                <w:rFonts w:hint="eastAsia" w:ascii="宋体" w:hAnsi="宋体" w:cs="宋体"/>
                <w:szCs w:val="21"/>
                <w:highlight w:val="none"/>
              </w:rPr>
              <w:t>100</w:t>
            </w:r>
          </w:p>
        </w:tc>
        <w:tc>
          <w:tcPr>
            <w:tcW w:w="5842" w:type="dxa"/>
            <w:noWrap w:val="0"/>
            <w:vAlign w:val="center"/>
          </w:tcPr>
          <w:p w14:paraId="7C1154E0">
            <w:pPr>
              <w:spacing w:line="360" w:lineRule="auto"/>
              <w:rPr>
                <w:rFonts w:hint="eastAsia" w:ascii="宋体" w:hAnsi="宋体" w:cs="宋体"/>
                <w:szCs w:val="21"/>
                <w:highlight w:val="none"/>
              </w:rPr>
            </w:pPr>
          </w:p>
        </w:tc>
      </w:tr>
      <w:tr w14:paraId="25BF6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286" w:type="dxa"/>
            <w:gridSpan w:val="5"/>
            <w:tcBorders>
              <w:left w:val="nil"/>
              <w:bottom w:val="nil"/>
              <w:right w:val="nil"/>
            </w:tcBorders>
            <w:noWrap w:val="0"/>
            <w:vAlign w:val="top"/>
          </w:tcPr>
          <w:p w14:paraId="5DB344AA">
            <w:pPr>
              <w:pStyle w:val="14"/>
              <w:rPr>
                <w:rFonts w:hint="eastAsia" w:ascii="宋体" w:hAnsi="宋体" w:cs="宋体"/>
                <w:szCs w:val="21"/>
                <w:highlight w:val="none"/>
                <w:lang w:val="en-US" w:eastAsia="zh-CN"/>
              </w:rPr>
            </w:pPr>
            <w:r>
              <w:rPr>
                <w:rFonts w:hint="eastAsia" w:ascii="宋体" w:hAnsi="宋体" w:cs="宋体"/>
                <w:szCs w:val="21"/>
                <w:highlight w:val="none"/>
                <w:lang w:val="en-US" w:eastAsia="zh-CN"/>
              </w:rPr>
              <w:t>注：每个月总分为100分，单项分扣完为止。</w:t>
            </w:r>
          </w:p>
          <w:p w14:paraId="149C78E0">
            <w:pPr>
              <w:spacing w:line="360" w:lineRule="auto"/>
              <w:rPr>
                <w:rFonts w:hint="eastAsia" w:ascii="宋体" w:hAnsi="宋体" w:cs="宋体"/>
                <w:b/>
                <w:szCs w:val="21"/>
                <w:highlight w:val="none"/>
              </w:rPr>
            </w:pPr>
          </w:p>
        </w:tc>
      </w:tr>
    </w:tbl>
    <w:p w14:paraId="557D01FC">
      <w:pPr>
        <w:pStyle w:val="14"/>
        <w:tabs>
          <w:tab w:val="left" w:pos="2520"/>
          <w:tab w:val="left" w:pos="4204"/>
          <w:tab w:val="left" w:pos="6567"/>
        </w:tabs>
        <w:ind w:left="530"/>
        <w:rPr>
          <w:rFonts w:hint="eastAsia" w:ascii="宋体" w:hAnsi="宋体" w:cs="宋体"/>
          <w:szCs w:val="21"/>
          <w:highlight w:val="none"/>
          <w:lang w:eastAsia="zh-CN"/>
        </w:rPr>
      </w:pPr>
      <w:r>
        <w:rPr>
          <w:rFonts w:hint="eastAsia" w:ascii="宋体" w:hAnsi="宋体" w:cs="宋体"/>
          <w:szCs w:val="21"/>
          <w:highlight w:val="none"/>
          <w:lang w:eastAsia="zh-CN"/>
        </w:rPr>
        <w:t>考核得分：</w:t>
      </w:r>
      <w:r>
        <w:rPr>
          <w:rFonts w:hint="eastAsia" w:ascii="宋体" w:hAnsi="宋体" w:cs="宋体"/>
          <w:szCs w:val="21"/>
          <w:highlight w:val="none"/>
          <w:u w:val="single"/>
        </w:rPr>
        <w:tab/>
      </w:r>
      <w:r>
        <w:rPr>
          <w:rFonts w:hint="eastAsia" w:ascii="宋体" w:hAnsi="宋体" w:cs="宋体"/>
          <w:szCs w:val="21"/>
          <w:highlight w:val="none"/>
          <w:lang w:eastAsia="zh-CN"/>
        </w:rPr>
        <w:t xml:space="preserve">             考核等级：</w:t>
      </w:r>
      <w:r>
        <w:rPr>
          <w:rFonts w:hint="eastAsia" w:ascii="宋体" w:hAnsi="宋体" w:cs="宋体"/>
          <w:szCs w:val="21"/>
          <w:highlight w:val="none"/>
          <w:u w:val="single"/>
        </w:rPr>
        <w:tab/>
      </w:r>
    </w:p>
    <w:p w14:paraId="06418381">
      <w:pPr>
        <w:pStyle w:val="14"/>
        <w:tabs>
          <w:tab w:val="left" w:pos="2995"/>
          <w:tab w:val="left" w:pos="4204"/>
          <w:tab w:val="left" w:pos="6567"/>
        </w:tabs>
        <w:ind w:left="530"/>
        <w:rPr>
          <w:rFonts w:hint="eastAsia" w:ascii="宋体" w:hAnsi="宋体" w:cs="宋体"/>
          <w:szCs w:val="21"/>
          <w:highlight w:val="none"/>
          <w:lang w:eastAsia="zh-CN"/>
        </w:rPr>
      </w:pPr>
    </w:p>
    <w:p w14:paraId="429EFD3D">
      <w:pPr>
        <w:pStyle w:val="14"/>
        <w:tabs>
          <w:tab w:val="left" w:pos="2995"/>
          <w:tab w:val="left" w:pos="4204"/>
          <w:tab w:val="left" w:pos="6567"/>
        </w:tabs>
        <w:ind w:left="530"/>
        <w:rPr>
          <w:rFonts w:hint="eastAsia" w:ascii="宋体" w:hAnsi="宋体" w:cs="宋体"/>
          <w:szCs w:val="21"/>
          <w:highlight w:val="none"/>
          <w:u w:val="single"/>
        </w:rPr>
      </w:pPr>
      <w:r>
        <w:rPr>
          <w:rFonts w:hint="eastAsia" w:ascii="宋体" w:hAnsi="宋体" w:cs="宋体"/>
          <w:szCs w:val="21"/>
          <w:highlight w:val="none"/>
        </w:rPr>
        <w:t>考核日期</w:t>
      </w:r>
      <w:r>
        <w:rPr>
          <w:rFonts w:hint="eastAsia" w:ascii="宋体" w:hAnsi="宋体" w:cs="宋体"/>
          <w:szCs w:val="21"/>
          <w:highlight w:val="none"/>
          <w:lang w:eastAsia="zh-CN"/>
        </w:rPr>
        <w:t>：</w:t>
      </w:r>
      <w:r>
        <w:rPr>
          <w:rFonts w:hint="eastAsia" w:ascii="宋体" w:hAnsi="宋体" w:cs="宋体"/>
          <w:szCs w:val="21"/>
          <w:highlight w:val="none"/>
          <w:u w:val="single"/>
        </w:rPr>
        <w:tab/>
      </w:r>
      <w:r>
        <w:rPr>
          <w:rFonts w:hint="eastAsia" w:ascii="宋体" w:hAnsi="宋体" w:cs="宋体"/>
          <w:szCs w:val="21"/>
          <w:highlight w:val="none"/>
        </w:rPr>
        <w:tab/>
      </w:r>
      <w:r>
        <w:rPr>
          <w:rFonts w:hint="eastAsia" w:ascii="宋体" w:hAnsi="宋体" w:cs="宋体"/>
          <w:szCs w:val="21"/>
          <w:highlight w:val="none"/>
        </w:rPr>
        <w:t>考核人</w:t>
      </w:r>
      <w:r>
        <w:rPr>
          <w:rFonts w:hint="eastAsia" w:ascii="宋体" w:hAnsi="宋体" w:cs="宋体"/>
          <w:szCs w:val="21"/>
          <w:highlight w:val="none"/>
          <w:lang w:eastAsia="zh-CN"/>
        </w:rPr>
        <w:t>：</w:t>
      </w:r>
      <w:r>
        <w:rPr>
          <w:rFonts w:hint="eastAsia" w:ascii="宋体" w:hAnsi="宋体" w:cs="宋体"/>
          <w:szCs w:val="21"/>
          <w:highlight w:val="none"/>
          <w:u w:val="single"/>
        </w:rPr>
        <w:tab/>
      </w:r>
    </w:p>
    <w:p w14:paraId="07420E40">
      <w:pPr>
        <w:pStyle w:val="14"/>
        <w:tabs>
          <w:tab w:val="left" w:pos="2995"/>
          <w:tab w:val="left" w:pos="4204"/>
          <w:tab w:val="left" w:pos="6567"/>
        </w:tabs>
        <w:ind w:left="530"/>
        <w:rPr>
          <w:rFonts w:hint="eastAsia" w:ascii="宋体" w:hAnsi="宋体" w:cs="宋体"/>
          <w:szCs w:val="21"/>
          <w:highlight w:val="none"/>
          <w:u w:val="single"/>
        </w:rPr>
      </w:pPr>
    </w:p>
    <w:p w14:paraId="2396EE9F">
      <w:pPr>
        <w:pStyle w:val="14"/>
        <w:tabs>
          <w:tab w:val="left" w:pos="2995"/>
          <w:tab w:val="left" w:pos="4204"/>
          <w:tab w:val="left" w:pos="6567"/>
        </w:tabs>
        <w:ind w:left="530"/>
        <w:rPr>
          <w:rFonts w:hint="eastAsia" w:ascii="宋体" w:hAnsi="宋体" w:cs="宋体"/>
          <w:szCs w:val="21"/>
          <w:highlight w:val="none"/>
          <w:u w:val="single"/>
        </w:rPr>
      </w:pPr>
    </w:p>
    <w:p w14:paraId="0CD9130E">
      <w:pPr>
        <w:pStyle w:val="14"/>
        <w:tabs>
          <w:tab w:val="left" w:pos="2995"/>
          <w:tab w:val="left" w:pos="4204"/>
          <w:tab w:val="left" w:pos="6567"/>
        </w:tabs>
        <w:ind w:left="530"/>
        <w:rPr>
          <w:rFonts w:hint="eastAsia" w:ascii="宋体" w:hAnsi="宋体" w:cs="宋体"/>
          <w:szCs w:val="21"/>
          <w:highlight w:val="none"/>
          <w:u w:val="single"/>
        </w:rPr>
      </w:pPr>
    </w:p>
    <w:p w14:paraId="7808AD49">
      <w:pPr>
        <w:pStyle w:val="14"/>
        <w:tabs>
          <w:tab w:val="left" w:pos="2995"/>
          <w:tab w:val="left" w:pos="4204"/>
          <w:tab w:val="left" w:pos="6567"/>
        </w:tabs>
        <w:ind w:left="530"/>
        <w:rPr>
          <w:rFonts w:hint="eastAsia" w:ascii="宋体" w:hAnsi="宋体" w:cs="宋体"/>
          <w:szCs w:val="21"/>
          <w:highlight w:val="none"/>
          <w:u w:val="single"/>
        </w:rPr>
      </w:pPr>
    </w:p>
    <w:p w14:paraId="38E034E5">
      <w:pPr>
        <w:pStyle w:val="14"/>
        <w:tabs>
          <w:tab w:val="left" w:pos="2995"/>
          <w:tab w:val="left" w:pos="4204"/>
          <w:tab w:val="left" w:pos="6567"/>
        </w:tabs>
        <w:ind w:left="530"/>
        <w:rPr>
          <w:rFonts w:hint="eastAsia" w:ascii="宋体" w:hAnsi="宋体" w:cs="宋体"/>
          <w:szCs w:val="21"/>
          <w:highlight w:val="none"/>
          <w:u w:val="single"/>
        </w:rPr>
      </w:pPr>
    </w:p>
    <w:p w14:paraId="4D6C02B3">
      <w:pPr>
        <w:pStyle w:val="14"/>
        <w:tabs>
          <w:tab w:val="left" w:pos="2995"/>
          <w:tab w:val="left" w:pos="4204"/>
          <w:tab w:val="left" w:pos="6567"/>
        </w:tabs>
        <w:ind w:left="530"/>
        <w:rPr>
          <w:rFonts w:hint="eastAsia" w:ascii="宋体" w:hAnsi="宋体" w:cs="宋体"/>
          <w:szCs w:val="21"/>
          <w:highlight w:val="none"/>
          <w:u w:val="single"/>
        </w:rPr>
      </w:pPr>
    </w:p>
    <w:p w14:paraId="75B65701">
      <w:pPr>
        <w:pStyle w:val="14"/>
        <w:tabs>
          <w:tab w:val="left" w:pos="2995"/>
          <w:tab w:val="left" w:pos="4204"/>
          <w:tab w:val="left" w:pos="6567"/>
        </w:tabs>
        <w:ind w:left="530"/>
        <w:rPr>
          <w:rFonts w:hint="eastAsia" w:ascii="宋体" w:hAnsi="宋体" w:cs="宋体"/>
          <w:szCs w:val="21"/>
          <w:highlight w:val="none"/>
          <w:u w:val="single"/>
        </w:rPr>
      </w:pPr>
    </w:p>
    <w:p w14:paraId="77D3983B">
      <w:pPr>
        <w:rPr>
          <w:rFonts w:hint="eastAsia" w:ascii="宋体" w:hAnsi="宋体" w:cs="宋体"/>
          <w:szCs w:val="21"/>
          <w:highlight w:val="none"/>
          <w:u w:val="single"/>
        </w:rPr>
      </w:pPr>
      <w:r>
        <w:rPr>
          <w:rFonts w:hint="eastAsia" w:ascii="宋体" w:hAnsi="宋体" w:cs="宋体"/>
          <w:szCs w:val="21"/>
          <w:highlight w:val="none"/>
          <w:u w:val="single"/>
        </w:rPr>
        <w:br w:type="page"/>
      </w:r>
    </w:p>
    <w:p w14:paraId="590832F9">
      <w:pPr>
        <w:rPr>
          <w:rFonts w:hint="eastAsia"/>
          <w:highlight w:val="none"/>
        </w:rPr>
      </w:pPr>
    </w:p>
    <w:p w14:paraId="001878DA">
      <w:pPr>
        <w:pStyle w:val="14"/>
        <w:tabs>
          <w:tab w:val="left" w:pos="2995"/>
          <w:tab w:val="left" w:pos="4204"/>
          <w:tab w:val="left" w:pos="6567"/>
        </w:tabs>
        <w:ind w:left="530"/>
        <w:rPr>
          <w:rFonts w:hint="eastAsia" w:ascii="宋体" w:hAnsi="宋体" w:cs="宋体"/>
          <w:szCs w:val="21"/>
          <w:highlight w:val="none"/>
          <w:u w:val="single"/>
        </w:rPr>
      </w:pPr>
    </w:p>
    <w:tbl>
      <w:tblPr>
        <w:tblStyle w:val="41"/>
        <w:tblpPr w:leftFromText="180" w:rightFromText="180" w:vertAnchor="text" w:horzAnchor="page" w:tblpX="2339" w:tblpY="486"/>
        <w:tblOverlap w:val="never"/>
        <w:tblW w:w="7438" w:type="dxa"/>
        <w:tblInd w:w="0" w:type="dxa"/>
        <w:tblLayout w:type="autofit"/>
        <w:tblCellMar>
          <w:top w:w="0" w:type="dxa"/>
          <w:left w:w="108" w:type="dxa"/>
          <w:bottom w:w="0" w:type="dxa"/>
          <w:right w:w="108" w:type="dxa"/>
        </w:tblCellMar>
      </w:tblPr>
      <w:tblGrid>
        <w:gridCol w:w="1845"/>
        <w:gridCol w:w="1080"/>
        <w:gridCol w:w="4513"/>
      </w:tblGrid>
      <w:tr w14:paraId="51501E57">
        <w:tblPrEx>
          <w:tblCellMar>
            <w:top w:w="0" w:type="dxa"/>
            <w:left w:w="108" w:type="dxa"/>
            <w:bottom w:w="0" w:type="dxa"/>
            <w:right w:w="108" w:type="dxa"/>
          </w:tblCellMar>
        </w:tblPrEx>
        <w:trPr>
          <w:trHeight w:val="487" w:hRule="atLeast"/>
        </w:trPr>
        <w:tc>
          <w:tcPr>
            <w:tcW w:w="1845" w:type="dxa"/>
            <w:tcBorders>
              <w:top w:val="single" w:color="000000" w:sz="8" w:space="0"/>
              <w:left w:val="single" w:color="000000" w:sz="8" w:space="0"/>
              <w:bottom w:val="single" w:color="000000" w:sz="8" w:space="0"/>
              <w:right w:val="single" w:color="000000" w:sz="8" w:space="0"/>
            </w:tcBorders>
            <w:noWrap w:val="0"/>
            <w:vAlign w:val="center"/>
          </w:tcPr>
          <w:p w14:paraId="1DD10E8F">
            <w:pPr>
              <w:widowControl/>
              <w:jc w:val="center"/>
              <w:textAlignment w:val="center"/>
              <w:rPr>
                <w:rFonts w:hint="eastAsia" w:ascii="宋体" w:hAnsi="宋体" w:cs="宋体"/>
                <w:szCs w:val="21"/>
                <w:highlight w:val="none"/>
              </w:rPr>
            </w:pPr>
            <w:r>
              <w:rPr>
                <w:rFonts w:hint="eastAsia" w:ascii="宋体" w:hAnsi="宋体" w:cs="宋体"/>
                <w:kern w:val="0"/>
                <w:szCs w:val="21"/>
                <w:highlight w:val="none"/>
                <w:lang w:bidi="ar"/>
              </w:rPr>
              <w:t>日常考核评分</w:t>
            </w:r>
          </w:p>
        </w:tc>
        <w:tc>
          <w:tcPr>
            <w:tcW w:w="1080" w:type="dxa"/>
            <w:tcBorders>
              <w:top w:val="single" w:color="000000" w:sz="8" w:space="0"/>
              <w:left w:val="nil"/>
              <w:bottom w:val="single" w:color="000000" w:sz="8" w:space="0"/>
              <w:right w:val="single" w:color="000000" w:sz="8" w:space="0"/>
            </w:tcBorders>
            <w:noWrap w:val="0"/>
            <w:vAlign w:val="center"/>
          </w:tcPr>
          <w:p w14:paraId="14C24A4A">
            <w:pPr>
              <w:widowControl/>
              <w:jc w:val="center"/>
              <w:textAlignment w:val="center"/>
              <w:rPr>
                <w:rFonts w:hint="eastAsia" w:ascii="宋体" w:hAnsi="宋体" w:cs="宋体"/>
                <w:szCs w:val="21"/>
                <w:highlight w:val="none"/>
              </w:rPr>
            </w:pPr>
            <w:r>
              <w:rPr>
                <w:rFonts w:hint="eastAsia" w:ascii="宋体" w:hAnsi="宋体" w:cs="宋体"/>
                <w:kern w:val="0"/>
                <w:szCs w:val="21"/>
                <w:highlight w:val="none"/>
                <w:lang w:bidi="ar"/>
              </w:rPr>
              <w:t>等级</w:t>
            </w:r>
          </w:p>
        </w:tc>
        <w:tc>
          <w:tcPr>
            <w:tcW w:w="4513" w:type="dxa"/>
            <w:tcBorders>
              <w:top w:val="single" w:color="000000" w:sz="8" w:space="0"/>
              <w:left w:val="nil"/>
              <w:bottom w:val="single" w:color="000000" w:sz="8" w:space="0"/>
              <w:right w:val="single" w:color="000000" w:sz="8" w:space="0"/>
            </w:tcBorders>
            <w:noWrap w:val="0"/>
            <w:vAlign w:val="center"/>
          </w:tcPr>
          <w:p w14:paraId="6969FEFD">
            <w:pPr>
              <w:widowControl/>
              <w:jc w:val="center"/>
              <w:textAlignment w:val="center"/>
              <w:rPr>
                <w:rFonts w:hint="eastAsia" w:ascii="宋体" w:hAnsi="宋体" w:cs="宋体"/>
                <w:szCs w:val="21"/>
                <w:highlight w:val="none"/>
              </w:rPr>
            </w:pPr>
            <w:r>
              <w:rPr>
                <w:rFonts w:hint="eastAsia" w:ascii="宋体" w:hAnsi="宋体" w:cs="宋体"/>
                <w:kern w:val="0"/>
                <w:szCs w:val="21"/>
                <w:highlight w:val="none"/>
                <w:lang w:bidi="ar"/>
              </w:rPr>
              <w:t>考核结果</w:t>
            </w:r>
          </w:p>
        </w:tc>
      </w:tr>
      <w:tr w14:paraId="3DD88594">
        <w:tblPrEx>
          <w:tblCellMar>
            <w:top w:w="0" w:type="dxa"/>
            <w:left w:w="108" w:type="dxa"/>
            <w:bottom w:w="0" w:type="dxa"/>
            <w:right w:w="108" w:type="dxa"/>
          </w:tblCellMar>
        </w:tblPrEx>
        <w:trPr>
          <w:trHeight w:val="744" w:hRule="atLeast"/>
        </w:trPr>
        <w:tc>
          <w:tcPr>
            <w:tcW w:w="1845" w:type="dxa"/>
            <w:tcBorders>
              <w:top w:val="nil"/>
              <w:left w:val="single" w:color="000000" w:sz="8" w:space="0"/>
              <w:bottom w:val="single" w:color="000000" w:sz="8" w:space="0"/>
              <w:right w:val="single" w:color="000000" w:sz="8" w:space="0"/>
            </w:tcBorders>
            <w:noWrap w:val="0"/>
            <w:vAlign w:val="center"/>
          </w:tcPr>
          <w:p w14:paraId="0325311B">
            <w:pPr>
              <w:widowControl/>
              <w:jc w:val="center"/>
              <w:textAlignment w:val="center"/>
              <w:rPr>
                <w:rFonts w:hint="eastAsia" w:ascii="宋体" w:hAnsi="宋体" w:cs="宋体"/>
                <w:szCs w:val="21"/>
                <w:highlight w:val="none"/>
              </w:rPr>
            </w:pPr>
            <w:r>
              <w:rPr>
                <w:rFonts w:hint="eastAsia" w:ascii="宋体" w:hAnsi="宋体" w:cs="宋体"/>
                <w:kern w:val="0"/>
                <w:szCs w:val="21"/>
                <w:highlight w:val="none"/>
                <w:lang w:bidi="ar"/>
              </w:rPr>
              <w:t>90-100（含90）</w:t>
            </w:r>
          </w:p>
        </w:tc>
        <w:tc>
          <w:tcPr>
            <w:tcW w:w="1080" w:type="dxa"/>
            <w:tcBorders>
              <w:top w:val="nil"/>
              <w:left w:val="nil"/>
              <w:bottom w:val="single" w:color="000000" w:sz="8" w:space="0"/>
              <w:right w:val="single" w:color="000000" w:sz="8" w:space="0"/>
            </w:tcBorders>
            <w:noWrap w:val="0"/>
            <w:vAlign w:val="center"/>
          </w:tcPr>
          <w:p w14:paraId="7CA835F3">
            <w:pPr>
              <w:widowControl/>
              <w:jc w:val="center"/>
              <w:textAlignment w:val="center"/>
              <w:rPr>
                <w:rFonts w:hint="eastAsia" w:ascii="宋体" w:hAnsi="宋体" w:cs="宋体"/>
                <w:szCs w:val="21"/>
                <w:highlight w:val="none"/>
              </w:rPr>
            </w:pPr>
            <w:r>
              <w:rPr>
                <w:rFonts w:hint="eastAsia" w:ascii="宋体" w:hAnsi="宋体" w:cs="宋体"/>
                <w:kern w:val="0"/>
                <w:szCs w:val="21"/>
                <w:highlight w:val="none"/>
                <w:lang w:bidi="ar"/>
              </w:rPr>
              <w:t>优秀</w:t>
            </w:r>
          </w:p>
        </w:tc>
        <w:tc>
          <w:tcPr>
            <w:tcW w:w="4513" w:type="dxa"/>
            <w:tcBorders>
              <w:top w:val="nil"/>
              <w:left w:val="nil"/>
              <w:bottom w:val="single" w:color="000000" w:sz="8" w:space="0"/>
              <w:right w:val="single" w:color="000000" w:sz="8" w:space="0"/>
            </w:tcBorders>
            <w:noWrap w:val="0"/>
            <w:vAlign w:val="center"/>
          </w:tcPr>
          <w:p w14:paraId="60F5ED29">
            <w:pPr>
              <w:widowControl/>
              <w:jc w:val="left"/>
              <w:textAlignment w:val="center"/>
              <w:rPr>
                <w:rFonts w:hint="eastAsia" w:ascii="宋体" w:hAnsi="宋体" w:cs="宋体"/>
                <w:szCs w:val="21"/>
                <w:highlight w:val="none"/>
              </w:rPr>
            </w:pPr>
            <w:r>
              <w:rPr>
                <w:rFonts w:hint="eastAsia" w:ascii="宋体" w:hAnsi="宋体" w:cs="宋体"/>
                <w:kern w:val="0"/>
                <w:szCs w:val="21"/>
                <w:highlight w:val="none"/>
                <w:lang w:bidi="ar"/>
              </w:rPr>
              <w:t>通过每月的日常考核，中标人对被扣分的项目及时作出调整即可。</w:t>
            </w:r>
          </w:p>
        </w:tc>
      </w:tr>
      <w:tr w14:paraId="13332609">
        <w:tblPrEx>
          <w:tblCellMar>
            <w:top w:w="0" w:type="dxa"/>
            <w:left w:w="108" w:type="dxa"/>
            <w:bottom w:w="0" w:type="dxa"/>
            <w:right w:w="108" w:type="dxa"/>
          </w:tblCellMar>
        </w:tblPrEx>
        <w:trPr>
          <w:trHeight w:val="1800" w:hRule="atLeast"/>
        </w:trPr>
        <w:tc>
          <w:tcPr>
            <w:tcW w:w="1845" w:type="dxa"/>
            <w:tcBorders>
              <w:top w:val="nil"/>
              <w:left w:val="single" w:color="000000" w:sz="8" w:space="0"/>
              <w:bottom w:val="single" w:color="000000" w:sz="8" w:space="0"/>
              <w:right w:val="single" w:color="000000" w:sz="8" w:space="0"/>
            </w:tcBorders>
            <w:noWrap w:val="0"/>
            <w:vAlign w:val="center"/>
          </w:tcPr>
          <w:p w14:paraId="4B80BA16">
            <w:pPr>
              <w:widowControl/>
              <w:jc w:val="center"/>
              <w:textAlignment w:val="center"/>
              <w:rPr>
                <w:rFonts w:hint="eastAsia" w:ascii="宋体" w:hAnsi="宋体" w:cs="宋体"/>
                <w:szCs w:val="21"/>
                <w:highlight w:val="none"/>
              </w:rPr>
            </w:pPr>
            <w:r>
              <w:rPr>
                <w:rFonts w:hint="eastAsia" w:ascii="宋体" w:hAnsi="宋体" w:cs="宋体"/>
                <w:kern w:val="0"/>
                <w:szCs w:val="21"/>
                <w:highlight w:val="none"/>
                <w:lang w:bidi="ar"/>
              </w:rPr>
              <w:t>85-90（含85）</w:t>
            </w:r>
          </w:p>
        </w:tc>
        <w:tc>
          <w:tcPr>
            <w:tcW w:w="1080" w:type="dxa"/>
            <w:tcBorders>
              <w:top w:val="nil"/>
              <w:left w:val="nil"/>
              <w:bottom w:val="single" w:color="000000" w:sz="8" w:space="0"/>
              <w:right w:val="single" w:color="000000" w:sz="8" w:space="0"/>
            </w:tcBorders>
            <w:noWrap w:val="0"/>
            <w:vAlign w:val="center"/>
          </w:tcPr>
          <w:p w14:paraId="1D0C9936">
            <w:pPr>
              <w:widowControl/>
              <w:jc w:val="center"/>
              <w:textAlignment w:val="center"/>
              <w:rPr>
                <w:rFonts w:hint="eastAsia" w:ascii="宋体" w:hAnsi="宋体" w:cs="宋体"/>
                <w:szCs w:val="21"/>
                <w:highlight w:val="none"/>
              </w:rPr>
            </w:pPr>
            <w:r>
              <w:rPr>
                <w:rFonts w:hint="eastAsia" w:ascii="宋体" w:hAnsi="宋体" w:cs="宋体"/>
                <w:kern w:val="0"/>
                <w:szCs w:val="21"/>
                <w:highlight w:val="none"/>
                <w:lang w:bidi="ar"/>
              </w:rPr>
              <w:t>及格</w:t>
            </w:r>
          </w:p>
        </w:tc>
        <w:tc>
          <w:tcPr>
            <w:tcW w:w="4513" w:type="dxa"/>
            <w:tcBorders>
              <w:top w:val="nil"/>
              <w:left w:val="nil"/>
              <w:bottom w:val="single" w:color="000000" w:sz="8" w:space="0"/>
              <w:right w:val="single" w:color="000000" w:sz="8" w:space="0"/>
            </w:tcBorders>
            <w:noWrap w:val="0"/>
            <w:vAlign w:val="center"/>
          </w:tcPr>
          <w:p w14:paraId="689F6134">
            <w:pPr>
              <w:widowControl/>
              <w:jc w:val="left"/>
              <w:textAlignment w:val="center"/>
              <w:rPr>
                <w:rFonts w:hint="eastAsia" w:ascii="宋体" w:hAnsi="宋体" w:cs="宋体"/>
                <w:szCs w:val="21"/>
                <w:highlight w:val="none"/>
              </w:rPr>
            </w:pPr>
            <w:r>
              <w:rPr>
                <w:rFonts w:hint="eastAsia" w:ascii="宋体" w:hAnsi="宋体" w:cs="宋体"/>
                <w:kern w:val="0"/>
                <w:szCs w:val="21"/>
                <w:highlight w:val="none"/>
                <w:lang w:bidi="ar"/>
              </w:rPr>
              <w:t>勉强通过每月的日常考核，中标人在食材配送方面存在较多问题。中标人会被约谈，沟通协调关于及时整改食材配送服务中存在的问题。</w:t>
            </w:r>
          </w:p>
        </w:tc>
      </w:tr>
      <w:tr w14:paraId="77E3C216">
        <w:tblPrEx>
          <w:tblCellMar>
            <w:top w:w="0" w:type="dxa"/>
            <w:left w:w="108" w:type="dxa"/>
            <w:bottom w:w="0" w:type="dxa"/>
            <w:right w:w="108" w:type="dxa"/>
          </w:tblCellMar>
        </w:tblPrEx>
        <w:trPr>
          <w:trHeight w:val="1343" w:hRule="atLeast"/>
        </w:trPr>
        <w:tc>
          <w:tcPr>
            <w:tcW w:w="1845" w:type="dxa"/>
            <w:tcBorders>
              <w:top w:val="nil"/>
              <w:left w:val="single" w:color="000000" w:sz="8" w:space="0"/>
              <w:bottom w:val="single" w:color="000000" w:sz="8" w:space="0"/>
              <w:right w:val="single" w:color="000000" w:sz="8" w:space="0"/>
            </w:tcBorders>
            <w:noWrap w:val="0"/>
            <w:vAlign w:val="center"/>
          </w:tcPr>
          <w:p w14:paraId="788DEE58">
            <w:pPr>
              <w:widowControl/>
              <w:jc w:val="center"/>
              <w:textAlignment w:val="center"/>
              <w:rPr>
                <w:rFonts w:hint="eastAsia" w:ascii="宋体" w:hAnsi="宋体" w:cs="宋体"/>
                <w:szCs w:val="21"/>
                <w:highlight w:val="none"/>
              </w:rPr>
            </w:pPr>
            <w:r>
              <w:rPr>
                <w:rFonts w:hint="eastAsia" w:ascii="宋体" w:hAnsi="宋体" w:cs="宋体"/>
                <w:kern w:val="0"/>
                <w:szCs w:val="21"/>
                <w:highlight w:val="none"/>
                <w:lang w:bidi="ar"/>
              </w:rPr>
              <w:t>85以下</w:t>
            </w:r>
          </w:p>
        </w:tc>
        <w:tc>
          <w:tcPr>
            <w:tcW w:w="1080" w:type="dxa"/>
            <w:tcBorders>
              <w:top w:val="nil"/>
              <w:left w:val="nil"/>
              <w:bottom w:val="single" w:color="000000" w:sz="8" w:space="0"/>
              <w:right w:val="single" w:color="000000" w:sz="8" w:space="0"/>
            </w:tcBorders>
            <w:noWrap w:val="0"/>
            <w:vAlign w:val="center"/>
          </w:tcPr>
          <w:p w14:paraId="0663BAA0">
            <w:pPr>
              <w:widowControl/>
              <w:jc w:val="center"/>
              <w:textAlignment w:val="center"/>
              <w:rPr>
                <w:rFonts w:hint="eastAsia" w:ascii="宋体" w:hAnsi="宋体" w:cs="宋体"/>
                <w:szCs w:val="21"/>
                <w:highlight w:val="none"/>
              </w:rPr>
            </w:pPr>
            <w:r>
              <w:rPr>
                <w:rFonts w:hint="eastAsia" w:ascii="宋体" w:hAnsi="宋体" w:cs="宋体"/>
                <w:kern w:val="0"/>
                <w:szCs w:val="21"/>
                <w:highlight w:val="none"/>
                <w:lang w:bidi="ar"/>
              </w:rPr>
              <w:t>不及格</w:t>
            </w:r>
          </w:p>
        </w:tc>
        <w:tc>
          <w:tcPr>
            <w:tcW w:w="4513" w:type="dxa"/>
            <w:tcBorders>
              <w:top w:val="nil"/>
              <w:left w:val="nil"/>
              <w:bottom w:val="single" w:color="000000" w:sz="8" w:space="0"/>
              <w:right w:val="single" w:color="000000" w:sz="8" w:space="0"/>
            </w:tcBorders>
            <w:noWrap w:val="0"/>
            <w:vAlign w:val="center"/>
          </w:tcPr>
          <w:p w14:paraId="346004B5">
            <w:pPr>
              <w:widowControl/>
              <w:jc w:val="left"/>
              <w:textAlignment w:val="center"/>
              <w:rPr>
                <w:rFonts w:hint="default" w:ascii="宋体" w:hAnsi="宋体" w:eastAsia="宋体" w:cs="宋体"/>
                <w:szCs w:val="21"/>
                <w:highlight w:val="none"/>
                <w:lang w:val="en-US" w:eastAsia="zh-CN"/>
              </w:rPr>
            </w:pPr>
            <w:r>
              <w:rPr>
                <w:rFonts w:hint="eastAsia" w:ascii="宋体" w:hAnsi="宋体" w:cs="宋体"/>
                <w:kern w:val="0"/>
                <w:szCs w:val="21"/>
                <w:highlight w:val="none"/>
                <w:lang w:bidi="ar"/>
              </w:rPr>
              <w:t>不通过每月的日常考核，</w:t>
            </w:r>
            <w:r>
              <w:rPr>
                <w:rFonts w:hint="eastAsia" w:ascii="宋体" w:hAnsi="宋体" w:cs="宋体"/>
                <w:kern w:val="0"/>
                <w:szCs w:val="21"/>
                <w:highlight w:val="none"/>
                <w:lang w:val="en-US" w:eastAsia="zh-CN" w:bidi="ar"/>
              </w:rPr>
              <w:t>日常累计两次考核不及格的，采购人有权单方解除合同</w:t>
            </w:r>
            <w:r>
              <w:rPr>
                <w:rFonts w:hint="eastAsia" w:ascii="宋体" w:hAnsi="宋体" w:cs="宋体"/>
                <w:kern w:val="0"/>
                <w:szCs w:val="21"/>
                <w:highlight w:val="none"/>
                <w:lang w:bidi="ar"/>
              </w:rPr>
              <w:t>。</w:t>
            </w:r>
            <w:r>
              <w:rPr>
                <w:rFonts w:hint="eastAsia" w:ascii="宋体" w:hAnsi="宋体" w:cs="宋体"/>
                <w:kern w:val="0"/>
                <w:szCs w:val="21"/>
                <w:highlight w:val="none"/>
                <w:lang w:val="en-US" w:eastAsia="zh-CN" w:bidi="ar"/>
              </w:rPr>
              <w:t>试用期考核不及格的，采购人有权单方解除合同</w:t>
            </w:r>
            <w:r>
              <w:rPr>
                <w:rFonts w:hint="eastAsia" w:ascii="宋体" w:hAnsi="宋体" w:cs="宋体"/>
                <w:kern w:val="0"/>
                <w:szCs w:val="21"/>
                <w:highlight w:val="none"/>
                <w:lang w:bidi="ar"/>
              </w:rPr>
              <w:t>。</w:t>
            </w:r>
          </w:p>
        </w:tc>
      </w:tr>
    </w:tbl>
    <w:p w14:paraId="79565FCE">
      <w:pPr>
        <w:pStyle w:val="14"/>
        <w:tabs>
          <w:tab w:val="left" w:pos="2995"/>
          <w:tab w:val="left" w:pos="4204"/>
          <w:tab w:val="left" w:pos="6567"/>
        </w:tabs>
        <w:ind w:left="530"/>
        <w:jc w:val="center"/>
        <w:rPr>
          <w:rFonts w:hint="default" w:ascii="宋体" w:hAnsi="宋体" w:eastAsia="宋体" w:cs="宋体"/>
          <w:szCs w:val="21"/>
          <w:highlight w:val="none"/>
          <w:u w:val="single"/>
          <w:lang w:val="en-US" w:eastAsia="zh-CN"/>
        </w:rPr>
        <w:sectPr>
          <w:footerReference r:id="rId6" w:type="default"/>
          <w:pgSz w:w="11906" w:h="16838"/>
          <w:pgMar w:top="1440" w:right="1418" w:bottom="1440" w:left="1418" w:header="851" w:footer="992" w:gutter="0"/>
          <w:pgNumType w:fmt="decimal"/>
          <w:cols w:space="720" w:num="1"/>
          <w:docGrid w:type="lines" w:linePitch="312" w:charSpace="0"/>
        </w:sectPr>
      </w:pPr>
      <w:r>
        <w:rPr>
          <w:rFonts w:hint="eastAsia" w:ascii="宋体" w:hAnsi="宋体" w:cs="宋体"/>
          <w:szCs w:val="21"/>
          <w:highlight w:val="none"/>
          <w:u w:val="single"/>
          <w:lang w:val="en-US" w:eastAsia="zh-CN"/>
        </w:rPr>
        <w:t>月考核等次及处理</w:t>
      </w:r>
      <w:r>
        <w:rPr>
          <w:rFonts w:hint="eastAsia" w:ascii="宋体" w:hAnsi="宋体" w:cs="宋体"/>
          <w:b/>
          <w:szCs w:val="21"/>
          <w:highlight w:val="none"/>
          <w:lang w:eastAsia="zh-CN"/>
        </w:rPr>
        <w:t>（参考）</w:t>
      </w:r>
    </w:p>
    <w:p w14:paraId="646CBDE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仿宋" w:hAnsi="仿宋" w:eastAsia="仿宋" w:cs="仿宋"/>
          <w:color w:val="auto"/>
          <w:sz w:val="24"/>
          <w:szCs w:val="24"/>
          <w:highlight w:val="none"/>
          <w:lang w:val="en-US" w:eastAsia="zh-CN"/>
        </w:rPr>
      </w:pPr>
    </w:p>
    <w:p w14:paraId="71C47C4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食材供货配送地点：</w:t>
      </w:r>
      <w:r>
        <w:rPr>
          <w:rFonts w:hint="eastAsia" w:ascii="仿宋" w:hAnsi="仿宋" w:eastAsia="仿宋" w:cs="仿宋"/>
          <w:sz w:val="24"/>
          <w:szCs w:val="24"/>
          <w:highlight w:val="none"/>
          <w:u w:val="single"/>
        </w:rPr>
        <w:t>乌鲁木齐南昌路456号</w:t>
      </w:r>
      <w:r>
        <w:rPr>
          <w:rFonts w:hint="eastAsia" w:ascii="仿宋" w:hAnsi="仿宋" w:eastAsia="仿宋" w:cs="仿宋"/>
          <w:color w:val="auto"/>
          <w:sz w:val="24"/>
          <w:szCs w:val="24"/>
          <w:highlight w:val="none"/>
          <w:lang w:val="en-US" w:eastAsia="zh-CN"/>
        </w:rPr>
        <w:t>。如有调整，以采购人意见为准。</w:t>
      </w:r>
    </w:p>
    <w:p w14:paraId="77287E9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付款结算方式：以人民币结算，甲乙双方签订合同后，按月付款，甲方凭乙方提交的付款申请、有效发票（增值税发票）在次月支付上月费用（食材具体品种和数量根据实际需求确定，结算时据实结算）。具体付款方式如有调整，以采购人意见为准。</w:t>
      </w:r>
    </w:p>
    <w:p w14:paraId="6A80A03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投标报价方式：乙方的投标报价为北园春市场官网相应食材当日的最高价的下浮率，报价精确到小数点后两位。该下浮率为所有商品的统一下浮率，且下浮率在合同执行期间不变。</w:t>
      </w:r>
    </w:p>
    <w:p w14:paraId="0501A1C3">
      <w:pPr>
        <w:tabs>
          <w:tab w:val="left" w:pos="180"/>
          <w:tab w:val="left" w:pos="1620"/>
        </w:tabs>
        <w:spacing w:line="500" w:lineRule="exact"/>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乙方项目款（含配送费）按月度进行结算，结算单价=结算基准价×（1-下浮率）。此处的结算基准价为北园春市场官网相应食材当日的最高价。为保证食材质量及配送效率，投标供应商不得恶意低价报价，否则视为无效报价。在北园春市场官网当中没有的蔬菜及水果，由采购人与中标单位共同进行市场询价，以询价结果为准进行结算；或者由中标单位单方进行市场询价，中标单位向采购单位提供询价单（每种产品的被询价商家不少于5家），采购单位对中标单位询价结果进行抽检，如发现中标单位单方询价时弄虚作假、以次充好等不良行为的，将不予支付对应食材的款项，情节严重的终止合同。</w:t>
      </w:r>
    </w:p>
    <w:p w14:paraId="26DDDF1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产品来源：投标供应商提供的产品来源须合法、合规，不得提供假冒伪劣或者存在产权纠纷的产品。</w:t>
      </w:r>
    </w:p>
    <w:p w14:paraId="30932B3B">
      <w:pPr>
        <w:numPr>
          <w:ilvl w:val="0"/>
          <w:numId w:val="0"/>
        </w:numPr>
        <w:spacing w:before="0" w:after="0" w:line="360" w:lineRule="auto"/>
        <w:jc w:val="center"/>
        <w:outlineLvl w:val="9"/>
        <w:rPr>
          <w:rFonts w:hint="default"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eastAsia="zh-CN"/>
        </w:rPr>
        <w:br w:type="page"/>
      </w:r>
      <w:r>
        <w:rPr>
          <w:rFonts w:hint="eastAsia" w:ascii="仿宋_GB2312" w:hAnsi="仿宋_GB2312" w:eastAsia="仿宋_GB2312" w:cs="仿宋_GB2312"/>
          <w:b/>
          <w:bCs/>
          <w:color w:val="auto"/>
          <w:sz w:val="32"/>
          <w:szCs w:val="32"/>
          <w:highlight w:val="none"/>
          <w:lang w:eastAsia="zh-CN"/>
        </w:rPr>
        <w:t>具体内容</w:t>
      </w:r>
      <w:r>
        <w:rPr>
          <w:rFonts w:hint="eastAsia" w:ascii="仿宋_GB2312" w:hAnsi="仿宋_GB2312" w:eastAsia="仿宋_GB2312" w:cs="仿宋_GB2312"/>
          <w:b/>
          <w:bCs/>
          <w:color w:val="auto"/>
          <w:sz w:val="32"/>
          <w:szCs w:val="32"/>
          <w:highlight w:val="none"/>
          <w:lang w:val="en-US" w:eastAsia="zh-CN"/>
        </w:rPr>
        <w:t>及要求</w:t>
      </w:r>
    </w:p>
    <w:p w14:paraId="664A3719">
      <w:pPr>
        <w:numPr>
          <w:ilvl w:val="0"/>
          <w:numId w:val="18"/>
        </w:numPr>
        <w:spacing w:line="400" w:lineRule="exact"/>
        <w:rPr>
          <w:rFonts w:hint="eastAsia" w:ascii="仿宋" w:hAnsi="仿宋" w:eastAsia="仿宋" w:cs="仿宋"/>
          <w:b/>
          <w:bCs/>
          <w:color w:val="auto"/>
          <w:spacing w:val="-2"/>
          <w:sz w:val="24"/>
          <w:highlight w:val="none"/>
        </w:rPr>
      </w:pPr>
      <w:r>
        <w:rPr>
          <w:rFonts w:hint="eastAsia" w:ascii="仿宋" w:hAnsi="仿宋" w:eastAsia="仿宋" w:cs="仿宋"/>
          <w:b/>
          <w:bCs/>
          <w:color w:val="auto"/>
          <w:spacing w:val="-2"/>
          <w:sz w:val="24"/>
          <w:highlight w:val="none"/>
          <w:lang w:val="en-US" w:eastAsia="zh-CN"/>
        </w:rPr>
        <w:t>核心服务能力要求</w:t>
      </w:r>
    </w:p>
    <w:p w14:paraId="4AABD1A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本项目服务内容既有各类食材物资采购，又存在食材物资多次配送服务（每日配送一次，另外存在紧急临时配送服务要求），故本项目要求中标供应商具备多品种食材采购能力及配送能力。</w:t>
      </w:r>
    </w:p>
    <w:p w14:paraId="2FA2212E">
      <w:pPr>
        <w:pStyle w:val="19"/>
        <w:spacing w:line="500" w:lineRule="exact"/>
        <w:rPr>
          <w:rFonts w:hint="eastAsia" w:ascii="仿宋" w:hAnsi="仿宋" w:eastAsia="仿宋" w:cs="仿宋"/>
          <w:color w:val="auto"/>
          <w:kern w:val="0"/>
          <w:sz w:val="24"/>
          <w:szCs w:val="24"/>
          <w:highlight w:val="none"/>
          <w:lang w:eastAsia="zh-CN"/>
        </w:rPr>
      </w:pPr>
      <w:r>
        <w:rPr>
          <w:rFonts w:hint="eastAsia" w:ascii="仿宋" w:hAnsi="仿宋" w:eastAsia="仿宋"/>
          <w:b/>
          <w:color w:val="auto"/>
          <w:sz w:val="24"/>
          <w:szCs w:val="24"/>
          <w:highlight w:val="none"/>
        </w:rPr>
        <w:t>二、</w:t>
      </w:r>
      <w:r>
        <w:rPr>
          <w:rFonts w:hint="eastAsia" w:ascii="仿宋" w:hAnsi="仿宋" w:eastAsia="仿宋"/>
          <w:b/>
          <w:color w:val="auto"/>
          <w:sz w:val="24"/>
          <w:szCs w:val="24"/>
          <w:highlight w:val="none"/>
          <w:lang w:eastAsia="zh-CN"/>
        </w:rPr>
        <w:t>采购总金额及结算要求</w:t>
      </w:r>
    </w:p>
    <w:p w14:paraId="0B4FFE8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本项目通过公开招标的方式确定蔬菜食材配送服务商，提供食堂所需蔬菜食材采购及配送服务。本项目年度预算采购总金额为</w:t>
      </w:r>
      <w:r>
        <w:rPr>
          <w:rFonts w:hint="eastAsia" w:ascii="仿宋" w:hAnsi="仿宋" w:eastAsia="仿宋" w:cs="仿宋"/>
          <w:sz w:val="24"/>
          <w:szCs w:val="24"/>
          <w:highlight w:val="none"/>
          <w:lang w:val="en-US" w:eastAsia="zh-CN"/>
        </w:rPr>
        <w:t>1110000.00元（人民币壹佰壹拾壹万元整）</w:t>
      </w:r>
      <w:r>
        <w:rPr>
          <w:rFonts w:hint="eastAsia" w:ascii="仿宋" w:hAnsi="仿宋" w:eastAsia="仿宋" w:cs="仿宋"/>
          <w:color w:val="auto"/>
          <w:sz w:val="24"/>
          <w:szCs w:val="24"/>
          <w:highlight w:val="none"/>
          <w:lang w:val="en-US" w:eastAsia="zh-CN"/>
        </w:rPr>
        <w:t>，食材具体品种和数量根据实际需求确定，结算时据实结算。以人民币结算，甲乙双方签订合同后，按月付款，甲方凭乙方提交的付款申请、有效发票在次月支付上月费用。具体付款方式如有调整，以采购人意见为准。</w:t>
      </w:r>
    </w:p>
    <w:p w14:paraId="6B2F7A92">
      <w:pPr>
        <w:pStyle w:val="19"/>
        <w:spacing w:line="500" w:lineRule="exact"/>
        <w:rPr>
          <w:rFonts w:ascii="仿宋" w:hAnsi="仿宋" w:eastAsia="仿宋"/>
          <w:b/>
          <w:color w:val="auto"/>
          <w:sz w:val="28"/>
          <w:szCs w:val="28"/>
          <w:highlight w:val="none"/>
        </w:rPr>
      </w:pPr>
      <w:r>
        <w:rPr>
          <w:rFonts w:hint="eastAsia" w:ascii="仿宋" w:hAnsi="仿宋" w:eastAsia="仿宋"/>
          <w:b/>
          <w:color w:val="auto"/>
          <w:sz w:val="24"/>
          <w:szCs w:val="24"/>
          <w:highlight w:val="none"/>
        </w:rPr>
        <w:t>三、执行标准</w:t>
      </w:r>
    </w:p>
    <w:p w14:paraId="1AD70A29">
      <w:pPr>
        <w:pStyle w:val="19"/>
        <w:spacing w:line="500" w:lineRule="exact"/>
        <w:ind w:firstLine="360" w:firstLineChars="150"/>
        <w:rPr>
          <w:rFonts w:ascii="仿宋" w:hAnsi="仿宋" w:eastAsia="仿宋"/>
          <w:color w:val="auto"/>
          <w:sz w:val="24"/>
          <w:szCs w:val="24"/>
          <w:highlight w:val="none"/>
        </w:rPr>
      </w:pPr>
      <w:r>
        <w:rPr>
          <w:rFonts w:hint="eastAsia" w:ascii="仿宋" w:hAnsi="仿宋" w:eastAsia="仿宋"/>
          <w:color w:val="auto"/>
          <w:sz w:val="24"/>
          <w:szCs w:val="24"/>
          <w:highlight w:val="none"/>
        </w:rPr>
        <w:t>《中华</w:t>
      </w:r>
      <w:r>
        <w:rPr>
          <w:rFonts w:ascii="仿宋" w:hAnsi="仿宋" w:eastAsia="仿宋"/>
          <w:color w:val="auto"/>
          <w:sz w:val="24"/>
          <w:szCs w:val="24"/>
          <w:highlight w:val="none"/>
        </w:rPr>
        <w:t>人民共和国</w:t>
      </w:r>
      <w:r>
        <w:rPr>
          <w:rFonts w:hint="eastAsia" w:ascii="仿宋" w:hAnsi="仿宋" w:eastAsia="仿宋"/>
          <w:color w:val="auto"/>
          <w:sz w:val="24"/>
          <w:szCs w:val="24"/>
          <w:highlight w:val="none"/>
        </w:rPr>
        <w:t>食品</w:t>
      </w:r>
      <w:r>
        <w:rPr>
          <w:rFonts w:ascii="仿宋" w:hAnsi="仿宋" w:eastAsia="仿宋"/>
          <w:color w:val="auto"/>
          <w:sz w:val="24"/>
          <w:szCs w:val="24"/>
          <w:highlight w:val="none"/>
        </w:rPr>
        <w:t>安全法》、</w:t>
      </w:r>
      <w:r>
        <w:rPr>
          <w:rFonts w:hint="eastAsia" w:ascii="仿宋" w:hAnsi="仿宋" w:eastAsia="仿宋"/>
          <w:color w:val="auto"/>
          <w:sz w:val="24"/>
          <w:szCs w:val="24"/>
          <w:highlight w:val="none"/>
        </w:rPr>
        <w:t>《食品</w:t>
      </w:r>
      <w:r>
        <w:rPr>
          <w:rFonts w:ascii="仿宋" w:hAnsi="仿宋" w:eastAsia="仿宋"/>
          <w:color w:val="auto"/>
          <w:sz w:val="24"/>
          <w:szCs w:val="24"/>
          <w:highlight w:val="none"/>
        </w:rPr>
        <w:t>安全法实施条例》、</w:t>
      </w:r>
      <w:r>
        <w:rPr>
          <w:rFonts w:hint="eastAsia" w:ascii="仿宋" w:hAnsi="仿宋" w:eastAsia="仿宋"/>
          <w:color w:val="auto"/>
          <w:sz w:val="24"/>
          <w:szCs w:val="24"/>
          <w:highlight w:val="none"/>
        </w:rPr>
        <w:t>《餐饮</w:t>
      </w:r>
      <w:r>
        <w:rPr>
          <w:rFonts w:ascii="仿宋" w:hAnsi="仿宋" w:eastAsia="仿宋"/>
          <w:color w:val="auto"/>
          <w:sz w:val="24"/>
          <w:szCs w:val="24"/>
          <w:highlight w:val="none"/>
        </w:rPr>
        <w:t>服务</w:t>
      </w:r>
      <w:r>
        <w:rPr>
          <w:rFonts w:hint="eastAsia" w:ascii="仿宋" w:hAnsi="仿宋" w:eastAsia="仿宋"/>
          <w:color w:val="auto"/>
          <w:sz w:val="24"/>
          <w:szCs w:val="24"/>
          <w:highlight w:val="none"/>
        </w:rPr>
        <w:t>食品</w:t>
      </w:r>
      <w:r>
        <w:rPr>
          <w:rFonts w:ascii="仿宋" w:hAnsi="仿宋" w:eastAsia="仿宋"/>
          <w:color w:val="auto"/>
          <w:sz w:val="24"/>
          <w:szCs w:val="24"/>
          <w:highlight w:val="none"/>
        </w:rPr>
        <w:t>安全监督管理办法》</w:t>
      </w:r>
      <w:r>
        <w:rPr>
          <w:rFonts w:hint="eastAsia" w:ascii="仿宋" w:hAnsi="仿宋" w:eastAsia="仿宋"/>
          <w:color w:val="auto"/>
          <w:sz w:val="24"/>
          <w:szCs w:val="24"/>
          <w:highlight w:val="none"/>
        </w:rPr>
        <w:t>及</w:t>
      </w:r>
      <w:r>
        <w:rPr>
          <w:rFonts w:ascii="仿宋" w:hAnsi="仿宋" w:eastAsia="仿宋"/>
          <w:color w:val="auto"/>
          <w:sz w:val="24"/>
          <w:szCs w:val="24"/>
          <w:highlight w:val="none"/>
        </w:rPr>
        <w:t>其他</w:t>
      </w:r>
      <w:r>
        <w:rPr>
          <w:rFonts w:hint="eastAsia" w:ascii="仿宋" w:hAnsi="仿宋" w:eastAsia="仿宋"/>
          <w:color w:val="auto"/>
          <w:sz w:val="24"/>
          <w:szCs w:val="24"/>
          <w:highlight w:val="none"/>
        </w:rPr>
        <w:t>相关食品质量安全标准。</w:t>
      </w:r>
    </w:p>
    <w:p w14:paraId="6DB0C9C8">
      <w:pPr>
        <w:pStyle w:val="19"/>
        <w:spacing w:line="500" w:lineRule="exact"/>
        <w:ind w:firstLine="360" w:firstLineChars="150"/>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1、供应商所供的食材须符合《中华人民共和国食品安全法》的要求。 </w:t>
      </w:r>
    </w:p>
    <w:p w14:paraId="042721A9">
      <w:pPr>
        <w:pStyle w:val="19"/>
        <w:spacing w:line="500" w:lineRule="exact"/>
        <w:ind w:firstLine="360" w:firstLineChars="150"/>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2、所供商品须符合国家行业生产及经营标准，货真价实，须提供相应批次的合格检验证明；食材供应链须明确，所有食材的来源须清晰，包装食材要有产品合格标志。严禁供应商收购非标准产品供应给采购人，供应商应对食材的来源和质量标准有详尽的描述。 </w:t>
      </w:r>
    </w:p>
    <w:p w14:paraId="281AEC40">
      <w:pPr>
        <w:pStyle w:val="19"/>
        <w:spacing w:line="500" w:lineRule="exact"/>
        <w:ind w:firstLine="360" w:firstLineChars="150"/>
        <w:rPr>
          <w:rFonts w:ascii="仿宋" w:hAnsi="仿宋" w:eastAsia="仿宋"/>
          <w:color w:val="auto"/>
          <w:sz w:val="24"/>
          <w:szCs w:val="24"/>
          <w:highlight w:val="none"/>
        </w:rPr>
      </w:pPr>
      <w:r>
        <w:rPr>
          <w:rFonts w:hint="eastAsia" w:ascii="仿宋" w:hAnsi="仿宋" w:eastAsia="仿宋"/>
          <w:color w:val="auto"/>
          <w:sz w:val="24"/>
          <w:szCs w:val="24"/>
          <w:highlight w:val="none"/>
        </w:rPr>
        <w:t>3、所有产品符合产品行业及国家相关要求（送货日期不超过产品保质期的1/4）。</w:t>
      </w:r>
    </w:p>
    <w:p w14:paraId="52485570">
      <w:pPr>
        <w:pStyle w:val="19"/>
        <w:spacing w:line="500" w:lineRule="exact"/>
        <w:ind w:firstLine="360" w:firstLineChars="150"/>
        <w:rPr>
          <w:rFonts w:ascii="仿宋" w:hAnsi="仿宋" w:eastAsia="仿宋"/>
          <w:color w:val="auto"/>
          <w:sz w:val="24"/>
          <w:szCs w:val="24"/>
          <w:highlight w:val="none"/>
        </w:rPr>
      </w:pPr>
      <w:r>
        <w:rPr>
          <w:rFonts w:hint="eastAsia" w:ascii="仿宋" w:hAnsi="仿宋" w:eastAsia="仿宋"/>
          <w:color w:val="auto"/>
          <w:sz w:val="24"/>
          <w:szCs w:val="24"/>
          <w:highlight w:val="none"/>
        </w:rPr>
        <w:t>4、蔬果类应保持较好的色泽和新鲜度，符合国家食品卫生标准，不得有黄叶、腐烂、泥沙等现象存在，蔬果类残留农药等化学物不得超标，并提供农药残留检测证明。（蔬菜利用率不低于95% ）。</w:t>
      </w:r>
    </w:p>
    <w:p w14:paraId="2FC5EC0C">
      <w:pPr>
        <w:pStyle w:val="19"/>
        <w:spacing w:line="500" w:lineRule="exact"/>
        <w:ind w:firstLine="360" w:firstLineChars="150"/>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lang w:val="en-US" w:eastAsia="zh-CN"/>
        </w:rPr>
        <w:t>5</w:t>
      </w:r>
      <w:r>
        <w:rPr>
          <w:rFonts w:hint="eastAsia" w:ascii="仿宋" w:hAnsi="仿宋" w:eastAsia="仿宋"/>
          <w:color w:val="auto"/>
          <w:sz w:val="24"/>
          <w:szCs w:val="24"/>
          <w:highlight w:val="none"/>
        </w:rPr>
        <w:t>、对于不符合采购人质量要求的食物可无偿退货或换货，如换货，</w:t>
      </w:r>
      <w:r>
        <w:rPr>
          <w:rFonts w:hint="eastAsia" w:ascii="仿宋" w:hAnsi="仿宋" w:eastAsia="仿宋"/>
          <w:color w:val="auto"/>
          <w:sz w:val="24"/>
          <w:szCs w:val="24"/>
          <w:highlight w:val="none"/>
          <w:lang w:eastAsia="zh-CN"/>
        </w:rPr>
        <w:t>中标供应商</w:t>
      </w:r>
      <w:r>
        <w:rPr>
          <w:rFonts w:hint="eastAsia" w:ascii="仿宋" w:hAnsi="仿宋" w:eastAsia="仿宋"/>
          <w:color w:val="auto"/>
          <w:sz w:val="24"/>
          <w:szCs w:val="24"/>
          <w:highlight w:val="none"/>
        </w:rPr>
        <w:t>必须在采购人规定的时间（二个小时内）把货送到目的地。</w:t>
      </w:r>
    </w:p>
    <w:p w14:paraId="204E6FFC">
      <w:pPr>
        <w:pStyle w:val="19"/>
        <w:spacing w:line="500" w:lineRule="exact"/>
        <w:ind w:firstLine="482" w:firstLineChars="200"/>
        <w:rPr>
          <w:rFonts w:hint="eastAsia" w:ascii="仿宋" w:hAnsi="仿宋" w:eastAsia="仿宋"/>
          <w:b/>
          <w:color w:val="auto"/>
          <w:sz w:val="24"/>
          <w:szCs w:val="24"/>
          <w:highlight w:val="none"/>
        </w:rPr>
      </w:pPr>
      <w:r>
        <w:rPr>
          <w:rFonts w:hint="eastAsia" w:ascii="仿宋" w:hAnsi="仿宋" w:eastAsia="仿宋"/>
          <w:b/>
          <w:color w:val="auto"/>
          <w:sz w:val="24"/>
          <w:szCs w:val="24"/>
          <w:highlight w:val="none"/>
        </w:rPr>
        <w:t>四、范围及标准</w:t>
      </w:r>
    </w:p>
    <w:p w14:paraId="4D75A7DD">
      <w:pPr>
        <w:pStyle w:val="19"/>
        <w:adjustRightInd w:val="0"/>
        <w:spacing w:line="50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范围为食堂运营所需的相关商品，主要包括</w:t>
      </w:r>
      <w:r>
        <w:rPr>
          <w:rFonts w:hint="eastAsia" w:ascii="仿宋" w:hAnsi="仿宋" w:eastAsia="仿宋"/>
          <w:color w:val="auto"/>
          <w:sz w:val="24"/>
          <w:szCs w:val="24"/>
          <w:highlight w:val="none"/>
          <w:lang w:eastAsia="zh-CN"/>
        </w:rPr>
        <w:t>蔬菜、水果</w:t>
      </w:r>
      <w:r>
        <w:rPr>
          <w:rFonts w:hint="eastAsia" w:ascii="仿宋" w:hAnsi="仿宋" w:eastAsia="仿宋"/>
          <w:color w:val="auto"/>
          <w:sz w:val="24"/>
          <w:szCs w:val="24"/>
          <w:highlight w:val="none"/>
        </w:rPr>
        <w:t>等</w:t>
      </w:r>
      <w:r>
        <w:rPr>
          <w:rFonts w:ascii="仿宋" w:hAnsi="仿宋" w:eastAsia="仿宋"/>
          <w:color w:val="auto"/>
          <w:sz w:val="24"/>
          <w:szCs w:val="24"/>
          <w:highlight w:val="none"/>
        </w:rPr>
        <w:t>。</w:t>
      </w:r>
      <w:r>
        <w:rPr>
          <w:rFonts w:hint="eastAsia" w:ascii="仿宋" w:hAnsi="仿宋" w:eastAsia="仿宋"/>
          <w:color w:val="auto"/>
          <w:sz w:val="24"/>
          <w:szCs w:val="24"/>
          <w:highlight w:val="none"/>
          <w:lang w:eastAsia="zh-CN"/>
        </w:rPr>
        <w:t>中标服务商</w:t>
      </w:r>
      <w:r>
        <w:rPr>
          <w:rFonts w:ascii="仿宋" w:hAnsi="仿宋" w:eastAsia="仿宋"/>
          <w:color w:val="auto"/>
          <w:sz w:val="24"/>
          <w:szCs w:val="24"/>
          <w:highlight w:val="none"/>
        </w:rPr>
        <w:t>提供</w:t>
      </w:r>
      <w:r>
        <w:rPr>
          <w:rFonts w:hint="eastAsia" w:ascii="仿宋" w:hAnsi="仿宋" w:eastAsia="仿宋"/>
          <w:color w:val="auto"/>
          <w:sz w:val="24"/>
          <w:szCs w:val="24"/>
          <w:highlight w:val="none"/>
        </w:rPr>
        <w:t>产品</w:t>
      </w:r>
      <w:r>
        <w:rPr>
          <w:rFonts w:ascii="仿宋" w:hAnsi="仿宋" w:eastAsia="仿宋"/>
          <w:color w:val="auto"/>
          <w:sz w:val="24"/>
          <w:szCs w:val="24"/>
          <w:highlight w:val="none"/>
        </w:rPr>
        <w:t>均应</w:t>
      </w:r>
      <w:r>
        <w:rPr>
          <w:rFonts w:hint="eastAsia" w:ascii="仿宋" w:hAnsi="仿宋" w:eastAsia="仿宋"/>
          <w:color w:val="auto"/>
          <w:sz w:val="24"/>
          <w:szCs w:val="24"/>
          <w:highlight w:val="none"/>
        </w:rPr>
        <w:t>为</w:t>
      </w:r>
      <w:r>
        <w:rPr>
          <w:rFonts w:ascii="仿宋" w:hAnsi="仿宋" w:eastAsia="仿宋"/>
          <w:color w:val="auto"/>
          <w:sz w:val="24"/>
          <w:szCs w:val="24"/>
          <w:highlight w:val="none"/>
        </w:rPr>
        <w:t>正规生产的新鲜、</w:t>
      </w:r>
      <w:r>
        <w:rPr>
          <w:rFonts w:hint="eastAsia" w:ascii="仿宋" w:hAnsi="仿宋" w:eastAsia="仿宋"/>
          <w:color w:val="auto"/>
          <w:sz w:val="24"/>
          <w:szCs w:val="24"/>
          <w:highlight w:val="none"/>
        </w:rPr>
        <w:t>检验</w:t>
      </w:r>
      <w:r>
        <w:rPr>
          <w:rFonts w:ascii="仿宋" w:hAnsi="仿宋" w:eastAsia="仿宋"/>
          <w:color w:val="auto"/>
          <w:sz w:val="24"/>
          <w:szCs w:val="24"/>
          <w:highlight w:val="none"/>
        </w:rPr>
        <w:t>合格、无毒无辐射</w:t>
      </w:r>
      <w:r>
        <w:rPr>
          <w:rFonts w:hint="eastAsia" w:ascii="仿宋" w:hAnsi="仿宋" w:eastAsia="仿宋"/>
          <w:color w:val="auto"/>
          <w:sz w:val="24"/>
          <w:szCs w:val="24"/>
          <w:highlight w:val="none"/>
        </w:rPr>
        <w:t>产品</w:t>
      </w:r>
      <w:r>
        <w:rPr>
          <w:rFonts w:ascii="仿宋" w:hAnsi="仿宋" w:eastAsia="仿宋"/>
          <w:color w:val="auto"/>
          <w:sz w:val="24"/>
          <w:szCs w:val="24"/>
          <w:highlight w:val="none"/>
        </w:rPr>
        <w:t>，符合国家有关卫生、质量、包装和保质标准</w:t>
      </w:r>
      <w:r>
        <w:rPr>
          <w:rFonts w:hint="eastAsia" w:ascii="仿宋" w:hAnsi="仿宋" w:eastAsia="仿宋"/>
          <w:color w:val="auto"/>
          <w:sz w:val="24"/>
          <w:szCs w:val="24"/>
          <w:highlight w:val="none"/>
        </w:rPr>
        <w:t>。</w:t>
      </w:r>
      <w:r>
        <w:rPr>
          <w:rFonts w:ascii="仿宋" w:hAnsi="仿宋" w:eastAsia="仿宋"/>
          <w:color w:val="auto"/>
          <w:sz w:val="24"/>
          <w:szCs w:val="24"/>
          <w:highlight w:val="none"/>
        </w:rPr>
        <w:t>要</w:t>
      </w:r>
      <w:r>
        <w:rPr>
          <w:rFonts w:hint="eastAsia" w:ascii="仿宋" w:hAnsi="仿宋" w:eastAsia="仿宋"/>
          <w:color w:val="auto"/>
          <w:sz w:val="24"/>
          <w:szCs w:val="24"/>
          <w:highlight w:val="none"/>
        </w:rPr>
        <w:t>使用</w:t>
      </w:r>
      <w:r>
        <w:rPr>
          <w:rFonts w:ascii="仿宋" w:hAnsi="仿宋" w:eastAsia="仿宋"/>
          <w:color w:val="auto"/>
          <w:sz w:val="24"/>
          <w:szCs w:val="24"/>
          <w:highlight w:val="none"/>
        </w:rPr>
        <w:t>有效期的产品</w:t>
      </w:r>
      <w:r>
        <w:rPr>
          <w:rFonts w:hint="eastAsia" w:ascii="仿宋" w:hAnsi="仿宋" w:eastAsia="仿宋"/>
          <w:color w:val="auto"/>
          <w:sz w:val="24"/>
          <w:szCs w:val="24"/>
          <w:highlight w:val="none"/>
        </w:rPr>
        <w:t>。</w:t>
      </w:r>
    </w:p>
    <w:p w14:paraId="3B346A1F">
      <w:pPr>
        <w:spacing w:line="50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1、</w:t>
      </w:r>
      <w:r>
        <w:rPr>
          <w:rFonts w:hint="eastAsia" w:ascii="仿宋" w:hAnsi="仿宋" w:eastAsia="仿宋"/>
          <w:color w:val="auto"/>
          <w:sz w:val="24"/>
          <w:szCs w:val="24"/>
          <w:highlight w:val="none"/>
          <w:lang w:eastAsia="zh-CN"/>
        </w:rPr>
        <w:t>中标供应商</w:t>
      </w:r>
      <w:r>
        <w:rPr>
          <w:rFonts w:hint="eastAsia" w:ascii="仿宋" w:hAnsi="仿宋" w:eastAsia="仿宋"/>
          <w:color w:val="auto"/>
          <w:sz w:val="24"/>
          <w:szCs w:val="24"/>
          <w:highlight w:val="none"/>
        </w:rPr>
        <w:t>必须遵守国家规定的《食品安全法》、《农产品质量安全法》等法律和行政法规的规定，严禁配送假冒、变质、过期的农副产品。</w:t>
      </w:r>
    </w:p>
    <w:p w14:paraId="532B7703">
      <w:pPr>
        <w:spacing w:line="50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2、</w:t>
      </w:r>
      <w:r>
        <w:rPr>
          <w:rFonts w:hint="eastAsia" w:ascii="仿宋" w:hAnsi="仿宋" w:eastAsia="仿宋"/>
          <w:color w:val="auto"/>
          <w:sz w:val="24"/>
          <w:szCs w:val="24"/>
          <w:highlight w:val="none"/>
          <w:lang w:eastAsia="zh-CN"/>
        </w:rPr>
        <w:t>中标供应商</w:t>
      </w:r>
      <w:r>
        <w:rPr>
          <w:rFonts w:hint="eastAsia" w:ascii="仿宋" w:hAnsi="仿宋" w:eastAsia="仿宋"/>
          <w:color w:val="auto"/>
          <w:sz w:val="24"/>
          <w:szCs w:val="24"/>
          <w:highlight w:val="none"/>
        </w:rPr>
        <w:t>须对采购人购买的食材合理分类、分装，不得混装，运输过程应采取相应的保鲜防护措施。</w:t>
      </w:r>
    </w:p>
    <w:p w14:paraId="24605320">
      <w:pPr>
        <w:spacing w:line="50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3、</w:t>
      </w:r>
      <w:r>
        <w:rPr>
          <w:rFonts w:hint="eastAsia" w:ascii="仿宋" w:hAnsi="仿宋" w:eastAsia="仿宋"/>
          <w:color w:val="auto"/>
          <w:sz w:val="24"/>
          <w:szCs w:val="24"/>
          <w:highlight w:val="none"/>
          <w:lang w:eastAsia="zh-CN"/>
        </w:rPr>
        <w:t>中标供应商</w:t>
      </w:r>
      <w:r>
        <w:rPr>
          <w:rFonts w:hint="eastAsia" w:ascii="仿宋" w:hAnsi="仿宋" w:eastAsia="仿宋"/>
          <w:color w:val="auto"/>
          <w:sz w:val="24"/>
          <w:szCs w:val="24"/>
          <w:highlight w:val="none"/>
        </w:rPr>
        <w:t>应充分理解并认真遵循本</w:t>
      </w:r>
      <w:r>
        <w:rPr>
          <w:rFonts w:hint="eastAsia" w:ascii="仿宋" w:hAnsi="仿宋" w:eastAsia="仿宋"/>
          <w:color w:val="auto"/>
          <w:sz w:val="24"/>
          <w:szCs w:val="24"/>
          <w:highlight w:val="none"/>
          <w:lang w:eastAsia="zh-CN"/>
        </w:rPr>
        <w:t>公开招标</w:t>
      </w:r>
      <w:r>
        <w:rPr>
          <w:rFonts w:hint="eastAsia" w:ascii="仿宋" w:hAnsi="仿宋" w:eastAsia="仿宋"/>
          <w:color w:val="auto"/>
          <w:sz w:val="24"/>
          <w:szCs w:val="24"/>
          <w:highlight w:val="none"/>
        </w:rPr>
        <w:t>的要求，所提供的货物必须满足</w:t>
      </w:r>
      <w:r>
        <w:rPr>
          <w:rFonts w:hint="eastAsia" w:ascii="仿宋" w:hAnsi="仿宋" w:eastAsia="仿宋"/>
          <w:color w:val="auto"/>
          <w:sz w:val="24"/>
          <w:szCs w:val="24"/>
          <w:highlight w:val="none"/>
          <w:lang w:eastAsia="zh-CN"/>
        </w:rPr>
        <w:t>公开招标</w:t>
      </w:r>
      <w:r>
        <w:rPr>
          <w:rFonts w:hint="eastAsia" w:ascii="仿宋" w:hAnsi="仿宋" w:eastAsia="仿宋"/>
          <w:color w:val="auto"/>
          <w:sz w:val="24"/>
          <w:szCs w:val="24"/>
          <w:highlight w:val="none"/>
        </w:rPr>
        <w:t>要求。保证供应的货物均为正规生产、新鲜、检验合格、无毒、无腐烂、无辐射、无侵权、无变质货品，符合国家有关卫生、质量、包装和保质标准。</w:t>
      </w:r>
    </w:p>
    <w:p w14:paraId="54553025">
      <w:pPr>
        <w:spacing w:line="500" w:lineRule="exact"/>
        <w:ind w:firstLine="480" w:firstLineChars="200"/>
        <w:rPr>
          <w:rFonts w:hint="default"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4</w:t>
      </w:r>
      <w:r>
        <w:rPr>
          <w:rFonts w:hint="eastAsia" w:ascii="仿宋" w:hAnsi="仿宋" w:eastAsia="仿宋" w:cs="Times New Roman"/>
          <w:color w:val="auto"/>
          <w:sz w:val="24"/>
          <w:szCs w:val="24"/>
          <w:highlight w:val="none"/>
        </w:rPr>
        <w:t>、</w:t>
      </w:r>
      <w:r>
        <w:rPr>
          <w:rFonts w:hint="eastAsia" w:ascii="仿宋" w:hAnsi="仿宋" w:eastAsia="仿宋" w:cs="Times New Roman"/>
          <w:color w:val="auto"/>
          <w:sz w:val="24"/>
          <w:szCs w:val="24"/>
          <w:highlight w:val="none"/>
          <w:lang w:eastAsia="zh-CN"/>
        </w:rPr>
        <w:t>中标供应商</w:t>
      </w:r>
      <w:r>
        <w:rPr>
          <w:rFonts w:hint="eastAsia" w:ascii="仿宋" w:hAnsi="仿宋" w:eastAsia="仿宋" w:cs="Times New Roman"/>
          <w:color w:val="auto"/>
          <w:sz w:val="24"/>
          <w:szCs w:val="24"/>
          <w:highlight w:val="none"/>
        </w:rPr>
        <w:t>必须保证提供</w:t>
      </w:r>
      <w:r>
        <w:rPr>
          <w:rFonts w:hint="eastAsia" w:ascii="仿宋" w:hAnsi="仿宋" w:eastAsia="仿宋" w:cs="Times New Roman"/>
          <w:color w:val="auto"/>
          <w:sz w:val="24"/>
          <w:szCs w:val="24"/>
          <w:highlight w:val="none"/>
          <w:lang w:eastAsia="zh-CN"/>
        </w:rPr>
        <w:t>的</w:t>
      </w:r>
      <w:r>
        <w:rPr>
          <w:rFonts w:hint="eastAsia" w:ascii="仿宋" w:hAnsi="仿宋" w:eastAsia="仿宋" w:cs="Times New Roman"/>
          <w:color w:val="auto"/>
          <w:sz w:val="24"/>
          <w:szCs w:val="24"/>
          <w:highlight w:val="none"/>
        </w:rPr>
        <w:t>蔬菜</w:t>
      </w:r>
      <w:r>
        <w:rPr>
          <w:rFonts w:hint="eastAsia" w:ascii="仿宋" w:hAnsi="仿宋" w:eastAsia="仿宋" w:cs="Times New Roman"/>
          <w:color w:val="auto"/>
          <w:sz w:val="24"/>
          <w:szCs w:val="24"/>
          <w:highlight w:val="none"/>
          <w:lang w:eastAsia="zh-CN"/>
        </w:rPr>
        <w:t>水果要</w:t>
      </w:r>
      <w:r>
        <w:rPr>
          <w:rFonts w:hint="eastAsia" w:ascii="仿宋" w:hAnsi="仿宋" w:eastAsia="仿宋" w:cs="Times New Roman"/>
          <w:color w:val="auto"/>
          <w:sz w:val="24"/>
          <w:szCs w:val="24"/>
          <w:highlight w:val="none"/>
        </w:rPr>
        <w:t>新鲜，符合食品卫生安全法要求</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rPr>
        <w:t>并</w:t>
      </w:r>
      <w:r>
        <w:rPr>
          <w:rFonts w:hint="eastAsia" w:ascii="仿宋" w:hAnsi="仿宋" w:eastAsia="仿宋" w:cs="Times New Roman"/>
          <w:color w:val="auto"/>
          <w:sz w:val="24"/>
          <w:szCs w:val="24"/>
          <w:highlight w:val="none"/>
          <w:lang w:val="en-US" w:eastAsia="zh-CN"/>
        </w:rPr>
        <w:t>在投标文件中承诺中标后执行合同过程中能够提供</w:t>
      </w:r>
      <w:r>
        <w:rPr>
          <w:rFonts w:hint="eastAsia" w:ascii="仿宋" w:hAnsi="仿宋" w:eastAsia="仿宋" w:cs="Times New Roman"/>
          <w:color w:val="auto"/>
          <w:sz w:val="24"/>
          <w:szCs w:val="24"/>
          <w:highlight w:val="none"/>
        </w:rPr>
        <w:t>国家认可机构出具</w:t>
      </w:r>
      <w:r>
        <w:rPr>
          <w:rFonts w:hint="eastAsia" w:ascii="仿宋" w:hAnsi="仿宋" w:eastAsia="仿宋" w:cs="Times New Roman"/>
          <w:color w:val="auto"/>
          <w:sz w:val="24"/>
          <w:szCs w:val="24"/>
          <w:highlight w:val="none"/>
          <w:lang w:val="en-US" w:eastAsia="zh-CN"/>
        </w:rPr>
        <w:t>的</w:t>
      </w:r>
      <w:r>
        <w:rPr>
          <w:rFonts w:hint="eastAsia" w:ascii="仿宋" w:hAnsi="仿宋" w:eastAsia="仿宋" w:cs="Times New Roman"/>
          <w:color w:val="auto"/>
          <w:sz w:val="24"/>
          <w:szCs w:val="24"/>
          <w:highlight w:val="none"/>
        </w:rPr>
        <w:t>有效检验报告。</w:t>
      </w:r>
      <w:r>
        <w:rPr>
          <w:rFonts w:hint="eastAsia" w:ascii="仿宋" w:hAnsi="仿宋" w:eastAsia="仿宋" w:cs="Times New Roman"/>
          <w:color w:val="auto"/>
          <w:sz w:val="24"/>
          <w:szCs w:val="24"/>
          <w:highlight w:val="none"/>
          <w:lang w:val="en-US" w:eastAsia="zh-CN"/>
        </w:rPr>
        <w:t>具体如下：</w:t>
      </w:r>
    </w:p>
    <w:p w14:paraId="034EEF2B">
      <w:pPr>
        <w:spacing w:line="500" w:lineRule="exact"/>
        <w:ind w:firstLine="480" w:firstLineChars="200"/>
        <w:rPr>
          <w:rFonts w:hint="eastAsia" w:ascii="仿宋" w:hAnsi="仿宋" w:eastAsia="仿宋" w:cs="Times New Roman"/>
          <w:color w:val="auto"/>
          <w:sz w:val="24"/>
          <w:szCs w:val="24"/>
          <w:highlight w:val="none"/>
          <w:lang w:eastAsia="zh-CN"/>
        </w:rPr>
      </w:pPr>
      <w:r>
        <w:rPr>
          <w:rFonts w:hint="eastAsia" w:ascii="仿宋" w:hAnsi="仿宋" w:eastAsia="仿宋" w:cs="Times New Roman"/>
          <w:color w:val="auto"/>
          <w:sz w:val="24"/>
          <w:szCs w:val="24"/>
          <w:highlight w:val="none"/>
          <w:lang w:eastAsia="zh-CN"/>
        </w:rPr>
        <w:t>蔬菜类（检测项目需包含但不限于：Hg、Pb、氧乐果、六六六、敌敌畏)；</w:t>
      </w:r>
    </w:p>
    <w:p w14:paraId="35758C34">
      <w:pPr>
        <w:spacing w:line="500" w:lineRule="exact"/>
        <w:ind w:firstLine="480" w:firstLineChars="200"/>
        <w:rPr>
          <w:rFonts w:hint="eastAsia" w:ascii="仿宋" w:hAnsi="仿宋" w:eastAsia="仿宋" w:cs="Times New Roman"/>
          <w:color w:val="auto"/>
          <w:sz w:val="24"/>
          <w:szCs w:val="24"/>
          <w:highlight w:val="none"/>
          <w:lang w:eastAsia="zh-CN"/>
        </w:rPr>
      </w:pPr>
      <w:r>
        <w:rPr>
          <w:rFonts w:hint="eastAsia" w:ascii="仿宋" w:hAnsi="仿宋" w:eastAsia="仿宋" w:cs="Times New Roman"/>
          <w:color w:val="auto"/>
          <w:sz w:val="24"/>
          <w:szCs w:val="24"/>
          <w:highlight w:val="none"/>
          <w:lang w:eastAsia="zh-CN"/>
        </w:rPr>
        <w:t>菌菇类（检测项目需包含但不限于：</w:t>
      </w:r>
      <w:r>
        <w:rPr>
          <w:rFonts w:hint="eastAsia" w:ascii="仿宋" w:hAnsi="仿宋" w:eastAsia="仿宋" w:cs="Times New Roman"/>
          <w:color w:val="auto"/>
          <w:sz w:val="24"/>
          <w:szCs w:val="24"/>
          <w:highlight w:val="none"/>
          <w:lang w:val="en-US" w:eastAsia="zh-CN"/>
        </w:rPr>
        <w:t>Hg</w:t>
      </w:r>
      <w:r>
        <w:rPr>
          <w:rFonts w:hint="eastAsia" w:ascii="仿宋" w:hAnsi="仿宋" w:eastAsia="仿宋" w:cs="Times New Roman"/>
          <w:color w:val="auto"/>
          <w:sz w:val="24"/>
          <w:szCs w:val="24"/>
          <w:highlight w:val="none"/>
          <w:lang w:eastAsia="zh-CN"/>
        </w:rPr>
        <w:t>、Pb、甲氨基阿维菌素苯甲酸盐、氯氟氰菊酯和高效氯氟氰菊酯）；</w:t>
      </w:r>
    </w:p>
    <w:p w14:paraId="0389748D">
      <w:pPr>
        <w:spacing w:line="500" w:lineRule="exact"/>
        <w:ind w:firstLine="480" w:firstLineChars="200"/>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lang w:val="en-US" w:eastAsia="zh-CN"/>
        </w:rPr>
        <w:t>5</w:t>
      </w:r>
      <w:r>
        <w:rPr>
          <w:rFonts w:hint="eastAsia" w:ascii="仿宋" w:hAnsi="仿宋" w:eastAsia="仿宋" w:cs="Times New Roman"/>
          <w:color w:val="auto"/>
          <w:sz w:val="24"/>
          <w:szCs w:val="24"/>
          <w:highlight w:val="none"/>
        </w:rPr>
        <w:t>、</w:t>
      </w:r>
      <w:r>
        <w:rPr>
          <w:rFonts w:hint="eastAsia" w:ascii="仿宋" w:hAnsi="仿宋" w:eastAsia="仿宋" w:cs="Times New Roman"/>
          <w:color w:val="auto"/>
          <w:sz w:val="24"/>
          <w:szCs w:val="24"/>
          <w:highlight w:val="none"/>
          <w:lang w:eastAsia="zh-CN"/>
        </w:rPr>
        <w:t>中标供应商</w:t>
      </w:r>
      <w:r>
        <w:rPr>
          <w:rFonts w:hint="eastAsia" w:ascii="仿宋" w:hAnsi="仿宋" w:eastAsia="仿宋" w:cs="Times New Roman"/>
          <w:color w:val="auto"/>
          <w:sz w:val="24"/>
          <w:szCs w:val="24"/>
          <w:highlight w:val="none"/>
        </w:rPr>
        <w:t>必须保证所提供的蔬菜种类的多样性和季节性，以保证新鲜度，供应商应在响应文件中列出所投相关品目。</w:t>
      </w:r>
    </w:p>
    <w:p w14:paraId="45F6C896">
      <w:pPr>
        <w:spacing w:line="500" w:lineRule="exact"/>
        <w:ind w:firstLine="480" w:firstLineChars="200"/>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lang w:val="en-US" w:eastAsia="zh-CN"/>
        </w:rPr>
        <w:t>6</w:t>
      </w:r>
      <w:r>
        <w:rPr>
          <w:rFonts w:hint="eastAsia" w:ascii="仿宋" w:hAnsi="仿宋" w:eastAsia="仿宋" w:cs="Times New Roman"/>
          <w:color w:val="auto"/>
          <w:sz w:val="24"/>
          <w:szCs w:val="24"/>
          <w:highlight w:val="none"/>
        </w:rPr>
        <w:t>、货物有包装的，货物的包装必须完整清洁（无损、无污、无皱），采购人有权拒收包装不整齐、已拆封的货物。</w:t>
      </w:r>
    </w:p>
    <w:p w14:paraId="75980113">
      <w:pPr>
        <w:spacing w:line="500" w:lineRule="exact"/>
        <w:ind w:firstLine="480" w:firstLineChars="200"/>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lang w:val="en-US" w:eastAsia="zh-CN"/>
        </w:rPr>
        <w:t>7</w:t>
      </w:r>
      <w:r>
        <w:rPr>
          <w:rFonts w:hint="eastAsia" w:ascii="仿宋" w:hAnsi="仿宋" w:eastAsia="仿宋" w:cs="Times New Roman"/>
          <w:color w:val="auto"/>
          <w:sz w:val="24"/>
          <w:szCs w:val="24"/>
          <w:highlight w:val="none"/>
        </w:rPr>
        <w:t>、采购人发现货物出现损坏（包括表面损坏），或出现水渍、串味、受潮等导致货物性质改变的，</w:t>
      </w:r>
      <w:r>
        <w:rPr>
          <w:rFonts w:hint="eastAsia" w:ascii="仿宋" w:hAnsi="仿宋" w:eastAsia="仿宋" w:cs="Times New Roman"/>
          <w:color w:val="auto"/>
          <w:sz w:val="24"/>
          <w:szCs w:val="24"/>
          <w:highlight w:val="none"/>
          <w:lang w:eastAsia="zh-CN"/>
        </w:rPr>
        <w:t>中标供应商</w:t>
      </w:r>
      <w:r>
        <w:rPr>
          <w:rFonts w:hint="eastAsia" w:ascii="仿宋" w:hAnsi="仿宋" w:eastAsia="仿宋" w:cs="Times New Roman"/>
          <w:color w:val="auto"/>
          <w:sz w:val="24"/>
          <w:szCs w:val="24"/>
          <w:highlight w:val="none"/>
        </w:rPr>
        <w:t>必须无条件退货或更换货物。</w:t>
      </w:r>
    </w:p>
    <w:p w14:paraId="199820DD">
      <w:pPr>
        <w:spacing w:line="500" w:lineRule="exact"/>
        <w:ind w:firstLine="480" w:firstLineChars="200"/>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lang w:val="en-US" w:eastAsia="zh-CN"/>
        </w:rPr>
        <w:t>8</w:t>
      </w:r>
      <w:r>
        <w:rPr>
          <w:rFonts w:hint="eastAsia" w:ascii="仿宋" w:hAnsi="仿宋" w:eastAsia="仿宋" w:cs="Times New Roman"/>
          <w:color w:val="auto"/>
          <w:sz w:val="24"/>
          <w:szCs w:val="24"/>
          <w:highlight w:val="none"/>
        </w:rPr>
        <w:t>、</w:t>
      </w:r>
      <w:r>
        <w:rPr>
          <w:rFonts w:hint="eastAsia" w:ascii="仿宋" w:hAnsi="仿宋" w:eastAsia="仿宋" w:cs="Times New Roman"/>
          <w:color w:val="auto"/>
          <w:sz w:val="24"/>
          <w:szCs w:val="24"/>
          <w:highlight w:val="none"/>
          <w:lang w:eastAsia="zh-CN"/>
        </w:rPr>
        <w:t>中标供应商</w:t>
      </w:r>
      <w:r>
        <w:rPr>
          <w:rFonts w:hint="eastAsia" w:ascii="仿宋" w:hAnsi="仿宋" w:eastAsia="仿宋" w:cs="Times New Roman"/>
          <w:color w:val="auto"/>
          <w:sz w:val="24"/>
          <w:szCs w:val="24"/>
          <w:highlight w:val="none"/>
        </w:rPr>
        <w:t>提供假冒伪劣、过期、变质、有毒等不合格食材的，一经发现，除按采购人要求无条件退货或换货外，还将被处以当次供应食材货款2倍的</w:t>
      </w:r>
      <w:r>
        <w:rPr>
          <w:rFonts w:hint="eastAsia" w:ascii="仿宋" w:hAnsi="仿宋" w:eastAsia="仿宋" w:cs="Times New Roman"/>
          <w:color w:val="auto"/>
          <w:sz w:val="24"/>
          <w:szCs w:val="24"/>
          <w:highlight w:val="none"/>
          <w:lang w:eastAsia="zh-CN"/>
        </w:rPr>
        <w:t>违约金</w:t>
      </w:r>
      <w:r>
        <w:rPr>
          <w:rFonts w:hint="eastAsia" w:ascii="仿宋" w:hAnsi="仿宋" w:eastAsia="仿宋" w:cs="Times New Roman"/>
          <w:color w:val="auto"/>
          <w:sz w:val="24"/>
          <w:szCs w:val="24"/>
          <w:highlight w:val="none"/>
        </w:rPr>
        <w:t>，</w:t>
      </w:r>
      <w:r>
        <w:rPr>
          <w:rFonts w:hint="eastAsia" w:ascii="仿宋" w:hAnsi="仿宋" w:eastAsia="仿宋" w:cs="Times New Roman"/>
          <w:color w:val="auto"/>
          <w:sz w:val="24"/>
          <w:szCs w:val="24"/>
          <w:highlight w:val="none"/>
          <w:lang w:eastAsia="zh-CN"/>
        </w:rPr>
        <w:t>违约金</w:t>
      </w:r>
      <w:r>
        <w:rPr>
          <w:rFonts w:hint="eastAsia" w:ascii="仿宋" w:hAnsi="仿宋" w:eastAsia="仿宋" w:cs="Times New Roman"/>
          <w:color w:val="auto"/>
          <w:sz w:val="24"/>
          <w:szCs w:val="24"/>
          <w:highlight w:val="none"/>
        </w:rPr>
        <w:t>由供货结算款内扣除。</w:t>
      </w:r>
    </w:p>
    <w:p w14:paraId="25843393">
      <w:pPr>
        <w:spacing w:line="50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9</w:t>
      </w: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lang w:eastAsia="zh-CN"/>
        </w:rPr>
        <w:t>中标供应商</w:t>
      </w:r>
      <w:r>
        <w:rPr>
          <w:rFonts w:hint="eastAsia" w:ascii="仿宋" w:hAnsi="仿宋" w:eastAsia="仿宋"/>
          <w:color w:val="auto"/>
          <w:sz w:val="24"/>
          <w:szCs w:val="24"/>
          <w:highlight w:val="none"/>
        </w:rPr>
        <w:t>提供的食材引起食用人身体不适或发生食物中毒等情况的，经质量检验部门确定后，如确实为</w:t>
      </w:r>
      <w:r>
        <w:rPr>
          <w:rFonts w:hint="eastAsia" w:ascii="仿宋" w:hAnsi="仿宋" w:eastAsia="仿宋"/>
          <w:color w:val="auto"/>
          <w:sz w:val="24"/>
          <w:szCs w:val="24"/>
          <w:highlight w:val="none"/>
          <w:lang w:eastAsia="zh-CN"/>
        </w:rPr>
        <w:t>中标供应商</w:t>
      </w:r>
      <w:r>
        <w:rPr>
          <w:rFonts w:hint="eastAsia" w:ascii="仿宋" w:hAnsi="仿宋" w:eastAsia="仿宋"/>
          <w:color w:val="auto"/>
          <w:sz w:val="24"/>
          <w:szCs w:val="24"/>
          <w:highlight w:val="none"/>
        </w:rPr>
        <w:t>提供的食材问题，由此产生的治疗、医药等一切费用全部由</w:t>
      </w:r>
      <w:r>
        <w:rPr>
          <w:rFonts w:hint="eastAsia" w:ascii="仿宋" w:hAnsi="仿宋" w:eastAsia="仿宋"/>
          <w:color w:val="auto"/>
          <w:sz w:val="24"/>
          <w:szCs w:val="24"/>
          <w:highlight w:val="none"/>
          <w:lang w:eastAsia="zh-CN"/>
        </w:rPr>
        <w:t>中标供应商</w:t>
      </w:r>
      <w:r>
        <w:rPr>
          <w:rFonts w:hint="eastAsia" w:ascii="仿宋" w:hAnsi="仿宋" w:eastAsia="仿宋"/>
          <w:color w:val="auto"/>
          <w:sz w:val="24"/>
          <w:szCs w:val="24"/>
          <w:highlight w:val="none"/>
        </w:rPr>
        <w:t>承担，且采购人将取消该</w:t>
      </w:r>
      <w:r>
        <w:rPr>
          <w:rFonts w:hint="eastAsia" w:ascii="仿宋" w:hAnsi="仿宋" w:eastAsia="仿宋"/>
          <w:color w:val="auto"/>
          <w:sz w:val="24"/>
          <w:szCs w:val="24"/>
          <w:highlight w:val="none"/>
          <w:lang w:eastAsia="zh-CN"/>
        </w:rPr>
        <w:t>中标供应商</w:t>
      </w:r>
      <w:r>
        <w:rPr>
          <w:rFonts w:hint="eastAsia" w:ascii="仿宋" w:hAnsi="仿宋" w:eastAsia="仿宋"/>
          <w:color w:val="auto"/>
          <w:sz w:val="24"/>
          <w:szCs w:val="24"/>
          <w:highlight w:val="none"/>
        </w:rPr>
        <w:t>的供货资格，没收其履约保证金，因此产生的经济赔偿及相应法律责任全部由</w:t>
      </w:r>
      <w:r>
        <w:rPr>
          <w:rFonts w:hint="eastAsia" w:ascii="仿宋" w:hAnsi="仿宋" w:eastAsia="仿宋"/>
          <w:color w:val="auto"/>
          <w:sz w:val="24"/>
          <w:szCs w:val="24"/>
          <w:highlight w:val="none"/>
          <w:lang w:eastAsia="zh-CN"/>
        </w:rPr>
        <w:t>中标供应商</w:t>
      </w:r>
      <w:r>
        <w:rPr>
          <w:rFonts w:hint="eastAsia" w:ascii="仿宋" w:hAnsi="仿宋" w:eastAsia="仿宋"/>
          <w:color w:val="auto"/>
          <w:sz w:val="24"/>
          <w:szCs w:val="24"/>
          <w:highlight w:val="none"/>
        </w:rPr>
        <w:t>承担。</w:t>
      </w:r>
    </w:p>
    <w:p w14:paraId="2C864BD4">
      <w:pPr>
        <w:pStyle w:val="19"/>
        <w:spacing w:line="500" w:lineRule="exact"/>
        <w:ind w:firstLine="482" w:firstLineChars="200"/>
        <w:rPr>
          <w:rFonts w:ascii="仿宋" w:hAnsi="仿宋" w:eastAsia="仿宋" w:cs="仿宋"/>
          <w:b/>
          <w:bCs/>
          <w:color w:val="auto"/>
          <w:sz w:val="24"/>
          <w:szCs w:val="24"/>
          <w:highlight w:val="none"/>
        </w:rPr>
      </w:pPr>
      <w:r>
        <w:rPr>
          <w:rFonts w:hint="eastAsia" w:ascii="仿宋" w:hAnsi="仿宋" w:eastAsia="仿宋"/>
          <w:b/>
          <w:color w:val="auto"/>
          <w:sz w:val="24"/>
          <w:szCs w:val="24"/>
          <w:highlight w:val="none"/>
        </w:rPr>
        <w:t>五、供应产品质量要求</w:t>
      </w:r>
    </w:p>
    <w:p w14:paraId="6A30912B">
      <w:pPr>
        <w:spacing w:line="50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蔬菜</w:t>
      </w:r>
      <w:r>
        <w:rPr>
          <w:rFonts w:hint="eastAsia" w:ascii="仿宋" w:hAnsi="仿宋" w:eastAsia="仿宋" w:cs="宋体"/>
          <w:color w:val="auto"/>
          <w:sz w:val="24"/>
          <w:szCs w:val="24"/>
          <w:highlight w:val="none"/>
          <w:lang w:eastAsia="zh-CN"/>
        </w:rPr>
        <w:t>及水果</w:t>
      </w:r>
      <w:r>
        <w:rPr>
          <w:rFonts w:hint="eastAsia" w:ascii="仿宋" w:hAnsi="仿宋" w:eastAsia="仿宋" w:cs="宋体"/>
          <w:color w:val="auto"/>
          <w:sz w:val="24"/>
          <w:szCs w:val="24"/>
          <w:highlight w:val="none"/>
        </w:rPr>
        <w:t>质量要求</w:t>
      </w:r>
    </w:p>
    <w:p w14:paraId="5CBB448F">
      <w:pPr>
        <w:spacing w:line="500" w:lineRule="exact"/>
        <w:ind w:firstLine="480" w:firstLineChars="20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1、</w:t>
      </w:r>
      <w:r>
        <w:rPr>
          <w:rFonts w:hint="eastAsia" w:ascii="仿宋" w:hAnsi="仿宋" w:eastAsia="仿宋" w:cs="宋体"/>
          <w:color w:val="auto"/>
          <w:sz w:val="24"/>
          <w:szCs w:val="24"/>
          <w:highlight w:val="none"/>
          <w:lang w:eastAsia="zh-CN"/>
        </w:rPr>
        <w:t>中标供应商</w:t>
      </w:r>
      <w:r>
        <w:rPr>
          <w:rFonts w:hint="eastAsia" w:ascii="仿宋" w:hAnsi="仿宋" w:eastAsia="仿宋" w:cs="宋体"/>
          <w:color w:val="auto"/>
          <w:sz w:val="24"/>
          <w:szCs w:val="24"/>
          <w:highlight w:val="none"/>
        </w:rPr>
        <w:t>每天按采购人提出的</w:t>
      </w:r>
      <w:r>
        <w:rPr>
          <w:rFonts w:hint="eastAsia" w:ascii="仿宋" w:hAnsi="仿宋" w:eastAsia="仿宋" w:cs="宋体"/>
          <w:color w:val="auto"/>
          <w:sz w:val="24"/>
          <w:szCs w:val="24"/>
          <w:highlight w:val="none"/>
          <w:lang w:eastAsia="zh-CN"/>
        </w:rPr>
        <w:t>食材</w:t>
      </w:r>
      <w:r>
        <w:rPr>
          <w:rFonts w:hint="eastAsia" w:ascii="仿宋" w:hAnsi="仿宋" w:eastAsia="仿宋" w:cs="宋体"/>
          <w:color w:val="auto"/>
          <w:sz w:val="24"/>
          <w:szCs w:val="24"/>
          <w:highlight w:val="none"/>
        </w:rPr>
        <w:t xml:space="preserve">品种要求和计划数量进行供应。 </w:t>
      </w:r>
    </w:p>
    <w:p w14:paraId="219FC2FF">
      <w:pPr>
        <w:spacing w:line="50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 xml:space="preserve">2、属季节问题，若出现品种不能满足采购人需求的情况，可与采购人协商调换相应类别的品种。 </w:t>
      </w:r>
    </w:p>
    <w:p w14:paraId="116F5B0A">
      <w:pPr>
        <w:spacing w:line="50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3、蔬</w:t>
      </w:r>
      <w:r>
        <w:rPr>
          <w:rFonts w:hint="eastAsia" w:ascii="仿宋" w:hAnsi="仿宋" w:eastAsia="仿宋" w:cs="宋体"/>
          <w:color w:val="auto"/>
          <w:sz w:val="24"/>
          <w:szCs w:val="24"/>
          <w:highlight w:val="none"/>
          <w:lang w:eastAsia="zh-CN"/>
        </w:rPr>
        <w:t>果</w:t>
      </w:r>
      <w:r>
        <w:rPr>
          <w:rFonts w:hint="eastAsia" w:ascii="仿宋" w:hAnsi="仿宋" w:eastAsia="仿宋" w:cs="宋体"/>
          <w:color w:val="auto"/>
          <w:sz w:val="24"/>
          <w:szCs w:val="24"/>
          <w:highlight w:val="none"/>
        </w:rPr>
        <w:t>类应保持较好的色泽和新鲜度，利用率达到95%以上。严禁采购有害、有毒、腐烂变质、酸败、霉变、生虫、污垢不洁、混有异物或其他感官性状异常的食材。蔬菜应无损伤、腐烂现象，无寄生虫或已受虫害现象。禁止采购超过保质期限的食材。</w:t>
      </w:r>
    </w:p>
    <w:p w14:paraId="1CF2C015">
      <w:pPr>
        <w:spacing w:line="50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 xml:space="preserve">4、蔬菜包装与标志要求： </w:t>
      </w:r>
    </w:p>
    <w:p w14:paraId="2A0E2906">
      <w:pPr>
        <w:spacing w:line="50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 xml:space="preserve">（1）包装：容器（框、箱、袋）要求清洁、干燥、牢固、透气，无污染、无异味、无霉变现象； </w:t>
      </w:r>
    </w:p>
    <w:p w14:paraId="5F16896E">
      <w:pPr>
        <w:spacing w:line="50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 xml:space="preserve">（2）标志：每件包装须按《农产品包装和标识管理办法》贴标签，并标明产地、品种、净含量、生产单位及地址和采收日期。 </w:t>
      </w:r>
    </w:p>
    <w:p w14:paraId="1E828678">
      <w:pPr>
        <w:spacing w:line="500" w:lineRule="exact"/>
        <w:ind w:firstLine="480" w:firstLineChars="20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5、食材供应链要求：所有食材的来源须清晰。</w:t>
      </w:r>
    </w:p>
    <w:p w14:paraId="6FAE92F9">
      <w:pPr>
        <w:spacing w:line="50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 xml:space="preserve">6、对蔬菜生产商的管理要求：菜地配有专用的农药喷洒用具及其他农用器具；蔬菜采收后需用清洁、无污染的运输工具运抵加工地点。 </w:t>
      </w:r>
    </w:p>
    <w:p w14:paraId="25979ABF">
      <w:pPr>
        <w:spacing w:line="50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 xml:space="preserve">7、对蔬菜生产商环境要求：菜地周围需设有隔离网、隔离带或其他有效的隔离措施，确保不受临近农田施肥和用药污染；菜地周围无养殖场、化工厂、垃圾处理场、医院以及污水排放管道等污染源。 </w:t>
      </w:r>
    </w:p>
    <w:p w14:paraId="0774125B">
      <w:pPr>
        <w:spacing w:line="50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8、对蔬菜生产商水源要求：菜地应有清洁无污染的灌溉水源，灌溉水井设有防护设施。灌溉水源需经检测验证符合规定要求，并一年内在蔬菜种植过程对水源进行2次监测。</w:t>
      </w:r>
    </w:p>
    <w:p w14:paraId="17148929">
      <w:pPr>
        <w:spacing w:line="50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9、农药要求：种植使用的农药须符合食品安全管理部门的规定，严禁使用违禁药物；农药的采购、保管、发放、使用须建立记录；蔬菜生产使用农药的间隔期须符合行业规定，并且采收前供应商应从种植地取样检测农残项目，合格后方可供应。</w:t>
      </w:r>
    </w:p>
    <w:p w14:paraId="6A8D50C7">
      <w:pPr>
        <w:spacing w:line="500" w:lineRule="exact"/>
        <w:ind w:firstLine="480" w:firstLineChars="200"/>
        <w:rPr>
          <w:rFonts w:ascii="仿宋" w:hAnsi="仿宋" w:eastAsia="仿宋"/>
          <w:color w:val="auto"/>
          <w:sz w:val="24"/>
          <w:szCs w:val="24"/>
          <w:highlight w:val="none"/>
        </w:rPr>
      </w:pPr>
      <w:r>
        <w:rPr>
          <w:rFonts w:hint="eastAsia" w:ascii="仿宋" w:hAnsi="仿宋" w:eastAsia="仿宋" w:cs="宋体"/>
          <w:color w:val="auto"/>
          <w:sz w:val="24"/>
          <w:szCs w:val="24"/>
          <w:highlight w:val="none"/>
        </w:rPr>
        <w:t>10、蔬菜卫生质量要求：卫生质量指标应符合我国无公害蔬菜上的卫生指标规定。</w:t>
      </w:r>
    </w:p>
    <w:p w14:paraId="49F8CD73">
      <w:pPr>
        <w:pStyle w:val="19"/>
        <w:spacing w:line="500" w:lineRule="exact"/>
        <w:ind w:firstLine="482" w:firstLineChars="200"/>
        <w:rPr>
          <w:rFonts w:ascii="仿宋" w:hAnsi="仿宋" w:eastAsia="仿宋" w:cs="仿宋"/>
          <w:b/>
          <w:bCs/>
          <w:color w:val="auto"/>
          <w:sz w:val="24"/>
          <w:szCs w:val="24"/>
          <w:highlight w:val="none"/>
        </w:rPr>
      </w:pPr>
      <w:r>
        <w:rPr>
          <w:rFonts w:hint="eastAsia" w:ascii="仿宋" w:hAnsi="仿宋" w:eastAsia="仿宋"/>
          <w:b/>
          <w:color w:val="auto"/>
          <w:sz w:val="24"/>
          <w:szCs w:val="24"/>
          <w:highlight w:val="none"/>
        </w:rPr>
        <w:t>六、供应产品包装要求</w:t>
      </w:r>
    </w:p>
    <w:p w14:paraId="40E0D843">
      <w:pPr>
        <w:spacing w:line="500" w:lineRule="exact"/>
        <w:ind w:firstLine="480" w:firstLineChars="200"/>
        <w:rPr>
          <w:rFonts w:ascii="仿宋" w:hAnsi="仿宋" w:eastAsia="仿宋" w:cs="宋体"/>
          <w:color w:val="auto"/>
          <w:sz w:val="24"/>
          <w:szCs w:val="24"/>
          <w:highlight w:val="none"/>
        </w:rPr>
      </w:pPr>
      <w:r>
        <w:rPr>
          <w:rFonts w:ascii="仿宋" w:hAnsi="仿宋" w:eastAsia="仿宋" w:cs="宋体"/>
          <w:color w:val="auto"/>
          <w:sz w:val="24"/>
          <w:szCs w:val="24"/>
          <w:highlight w:val="none"/>
        </w:rPr>
        <w:t>1、包装必须与运输方式相适应，包装方式的确定及包装费用均由</w:t>
      </w:r>
      <w:r>
        <w:rPr>
          <w:rFonts w:hint="eastAsia" w:ascii="仿宋" w:hAnsi="仿宋" w:eastAsia="仿宋" w:cs="宋体"/>
          <w:color w:val="auto"/>
          <w:sz w:val="24"/>
          <w:szCs w:val="24"/>
          <w:highlight w:val="none"/>
          <w:lang w:eastAsia="zh-CN"/>
        </w:rPr>
        <w:t>中标供应商</w:t>
      </w:r>
      <w:r>
        <w:rPr>
          <w:rFonts w:ascii="仿宋" w:hAnsi="仿宋" w:eastAsia="仿宋" w:cs="宋体"/>
          <w:color w:val="auto"/>
          <w:sz w:val="24"/>
          <w:szCs w:val="24"/>
          <w:highlight w:val="none"/>
        </w:rPr>
        <w:t>负责；由于不适当的包装而造成货物在运输过程中有任何损坏、丢失由</w:t>
      </w:r>
      <w:r>
        <w:rPr>
          <w:rFonts w:hint="eastAsia" w:ascii="仿宋" w:hAnsi="仿宋" w:eastAsia="仿宋" w:cs="宋体"/>
          <w:color w:val="auto"/>
          <w:sz w:val="24"/>
          <w:szCs w:val="24"/>
          <w:highlight w:val="none"/>
          <w:lang w:eastAsia="zh-CN"/>
        </w:rPr>
        <w:t>中标供应商</w:t>
      </w:r>
      <w:r>
        <w:rPr>
          <w:rFonts w:ascii="仿宋" w:hAnsi="仿宋" w:eastAsia="仿宋" w:cs="宋体"/>
          <w:color w:val="auto"/>
          <w:sz w:val="24"/>
          <w:szCs w:val="24"/>
          <w:highlight w:val="none"/>
        </w:rPr>
        <w:t>负责。</w:t>
      </w:r>
    </w:p>
    <w:p w14:paraId="53648C69">
      <w:pPr>
        <w:pStyle w:val="19"/>
        <w:adjustRightInd w:val="0"/>
        <w:spacing w:line="500" w:lineRule="exact"/>
        <w:ind w:firstLine="480" w:firstLineChars="200"/>
        <w:rPr>
          <w:rFonts w:ascii="仿宋" w:hAnsi="仿宋" w:eastAsia="仿宋" w:cs="宋体"/>
          <w:color w:val="auto"/>
          <w:kern w:val="0"/>
          <w:sz w:val="24"/>
          <w:szCs w:val="24"/>
          <w:highlight w:val="none"/>
        </w:rPr>
      </w:pPr>
      <w:r>
        <w:rPr>
          <w:rFonts w:ascii="仿宋" w:hAnsi="仿宋" w:eastAsia="仿宋" w:cs="宋体"/>
          <w:color w:val="auto"/>
          <w:kern w:val="0"/>
          <w:sz w:val="24"/>
          <w:szCs w:val="24"/>
          <w:highlight w:val="none"/>
        </w:rPr>
        <w:t xml:space="preserve">2、食材运输须采用符合卫生标准的外包装和运载工具，并且要保持清洁和定期消毒。运输车厢的内仓，包括地面、墙面和顶，应使用抗腐蚀、防潮，易清洁消毒的材料。车厢内无不良气味、异味。 </w:t>
      </w:r>
    </w:p>
    <w:p w14:paraId="3A282F14">
      <w:pPr>
        <w:pStyle w:val="19"/>
        <w:adjustRightInd w:val="0"/>
        <w:spacing w:line="500" w:lineRule="exact"/>
        <w:ind w:firstLine="480" w:firstLineChars="200"/>
        <w:rPr>
          <w:rFonts w:ascii="仿宋" w:hAnsi="仿宋" w:eastAsia="仿宋" w:cs="宋体"/>
          <w:color w:val="auto"/>
          <w:kern w:val="0"/>
          <w:sz w:val="24"/>
          <w:szCs w:val="24"/>
          <w:highlight w:val="none"/>
        </w:rPr>
      </w:pPr>
      <w:r>
        <w:rPr>
          <w:rFonts w:ascii="仿宋" w:hAnsi="仿宋" w:eastAsia="仿宋" w:cs="宋体"/>
          <w:color w:val="auto"/>
          <w:kern w:val="0"/>
          <w:sz w:val="24"/>
          <w:szCs w:val="24"/>
          <w:highlight w:val="none"/>
        </w:rPr>
        <w:t>3、包装应足以承受整个过程中的运输、转运、装卸、储存等，充分考虑到运输途中的各种情况（如暴露于恶劣气候等）和</w:t>
      </w:r>
      <w:r>
        <w:rPr>
          <w:rFonts w:hint="eastAsia" w:ascii="仿宋" w:hAnsi="仿宋" w:eastAsia="仿宋" w:cs="宋体"/>
          <w:color w:val="auto"/>
          <w:kern w:val="0"/>
          <w:sz w:val="24"/>
          <w:szCs w:val="24"/>
          <w:highlight w:val="none"/>
        </w:rPr>
        <w:t>乌鲁木齐</w:t>
      </w:r>
      <w:r>
        <w:rPr>
          <w:rFonts w:ascii="仿宋" w:hAnsi="仿宋" w:eastAsia="仿宋" w:cs="宋体"/>
          <w:color w:val="auto"/>
          <w:kern w:val="0"/>
          <w:sz w:val="24"/>
          <w:szCs w:val="24"/>
          <w:highlight w:val="none"/>
        </w:rPr>
        <w:t>地区的气候特点，以及露天存放的需要。</w:t>
      </w:r>
    </w:p>
    <w:p w14:paraId="5FDD3DE5">
      <w:pPr>
        <w:spacing w:line="50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4</w:t>
      </w:r>
      <w:r>
        <w:rPr>
          <w:rFonts w:ascii="仿宋" w:hAnsi="仿宋" w:eastAsia="仿宋" w:cs="宋体"/>
          <w:color w:val="auto"/>
          <w:sz w:val="24"/>
          <w:szCs w:val="24"/>
          <w:highlight w:val="none"/>
        </w:rPr>
        <w:t xml:space="preserve">、送货车辆应保持清洁；食材堆放科学合理，避免造成食材的交叉污染；如对温度有要求的食材应确定食材的温度，记录送货车辆温度，并记录存档。 </w:t>
      </w:r>
    </w:p>
    <w:p w14:paraId="4FFE8039">
      <w:pPr>
        <w:spacing w:line="50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5</w:t>
      </w:r>
      <w:r>
        <w:rPr>
          <w:rFonts w:ascii="仿宋" w:hAnsi="仿宋" w:eastAsia="仿宋" w:cs="宋体"/>
          <w:color w:val="auto"/>
          <w:sz w:val="24"/>
          <w:szCs w:val="24"/>
          <w:highlight w:val="none"/>
        </w:rPr>
        <w:t xml:space="preserve">、在本环节中应保证冷藏食材脱离冷链时间不得超过20分钟。 </w:t>
      </w:r>
    </w:p>
    <w:p w14:paraId="0CD0863F">
      <w:pPr>
        <w:spacing w:line="50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6</w:t>
      </w:r>
      <w:r>
        <w:rPr>
          <w:rFonts w:ascii="仿宋" w:hAnsi="仿宋" w:eastAsia="仿宋" w:cs="宋体"/>
          <w:color w:val="auto"/>
          <w:sz w:val="24"/>
          <w:szCs w:val="24"/>
          <w:highlight w:val="none"/>
        </w:rPr>
        <w:t>、每一包装箱两个侧面用不褪色的油漆和明显易见的中文字样做出标记。标记内容包括：箱（件）号、装运标志（唛头）、毛重（kg）、尺码（长×宽×高，用mm表示）、净重（kg）、到货地址、收货人名称、货物名称、合同编号以及“勿近潮湿”、“小心轻放”、“此边向上”等。</w:t>
      </w:r>
    </w:p>
    <w:p w14:paraId="1B9F21C9">
      <w:pPr>
        <w:spacing w:line="50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7</w:t>
      </w:r>
      <w:r>
        <w:rPr>
          <w:rFonts w:ascii="仿宋" w:hAnsi="仿宋" w:eastAsia="仿宋" w:cs="宋体"/>
          <w:color w:val="auto"/>
          <w:sz w:val="24"/>
          <w:szCs w:val="24"/>
          <w:highlight w:val="none"/>
        </w:rPr>
        <w:t>、货物在现场的保管由</w:t>
      </w:r>
      <w:r>
        <w:rPr>
          <w:rFonts w:hint="eastAsia" w:ascii="仿宋" w:hAnsi="仿宋" w:eastAsia="仿宋" w:cs="宋体"/>
          <w:color w:val="auto"/>
          <w:sz w:val="24"/>
          <w:szCs w:val="24"/>
          <w:highlight w:val="none"/>
          <w:lang w:eastAsia="zh-CN"/>
        </w:rPr>
        <w:t>中标供应商</w:t>
      </w:r>
      <w:r>
        <w:rPr>
          <w:rFonts w:ascii="仿宋" w:hAnsi="仿宋" w:eastAsia="仿宋" w:cs="宋体"/>
          <w:color w:val="auto"/>
          <w:sz w:val="24"/>
          <w:szCs w:val="24"/>
          <w:highlight w:val="none"/>
        </w:rPr>
        <w:t>负责，直至验收完毕。</w:t>
      </w:r>
    </w:p>
    <w:p w14:paraId="196DEF6C">
      <w:pPr>
        <w:pStyle w:val="19"/>
        <w:spacing w:line="500" w:lineRule="exact"/>
        <w:ind w:firstLine="360" w:firstLineChars="150"/>
        <w:rPr>
          <w:rFonts w:hint="eastAsia"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val="en-US" w:eastAsia="zh-CN"/>
        </w:rPr>
        <w:t>8</w:t>
      </w:r>
      <w:r>
        <w:rPr>
          <w:rFonts w:ascii="仿宋" w:hAnsi="仿宋" w:eastAsia="仿宋" w:cs="宋体"/>
          <w:color w:val="auto"/>
          <w:sz w:val="24"/>
          <w:szCs w:val="24"/>
          <w:highlight w:val="none"/>
        </w:rPr>
        <w:t>、</w:t>
      </w:r>
      <w:r>
        <w:rPr>
          <w:rFonts w:hint="eastAsia" w:ascii="仿宋" w:hAnsi="仿宋" w:eastAsia="仿宋" w:cs="宋体"/>
          <w:color w:val="auto"/>
          <w:sz w:val="24"/>
          <w:szCs w:val="24"/>
          <w:highlight w:val="none"/>
          <w:lang w:eastAsia="zh-CN"/>
        </w:rPr>
        <w:t>中标供应商</w:t>
      </w:r>
      <w:r>
        <w:rPr>
          <w:rFonts w:ascii="仿宋" w:hAnsi="仿宋" w:eastAsia="仿宋" w:cs="宋体"/>
          <w:color w:val="auto"/>
          <w:sz w:val="24"/>
          <w:szCs w:val="24"/>
          <w:highlight w:val="none"/>
        </w:rPr>
        <w:t>保证所提供的食材都是正规合法符合国家相关规定的食材，每种食材的信息应与订购清单一致。保证不送出长期积压污损的食材。</w:t>
      </w:r>
    </w:p>
    <w:p w14:paraId="218D4BDE">
      <w:pPr>
        <w:pStyle w:val="19"/>
        <w:spacing w:line="500" w:lineRule="exact"/>
        <w:ind w:firstLine="482" w:firstLineChars="200"/>
        <w:rPr>
          <w:rFonts w:ascii="仿宋" w:hAnsi="仿宋" w:eastAsia="仿宋"/>
          <w:b/>
          <w:color w:val="auto"/>
          <w:sz w:val="24"/>
          <w:szCs w:val="24"/>
          <w:highlight w:val="none"/>
        </w:rPr>
      </w:pPr>
      <w:r>
        <w:rPr>
          <w:rFonts w:hint="eastAsia" w:ascii="仿宋" w:hAnsi="仿宋" w:eastAsia="仿宋"/>
          <w:b/>
          <w:color w:val="auto"/>
          <w:sz w:val="24"/>
          <w:szCs w:val="24"/>
          <w:highlight w:val="none"/>
        </w:rPr>
        <w:t>七、配送地址</w:t>
      </w:r>
    </w:p>
    <w:p w14:paraId="40936453">
      <w:pPr>
        <w:spacing w:line="500" w:lineRule="exact"/>
        <w:ind w:firstLine="480" w:firstLineChars="200"/>
        <w:rPr>
          <w:rFonts w:hint="eastAsia" w:ascii="仿宋" w:hAnsi="仿宋" w:eastAsia="仿宋" w:cs="宋体"/>
          <w:color w:val="auto"/>
          <w:sz w:val="24"/>
          <w:szCs w:val="24"/>
          <w:highlight w:val="none"/>
          <w:lang w:eastAsia="zh-CN"/>
        </w:rPr>
      </w:pPr>
      <w:r>
        <w:rPr>
          <w:rFonts w:ascii="仿宋" w:hAnsi="仿宋" w:eastAsia="仿宋" w:cs="宋体"/>
          <w:color w:val="auto"/>
          <w:sz w:val="24"/>
          <w:szCs w:val="24"/>
          <w:highlight w:val="none"/>
        </w:rPr>
        <w:t>送货</w:t>
      </w:r>
      <w:r>
        <w:rPr>
          <w:rFonts w:hint="eastAsia" w:ascii="仿宋" w:hAnsi="仿宋" w:eastAsia="仿宋" w:cs="宋体"/>
          <w:color w:val="auto"/>
          <w:sz w:val="24"/>
          <w:szCs w:val="24"/>
          <w:highlight w:val="none"/>
        </w:rPr>
        <w:t>地点：</w:t>
      </w:r>
      <w:r>
        <w:rPr>
          <w:rFonts w:hint="eastAsia" w:ascii="仿宋" w:hAnsi="仿宋" w:eastAsia="仿宋" w:cs="仿宋"/>
          <w:sz w:val="24"/>
          <w:szCs w:val="24"/>
          <w:highlight w:val="none"/>
          <w:u w:val="single"/>
        </w:rPr>
        <w:t>乌鲁木齐南昌路456号</w:t>
      </w:r>
      <w:r>
        <w:rPr>
          <w:rFonts w:hint="eastAsia" w:ascii="仿宋" w:hAnsi="仿宋" w:eastAsia="仿宋" w:cs="宋体"/>
          <w:color w:val="auto"/>
          <w:sz w:val="24"/>
          <w:szCs w:val="24"/>
          <w:highlight w:val="none"/>
          <w:lang w:val="en-US" w:eastAsia="zh-CN"/>
        </w:rPr>
        <w:t>。</w:t>
      </w:r>
    </w:p>
    <w:p w14:paraId="09A95AA4">
      <w:pPr>
        <w:pStyle w:val="19"/>
        <w:spacing w:line="500" w:lineRule="exact"/>
        <w:ind w:firstLine="482" w:firstLineChars="200"/>
        <w:rPr>
          <w:rFonts w:hint="eastAsia" w:ascii="仿宋" w:hAnsi="仿宋" w:eastAsia="仿宋"/>
          <w:b/>
          <w:color w:val="auto"/>
          <w:sz w:val="24"/>
          <w:szCs w:val="24"/>
          <w:highlight w:val="none"/>
        </w:rPr>
      </w:pPr>
      <w:r>
        <w:rPr>
          <w:rFonts w:hint="eastAsia" w:ascii="仿宋" w:hAnsi="仿宋" w:eastAsia="仿宋"/>
          <w:b/>
          <w:color w:val="auto"/>
          <w:sz w:val="24"/>
          <w:szCs w:val="24"/>
          <w:highlight w:val="none"/>
        </w:rPr>
        <w:t>八、服务要求</w:t>
      </w:r>
    </w:p>
    <w:p w14:paraId="681B6D10">
      <w:pPr>
        <w:autoSpaceDE w:val="0"/>
        <w:autoSpaceDN w:val="0"/>
        <w:spacing w:line="500" w:lineRule="exact"/>
        <w:ind w:firstLine="480" w:firstLineChars="200"/>
        <w:rPr>
          <w:rFonts w:ascii="方正楷体_GBK" w:hAnsi="方正楷体_GBK" w:eastAsia="方正楷体_GBK" w:cs="方正楷体_GBK"/>
          <w:color w:val="auto"/>
          <w:sz w:val="24"/>
          <w:szCs w:val="24"/>
          <w:highlight w:val="none"/>
        </w:rPr>
      </w:pPr>
      <w:r>
        <w:rPr>
          <w:rFonts w:hint="eastAsia" w:ascii="方正楷体_GBK" w:hAnsi="方正楷体_GBK" w:eastAsia="方正楷体_GBK" w:cs="方正楷体_GBK"/>
          <w:color w:val="auto"/>
          <w:sz w:val="24"/>
          <w:szCs w:val="24"/>
          <w:highlight w:val="none"/>
        </w:rPr>
        <w:t>（一）供应商要求</w:t>
      </w:r>
    </w:p>
    <w:p w14:paraId="68A8DE57">
      <w:pPr>
        <w:spacing w:line="500" w:lineRule="exact"/>
        <w:ind w:firstLine="480" w:firstLineChars="200"/>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乙方应具备《食品经营许可证》等相关资质证明，并提供有健康证明的配送人员。</w:t>
      </w:r>
    </w:p>
    <w:p w14:paraId="6045B077">
      <w:pPr>
        <w:autoSpaceDE w:val="0"/>
        <w:autoSpaceDN w:val="0"/>
        <w:spacing w:line="500" w:lineRule="exact"/>
        <w:ind w:firstLine="480" w:firstLineChars="200"/>
        <w:rPr>
          <w:rFonts w:ascii="方正楷体_GBK" w:hAnsi="方正楷体_GBK" w:eastAsia="方正楷体_GBK" w:cs="方正楷体_GBK"/>
          <w:color w:val="auto"/>
          <w:sz w:val="24"/>
          <w:szCs w:val="24"/>
          <w:highlight w:val="none"/>
        </w:rPr>
      </w:pPr>
      <w:r>
        <w:rPr>
          <w:rFonts w:hint="eastAsia" w:ascii="方正楷体_GBK" w:hAnsi="方正楷体_GBK" w:eastAsia="方正楷体_GBK" w:cs="方正楷体_GBK"/>
          <w:color w:val="auto"/>
          <w:sz w:val="24"/>
          <w:szCs w:val="24"/>
          <w:highlight w:val="none"/>
        </w:rPr>
        <w:t>（二）配送要求</w:t>
      </w:r>
    </w:p>
    <w:p w14:paraId="12B0FFB6">
      <w:pPr>
        <w:spacing w:line="500" w:lineRule="exact"/>
        <w:ind w:firstLine="512" w:firstLineChars="200"/>
        <w:rPr>
          <w:rFonts w:ascii="仿宋" w:hAnsi="仿宋" w:eastAsia="仿宋"/>
          <w:color w:val="auto"/>
          <w:spacing w:val="8"/>
          <w:sz w:val="24"/>
          <w:szCs w:val="24"/>
          <w:highlight w:val="none"/>
        </w:rPr>
      </w:pPr>
      <w:r>
        <w:rPr>
          <w:rFonts w:hint="eastAsia" w:ascii="仿宋" w:hAnsi="仿宋" w:eastAsia="仿宋"/>
          <w:color w:val="auto"/>
          <w:spacing w:val="8"/>
          <w:sz w:val="24"/>
          <w:szCs w:val="24"/>
          <w:highlight w:val="none"/>
        </w:rPr>
        <w:t>1.所有货物运输必须采用封闭的、有低温保鲜设备并符合国家卫生条件的运载工具</w:t>
      </w:r>
      <w:r>
        <w:rPr>
          <w:rFonts w:hint="eastAsia" w:ascii="仿宋" w:hAnsi="仿宋" w:eastAsia="仿宋"/>
          <w:color w:val="auto"/>
          <w:spacing w:val="8"/>
          <w:sz w:val="24"/>
          <w:szCs w:val="24"/>
          <w:highlight w:val="none"/>
          <w:lang w:eastAsia="zh-CN"/>
        </w:rPr>
        <w:t>，</w:t>
      </w:r>
      <w:r>
        <w:rPr>
          <w:rFonts w:hint="eastAsia" w:ascii="仿宋" w:hAnsi="仿宋" w:eastAsia="仿宋"/>
          <w:color w:val="auto"/>
          <w:spacing w:val="8"/>
          <w:sz w:val="24"/>
          <w:szCs w:val="24"/>
          <w:highlight w:val="none"/>
        </w:rPr>
        <w:t>并且要保持清洁和定期消毒。运输车厢的内仓，包括地面、墙面和顶，应使用抗腐蚀、防潮，易清洁消毒的材料。车厢内无不良气味、异味。</w:t>
      </w:r>
    </w:p>
    <w:p w14:paraId="7BFC8196">
      <w:pPr>
        <w:spacing w:line="500" w:lineRule="exact"/>
        <w:ind w:firstLine="512" w:firstLineChars="200"/>
        <w:rPr>
          <w:rFonts w:ascii="仿宋" w:hAnsi="仿宋" w:eastAsia="仿宋"/>
          <w:color w:val="auto"/>
          <w:spacing w:val="8"/>
          <w:sz w:val="24"/>
          <w:szCs w:val="24"/>
          <w:highlight w:val="none"/>
        </w:rPr>
      </w:pPr>
      <w:r>
        <w:rPr>
          <w:rFonts w:hint="eastAsia" w:ascii="仿宋" w:hAnsi="仿宋" w:eastAsia="仿宋"/>
          <w:color w:val="auto"/>
          <w:spacing w:val="8"/>
          <w:sz w:val="24"/>
          <w:szCs w:val="24"/>
          <w:highlight w:val="none"/>
        </w:rPr>
        <w:t>2.冷藏食品必须用专用冷藏载具运输。</w:t>
      </w:r>
    </w:p>
    <w:p w14:paraId="190C3732">
      <w:pPr>
        <w:spacing w:line="500" w:lineRule="exact"/>
        <w:ind w:firstLine="512" w:firstLineChars="200"/>
        <w:rPr>
          <w:rFonts w:ascii="仿宋" w:hAnsi="仿宋" w:eastAsia="仿宋"/>
          <w:color w:val="auto"/>
          <w:spacing w:val="8"/>
          <w:sz w:val="24"/>
          <w:szCs w:val="24"/>
          <w:highlight w:val="none"/>
        </w:rPr>
      </w:pPr>
      <w:r>
        <w:rPr>
          <w:rFonts w:hint="eastAsia" w:ascii="仿宋" w:hAnsi="仿宋" w:eastAsia="仿宋"/>
          <w:color w:val="auto"/>
          <w:spacing w:val="8"/>
          <w:sz w:val="24"/>
          <w:szCs w:val="24"/>
          <w:highlight w:val="none"/>
        </w:rPr>
        <w:t>3.整个运输过程应科学合理，运输车辆应定期清洁，保持性能稳定，符合规定的温度要求，使运输食品处于恒定的环境中。</w:t>
      </w:r>
    </w:p>
    <w:p w14:paraId="7F84A9B7">
      <w:pPr>
        <w:spacing w:line="500" w:lineRule="exact"/>
        <w:ind w:firstLine="512" w:firstLineChars="200"/>
        <w:rPr>
          <w:rFonts w:ascii="仿宋" w:hAnsi="仿宋" w:eastAsia="仿宋"/>
          <w:color w:val="auto"/>
          <w:spacing w:val="8"/>
          <w:sz w:val="24"/>
          <w:szCs w:val="24"/>
          <w:highlight w:val="none"/>
        </w:rPr>
      </w:pPr>
      <w:r>
        <w:rPr>
          <w:rFonts w:hint="eastAsia" w:ascii="仿宋" w:hAnsi="仿宋" w:eastAsia="仿宋"/>
          <w:color w:val="auto"/>
          <w:spacing w:val="8"/>
          <w:sz w:val="24"/>
          <w:szCs w:val="24"/>
          <w:highlight w:val="none"/>
        </w:rPr>
        <w:t>4.乙方送货车辆实行两小时配送圈运作。</w:t>
      </w:r>
    </w:p>
    <w:p w14:paraId="0B0CF92A">
      <w:pPr>
        <w:spacing w:line="500" w:lineRule="exact"/>
        <w:ind w:firstLine="512" w:firstLineChars="200"/>
        <w:rPr>
          <w:rFonts w:ascii="仿宋" w:hAnsi="仿宋" w:eastAsia="仿宋"/>
          <w:color w:val="auto"/>
          <w:spacing w:val="8"/>
          <w:sz w:val="24"/>
          <w:szCs w:val="24"/>
          <w:highlight w:val="none"/>
        </w:rPr>
      </w:pPr>
      <w:r>
        <w:rPr>
          <w:rFonts w:hint="eastAsia" w:ascii="仿宋" w:hAnsi="仿宋" w:eastAsia="仿宋"/>
          <w:color w:val="auto"/>
          <w:spacing w:val="8"/>
          <w:sz w:val="24"/>
          <w:szCs w:val="24"/>
          <w:highlight w:val="none"/>
        </w:rPr>
        <w:t>5.卸货要求：送货车辆应保持清洁；食品堆放科学合理，避免造成食品的交叉污染；如对温度有要求的食品应确定食品的温度，记录送货车辆温度，并存档。</w:t>
      </w:r>
    </w:p>
    <w:p w14:paraId="57F599BA">
      <w:pPr>
        <w:autoSpaceDE w:val="0"/>
        <w:autoSpaceDN w:val="0"/>
        <w:spacing w:line="500" w:lineRule="exact"/>
        <w:ind w:firstLine="480" w:firstLineChars="200"/>
        <w:rPr>
          <w:rFonts w:hint="eastAsia" w:ascii="方正楷体_GBK" w:hAnsi="方正楷体_GBK" w:eastAsia="方正楷体_GBK" w:cs="方正楷体_GBK"/>
          <w:color w:val="auto"/>
          <w:sz w:val="24"/>
          <w:szCs w:val="24"/>
          <w:highlight w:val="none"/>
        </w:rPr>
      </w:pPr>
      <w:r>
        <w:rPr>
          <w:rFonts w:hint="eastAsia" w:ascii="方正楷体_GBK" w:hAnsi="方正楷体_GBK" w:eastAsia="方正楷体_GBK" w:cs="方正楷体_GBK"/>
          <w:color w:val="auto"/>
          <w:sz w:val="24"/>
          <w:szCs w:val="24"/>
          <w:highlight w:val="none"/>
        </w:rPr>
        <w:t>（三）配送时间</w:t>
      </w:r>
    </w:p>
    <w:p w14:paraId="492CB363">
      <w:pPr>
        <w:autoSpaceDE w:val="0"/>
        <w:autoSpaceDN w:val="0"/>
        <w:spacing w:line="50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除</w:t>
      </w:r>
      <w:r>
        <w:rPr>
          <w:rFonts w:ascii="仿宋" w:hAnsi="仿宋" w:eastAsia="仿宋" w:cs="宋体"/>
          <w:color w:val="auto"/>
          <w:sz w:val="24"/>
          <w:szCs w:val="24"/>
          <w:highlight w:val="none"/>
        </w:rPr>
        <w:t>不可抗力以外，</w:t>
      </w:r>
      <w:r>
        <w:rPr>
          <w:rFonts w:hint="eastAsia" w:ascii="仿宋" w:hAnsi="仿宋" w:eastAsia="仿宋" w:cs="宋体"/>
          <w:color w:val="auto"/>
          <w:sz w:val="24"/>
          <w:szCs w:val="24"/>
          <w:highlight w:val="none"/>
        </w:rPr>
        <w:t>乙方</w:t>
      </w:r>
      <w:r>
        <w:rPr>
          <w:rFonts w:ascii="仿宋" w:hAnsi="仿宋" w:eastAsia="仿宋" w:cs="宋体"/>
          <w:color w:val="auto"/>
          <w:sz w:val="24"/>
          <w:szCs w:val="24"/>
          <w:highlight w:val="none"/>
        </w:rPr>
        <w:t>应根据甲方当日提供的配送清单</w:t>
      </w:r>
      <w:r>
        <w:rPr>
          <w:rFonts w:hint="eastAsia" w:ascii="仿宋" w:hAnsi="仿宋" w:eastAsia="仿宋" w:cs="宋体"/>
          <w:color w:val="auto"/>
          <w:sz w:val="24"/>
          <w:szCs w:val="24"/>
          <w:highlight w:val="none"/>
        </w:rPr>
        <w:t>，</w:t>
      </w:r>
      <w:r>
        <w:rPr>
          <w:rFonts w:ascii="仿宋" w:hAnsi="仿宋" w:eastAsia="仿宋" w:cs="宋体"/>
          <w:color w:val="auto"/>
          <w:sz w:val="24"/>
          <w:szCs w:val="24"/>
          <w:highlight w:val="none"/>
        </w:rPr>
        <w:t>不晚于次日上午</w:t>
      </w:r>
      <w:r>
        <w:rPr>
          <w:rFonts w:hint="eastAsia" w:ascii="仿宋" w:hAnsi="仿宋" w:eastAsia="仿宋" w:cs="宋体"/>
          <w:color w:val="auto"/>
          <w:sz w:val="24"/>
          <w:szCs w:val="24"/>
          <w:highlight w:val="none"/>
          <w:lang w:val="en-US" w:eastAsia="zh-CN"/>
        </w:rPr>
        <w:t>9</w:t>
      </w:r>
      <w:r>
        <w:rPr>
          <w:rFonts w:hint="eastAsia" w:ascii="仿宋" w:hAnsi="仿宋" w:eastAsia="仿宋" w:cs="宋体"/>
          <w:color w:val="auto"/>
          <w:sz w:val="24"/>
          <w:szCs w:val="24"/>
          <w:highlight w:val="none"/>
        </w:rPr>
        <w:t>时前</w:t>
      </w:r>
      <w:r>
        <w:rPr>
          <w:rFonts w:hint="eastAsia" w:ascii="仿宋" w:hAnsi="仿宋" w:eastAsia="仿宋" w:cs="宋体"/>
          <w:color w:val="auto"/>
          <w:sz w:val="24"/>
          <w:szCs w:val="24"/>
          <w:highlight w:val="none"/>
          <w:lang w:eastAsia="zh-CN"/>
        </w:rPr>
        <w:t>（北京时间）</w:t>
      </w:r>
      <w:r>
        <w:rPr>
          <w:rFonts w:hint="eastAsia" w:ascii="仿宋" w:hAnsi="仿宋" w:eastAsia="仿宋" w:cs="宋体"/>
          <w:color w:val="auto"/>
          <w:sz w:val="24"/>
          <w:szCs w:val="24"/>
          <w:highlight w:val="none"/>
        </w:rPr>
        <w:t>将</w:t>
      </w:r>
      <w:r>
        <w:rPr>
          <w:rFonts w:ascii="仿宋" w:hAnsi="仿宋" w:eastAsia="仿宋" w:cs="宋体"/>
          <w:color w:val="auto"/>
          <w:sz w:val="24"/>
          <w:szCs w:val="24"/>
          <w:highlight w:val="none"/>
        </w:rPr>
        <w:t>订单内所有</w:t>
      </w:r>
      <w:r>
        <w:rPr>
          <w:rFonts w:hint="eastAsia" w:ascii="仿宋" w:hAnsi="仿宋" w:eastAsia="仿宋" w:cs="宋体"/>
          <w:color w:val="auto"/>
          <w:sz w:val="24"/>
          <w:szCs w:val="24"/>
          <w:highlight w:val="none"/>
        </w:rPr>
        <w:t>产品配送至</w:t>
      </w:r>
      <w:r>
        <w:rPr>
          <w:rFonts w:ascii="仿宋" w:hAnsi="仿宋" w:eastAsia="仿宋" w:cs="宋体"/>
          <w:color w:val="auto"/>
          <w:sz w:val="24"/>
          <w:szCs w:val="24"/>
          <w:highlight w:val="none"/>
        </w:rPr>
        <w:t>甲方</w:t>
      </w:r>
      <w:r>
        <w:rPr>
          <w:rFonts w:hint="eastAsia" w:ascii="仿宋" w:hAnsi="仿宋" w:eastAsia="仿宋" w:cs="宋体"/>
          <w:color w:val="auto"/>
          <w:sz w:val="24"/>
          <w:szCs w:val="24"/>
          <w:highlight w:val="none"/>
        </w:rPr>
        <w:t>指定</w:t>
      </w:r>
      <w:r>
        <w:rPr>
          <w:rFonts w:ascii="仿宋" w:hAnsi="仿宋" w:eastAsia="仿宋" w:cs="宋体"/>
          <w:color w:val="auto"/>
          <w:sz w:val="24"/>
          <w:szCs w:val="24"/>
          <w:highlight w:val="none"/>
        </w:rPr>
        <w:t>的地点</w:t>
      </w:r>
      <w:r>
        <w:rPr>
          <w:rFonts w:hint="eastAsia" w:ascii="仿宋" w:hAnsi="仿宋" w:eastAsia="仿宋" w:cs="宋体"/>
          <w:color w:val="auto"/>
          <w:sz w:val="24"/>
          <w:szCs w:val="24"/>
          <w:highlight w:val="none"/>
        </w:rPr>
        <w:t>（双方有特殊约定的按照约定时间配送）</w:t>
      </w:r>
      <w:r>
        <w:rPr>
          <w:rFonts w:ascii="仿宋" w:hAnsi="仿宋" w:eastAsia="仿宋" w:cs="宋体"/>
          <w:color w:val="auto"/>
          <w:sz w:val="24"/>
          <w:szCs w:val="24"/>
          <w:highlight w:val="none"/>
        </w:rPr>
        <w:t>，</w:t>
      </w:r>
      <w:r>
        <w:rPr>
          <w:rFonts w:hint="eastAsia" w:ascii="仿宋" w:hAnsi="仿宋" w:eastAsia="仿宋" w:cs="宋体"/>
          <w:color w:val="auto"/>
          <w:sz w:val="24"/>
          <w:szCs w:val="24"/>
          <w:highlight w:val="none"/>
        </w:rPr>
        <w:t>并</w:t>
      </w:r>
      <w:r>
        <w:rPr>
          <w:rFonts w:ascii="仿宋" w:hAnsi="仿宋" w:eastAsia="仿宋" w:cs="宋体"/>
          <w:color w:val="auto"/>
          <w:sz w:val="24"/>
          <w:szCs w:val="24"/>
          <w:highlight w:val="none"/>
        </w:rPr>
        <w:t>提供</w:t>
      </w:r>
      <w:r>
        <w:rPr>
          <w:rFonts w:hint="eastAsia" w:ascii="仿宋" w:hAnsi="仿宋" w:eastAsia="仿宋" w:cs="宋体"/>
          <w:color w:val="auto"/>
          <w:sz w:val="24"/>
          <w:szCs w:val="24"/>
          <w:highlight w:val="none"/>
        </w:rPr>
        <w:t>《</w:t>
      </w:r>
      <w:r>
        <w:rPr>
          <w:rFonts w:ascii="仿宋" w:hAnsi="仿宋" w:eastAsia="仿宋" w:cs="宋体"/>
          <w:color w:val="auto"/>
          <w:sz w:val="24"/>
          <w:szCs w:val="24"/>
          <w:highlight w:val="none"/>
        </w:rPr>
        <w:t>送货清单</w:t>
      </w:r>
      <w:r>
        <w:rPr>
          <w:rFonts w:hint="eastAsia" w:ascii="仿宋" w:hAnsi="仿宋" w:eastAsia="仿宋" w:cs="宋体"/>
          <w:color w:val="auto"/>
          <w:sz w:val="24"/>
          <w:szCs w:val="24"/>
          <w:highlight w:val="none"/>
        </w:rPr>
        <w:t>》</w:t>
      </w:r>
      <w:r>
        <w:rPr>
          <w:rFonts w:ascii="仿宋" w:hAnsi="仿宋" w:eastAsia="仿宋" w:cs="宋体"/>
          <w:color w:val="auto"/>
          <w:sz w:val="24"/>
          <w:szCs w:val="24"/>
          <w:highlight w:val="none"/>
        </w:rPr>
        <w:t>一式两份</w:t>
      </w:r>
      <w:r>
        <w:rPr>
          <w:rFonts w:hint="eastAsia" w:ascii="仿宋" w:hAnsi="仿宋" w:eastAsia="仿宋" w:cs="宋体"/>
          <w:color w:val="auto"/>
          <w:sz w:val="24"/>
          <w:szCs w:val="24"/>
          <w:highlight w:val="none"/>
        </w:rPr>
        <w:t>。</w:t>
      </w:r>
    </w:p>
    <w:p w14:paraId="01B2367E">
      <w:pPr>
        <w:autoSpaceDE w:val="0"/>
        <w:autoSpaceDN w:val="0"/>
        <w:spacing w:line="500" w:lineRule="exact"/>
        <w:ind w:firstLine="480" w:firstLineChars="200"/>
        <w:rPr>
          <w:rFonts w:ascii="仿宋" w:hAnsi="仿宋" w:eastAsia="仿宋" w:cs="宋体"/>
          <w:color w:val="auto"/>
          <w:sz w:val="24"/>
          <w:szCs w:val="24"/>
          <w:highlight w:val="none"/>
        </w:rPr>
      </w:pPr>
      <w:r>
        <w:rPr>
          <w:rFonts w:hint="eastAsia" w:ascii="方正楷体_GBK" w:hAnsi="方正楷体_GBK" w:eastAsia="方正楷体_GBK" w:cs="方正楷体_GBK"/>
          <w:color w:val="auto"/>
          <w:sz w:val="24"/>
          <w:szCs w:val="24"/>
          <w:highlight w:val="none"/>
        </w:rPr>
        <w:t>（四）报价要求</w:t>
      </w:r>
    </w:p>
    <w:p w14:paraId="03B6CEDB">
      <w:pPr>
        <w:tabs>
          <w:tab w:val="left" w:pos="180"/>
          <w:tab w:val="left" w:pos="1620"/>
        </w:tabs>
        <w:spacing w:line="50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乙方的</w:t>
      </w:r>
      <w:r>
        <w:rPr>
          <w:rFonts w:hint="eastAsia" w:ascii="仿宋" w:hAnsi="仿宋" w:eastAsia="仿宋"/>
          <w:color w:val="auto"/>
          <w:sz w:val="24"/>
          <w:szCs w:val="24"/>
          <w:highlight w:val="none"/>
          <w:lang w:eastAsia="zh-CN"/>
        </w:rPr>
        <w:t>投标</w:t>
      </w:r>
      <w:r>
        <w:rPr>
          <w:rFonts w:hint="eastAsia" w:ascii="仿宋" w:hAnsi="仿宋" w:eastAsia="仿宋"/>
          <w:color w:val="auto"/>
          <w:sz w:val="24"/>
          <w:szCs w:val="24"/>
          <w:highlight w:val="none"/>
        </w:rPr>
        <w:t>报价为北园春市场</w:t>
      </w:r>
      <w:r>
        <w:rPr>
          <w:rFonts w:hint="eastAsia" w:ascii="仿宋" w:hAnsi="仿宋" w:eastAsia="仿宋"/>
          <w:color w:val="auto"/>
          <w:sz w:val="24"/>
          <w:szCs w:val="24"/>
          <w:highlight w:val="none"/>
          <w:lang w:eastAsia="zh-CN"/>
        </w:rPr>
        <w:t>官网</w:t>
      </w:r>
      <w:r>
        <w:rPr>
          <w:rFonts w:hint="eastAsia" w:ascii="仿宋" w:hAnsi="仿宋" w:eastAsia="仿宋"/>
          <w:color w:val="auto"/>
          <w:sz w:val="24"/>
          <w:szCs w:val="24"/>
          <w:highlight w:val="none"/>
        </w:rPr>
        <w:t>相应食材当日的</w:t>
      </w:r>
      <w:r>
        <w:rPr>
          <w:rFonts w:hint="eastAsia" w:ascii="仿宋" w:hAnsi="仿宋" w:eastAsia="仿宋"/>
          <w:color w:val="auto"/>
          <w:sz w:val="24"/>
          <w:szCs w:val="24"/>
          <w:highlight w:val="none"/>
          <w:lang w:eastAsia="zh-CN"/>
        </w:rPr>
        <w:t>最高价</w:t>
      </w:r>
      <w:r>
        <w:rPr>
          <w:rFonts w:hint="eastAsia" w:ascii="仿宋" w:hAnsi="仿宋" w:eastAsia="仿宋"/>
          <w:color w:val="auto"/>
          <w:sz w:val="24"/>
          <w:szCs w:val="24"/>
          <w:highlight w:val="none"/>
        </w:rPr>
        <w:t>的下浮率，报价精确到小数点后两位。该下浮率为所有</w:t>
      </w:r>
      <w:r>
        <w:rPr>
          <w:rFonts w:hint="eastAsia" w:ascii="仿宋" w:hAnsi="仿宋" w:eastAsia="仿宋"/>
          <w:color w:val="auto"/>
          <w:sz w:val="24"/>
          <w:szCs w:val="24"/>
          <w:highlight w:val="none"/>
          <w:lang w:eastAsia="zh-CN"/>
        </w:rPr>
        <w:t>商品</w:t>
      </w:r>
      <w:r>
        <w:rPr>
          <w:rFonts w:hint="eastAsia" w:ascii="仿宋" w:hAnsi="仿宋" w:eastAsia="仿宋"/>
          <w:color w:val="auto"/>
          <w:sz w:val="24"/>
          <w:szCs w:val="24"/>
          <w:highlight w:val="none"/>
        </w:rPr>
        <w:t>的统一下浮率，且下浮率在合同执行期间不变。</w:t>
      </w:r>
    </w:p>
    <w:p w14:paraId="303A35F1">
      <w:pPr>
        <w:tabs>
          <w:tab w:val="left" w:pos="180"/>
          <w:tab w:val="left" w:pos="1620"/>
        </w:tabs>
        <w:spacing w:line="500" w:lineRule="exact"/>
        <w:ind w:firstLine="480" w:firstLineChars="200"/>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rPr>
        <w:t>乙方</w:t>
      </w:r>
      <w:r>
        <w:rPr>
          <w:rFonts w:hint="eastAsia" w:ascii="仿宋" w:hAnsi="仿宋" w:eastAsia="仿宋"/>
          <w:color w:val="auto"/>
          <w:sz w:val="24"/>
          <w:szCs w:val="24"/>
          <w:highlight w:val="none"/>
          <w:lang w:eastAsia="zh-CN"/>
        </w:rPr>
        <w:t>项目款</w:t>
      </w:r>
      <w:r>
        <w:rPr>
          <w:rFonts w:hint="eastAsia" w:ascii="仿宋" w:hAnsi="仿宋" w:eastAsia="仿宋"/>
          <w:color w:val="auto"/>
          <w:sz w:val="24"/>
          <w:szCs w:val="24"/>
          <w:highlight w:val="none"/>
        </w:rPr>
        <w:t>按月度进行结算，结算价=结算基准价×</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 xml:space="preserve"> </w:t>
      </w:r>
      <w:r>
        <w:rPr>
          <w:rFonts w:hint="eastAsia" w:ascii="仿宋" w:hAnsi="仿宋" w:eastAsia="仿宋"/>
          <w:color w:val="auto"/>
          <w:sz w:val="24"/>
          <w:szCs w:val="24"/>
          <w:highlight w:val="none"/>
          <w:lang w:val="en-US" w:eastAsia="zh-CN"/>
        </w:rPr>
        <w:t>1-</w:t>
      </w:r>
      <w:r>
        <w:rPr>
          <w:rFonts w:hint="eastAsia" w:ascii="仿宋" w:hAnsi="仿宋" w:eastAsia="仿宋"/>
          <w:color w:val="auto"/>
          <w:sz w:val="24"/>
          <w:szCs w:val="24"/>
          <w:highlight w:val="none"/>
        </w:rPr>
        <w:t>下浮率</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lang w:eastAsia="zh-CN"/>
        </w:rPr>
        <w:t>此处的</w:t>
      </w:r>
      <w:r>
        <w:rPr>
          <w:rFonts w:hint="eastAsia" w:ascii="仿宋" w:hAnsi="仿宋" w:eastAsia="仿宋"/>
          <w:color w:val="auto"/>
          <w:sz w:val="24"/>
          <w:szCs w:val="24"/>
          <w:highlight w:val="none"/>
        </w:rPr>
        <w:t>结算基准价</w:t>
      </w:r>
      <w:r>
        <w:rPr>
          <w:rFonts w:hint="eastAsia" w:ascii="仿宋" w:hAnsi="仿宋" w:eastAsia="仿宋"/>
          <w:color w:val="auto"/>
          <w:sz w:val="24"/>
          <w:szCs w:val="24"/>
          <w:highlight w:val="none"/>
          <w:lang w:eastAsia="zh-CN"/>
        </w:rPr>
        <w:t>为</w:t>
      </w:r>
      <w:r>
        <w:rPr>
          <w:rFonts w:hint="eastAsia" w:ascii="仿宋" w:hAnsi="仿宋" w:eastAsia="仿宋"/>
          <w:color w:val="auto"/>
          <w:sz w:val="24"/>
          <w:szCs w:val="24"/>
          <w:highlight w:val="none"/>
        </w:rPr>
        <w:t>北园春市场</w:t>
      </w:r>
      <w:r>
        <w:rPr>
          <w:rFonts w:hint="eastAsia" w:ascii="仿宋" w:hAnsi="仿宋" w:eastAsia="仿宋"/>
          <w:color w:val="auto"/>
          <w:sz w:val="24"/>
          <w:szCs w:val="24"/>
          <w:highlight w:val="none"/>
          <w:lang w:eastAsia="zh-CN"/>
        </w:rPr>
        <w:t>官网</w:t>
      </w:r>
      <w:r>
        <w:rPr>
          <w:rFonts w:hint="eastAsia" w:ascii="仿宋" w:hAnsi="仿宋" w:eastAsia="仿宋"/>
          <w:color w:val="auto"/>
          <w:sz w:val="24"/>
          <w:szCs w:val="24"/>
          <w:highlight w:val="none"/>
        </w:rPr>
        <w:t>相应食材当日的</w:t>
      </w:r>
      <w:r>
        <w:rPr>
          <w:rFonts w:hint="eastAsia" w:ascii="仿宋" w:hAnsi="仿宋" w:eastAsia="仿宋"/>
          <w:color w:val="auto"/>
          <w:sz w:val="24"/>
          <w:szCs w:val="24"/>
          <w:highlight w:val="none"/>
          <w:lang w:eastAsia="zh-CN"/>
        </w:rPr>
        <w:t>最高价。为保证食材</w:t>
      </w:r>
      <w:r>
        <w:rPr>
          <w:rFonts w:hint="eastAsia" w:ascii="仿宋" w:hAnsi="仿宋" w:eastAsia="仿宋"/>
          <w:color w:val="auto"/>
          <w:sz w:val="24"/>
          <w:szCs w:val="24"/>
          <w:highlight w:val="none"/>
          <w:lang w:val="en-US" w:eastAsia="zh-CN"/>
        </w:rPr>
        <w:t>品质</w:t>
      </w:r>
      <w:r>
        <w:rPr>
          <w:rFonts w:hint="eastAsia" w:ascii="仿宋" w:hAnsi="仿宋" w:eastAsia="仿宋"/>
          <w:color w:val="auto"/>
          <w:sz w:val="24"/>
          <w:szCs w:val="24"/>
          <w:highlight w:val="none"/>
          <w:lang w:eastAsia="zh-CN"/>
        </w:rPr>
        <w:t>及配送</w:t>
      </w:r>
      <w:r>
        <w:rPr>
          <w:rFonts w:hint="eastAsia" w:ascii="仿宋" w:hAnsi="仿宋" w:eastAsia="仿宋"/>
          <w:color w:val="auto"/>
          <w:sz w:val="24"/>
          <w:szCs w:val="24"/>
          <w:highlight w:val="none"/>
          <w:lang w:val="en-US" w:eastAsia="zh-CN"/>
        </w:rPr>
        <w:t>服务品质及效率</w:t>
      </w:r>
      <w:r>
        <w:rPr>
          <w:rFonts w:hint="eastAsia" w:ascii="仿宋" w:hAnsi="仿宋" w:eastAsia="仿宋"/>
          <w:color w:val="auto"/>
          <w:sz w:val="24"/>
          <w:szCs w:val="24"/>
          <w:highlight w:val="none"/>
          <w:lang w:eastAsia="zh-CN"/>
        </w:rPr>
        <w:t>，</w:t>
      </w:r>
      <w:r>
        <w:rPr>
          <w:rFonts w:hint="eastAsia" w:ascii="仿宋" w:hAnsi="仿宋" w:eastAsia="仿宋" w:cs="仿宋"/>
          <w:color w:val="auto"/>
          <w:sz w:val="24"/>
          <w:szCs w:val="24"/>
          <w:highlight w:val="none"/>
          <w:lang w:val="en-US" w:eastAsia="zh-CN"/>
        </w:rPr>
        <w:t>投标供应商不得恶意低价报价，否则视为无效报价</w:t>
      </w:r>
      <w:r>
        <w:rPr>
          <w:rFonts w:hint="eastAsia" w:ascii="仿宋" w:hAnsi="仿宋" w:eastAsia="仿宋" w:cs="Times New Roman"/>
          <w:color w:val="auto"/>
          <w:sz w:val="24"/>
          <w:szCs w:val="24"/>
          <w:highlight w:val="none"/>
          <w:lang w:val="en-US" w:eastAsia="zh-CN"/>
        </w:rPr>
        <w:t>。</w:t>
      </w:r>
      <w:r>
        <w:rPr>
          <w:rFonts w:hint="eastAsia" w:ascii="仿宋" w:hAnsi="仿宋" w:eastAsia="仿宋" w:cs="Times New Roman"/>
          <w:color w:val="auto"/>
          <w:sz w:val="24"/>
          <w:szCs w:val="24"/>
          <w:highlight w:val="none"/>
          <w:lang w:eastAsia="zh-CN"/>
        </w:rPr>
        <w:t>在北园春市场官网当中没有的食材及其他物资，</w:t>
      </w:r>
      <w:r>
        <w:rPr>
          <w:rFonts w:hint="eastAsia" w:ascii="仿宋" w:hAnsi="仿宋" w:eastAsia="仿宋" w:cs="Times New Roman"/>
          <w:color w:val="auto"/>
          <w:sz w:val="24"/>
          <w:szCs w:val="24"/>
          <w:highlight w:val="none"/>
          <w:lang w:val="en-US" w:eastAsia="zh-CN"/>
        </w:rPr>
        <w:t>由</w:t>
      </w:r>
      <w:r>
        <w:rPr>
          <w:rFonts w:hint="eastAsia" w:ascii="仿宋" w:hAnsi="仿宋" w:eastAsia="仿宋" w:cs="Times New Roman"/>
          <w:color w:val="auto"/>
          <w:sz w:val="24"/>
          <w:szCs w:val="24"/>
          <w:highlight w:val="none"/>
          <w:lang w:eastAsia="zh-CN"/>
        </w:rPr>
        <w:t>采购人</w:t>
      </w:r>
      <w:r>
        <w:rPr>
          <w:rFonts w:hint="eastAsia" w:ascii="仿宋" w:hAnsi="仿宋" w:eastAsia="仿宋" w:cs="Times New Roman"/>
          <w:color w:val="auto"/>
          <w:sz w:val="24"/>
          <w:szCs w:val="24"/>
          <w:highlight w:val="none"/>
          <w:lang w:val="en-US" w:eastAsia="zh-CN"/>
        </w:rPr>
        <w:t>与中标单位共同进行</w:t>
      </w:r>
      <w:r>
        <w:rPr>
          <w:rFonts w:hint="eastAsia" w:ascii="仿宋" w:hAnsi="仿宋" w:eastAsia="仿宋" w:cs="Times New Roman"/>
          <w:color w:val="auto"/>
          <w:sz w:val="24"/>
          <w:szCs w:val="24"/>
          <w:highlight w:val="none"/>
          <w:lang w:eastAsia="zh-CN"/>
        </w:rPr>
        <w:t>市场询价，</w:t>
      </w:r>
      <w:r>
        <w:rPr>
          <w:rFonts w:hint="eastAsia" w:ascii="仿宋" w:hAnsi="仿宋" w:eastAsia="仿宋" w:cs="Times New Roman"/>
          <w:color w:val="auto"/>
          <w:sz w:val="24"/>
          <w:szCs w:val="24"/>
          <w:highlight w:val="none"/>
          <w:lang w:val="en-US" w:eastAsia="zh-CN"/>
        </w:rPr>
        <w:t>以询价</w:t>
      </w:r>
      <w:r>
        <w:rPr>
          <w:rFonts w:hint="eastAsia" w:ascii="仿宋" w:hAnsi="仿宋" w:eastAsia="仿宋" w:cs="Times New Roman"/>
          <w:color w:val="auto"/>
          <w:sz w:val="24"/>
          <w:szCs w:val="24"/>
          <w:highlight w:val="none"/>
          <w:lang w:eastAsia="zh-CN"/>
        </w:rPr>
        <w:t>结果</w:t>
      </w:r>
      <w:r>
        <w:rPr>
          <w:rFonts w:hint="eastAsia" w:ascii="仿宋" w:hAnsi="仿宋" w:eastAsia="仿宋" w:cs="Times New Roman"/>
          <w:color w:val="auto"/>
          <w:sz w:val="24"/>
          <w:szCs w:val="24"/>
          <w:highlight w:val="none"/>
          <w:lang w:val="en-US" w:eastAsia="zh-CN"/>
        </w:rPr>
        <w:t>为准</w:t>
      </w:r>
      <w:r>
        <w:rPr>
          <w:rFonts w:hint="eastAsia" w:ascii="仿宋" w:hAnsi="仿宋" w:eastAsia="仿宋" w:cs="Times New Roman"/>
          <w:color w:val="auto"/>
          <w:sz w:val="24"/>
          <w:szCs w:val="24"/>
          <w:highlight w:val="none"/>
          <w:lang w:eastAsia="zh-CN"/>
        </w:rPr>
        <w:t>进行结算；</w:t>
      </w:r>
      <w:r>
        <w:rPr>
          <w:rFonts w:hint="eastAsia" w:ascii="仿宋" w:hAnsi="仿宋" w:eastAsia="仿宋" w:cs="Times New Roman"/>
          <w:color w:val="auto"/>
          <w:sz w:val="24"/>
          <w:szCs w:val="24"/>
          <w:highlight w:val="none"/>
          <w:lang w:val="en-US" w:eastAsia="zh-CN"/>
        </w:rPr>
        <w:t>或者由中标单位单方进行市场询价，中标单位向采购单位提供询价单（每种产品的被询价商家不少于5家），采购单位对中标单位询价结果进行抽检，如发现中标单位单方询价时弄虚作假、以次充好等不良行为的，将不予支付对应食材的款项，情节严重的终止合同。</w:t>
      </w:r>
    </w:p>
    <w:p w14:paraId="10EFA5AA">
      <w:pPr>
        <w:autoSpaceDE w:val="0"/>
        <w:autoSpaceDN w:val="0"/>
        <w:spacing w:line="50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1.商品结算价格包括商品采购价和运输到指定地点所发生的运费、人工费、利润、税金等一切可能发生的费用，需开具正规有效发票。</w:t>
      </w:r>
    </w:p>
    <w:p w14:paraId="7E6797D4">
      <w:pPr>
        <w:autoSpaceDE w:val="0"/>
        <w:autoSpaceDN w:val="0"/>
        <w:spacing w:line="50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2.商品结算数量按去除包装后的净重计算，并由甲方相关工作人员核实确认。</w:t>
      </w:r>
    </w:p>
    <w:p w14:paraId="50FB3CF1">
      <w:pPr>
        <w:spacing w:line="500" w:lineRule="exact"/>
        <w:ind w:firstLine="480" w:firstLineChars="200"/>
        <w:rPr>
          <w:color w:val="auto"/>
          <w:sz w:val="24"/>
          <w:szCs w:val="24"/>
          <w:highlight w:val="none"/>
        </w:rPr>
      </w:pPr>
      <w:r>
        <w:rPr>
          <w:rFonts w:hint="eastAsia" w:ascii="仿宋" w:hAnsi="仿宋" w:eastAsia="仿宋" w:cs="宋体"/>
          <w:color w:val="auto"/>
          <w:sz w:val="24"/>
          <w:szCs w:val="24"/>
          <w:highlight w:val="none"/>
        </w:rPr>
        <w:t>供应商</w:t>
      </w:r>
      <w:r>
        <w:rPr>
          <w:rFonts w:hint="eastAsia" w:ascii="仿宋" w:hAnsi="仿宋" w:eastAsia="仿宋" w:cs="宋体"/>
          <w:color w:val="auto"/>
          <w:sz w:val="24"/>
          <w:szCs w:val="24"/>
          <w:highlight w:val="none"/>
          <w:lang w:val="zh-CN"/>
        </w:rPr>
        <w:t>必须清楚理解</w:t>
      </w:r>
      <w:r>
        <w:rPr>
          <w:rFonts w:hint="eastAsia" w:ascii="仿宋" w:hAnsi="仿宋" w:eastAsia="仿宋" w:cs="宋体"/>
          <w:color w:val="auto"/>
          <w:sz w:val="24"/>
          <w:szCs w:val="24"/>
          <w:highlight w:val="none"/>
        </w:rPr>
        <w:t>并在响应文件中以承诺函形式承诺满足本条款要求：采购人对应急食材及政府扶贫农副产品采购有自主权，采购人有权直接采购，不受</w:t>
      </w:r>
      <w:r>
        <w:rPr>
          <w:rFonts w:hint="eastAsia" w:ascii="仿宋" w:hAnsi="仿宋" w:eastAsia="仿宋" w:cs="宋体"/>
          <w:color w:val="auto"/>
          <w:sz w:val="24"/>
          <w:szCs w:val="24"/>
          <w:highlight w:val="none"/>
          <w:lang w:eastAsia="zh-CN"/>
        </w:rPr>
        <w:t>中标供应商</w:t>
      </w:r>
      <w:r>
        <w:rPr>
          <w:rFonts w:hint="eastAsia" w:ascii="仿宋" w:hAnsi="仿宋" w:eastAsia="仿宋" w:cs="宋体"/>
          <w:color w:val="auto"/>
          <w:sz w:val="24"/>
          <w:szCs w:val="24"/>
          <w:highlight w:val="none"/>
        </w:rPr>
        <w:t>和本项目制约。</w:t>
      </w:r>
      <w:bookmarkStart w:id="59" w:name="_Hlk45812562"/>
      <w:r>
        <w:rPr>
          <w:rFonts w:hint="eastAsia" w:ascii="仿宋" w:hAnsi="仿宋" w:eastAsia="仿宋" w:cs="宋体"/>
          <w:color w:val="auto"/>
          <w:sz w:val="24"/>
          <w:szCs w:val="24"/>
          <w:highlight w:val="none"/>
        </w:rPr>
        <w:t>为贯彻落实党中央、国务院和新疆维吾尔自治区政府关于打赢脱贫攻坚战的有关决策部署，在本项目食堂食材配送服务期内，采购人或采购人委托</w:t>
      </w:r>
      <w:r>
        <w:rPr>
          <w:rFonts w:hint="eastAsia" w:ascii="仿宋" w:hAnsi="仿宋" w:eastAsia="仿宋" w:cs="宋体"/>
          <w:color w:val="auto"/>
          <w:sz w:val="24"/>
          <w:szCs w:val="24"/>
          <w:highlight w:val="none"/>
          <w:lang w:eastAsia="zh-CN"/>
        </w:rPr>
        <w:t>中标供应商</w:t>
      </w:r>
      <w:r>
        <w:rPr>
          <w:rFonts w:hint="eastAsia" w:ascii="仿宋" w:hAnsi="仿宋" w:eastAsia="仿宋" w:cs="宋体"/>
          <w:color w:val="auto"/>
          <w:sz w:val="24"/>
          <w:szCs w:val="24"/>
          <w:highlight w:val="none"/>
        </w:rPr>
        <w:t>通过脱贫地区农副产品网络销售平台（原贫困地区农副产品网络销售平台）预留不少于10%的比例采购脱贫地区农副产品或通过新疆维吾尔自治区政府采购扶贫馆平台等政府部门认可的平台采购部分既定预留份额的食堂食材，</w:t>
      </w:r>
      <w:r>
        <w:rPr>
          <w:rFonts w:hint="eastAsia" w:ascii="仿宋" w:hAnsi="仿宋" w:eastAsia="仿宋" w:cs="宋体"/>
          <w:color w:val="auto"/>
          <w:sz w:val="24"/>
          <w:szCs w:val="24"/>
          <w:highlight w:val="none"/>
          <w:lang w:eastAsia="zh-CN"/>
        </w:rPr>
        <w:t>中标供应商</w:t>
      </w:r>
      <w:r>
        <w:rPr>
          <w:rFonts w:hint="eastAsia" w:ascii="仿宋" w:hAnsi="仿宋" w:eastAsia="仿宋" w:cs="宋体"/>
          <w:color w:val="auto"/>
          <w:sz w:val="24"/>
          <w:szCs w:val="24"/>
          <w:highlight w:val="none"/>
        </w:rPr>
        <w:t>不得提出异议。</w:t>
      </w:r>
      <w:bookmarkEnd w:id="59"/>
      <w:r>
        <w:rPr>
          <w:rFonts w:hint="eastAsia" w:ascii="仿宋" w:hAnsi="仿宋" w:eastAsia="仿宋" w:cs="宋体"/>
          <w:color w:val="auto"/>
          <w:sz w:val="24"/>
          <w:szCs w:val="24"/>
          <w:highlight w:val="none"/>
        </w:rPr>
        <w:t>（注：须提供承诺函加盖供应商公章，承诺函格式自拟。）</w:t>
      </w:r>
    </w:p>
    <w:p w14:paraId="799CB4A2">
      <w:pPr>
        <w:autoSpaceDE w:val="0"/>
        <w:autoSpaceDN w:val="0"/>
        <w:spacing w:line="500" w:lineRule="exact"/>
        <w:ind w:firstLine="482" w:firstLineChars="200"/>
        <w:rPr>
          <w:rFonts w:hint="eastAsia" w:ascii="仿宋" w:hAnsi="仿宋" w:eastAsia="仿宋" w:cs="宋体"/>
          <w:b/>
          <w:color w:val="auto"/>
          <w:sz w:val="24"/>
          <w:szCs w:val="24"/>
          <w:highlight w:val="none"/>
        </w:rPr>
      </w:pPr>
      <w:r>
        <w:rPr>
          <w:rFonts w:hint="eastAsia" w:ascii="仿宋" w:hAnsi="仿宋" w:eastAsia="仿宋" w:cs="宋体"/>
          <w:b/>
          <w:color w:val="auto"/>
          <w:sz w:val="24"/>
          <w:szCs w:val="24"/>
          <w:highlight w:val="none"/>
          <w:lang w:eastAsia="zh-CN"/>
        </w:rPr>
        <w:t>九</w:t>
      </w:r>
      <w:r>
        <w:rPr>
          <w:rFonts w:hint="eastAsia" w:ascii="仿宋" w:hAnsi="仿宋" w:eastAsia="仿宋" w:cs="宋体"/>
          <w:b/>
          <w:color w:val="auto"/>
          <w:sz w:val="24"/>
          <w:szCs w:val="24"/>
          <w:highlight w:val="none"/>
        </w:rPr>
        <w:t>、验收要求</w:t>
      </w:r>
    </w:p>
    <w:p w14:paraId="0550D7C2">
      <w:pPr>
        <w:autoSpaceDE w:val="0"/>
        <w:autoSpaceDN w:val="0"/>
        <w:spacing w:line="500" w:lineRule="exact"/>
        <w:ind w:firstLine="480" w:firstLineChars="200"/>
        <w:rPr>
          <w:rFonts w:ascii="方正楷体_GBK" w:hAnsi="方正楷体_GBK" w:eastAsia="方正楷体_GBK" w:cs="方正楷体_GBK"/>
          <w:bCs/>
          <w:color w:val="auto"/>
          <w:sz w:val="24"/>
          <w:szCs w:val="24"/>
          <w:highlight w:val="none"/>
        </w:rPr>
      </w:pPr>
      <w:r>
        <w:rPr>
          <w:rFonts w:hint="eastAsia" w:ascii="方正楷体_GBK" w:hAnsi="方正楷体_GBK" w:eastAsia="方正楷体_GBK" w:cs="方正楷体_GBK"/>
          <w:bCs/>
          <w:color w:val="auto"/>
          <w:sz w:val="24"/>
          <w:szCs w:val="24"/>
          <w:highlight w:val="none"/>
        </w:rPr>
        <w:t>（一）检验流程</w:t>
      </w:r>
    </w:p>
    <w:p w14:paraId="0DCE49F0">
      <w:pPr>
        <w:autoSpaceDE w:val="0"/>
        <w:autoSpaceDN w:val="0"/>
        <w:spacing w:line="50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 xml:space="preserve">1、要作好卸货前的检查。验收人员卸货前应对场地和验收设备做好准备，并对商品的外观质量进行初步了解。二是应采取当场验收的方式，验收人须认真检验食材的质量要求，按索证→过磅→入库的程序完成验收；三是须进行抽查验收，抽查样本数视实际情况而定，一般不超过10%。 </w:t>
      </w:r>
    </w:p>
    <w:p w14:paraId="4A8F1D63">
      <w:pPr>
        <w:autoSpaceDE w:val="0"/>
        <w:autoSpaceDN w:val="0"/>
        <w:spacing w:line="50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验收工作人员应比较相关文件，以确保食材品种符合要求。如确定有所差异，应即刻通知送货人员。如发现食材有损坏的情况，应在相关单据上记录所有损坏情况。建议对货物损坏情况进行拍照并存档。对于食材验收的全部信息数据，采购人的验收人员应和</w:t>
      </w:r>
      <w:r>
        <w:rPr>
          <w:rFonts w:hint="eastAsia" w:ascii="仿宋" w:hAnsi="仿宋" w:eastAsia="仿宋" w:cs="宋体"/>
          <w:color w:val="auto"/>
          <w:sz w:val="24"/>
          <w:szCs w:val="24"/>
          <w:highlight w:val="none"/>
          <w:lang w:eastAsia="zh-CN"/>
        </w:rPr>
        <w:t>中标供应商</w:t>
      </w:r>
      <w:r>
        <w:rPr>
          <w:rFonts w:hint="eastAsia" w:ascii="仿宋" w:hAnsi="仿宋" w:eastAsia="仿宋" w:cs="宋体"/>
          <w:color w:val="auto"/>
          <w:sz w:val="24"/>
          <w:szCs w:val="24"/>
          <w:highlight w:val="none"/>
        </w:rPr>
        <w:t xml:space="preserve">一起确认，并保留双方签字单据。 </w:t>
      </w:r>
    </w:p>
    <w:p w14:paraId="68C2F3D5">
      <w:pPr>
        <w:autoSpaceDE w:val="0"/>
        <w:autoSpaceDN w:val="0"/>
        <w:spacing w:line="50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 xml:space="preserve">3、退（补）货流程 </w:t>
      </w:r>
    </w:p>
    <w:p w14:paraId="1587A7F3">
      <w:pPr>
        <w:autoSpaceDE w:val="0"/>
        <w:autoSpaceDN w:val="0"/>
        <w:spacing w:line="50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 xml:space="preserve">对不符合采购要求的食材由验收人员提出清退，退货前应实行留板备案，如双方对质量争议可送国家质监部门检测。对缺斤短两（或含水量超标）的应按实际重量扣减。出现退（补）货情况，应及时报告。在退货过程中，对有碍公共卫生安全的食材，应按国家有关规定处理或进行协议销毁，而不是退货给供应商。 </w:t>
      </w:r>
    </w:p>
    <w:p w14:paraId="50894E8E">
      <w:pPr>
        <w:autoSpaceDE w:val="0"/>
        <w:autoSpaceDN w:val="0"/>
        <w:spacing w:line="50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 xml:space="preserve">4、验收记录 </w:t>
      </w:r>
    </w:p>
    <w:p w14:paraId="287E3208">
      <w:pPr>
        <w:autoSpaceDE w:val="0"/>
        <w:autoSpaceDN w:val="0"/>
        <w:spacing w:line="50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 xml:space="preserve">（1）每次采购的食材都要登记记录，注明名称、数量等事项并在采购登记记录上签明意见和验收人的名字及日期。 </w:t>
      </w:r>
    </w:p>
    <w:p w14:paraId="5C6CB9F6">
      <w:pPr>
        <w:autoSpaceDE w:val="0"/>
        <w:autoSpaceDN w:val="0"/>
        <w:spacing w:line="500" w:lineRule="exact"/>
        <w:ind w:firstLine="480" w:firstLineChars="200"/>
        <w:rPr>
          <w:rFonts w:hint="eastAsia" w:ascii="方正楷体_GBK" w:hAnsi="方正楷体_GBK" w:eastAsia="方正楷体_GBK" w:cs="方正楷体_GBK"/>
          <w:bCs/>
          <w:color w:val="auto"/>
          <w:sz w:val="24"/>
          <w:szCs w:val="24"/>
          <w:highlight w:val="none"/>
        </w:rPr>
      </w:pPr>
      <w:r>
        <w:rPr>
          <w:rFonts w:hint="eastAsia" w:ascii="仿宋" w:hAnsi="仿宋" w:eastAsia="仿宋" w:cs="宋体"/>
          <w:color w:val="auto"/>
          <w:sz w:val="24"/>
          <w:szCs w:val="24"/>
          <w:highlight w:val="none"/>
        </w:rPr>
        <w:t>（2）</w:t>
      </w:r>
      <w:r>
        <w:rPr>
          <w:rFonts w:hint="eastAsia" w:ascii="仿宋" w:hAnsi="仿宋" w:eastAsia="仿宋" w:cs="宋体"/>
          <w:color w:val="auto"/>
          <w:sz w:val="24"/>
          <w:szCs w:val="24"/>
          <w:highlight w:val="none"/>
          <w:lang w:eastAsia="zh-CN"/>
        </w:rPr>
        <w:t>中标供应商</w:t>
      </w:r>
      <w:r>
        <w:rPr>
          <w:rFonts w:hint="eastAsia" w:ascii="仿宋" w:hAnsi="仿宋" w:eastAsia="仿宋" w:cs="宋体"/>
          <w:color w:val="auto"/>
          <w:sz w:val="24"/>
          <w:szCs w:val="24"/>
          <w:highlight w:val="none"/>
        </w:rPr>
        <w:t>应在送货前提前通知采购人送货时间，以便做好交收工作。如</w:t>
      </w:r>
      <w:r>
        <w:rPr>
          <w:rFonts w:hint="eastAsia" w:ascii="仿宋" w:hAnsi="仿宋" w:eastAsia="仿宋" w:cs="宋体"/>
          <w:color w:val="auto"/>
          <w:sz w:val="24"/>
          <w:szCs w:val="24"/>
          <w:highlight w:val="none"/>
          <w:lang w:eastAsia="zh-CN"/>
        </w:rPr>
        <w:t>中标供应商</w:t>
      </w:r>
      <w:r>
        <w:rPr>
          <w:rFonts w:hint="eastAsia" w:ascii="仿宋" w:hAnsi="仿宋" w:eastAsia="仿宋" w:cs="宋体"/>
          <w:color w:val="auto"/>
          <w:sz w:val="24"/>
          <w:szCs w:val="24"/>
          <w:highlight w:val="none"/>
        </w:rPr>
        <w:t>未能按时交货的，采购人有权自行采购，并由</w:t>
      </w:r>
      <w:r>
        <w:rPr>
          <w:rFonts w:hint="eastAsia" w:ascii="仿宋" w:hAnsi="仿宋" w:eastAsia="仿宋" w:cs="宋体"/>
          <w:color w:val="auto"/>
          <w:sz w:val="24"/>
          <w:szCs w:val="24"/>
          <w:highlight w:val="none"/>
          <w:lang w:eastAsia="zh-CN"/>
        </w:rPr>
        <w:t>中标供应商</w:t>
      </w:r>
      <w:r>
        <w:rPr>
          <w:rFonts w:hint="eastAsia" w:ascii="仿宋" w:hAnsi="仿宋" w:eastAsia="仿宋" w:cs="宋体"/>
          <w:color w:val="auto"/>
          <w:sz w:val="24"/>
          <w:szCs w:val="24"/>
          <w:highlight w:val="none"/>
        </w:rPr>
        <w:t xml:space="preserve">承担因此产生的一切损失和费用（包括直接经济损失和间接经济损失）。 </w:t>
      </w:r>
    </w:p>
    <w:p w14:paraId="03AE34B3">
      <w:pPr>
        <w:autoSpaceDE w:val="0"/>
        <w:autoSpaceDN w:val="0"/>
        <w:spacing w:line="500" w:lineRule="exact"/>
        <w:ind w:firstLine="480" w:firstLineChars="200"/>
        <w:rPr>
          <w:rFonts w:hint="eastAsia" w:ascii="方正楷体_GBK" w:hAnsi="方正楷体_GBK" w:eastAsia="方正楷体_GBK" w:cs="方正楷体_GBK"/>
          <w:bCs/>
          <w:color w:val="auto"/>
          <w:sz w:val="24"/>
          <w:szCs w:val="24"/>
          <w:highlight w:val="none"/>
        </w:rPr>
      </w:pPr>
      <w:r>
        <w:rPr>
          <w:rFonts w:hint="eastAsia" w:ascii="方正楷体_GBK" w:hAnsi="方正楷体_GBK" w:eastAsia="方正楷体_GBK" w:cs="方正楷体_GBK"/>
          <w:bCs/>
          <w:color w:val="auto"/>
          <w:sz w:val="24"/>
          <w:szCs w:val="24"/>
          <w:highlight w:val="none"/>
        </w:rPr>
        <w:t>（二）验收总体要求</w:t>
      </w:r>
    </w:p>
    <w:p w14:paraId="2CF223B9">
      <w:pPr>
        <w:spacing w:line="500" w:lineRule="exact"/>
        <w:ind w:firstLine="480" w:firstLineChars="200"/>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1.本项目所指的商品及服务应符合</w:t>
      </w:r>
      <w:r>
        <w:rPr>
          <w:rFonts w:hint="eastAsia" w:ascii="仿宋" w:hAnsi="仿宋" w:eastAsia="仿宋" w:cs="宋体"/>
          <w:bCs/>
          <w:color w:val="auto"/>
          <w:sz w:val="24"/>
          <w:szCs w:val="24"/>
          <w:highlight w:val="none"/>
          <w:lang w:eastAsia="zh-CN"/>
        </w:rPr>
        <w:t>采购</w:t>
      </w:r>
      <w:r>
        <w:rPr>
          <w:rFonts w:hint="eastAsia" w:ascii="仿宋" w:hAnsi="仿宋" w:eastAsia="仿宋" w:cs="宋体"/>
          <w:bCs/>
          <w:color w:val="auto"/>
          <w:sz w:val="24"/>
          <w:szCs w:val="24"/>
          <w:highlight w:val="none"/>
        </w:rPr>
        <w:t>文件的所述的标准；如果没有提及适用标准，则应符合中华人民共和国国家标准或行业标准；这些标准必须是有关机构发布的最新版本的标准。</w:t>
      </w:r>
    </w:p>
    <w:p w14:paraId="59845449">
      <w:pPr>
        <w:spacing w:line="500" w:lineRule="exact"/>
        <w:ind w:firstLine="480" w:firstLineChars="200"/>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2.乙方应充分理解并认真遵循本</w:t>
      </w:r>
      <w:r>
        <w:rPr>
          <w:rFonts w:hint="eastAsia" w:ascii="仿宋" w:hAnsi="仿宋" w:eastAsia="仿宋" w:cs="宋体"/>
          <w:bCs/>
          <w:color w:val="auto"/>
          <w:sz w:val="24"/>
          <w:szCs w:val="24"/>
          <w:highlight w:val="none"/>
          <w:lang w:eastAsia="zh-CN"/>
        </w:rPr>
        <w:t>采购</w:t>
      </w:r>
      <w:r>
        <w:rPr>
          <w:rFonts w:hint="eastAsia" w:ascii="仿宋" w:hAnsi="仿宋" w:eastAsia="仿宋" w:cs="宋体"/>
          <w:bCs/>
          <w:color w:val="auto"/>
          <w:sz w:val="24"/>
          <w:szCs w:val="24"/>
          <w:highlight w:val="none"/>
        </w:rPr>
        <w:t>文件的要求，所提供的商品必须是满足</w:t>
      </w:r>
      <w:r>
        <w:rPr>
          <w:rFonts w:hint="eastAsia" w:ascii="仿宋" w:hAnsi="仿宋" w:eastAsia="仿宋" w:cs="宋体"/>
          <w:bCs/>
          <w:color w:val="auto"/>
          <w:sz w:val="24"/>
          <w:szCs w:val="24"/>
          <w:highlight w:val="none"/>
          <w:lang w:eastAsia="zh-CN"/>
        </w:rPr>
        <w:t>采购</w:t>
      </w:r>
      <w:r>
        <w:rPr>
          <w:rFonts w:hint="eastAsia" w:ascii="仿宋" w:hAnsi="仿宋" w:eastAsia="仿宋" w:cs="宋体"/>
          <w:bCs/>
          <w:color w:val="auto"/>
          <w:sz w:val="24"/>
          <w:szCs w:val="24"/>
          <w:highlight w:val="none"/>
        </w:rPr>
        <w:t>文件要求。保证合同货品均为正规生产的新鲜</w:t>
      </w:r>
      <w:r>
        <w:rPr>
          <w:rFonts w:hint="eastAsia" w:ascii="仿宋" w:hAnsi="仿宋" w:eastAsia="仿宋" w:cs="宋体"/>
          <w:bCs/>
          <w:color w:val="auto"/>
          <w:sz w:val="24"/>
          <w:szCs w:val="24"/>
          <w:highlight w:val="none"/>
          <w:lang w:eastAsia="zh-CN"/>
        </w:rPr>
        <w:t>、</w:t>
      </w:r>
      <w:r>
        <w:rPr>
          <w:rFonts w:hint="eastAsia" w:ascii="仿宋" w:hAnsi="仿宋" w:eastAsia="仿宋" w:cs="宋体"/>
          <w:bCs/>
          <w:color w:val="auto"/>
          <w:sz w:val="24"/>
          <w:szCs w:val="24"/>
          <w:highlight w:val="none"/>
        </w:rPr>
        <w:t>检验合格、无毒、无辐射、无侵权货品，符合国家有关卫生、质量、包装和保质标准，要使用有效期的货品，其剩余有效期不得少于标注有效期的 80%。</w:t>
      </w:r>
    </w:p>
    <w:p w14:paraId="137FB871">
      <w:pPr>
        <w:spacing w:line="500" w:lineRule="exact"/>
        <w:ind w:firstLine="480" w:firstLineChars="200"/>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3.商品有包装的，商品的包装必须完整清洁（无损、无污、无皱），甲方有权拒收包装不整齐、已拆封的商品。</w:t>
      </w:r>
    </w:p>
    <w:p w14:paraId="4D82DE13">
      <w:pPr>
        <w:spacing w:line="500" w:lineRule="exact"/>
        <w:ind w:firstLine="480" w:firstLineChars="200"/>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4.甲方发现商品出现损坏（包括表面损坏），或出现水渍、串味、受潮等导致商品性质改变的，乙方必须无条件退货或更换商品。</w:t>
      </w:r>
    </w:p>
    <w:p w14:paraId="6E5E0051">
      <w:pPr>
        <w:spacing w:line="500" w:lineRule="exact"/>
        <w:ind w:firstLine="480" w:firstLineChars="200"/>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5.乙方保证所提供的</w:t>
      </w:r>
      <w:r>
        <w:rPr>
          <w:rFonts w:hint="eastAsia" w:ascii="仿宋" w:hAnsi="仿宋" w:eastAsia="仿宋" w:cs="宋体"/>
          <w:bCs/>
          <w:color w:val="auto"/>
          <w:sz w:val="24"/>
          <w:szCs w:val="24"/>
          <w:highlight w:val="none"/>
          <w:lang w:eastAsia="zh-CN"/>
        </w:rPr>
        <w:t>食材</w:t>
      </w:r>
      <w:r>
        <w:rPr>
          <w:rFonts w:hint="eastAsia" w:ascii="仿宋" w:hAnsi="仿宋" w:eastAsia="仿宋" w:cs="宋体"/>
          <w:bCs/>
          <w:color w:val="auto"/>
          <w:sz w:val="24"/>
          <w:szCs w:val="24"/>
          <w:highlight w:val="none"/>
        </w:rPr>
        <w:t>的多样性和季节性，以保证新鲜感，并在响应文件中列出相关品目。</w:t>
      </w:r>
    </w:p>
    <w:p w14:paraId="28F8FCD0">
      <w:pPr>
        <w:spacing w:line="500" w:lineRule="exact"/>
        <w:ind w:firstLine="480" w:firstLineChars="200"/>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lang w:val="en-US" w:eastAsia="zh-CN"/>
        </w:rPr>
        <w:t>6</w:t>
      </w:r>
      <w:r>
        <w:rPr>
          <w:rFonts w:hint="eastAsia" w:ascii="仿宋" w:hAnsi="仿宋" w:eastAsia="仿宋" w:cs="宋体"/>
          <w:bCs/>
          <w:color w:val="auto"/>
          <w:sz w:val="24"/>
          <w:szCs w:val="24"/>
          <w:highlight w:val="none"/>
        </w:rPr>
        <w:t>.乙方提供假冒伪劣、过期、变质的、有毒食品的，一经发现，除按甲方要求无条件退货或换货外，还将受到如下</w:t>
      </w:r>
      <w:r>
        <w:rPr>
          <w:rFonts w:hint="eastAsia" w:ascii="仿宋" w:hAnsi="仿宋" w:eastAsia="仿宋" w:cs="宋体"/>
          <w:bCs/>
          <w:color w:val="auto"/>
          <w:sz w:val="24"/>
          <w:szCs w:val="24"/>
          <w:highlight w:val="none"/>
          <w:lang w:eastAsia="zh-CN"/>
        </w:rPr>
        <w:t>处理</w:t>
      </w:r>
      <w:r>
        <w:rPr>
          <w:rFonts w:hint="eastAsia" w:ascii="仿宋" w:hAnsi="仿宋" w:eastAsia="仿宋" w:cs="宋体"/>
          <w:bCs/>
          <w:color w:val="auto"/>
          <w:sz w:val="24"/>
          <w:szCs w:val="24"/>
          <w:highlight w:val="none"/>
        </w:rPr>
        <w:t>：</w:t>
      </w:r>
    </w:p>
    <w:p w14:paraId="492266F3">
      <w:pPr>
        <w:spacing w:line="500" w:lineRule="exact"/>
        <w:ind w:firstLine="480" w:firstLineChars="200"/>
        <w:rPr>
          <w:rFonts w:hint="eastAsia"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①乙方提供假冒伪劣、过期、变质食品的，要求无条件退货或换货外，被处以当次供应食品货款 2 倍的</w:t>
      </w:r>
      <w:r>
        <w:rPr>
          <w:rFonts w:hint="eastAsia" w:ascii="仿宋" w:hAnsi="仿宋" w:eastAsia="仿宋" w:cs="宋体"/>
          <w:bCs/>
          <w:color w:val="auto"/>
          <w:sz w:val="24"/>
          <w:szCs w:val="24"/>
          <w:highlight w:val="none"/>
          <w:lang w:eastAsia="zh-CN"/>
        </w:rPr>
        <w:t>违约金</w:t>
      </w:r>
      <w:r>
        <w:rPr>
          <w:rFonts w:hint="eastAsia" w:ascii="仿宋" w:hAnsi="仿宋" w:eastAsia="仿宋" w:cs="宋体"/>
          <w:bCs/>
          <w:color w:val="auto"/>
          <w:sz w:val="24"/>
          <w:szCs w:val="24"/>
          <w:highlight w:val="none"/>
        </w:rPr>
        <w:t>，</w:t>
      </w:r>
      <w:r>
        <w:rPr>
          <w:rFonts w:hint="eastAsia" w:ascii="仿宋" w:hAnsi="仿宋" w:eastAsia="仿宋" w:cs="宋体"/>
          <w:bCs/>
          <w:color w:val="auto"/>
          <w:sz w:val="24"/>
          <w:szCs w:val="24"/>
          <w:highlight w:val="none"/>
          <w:lang w:eastAsia="zh-CN"/>
        </w:rPr>
        <w:t>违约金</w:t>
      </w:r>
      <w:r>
        <w:rPr>
          <w:rFonts w:hint="eastAsia" w:ascii="仿宋" w:hAnsi="仿宋" w:eastAsia="仿宋" w:cs="宋体"/>
          <w:bCs/>
          <w:color w:val="auto"/>
          <w:sz w:val="24"/>
          <w:szCs w:val="24"/>
          <w:highlight w:val="none"/>
        </w:rPr>
        <w:t>由供货结算款内扣除。②乙方提供有毒食品的，造成食品安全事故的，经有关单位鉴定原因后，如确实为乙方提供之食品问题，乙方除需负担全数之医药费、没收履约保证金外，甲方取消乙方供货资格，甲方取消乙方供货合同，乙方同时承担相应的民事及刑事法律责任及放弃先诉抗辩权。</w:t>
      </w:r>
    </w:p>
    <w:p w14:paraId="5EED5E46">
      <w:pPr>
        <w:autoSpaceDE w:val="0"/>
        <w:autoSpaceDN w:val="0"/>
        <w:spacing w:line="560" w:lineRule="exact"/>
        <w:ind w:left="241" w:hanging="241" w:hangingChars="100"/>
        <w:rPr>
          <w:rFonts w:hint="eastAsia" w:ascii="仿宋" w:hAnsi="仿宋" w:eastAsia="仿宋" w:cs="宋体"/>
          <w:b/>
          <w:color w:val="auto"/>
          <w:sz w:val="24"/>
          <w:szCs w:val="24"/>
          <w:highlight w:val="none"/>
          <w:lang w:eastAsia="zh-CN"/>
        </w:rPr>
      </w:pPr>
      <w:r>
        <w:rPr>
          <w:rFonts w:hint="eastAsia" w:ascii="仿宋" w:hAnsi="仿宋" w:eastAsia="仿宋" w:cs="宋体"/>
          <w:b/>
          <w:color w:val="auto"/>
          <w:sz w:val="24"/>
          <w:szCs w:val="24"/>
          <w:highlight w:val="none"/>
        </w:rPr>
        <w:t>十、配送</w:t>
      </w:r>
      <w:r>
        <w:rPr>
          <w:rFonts w:ascii="仿宋" w:hAnsi="仿宋" w:eastAsia="仿宋" w:cs="宋体"/>
          <w:b/>
          <w:color w:val="auto"/>
          <w:sz w:val="24"/>
          <w:szCs w:val="24"/>
          <w:highlight w:val="none"/>
        </w:rPr>
        <w:t>人员管理</w:t>
      </w:r>
    </w:p>
    <w:p w14:paraId="7A1CDCF0">
      <w:pPr>
        <w:autoSpaceDE w:val="0"/>
        <w:autoSpaceDN w:val="0"/>
        <w:spacing w:line="560" w:lineRule="exact"/>
        <w:ind w:left="241" w:hanging="240" w:hangingChars="100"/>
        <w:rPr>
          <w:rFonts w:ascii="仿宋" w:hAnsi="仿宋" w:eastAsia="仿宋" w:cs="宋体"/>
          <w:color w:val="auto"/>
          <w:sz w:val="24"/>
          <w:szCs w:val="24"/>
          <w:highlight w:val="none"/>
        </w:rPr>
      </w:pPr>
      <w:r>
        <w:rPr>
          <w:rFonts w:ascii="仿宋" w:hAnsi="仿宋" w:eastAsia="仿宋" w:cs="宋体"/>
          <w:color w:val="auto"/>
          <w:sz w:val="24"/>
          <w:szCs w:val="24"/>
          <w:highlight w:val="none"/>
        </w:rPr>
        <w:t>（1）所有</w:t>
      </w:r>
      <w:r>
        <w:rPr>
          <w:rFonts w:hint="eastAsia" w:ascii="仿宋" w:hAnsi="仿宋" w:eastAsia="仿宋" w:cs="宋体"/>
          <w:color w:val="auto"/>
          <w:sz w:val="24"/>
          <w:szCs w:val="24"/>
          <w:highlight w:val="none"/>
        </w:rPr>
        <w:t>配送人</w:t>
      </w:r>
      <w:r>
        <w:rPr>
          <w:rFonts w:ascii="仿宋" w:hAnsi="仿宋" w:eastAsia="仿宋" w:cs="宋体"/>
          <w:color w:val="auto"/>
          <w:sz w:val="24"/>
          <w:szCs w:val="24"/>
          <w:highlight w:val="none"/>
        </w:rPr>
        <w:t>员必须持合格《健康证》方可办理入职手续。</w:t>
      </w:r>
    </w:p>
    <w:p w14:paraId="33D0322D">
      <w:pPr>
        <w:autoSpaceDE w:val="0"/>
        <w:autoSpaceDN w:val="0"/>
        <w:spacing w:line="560" w:lineRule="exact"/>
        <w:rPr>
          <w:rFonts w:hint="eastAsia"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rPr>
        <w:t>（2）</w:t>
      </w:r>
      <w:r>
        <w:rPr>
          <w:rFonts w:ascii="仿宋" w:hAnsi="仿宋" w:eastAsia="仿宋" w:cs="宋体"/>
          <w:color w:val="auto"/>
          <w:sz w:val="24"/>
          <w:szCs w:val="24"/>
          <w:highlight w:val="none"/>
        </w:rPr>
        <w:t>所有人员在《健康证》到</w:t>
      </w:r>
      <w:r>
        <w:rPr>
          <w:rFonts w:hint="eastAsia" w:ascii="仿宋" w:hAnsi="仿宋" w:eastAsia="仿宋" w:cs="宋体"/>
          <w:color w:val="auto"/>
          <w:sz w:val="24"/>
          <w:szCs w:val="24"/>
          <w:highlight w:val="none"/>
        </w:rPr>
        <w:t>期</w:t>
      </w:r>
      <w:r>
        <w:rPr>
          <w:rFonts w:ascii="仿宋" w:hAnsi="仿宋" w:eastAsia="仿宋" w:cs="宋体"/>
          <w:color w:val="auto"/>
          <w:sz w:val="24"/>
          <w:szCs w:val="24"/>
          <w:highlight w:val="none"/>
        </w:rPr>
        <w:t>前</w:t>
      </w:r>
      <w:r>
        <w:rPr>
          <w:rFonts w:hint="eastAsia" w:ascii="仿宋" w:hAnsi="仿宋" w:eastAsia="仿宋" w:cs="宋体"/>
          <w:color w:val="auto"/>
          <w:sz w:val="24"/>
          <w:szCs w:val="24"/>
          <w:highlight w:val="none"/>
        </w:rPr>
        <w:t>1</w:t>
      </w:r>
      <w:r>
        <w:rPr>
          <w:rFonts w:ascii="仿宋" w:hAnsi="仿宋" w:eastAsia="仿宋" w:cs="宋体"/>
          <w:color w:val="auto"/>
          <w:sz w:val="24"/>
          <w:szCs w:val="24"/>
          <w:highlight w:val="none"/>
        </w:rPr>
        <w:t>0天到有资质的</w:t>
      </w:r>
      <w:r>
        <w:rPr>
          <w:rFonts w:hint="eastAsia" w:ascii="仿宋" w:hAnsi="仿宋" w:eastAsia="仿宋" w:cs="宋体"/>
          <w:color w:val="auto"/>
          <w:sz w:val="24"/>
          <w:szCs w:val="24"/>
          <w:highlight w:val="none"/>
        </w:rPr>
        <w:t>体检部门进行</w:t>
      </w:r>
      <w:r>
        <w:rPr>
          <w:rFonts w:ascii="仿宋" w:hAnsi="仿宋" w:eastAsia="仿宋" w:cs="宋体"/>
          <w:color w:val="auto"/>
          <w:sz w:val="24"/>
          <w:szCs w:val="24"/>
          <w:highlight w:val="none"/>
        </w:rPr>
        <w:t>健康体检，办理新的《健康证》。</w:t>
      </w:r>
    </w:p>
    <w:p w14:paraId="1F521D16">
      <w:pPr>
        <w:autoSpaceDE w:val="0"/>
        <w:autoSpaceDN w:val="0"/>
        <w:spacing w:line="560" w:lineRule="exact"/>
        <w:rPr>
          <w:rFonts w:hint="eastAsia"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rPr>
        <w:t xml:space="preserve"> </w:t>
      </w:r>
      <w:r>
        <w:rPr>
          <w:rFonts w:ascii="仿宋" w:hAnsi="仿宋" w:eastAsia="仿宋" w:cs="宋体"/>
          <w:color w:val="auto"/>
          <w:sz w:val="24"/>
          <w:szCs w:val="24"/>
          <w:highlight w:val="none"/>
        </w:rPr>
        <w:t>(3)员工在工作时间内生病或受伤应及时向主管报告，由主管批假治疗，禁止带病带伤</w:t>
      </w:r>
      <w:r>
        <w:rPr>
          <w:rFonts w:hint="eastAsia" w:ascii="仿宋" w:hAnsi="仿宋" w:eastAsia="仿宋" w:cs="宋体"/>
          <w:color w:val="auto"/>
          <w:sz w:val="24"/>
          <w:szCs w:val="24"/>
          <w:highlight w:val="none"/>
        </w:rPr>
        <w:t>配送</w:t>
      </w:r>
      <w:r>
        <w:rPr>
          <w:rFonts w:ascii="仿宋" w:hAnsi="仿宋" w:eastAsia="仿宋" w:cs="宋体"/>
          <w:color w:val="auto"/>
          <w:sz w:val="24"/>
          <w:szCs w:val="24"/>
          <w:highlight w:val="none"/>
        </w:rPr>
        <w:t>。</w:t>
      </w:r>
    </w:p>
    <w:p w14:paraId="00681AB4">
      <w:pPr>
        <w:autoSpaceDE w:val="0"/>
        <w:autoSpaceDN w:val="0"/>
        <w:spacing w:line="560" w:lineRule="exact"/>
        <w:rPr>
          <w:rFonts w:hint="eastAsia" w:ascii="仿宋" w:hAnsi="仿宋" w:eastAsia="仿宋" w:cs="宋体"/>
          <w:color w:val="auto"/>
          <w:sz w:val="24"/>
          <w:szCs w:val="24"/>
          <w:highlight w:val="none"/>
        </w:rPr>
      </w:pPr>
      <w:r>
        <w:rPr>
          <w:rFonts w:ascii="仿宋" w:hAnsi="仿宋" w:eastAsia="仿宋" w:cs="宋体"/>
          <w:color w:val="auto"/>
          <w:sz w:val="24"/>
          <w:szCs w:val="24"/>
          <w:highlight w:val="none"/>
        </w:rPr>
        <w:t>(4）工作期间如发现患有有碍食品卫生安全的疾病必须及时向相关主管人员报告，单位将视病情轻重进行调岗、病休或辞退处理。</w:t>
      </w:r>
    </w:p>
    <w:p w14:paraId="1B484827">
      <w:pPr>
        <w:spacing w:line="560" w:lineRule="exact"/>
        <w:rPr>
          <w:rFonts w:ascii="仿宋" w:hAnsi="仿宋" w:eastAsia="仿宋" w:cs="仿宋"/>
          <w:b/>
          <w:bCs/>
          <w:color w:val="auto"/>
          <w:kern w:val="28"/>
          <w:sz w:val="24"/>
          <w:szCs w:val="24"/>
          <w:highlight w:val="none"/>
        </w:rPr>
      </w:pPr>
      <w:r>
        <w:rPr>
          <w:rFonts w:hint="eastAsia" w:ascii="仿宋" w:hAnsi="仿宋" w:eastAsia="仿宋" w:cs="仿宋"/>
          <w:b/>
          <w:bCs/>
          <w:color w:val="auto"/>
          <w:kern w:val="28"/>
          <w:sz w:val="24"/>
          <w:szCs w:val="24"/>
          <w:highlight w:val="none"/>
        </w:rPr>
        <w:t>十</w:t>
      </w:r>
      <w:r>
        <w:rPr>
          <w:rFonts w:hint="eastAsia" w:ascii="仿宋" w:hAnsi="仿宋" w:eastAsia="仿宋" w:cs="仿宋"/>
          <w:b/>
          <w:bCs/>
          <w:color w:val="auto"/>
          <w:kern w:val="28"/>
          <w:sz w:val="24"/>
          <w:szCs w:val="24"/>
          <w:highlight w:val="none"/>
          <w:lang w:eastAsia="zh-CN"/>
        </w:rPr>
        <w:t>一</w:t>
      </w:r>
      <w:r>
        <w:rPr>
          <w:rFonts w:hint="eastAsia" w:ascii="仿宋" w:hAnsi="仿宋" w:eastAsia="仿宋" w:cs="仿宋"/>
          <w:b/>
          <w:bCs/>
          <w:color w:val="auto"/>
          <w:kern w:val="28"/>
          <w:sz w:val="24"/>
          <w:szCs w:val="24"/>
          <w:highlight w:val="none"/>
        </w:rPr>
        <w:t>、违约责任</w:t>
      </w:r>
    </w:p>
    <w:p w14:paraId="0EFDE6D5">
      <w:pPr>
        <w:spacing w:line="56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因乙方原因未按时提供物品或交货的数量、质量等不符合合同约定，使甲方遭受损失或因此扰乱正常管理秩序的，乙方承担相应的违约责任。如甲方仍然需要的，乙方应如数补交，并向甲方偿付逾期商品或少交部分商品总值的1％的违约金；如甲方不需要的，乙方应按逾期或少交部分货款总值的5％的违约金。违约金将先行在履约保证金中扣除。</w:t>
      </w:r>
    </w:p>
    <w:p w14:paraId="2BA6DE4D">
      <w:pPr>
        <w:spacing w:line="56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乙方出现供货能力不足的现象以至甲方有证据证明乙方无继续履约能力，或乙方擅自将与甲方签订的供货项目提供给其他供应商的，甲方有权终止合同。并要求乙方对其违约行为给甲方造成的损失进行赔偿。违约金将先行在履约保证金中扣除。</w:t>
      </w:r>
    </w:p>
    <w:p w14:paraId="04CED3DB">
      <w:pPr>
        <w:spacing w:line="56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乙方交付的货品规格、卫生质量标准与合同规定不符时，甲方可以拒收，并向甲方偿付逾期货或少交部分商品总值的5％的违约金，违约金将先行在履约保证金中扣除。若连续出现3次类似情况的，甲方有权终止合同。</w:t>
      </w:r>
    </w:p>
    <w:p w14:paraId="689A032E">
      <w:pPr>
        <w:spacing w:line="56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4.乙方如经有关部门证明确因不可抗力无法按时交货，甲方仍然需要乙方交货的，乙方可以迟延交货，不按违约处理。</w:t>
      </w:r>
    </w:p>
    <w:p w14:paraId="0AFD2273">
      <w:pPr>
        <w:spacing w:line="56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5.因食用乙方交来货品而导致人员食物中毒的，经卫生防疫部门确定为乙方责任的，乙方需承担全部费用及法律责任。</w:t>
      </w:r>
    </w:p>
    <w:p w14:paraId="2E2ED39C">
      <w:pPr>
        <w:spacing w:line="56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6.乙方供应的货品若为国家公布的伪劣产品，乙方应无条件更换，并承担全部费用及法律责任。</w:t>
      </w:r>
    </w:p>
    <w:p w14:paraId="34E766C7">
      <w:pPr>
        <w:spacing w:line="560" w:lineRule="exact"/>
        <w:ind w:firstLine="480" w:firstLineChars="20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7.甲方认为乙方供货质量与合同不符的，双方协商不成时，经鉴定乙方所供货品确为伪劣商品的，甲方有权终止合同，乙方应承担货品的检测费用及违约费。</w:t>
      </w:r>
    </w:p>
    <w:p w14:paraId="4932AE5C">
      <w:pPr>
        <w:autoSpaceDE w:val="0"/>
        <w:autoSpaceDN w:val="0"/>
        <w:spacing w:line="560" w:lineRule="exact"/>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十</w:t>
      </w:r>
      <w:r>
        <w:rPr>
          <w:rFonts w:hint="eastAsia" w:ascii="仿宋" w:hAnsi="仿宋" w:eastAsia="仿宋" w:cs="宋体"/>
          <w:b/>
          <w:color w:val="auto"/>
          <w:sz w:val="24"/>
          <w:szCs w:val="24"/>
          <w:highlight w:val="none"/>
          <w:lang w:eastAsia="zh-CN"/>
        </w:rPr>
        <w:t>二</w:t>
      </w:r>
      <w:r>
        <w:rPr>
          <w:rFonts w:hint="eastAsia" w:ascii="仿宋" w:hAnsi="仿宋" w:eastAsia="仿宋" w:cs="宋体"/>
          <w:b/>
          <w:color w:val="auto"/>
          <w:sz w:val="24"/>
          <w:szCs w:val="24"/>
          <w:highlight w:val="none"/>
        </w:rPr>
        <w:t>、其他要求</w:t>
      </w:r>
    </w:p>
    <w:p w14:paraId="6175E93B">
      <w:pPr>
        <w:autoSpaceDE w:val="0"/>
        <w:autoSpaceDN w:val="0"/>
        <w:spacing w:line="56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（一）乙方需提供主要商品的供货渠道或授权证明文件。</w:t>
      </w:r>
    </w:p>
    <w:p w14:paraId="3C022C0C">
      <w:pPr>
        <w:autoSpaceDE w:val="0"/>
        <w:autoSpaceDN w:val="0"/>
        <w:spacing w:line="56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（二）乙方提供假冒伪劣、过期、变质、有毒商品的，一经发现，除无条件退换货外，还将受到以下惩罚：</w:t>
      </w:r>
    </w:p>
    <w:p w14:paraId="4C0063D6">
      <w:pPr>
        <w:autoSpaceDE w:val="0"/>
        <w:autoSpaceDN w:val="0"/>
        <w:spacing w:line="56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1.乙方出现3次以上质量问题的，甲方有权单方面解除合同，并追究乙方责任。</w:t>
      </w:r>
    </w:p>
    <w:p w14:paraId="197E6B51">
      <w:pPr>
        <w:autoSpaceDE w:val="0"/>
        <w:autoSpaceDN w:val="0"/>
        <w:spacing w:line="56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2.乙方所供食品造成甲方单位就餐人员食物中毒，经卫生防疫部门鉴定属乙方责任的，乙方须承担全部法律责任并做出全部的经济赔偿。</w:t>
      </w:r>
    </w:p>
    <w:p w14:paraId="5203E0A0">
      <w:pPr>
        <w:autoSpaceDE w:val="0"/>
        <w:autoSpaceDN w:val="0"/>
        <w:spacing w:line="560" w:lineRule="exact"/>
        <w:ind w:firstLine="468" w:firstLineChars="195"/>
        <w:rPr>
          <w:rFonts w:ascii="仿宋" w:hAnsi="仿宋" w:eastAsia="仿宋" w:cs="仿宋_GB2312"/>
          <w:color w:val="auto"/>
          <w:sz w:val="24"/>
          <w:szCs w:val="24"/>
          <w:highlight w:val="none"/>
        </w:rPr>
      </w:pPr>
      <w:r>
        <w:rPr>
          <w:rFonts w:hint="eastAsia" w:ascii="仿宋" w:hAnsi="仿宋" w:eastAsia="仿宋" w:cs="宋体"/>
          <w:color w:val="auto"/>
          <w:sz w:val="24"/>
          <w:szCs w:val="24"/>
          <w:highlight w:val="none"/>
        </w:rPr>
        <w:t>（三）如因乙方原因，配送不及时延误甲方单位正常用餐的，一次处以500-1000元的</w:t>
      </w:r>
      <w:r>
        <w:rPr>
          <w:rFonts w:hint="eastAsia" w:ascii="仿宋" w:hAnsi="仿宋" w:eastAsia="仿宋" w:cs="宋体"/>
          <w:color w:val="auto"/>
          <w:sz w:val="24"/>
          <w:szCs w:val="24"/>
          <w:highlight w:val="none"/>
          <w:lang w:eastAsia="zh-CN"/>
        </w:rPr>
        <w:t>违约金</w:t>
      </w:r>
      <w:r>
        <w:rPr>
          <w:rFonts w:hint="eastAsia" w:ascii="仿宋" w:hAnsi="仿宋" w:eastAsia="仿宋" w:cs="宋体"/>
          <w:color w:val="auto"/>
          <w:sz w:val="24"/>
          <w:szCs w:val="24"/>
          <w:highlight w:val="none"/>
        </w:rPr>
        <w:t>。</w:t>
      </w:r>
    </w:p>
    <w:p w14:paraId="09019794">
      <w:pPr>
        <w:autoSpaceDE w:val="0"/>
        <w:autoSpaceDN w:val="0"/>
        <w:spacing w:line="56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（四）乙方应根据甲方实际需求运送商品，必要时进行免费简单加工。</w:t>
      </w:r>
    </w:p>
    <w:p w14:paraId="0AA02739">
      <w:pPr>
        <w:autoSpaceDE w:val="0"/>
        <w:autoSpaceDN w:val="0"/>
        <w:spacing w:line="560" w:lineRule="exact"/>
        <w:ind w:firstLine="480" w:firstLineChars="20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（五）除甲方事先书面同意外，乙方不得部分或全部转让其应履行的义务。</w:t>
      </w:r>
    </w:p>
    <w:p w14:paraId="78954D6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宋体"/>
          <w:color w:val="auto"/>
          <w:sz w:val="24"/>
          <w:szCs w:val="24"/>
          <w:highlight w:val="none"/>
        </w:rPr>
        <w:t>（</w:t>
      </w:r>
      <w:r>
        <w:rPr>
          <w:rFonts w:hint="eastAsia" w:ascii="仿宋" w:hAnsi="仿宋" w:eastAsia="仿宋" w:cs="宋体"/>
          <w:color w:val="auto"/>
          <w:sz w:val="24"/>
          <w:szCs w:val="24"/>
          <w:highlight w:val="none"/>
          <w:lang w:eastAsia="zh-CN"/>
        </w:rPr>
        <w:t>六</w:t>
      </w:r>
      <w:r>
        <w:rPr>
          <w:rFonts w:hint="eastAsia" w:ascii="仿宋" w:hAnsi="仿宋" w:eastAsia="仿宋" w:cs="宋体"/>
          <w:color w:val="auto"/>
          <w:sz w:val="24"/>
          <w:szCs w:val="24"/>
          <w:highlight w:val="none"/>
        </w:rPr>
        <w:t>）</w:t>
      </w:r>
      <w:r>
        <w:rPr>
          <w:rFonts w:hint="eastAsia" w:ascii="仿宋" w:hAnsi="仿宋" w:eastAsia="仿宋" w:cs="仿宋"/>
          <w:color w:val="auto"/>
          <w:sz w:val="24"/>
          <w:szCs w:val="24"/>
          <w:highlight w:val="none"/>
          <w:lang w:val="en-US" w:eastAsia="zh-CN"/>
        </w:rPr>
        <w:t>投标单位在投标文件中提供</w:t>
      </w:r>
      <w:r>
        <w:rPr>
          <w:rFonts w:hint="eastAsia" w:ascii="仿宋" w:hAnsi="仿宋" w:eastAsia="仿宋" w:cs="仿宋"/>
          <w:color w:val="auto"/>
          <w:sz w:val="24"/>
          <w:szCs w:val="24"/>
          <w:highlight w:val="none"/>
          <w:lang w:val="zh-CN" w:eastAsia="zh-CN"/>
        </w:rPr>
        <w:t>以下</w:t>
      </w:r>
      <w:r>
        <w:rPr>
          <w:rFonts w:hint="eastAsia" w:ascii="仿宋" w:hAnsi="仿宋" w:eastAsia="仿宋" w:cs="仿宋"/>
          <w:color w:val="auto"/>
          <w:sz w:val="24"/>
          <w:szCs w:val="24"/>
          <w:highlight w:val="none"/>
          <w:lang w:val="en-US" w:eastAsia="zh-CN"/>
        </w:rPr>
        <w:t>内容</w:t>
      </w:r>
      <w:r>
        <w:rPr>
          <w:rFonts w:hint="eastAsia" w:ascii="仿宋" w:hAnsi="仿宋" w:eastAsia="仿宋" w:cs="仿宋"/>
          <w:color w:val="auto"/>
          <w:sz w:val="24"/>
          <w:szCs w:val="24"/>
          <w:highlight w:val="none"/>
          <w:lang w:val="zh-CN" w:eastAsia="zh-CN"/>
        </w:rPr>
        <w:t>：①十项制度（索证采购制度、采购验收储存制度、分拣加工管理制度、蔬菜水果农药残留检测制度、留样制度、从业人员晨检制度、场地车辆用具清洗消毒保洁制度、安全保卫制度、食物中毒或其他食源性疾患突发事件报告制度、卫生责任追究制度）；②十项岗位职责（</w:t>
      </w:r>
      <w:r>
        <w:rPr>
          <w:rFonts w:hint="eastAsia" w:ascii="仿宋" w:hAnsi="仿宋" w:eastAsia="仿宋" w:cs="仿宋"/>
          <w:color w:val="auto"/>
          <w:sz w:val="24"/>
          <w:szCs w:val="24"/>
          <w:highlight w:val="none"/>
          <w:lang w:val="en-US" w:eastAsia="zh-CN"/>
        </w:rPr>
        <w:t>项目负责人</w:t>
      </w:r>
      <w:r>
        <w:rPr>
          <w:rFonts w:hint="eastAsia" w:ascii="仿宋" w:hAnsi="仿宋" w:eastAsia="仿宋" w:cs="仿宋"/>
          <w:color w:val="auto"/>
          <w:sz w:val="24"/>
          <w:szCs w:val="24"/>
          <w:highlight w:val="none"/>
          <w:lang w:val="zh-CN" w:eastAsia="zh-CN"/>
        </w:rPr>
        <w:t>岗位职责、财务人员工作职责、卫生安全管理员岗位职责、采购员岗位职责、验收员岗位职责、分拣员岗位职责、仓库保管员岗位职责、检测员岗位职责、送货员岗位职责、</w:t>
      </w:r>
      <w:r>
        <w:rPr>
          <w:rFonts w:hint="eastAsia" w:ascii="仿宋" w:hAnsi="仿宋" w:eastAsia="仿宋" w:cs="仿宋"/>
          <w:color w:val="auto"/>
          <w:sz w:val="24"/>
          <w:szCs w:val="24"/>
          <w:highlight w:val="none"/>
          <w:lang w:val="en-US" w:eastAsia="zh-CN"/>
        </w:rPr>
        <w:t>售后专员岗位职责</w:t>
      </w:r>
      <w:r>
        <w:rPr>
          <w:rFonts w:hint="eastAsia" w:ascii="仿宋" w:hAnsi="仿宋" w:eastAsia="仿宋" w:cs="仿宋"/>
          <w:color w:val="auto"/>
          <w:sz w:val="24"/>
          <w:szCs w:val="24"/>
          <w:highlight w:val="none"/>
          <w:lang w:val="zh-CN" w:eastAsia="zh-CN"/>
        </w:rPr>
        <w:t>）。</w:t>
      </w:r>
    </w:p>
    <w:p w14:paraId="71A155E1">
      <w:pPr>
        <w:autoSpaceDE w:val="0"/>
        <w:autoSpaceDN w:val="0"/>
        <w:spacing w:line="560" w:lineRule="exact"/>
        <w:ind w:firstLine="480" w:firstLineChars="200"/>
        <w:rPr>
          <w:rFonts w:hint="eastAsia" w:ascii="仿宋" w:hAnsi="仿宋" w:eastAsia="仿宋" w:cs="宋体"/>
          <w:color w:val="auto"/>
          <w:sz w:val="24"/>
          <w:szCs w:val="24"/>
          <w:highlight w:val="none"/>
        </w:rPr>
      </w:pPr>
    </w:p>
    <w:p w14:paraId="58323E7F">
      <w:pPr>
        <w:rPr>
          <w:rFonts w:hint="eastAsia"/>
          <w:highlight w:val="none"/>
          <w:lang w:val="en-US" w:eastAsia="zh-CN"/>
        </w:rPr>
      </w:pPr>
      <w:r>
        <w:rPr>
          <w:rFonts w:hint="eastAsia"/>
          <w:highlight w:val="none"/>
          <w:lang w:val="en-US" w:eastAsia="zh-CN"/>
        </w:rPr>
        <w:br w:type="page"/>
      </w:r>
    </w:p>
    <w:p w14:paraId="14D9EEFF">
      <w:pPr>
        <w:pStyle w:val="39"/>
        <w:rPr>
          <w:rFonts w:hint="eastAsia"/>
          <w:highlight w:val="none"/>
          <w:lang w:val="en-US" w:eastAsia="zh-CN"/>
        </w:rPr>
      </w:pPr>
    </w:p>
    <w:p w14:paraId="4DA3D9B5">
      <w:pPr>
        <w:numPr>
          <w:ilvl w:val="0"/>
          <w:numId w:val="12"/>
        </w:numPr>
        <w:spacing w:line="480" w:lineRule="exact"/>
        <w:jc w:val="center"/>
        <w:outlineLvl w:val="0"/>
        <w:rPr>
          <w:rStyle w:val="52"/>
          <w:rFonts w:hint="eastAsia" w:ascii="仿宋" w:hAnsi="仿宋" w:eastAsia="仿宋" w:cs="仿宋"/>
          <w:color w:val="auto"/>
          <w:highlight w:val="none"/>
        </w:rPr>
      </w:pPr>
      <w:bookmarkStart w:id="60" w:name="_Toc6506"/>
      <w:r>
        <w:rPr>
          <w:rStyle w:val="52"/>
          <w:rFonts w:hint="eastAsia" w:ascii="仿宋" w:hAnsi="仿宋" w:eastAsia="仿宋" w:cs="仿宋"/>
          <w:color w:val="auto"/>
          <w:highlight w:val="none"/>
        </w:rPr>
        <w:t>合同样本</w:t>
      </w:r>
      <w:bookmarkEnd w:id="54"/>
      <w:bookmarkEnd w:id="55"/>
      <w:bookmarkEnd w:id="56"/>
      <w:bookmarkEnd w:id="57"/>
      <w:r>
        <w:rPr>
          <w:rStyle w:val="52"/>
          <w:rFonts w:hint="eastAsia" w:ascii="仿宋" w:hAnsi="仿宋" w:eastAsia="仿宋" w:cs="仿宋"/>
          <w:color w:val="auto"/>
          <w:highlight w:val="none"/>
        </w:rPr>
        <w:t>（参考模板）</w:t>
      </w:r>
      <w:bookmarkEnd w:id="58"/>
      <w:bookmarkEnd w:id="60"/>
    </w:p>
    <w:p w14:paraId="372D9BFD">
      <w:pPr>
        <w:spacing w:line="360" w:lineRule="auto"/>
        <w:rPr>
          <w:rFonts w:hint="eastAsia" w:ascii="仿宋" w:hAnsi="仿宋" w:eastAsia="仿宋" w:cs="仿宋"/>
          <w:spacing w:val="-2"/>
          <w:sz w:val="24"/>
          <w:highlight w:val="none"/>
        </w:rPr>
      </w:pPr>
      <w:bookmarkStart w:id="61" w:name="_Toc502852419"/>
      <w:r>
        <w:rPr>
          <w:rFonts w:hint="eastAsia" w:ascii="仿宋" w:hAnsi="仿宋" w:eastAsia="仿宋" w:cs="仿宋"/>
          <w:sz w:val="24"/>
          <w:highlight w:val="none"/>
        </w:rPr>
        <w:t xml:space="preserve">                             </w:t>
      </w:r>
      <w:r>
        <w:rPr>
          <w:rFonts w:hint="eastAsia" w:ascii="仿宋" w:hAnsi="仿宋" w:eastAsia="仿宋" w:cs="仿宋"/>
          <w:spacing w:val="-2"/>
          <w:sz w:val="24"/>
          <w:highlight w:val="none"/>
        </w:rPr>
        <w:t>政府采购合同书</w:t>
      </w:r>
    </w:p>
    <w:p w14:paraId="42400A29">
      <w:pPr>
        <w:spacing w:line="440" w:lineRule="exact"/>
        <w:ind w:firstLine="472" w:firstLineChars="200"/>
        <w:rPr>
          <w:rFonts w:hint="eastAsia" w:ascii="仿宋" w:hAnsi="仿宋" w:eastAsia="仿宋" w:cs="仿宋"/>
          <w:spacing w:val="-2"/>
          <w:sz w:val="24"/>
          <w:highlight w:val="none"/>
          <w:lang w:val="en-US" w:eastAsia="zh-CN"/>
        </w:rPr>
      </w:pPr>
      <w:r>
        <w:rPr>
          <w:rFonts w:hint="eastAsia" w:ascii="仿宋" w:hAnsi="仿宋" w:eastAsia="仿宋" w:cs="仿宋"/>
          <w:spacing w:val="-2"/>
          <w:sz w:val="24"/>
          <w:highlight w:val="none"/>
        </w:rPr>
        <w:t>项目编号：</w:t>
      </w:r>
      <w:r>
        <w:rPr>
          <w:rFonts w:hint="eastAsia" w:ascii="仿宋" w:hAnsi="仿宋" w:eastAsia="仿宋" w:cs="仿宋"/>
          <w:sz w:val="24"/>
          <w:highlight w:val="none"/>
          <w:lang w:eastAsia="zh-CN"/>
        </w:rPr>
        <w:t>ZD（GK）2025-019</w:t>
      </w:r>
    </w:p>
    <w:p w14:paraId="218BB693">
      <w:pPr>
        <w:spacing w:line="440" w:lineRule="exact"/>
        <w:ind w:firstLine="472" w:firstLineChars="200"/>
        <w:rPr>
          <w:rFonts w:hint="eastAsia" w:ascii="仿宋" w:hAnsi="仿宋" w:eastAsia="仿宋" w:cs="仿宋"/>
          <w:kern w:val="0"/>
          <w:sz w:val="24"/>
          <w:highlight w:val="none"/>
          <w:lang w:eastAsia="zh-CN"/>
        </w:rPr>
      </w:pPr>
      <w:r>
        <w:rPr>
          <w:rFonts w:hint="eastAsia" w:ascii="仿宋" w:hAnsi="仿宋" w:eastAsia="仿宋" w:cs="仿宋"/>
          <w:spacing w:val="-2"/>
          <w:sz w:val="24"/>
          <w:highlight w:val="none"/>
        </w:rPr>
        <w:t>项目名称：</w:t>
      </w:r>
      <w:r>
        <w:rPr>
          <w:rFonts w:hint="eastAsia" w:ascii="仿宋" w:hAnsi="仿宋" w:eastAsia="仿宋" w:cs="仿宋"/>
          <w:kern w:val="0"/>
          <w:sz w:val="24"/>
          <w:highlight w:val="none"/>
          <w:lang w:eastAsia="zh-CN"/>
        </w:rPr>
        <w:t xml:space="preserve">新疆维吾尔自治区教育考试院职工食堂蔬菜采购项目 </w:t>
      </w:r>
    </w:p>
    <w:p w14:paraId="16A62800">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注：本合同仅为合同的参考文本，合同签订双方可根据项目的具体要求进行修订，但合同条款不得与投标文件和成交响应供应商投标文件有实质性偏离。</w:t>
      </w:r>
    </w:p>
    <w:p w14:paraId="7D61D6B7">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甲 方（采购方）：</w:t>
      </w:r>
    </w:p>
    <w:p w14:paraId="1DD1BA16">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乙 方（中标方）：</w:t>
      </w:r>
    </w:p>
    <w:p w14:paraId="6DD8BA2F">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根据《民法典》、《中华人民共和国政府采购法》有关规定以及</w:t>
      </w:r>
      <w:r>
        <w:rPr>
          <w:rFonts w:hint="eastAsia" w:ascii="仿宋" w:hAnsi="仿宋" w:eastAsia="仿宋" w:cs="仿宋"/>
          <w:spacing w:val="-2"/>
          <w:sz w:val="24"/>
          <w:highlight w:val="none"/>
          <w:lang w:eastAsia="zh-CN"/>
        </w:rPr>
        <w:t>新疆维吾尔自治区教育考试院职工食堂蔬菜采购项目</w:t>
      </w:r>
      <w:r>
        <w:rPr>
          <w:rFonts w:hint="eastAsia" w:ascii="仿宋" w:hAnsi="仿宋" w:eastAsia="仿宋" w:cs="仿宋"/>
          <w:spacing w:val="-2"/>
          <w:sz w:val="24"/>
          <w:highlight w:val="none"/>
        </w:rPr>
        <w:t>（项目编号：</w:t>
      </w:r>
      <w:r>
        <w:rPr>
          <w:rFonts w:hint="eastAsia" w:ascii="仿宋" w:hAnsi="仿宋" w:eastAsia="仿宋" w:cs="仿宋"/>
          <w:sz w:val="24"/>
          <w:highlight w:val="none"/>
          <w:lang w:eastAsia="zh-CN"/>
        </w:rPr>
        <w:t>ZD（GK）2025-019</w:t>
      </w:r>
      <w:r>
        <w:rPr>
          <w:rFonts w:hint="eastAsia" w:ascii="仿宋" w:hAnsi="仿宋" w:eastAsia="仿宋" w:cs="仿宋"/>
          <w:spacing w:val="-2"/>
          <w:sz w:val="24"/>
          <w:highlight w:val="none"/>
        </w:rPr>
        <w:t>，采购代理机构：新疆中鼎远航招标有限公司）要求的招标结果，经双方协商，本着平等互利和诚实信用的原则，一致同意签订本合同如下。</w:t>
      </w:r>
    </w:p>
    <w:p w14:paraId="6A58123D">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第一条、合同内容：甲乙双方按照招投标结果确定。</w:t>
      </w:r>
    </w:p>
    <w:p w14:paraId="5888180F">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第二条、合同总金额</w:t>
      </w:r>
    </w:p>
    <w:p w14:paraId="48CF0491">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合同总金额：（大写）：人民币____________元（￥_________元）。</w:t>
      </w:r>
    </w:p>
    <w:p w14:paraId="307EF032">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 xml:space="preserve">第三条、质量检验标准：甲乙双方按照招投标结果确定。 </w:t>
      </w:r>
    </w:p>
    <w:p w14:paraId="398A3CD2">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第四条、服务成果要求和项目服务期限：甲乙双方按照招投标文件确定。</w:t>
      </w:r>
    </w:p>
    <w:p w14:paraId="674BC9E6">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第五条、付款方式：最终付款方式以和甲方单位签订合同为准。</w:t>
      </w:r>
    </w:p>
    <w:p w14:paraId="2CB74F8D">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第六条、知识产权要求</w:t>
      </w:r>
    </w:p>
    <w:p w14:paraId="609F9D58">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1、本次采购的成交投标人提供的有关设计方案的署名权归中标人所有，著作权、版权、专利权和使用权归采购人所有。</w:t>
      </w:r>
    </w:p>
    <w:p w14:paraId="0A9A984D">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2、投标人须保证投标文件及资料均未侵犯他人的知识产权，否则必须承担全部责任。</w:t>
      </w:r>
    </w:p>
    <w:p w14:paraId="7DD890EE">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第七条、权利和义务</w:t>
      </w:r>
    </w:p>
    <w:p w14:paraId="6F54C406">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（一）甲方的权利和义务：甲乙双方按照招投标结果确定</w:t>
      </w:r>
    </w:p>
    <w:p w14:paraId="1A2F7EFC">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（二）乙方的权利和义务：甲乙双方按照招投标结果确定</w:t>
      </w:r>
    </w:p>
    <w:p w14:paraId="67CE2CFB">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1. 如期向甲方提交服务。</w:t>
      </w:r>
    </w:p>
    <w:p w14:paraId="74C50E82">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2. 乙方提供的货物、工程/服务如侵犯了第三方合法权益而引发的任何纠纷或诉讼，均有乙方负责处理并承担所有相关责任。</w:t>
      </w:r>
    </w:p>
    <w:p w14:paraId="448CB29F">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3. 对于甲方提供的图纸和技术资料以及属于甲方的原始资料，乙方有保密义务，不得向第三人提供或用于本合同以外的项目，否则甲方有权追究乙方经济及法律责任。</w:t>
      </w:r>
    </w:p>
    <w:p w14:paraId="33DDB881">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第八条、违约责任</w:t>
      </w:r>
    </w:p>
    <w:p w14:paraId="2A31C96B">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1) 乙方交付的货物、工程/提供的服务不符合公开招标文件、招标投标文件或本合同规定的，甲方有权拒收，并且乙方须向甲方支付本合同总价 5%的违约金。</w:t>
      </w:r>
    </w:p>
    <w:p w14:paraId="7A5631AD">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2) 乙方未能按本合同规定的交货时间交付货物、工程/提供服务，从逾期之日起每日按本合同总价 3‰的数额向甲方支付违约金；逾期半个月以上的，甲方有权终止合同，由此造成的甲方经济损失由乙方承担。</w:t>
      </w:r>
    </w:p>
    <w:p w14:paraId="088A2975">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3) 甲方无正当理由拒收货物/接受服务，到期拒付货物/服务款项的，甲方向乙方偿付本合同总的 5%的违约金。甲方人逾期付款，则每日按本合同总价的 3‰向乙方偿付违约金。</w:t>
      </w:r>
    </w:p>
    <w:p w14:paraId="34EED028">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4) 其它违约责任按《民法典》处理。</w:t>
      </w:r>
    </w:p>
    <w:p w14:paraId="48B489AC">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第九条、争议的解决</w:t>
      </w:r>
    </w:p>
    <w:p w14:paraId="321AA37A">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1) 因货物或工程/服务质量问题发生争议时，由本地质量技术监督部门鉴定。货物或工程/服务符合质量技术标准的，鉴定费由甲方承担；否则鉴定费由乙方承担。</w:t>
      </w:r>
    </w:p>
    <w:p w14:paraId="579B4CEE">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2）合同执行过程中发生的任何争议，如双方不能通过友好协商解决，按相关法律法规处理。</w:t>
      </w:r>
    </w:p>
    <w:p w14:paraId="2230448B">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第十条、不可抗力</w:t>
      </w:r>
    </w:p>
    <w:p w14:paraId="4D1D11C1">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任何一方由于不可抗力原因不能履行合同时，应在不可抗力事件结束后 1 日内向对方通报，以减轻可能给对方造成的损失，在取得有关机构的不可抗力证明或双方谅解确认后，允许延期履行或修订合同，并根据情况可部分或全部免于承担违约责任。</w:t>
      </w:r>
    </w:p>
    <w:p w14:paraId="2417FA7D">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第十一条、税费</w:t>
      </w:r>
    </w:p>
    <w:p w14:paraId="1D6D7120">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在中国境内、外发生的与本合同执行有关的一切税费均由乙方负担。</w:t>
      </w:r>
    </w:p>
    <w:p w14:paraId="20489DB0">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第十二条、其它</w:t>
      </w:r>
    </w:p>
    <w:p w14:paraId="7D2D85D6">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1) 本合同所有附件、招标文件、招标投标文件、中标通知书均为合同的有效组成部分，与本合同具有同等法律效力。</w:t>
      </w:r>
    </w:p>
    <w:p w14:paraId="68297C09">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2) 在执行本合同的过程中，所有经双方签署确认的文件（包括会议纪要、补充协议、往来信函）即成为本合同的有效组成部分。</w:t>
      </w:r>
    </w:p>
    <w:p w14:paraId="5B241ED6">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3) 如一方地址、电话、传真号码有变更，应在变更当日内书面通知对方，否则，应承担相应责任。</w:t>
      </w:r>
    </w:p>
    <w:p w14:paraId="2ABAC16B">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4) 除甲方事先书面同意外，乙方不得部分或全部转让其应履行的合同项下的义务。</w:t>
      </w:r>
    </w:p>
    <w:p w14:paraId="4083685E">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第十三条、合同生效</w:t>
      </w:r>
    </w:p>
    <w:p w14:paraId="09D84E7B">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1) 本合同在甲乙双方法定代表人或其授权代表签字盖章后生效。</w:t>
      </w:r>
    </w:p>
    <w:p w14:paraId="2B219B9B">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2) 本合同一式 份（至少四份原件），均具有同等法律效力。</w:t>
      </w:r>
    </w:p>
    <w:p w14:paraId="5ACFFE70">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3）甲乙双方各执一份、所属采购监督管理部门一份、采购代理机构一份。</w:t>
      </w:r>
    </w:p>
    <w:p w14:paraId="2ADBABE9">
      <w:pPr>
        <w:spacing w:line="440" w:lineRule="exact"/>
        <w:ind w:firstLine="472" w:firstLineChars="200"/>
        <w:rPr>
          <w:rFonts w:hint="eastAsia" w:ascii="仿宋" w:hAnsi="仿宋" w:eastAsia="仿宋" w:cs="仿宋"/>
          <w:spacing w:val="-2"/>
          <w:sz w:val="24"/>
          <w:highlight w:val="none"/>
        </w:rPr>
      </w:pPr>
    </w:p>
    <w:p w14:paraId="6F2955A2">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 xml:space="preserve">甲方盖章：                               乙方盖章：  </w:t>
      </w:r>
    </w:p>
    <w:p w14:paraId="4E6F0178">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甲方法定代表人或                         乙方法定代表人或</w:t>
      </w:r>
    </w:p>
    <w:p w14:paraId="477E4EFF">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 xml:space="preserve">委托代理人签字：                         委托代理人签字：  </w:t>
      </w:r>
    </w:p>
    <w:p w14:paraId="24E54392">
      <w:pPr>
        <w:spacing w:line="440" w:lineRule="exact"/>
        <w:ind w:firstLine="472" w:firstLineChars="200"/>
        <w:rPr>
          <w:rFonts w:hint="eastAsia" w:ascii="仿宋" w:hAnsi="仿宋" w:eastAsia="仿宋" w:cs="仿宋"/>
          <w:spacing w:val="-2"/>
          <w:sz w:val="24"/>
          <w:highlight w:val="none"/>
        </w:rPr>
      </w:pPr>
      <w:r>
        <w:rPr>
          <w:rFonts w:hint="eastAsia" w:ascii="仿宋" w:hAnsi="仿宋" w:eastAsia="仿宋" w:cs="仿宋"/>
          <w:spacing w:val="-2"/>
          <w:sz w:val="24"/>
          <w:highlight w:val="none"/>
        </w:rPr>
        <w:t>签订日期：     年     月     日          签订日期      年     月    日</w:t>
      </w:r>
    </w:p>
    <w:p w14:paraId="28168A56">
      <w:pPr>
        <w:spacing w:line="440" w:lineRule="exact"/>
        <w:jc w:val="center"/>
        <w:rPr>
          <w:rFonts w:hint="eastAsia" w:ascii="仿宋" w:hAnsi="仿宋" w:eastAsia="仿宋" w:cs="仿宋"/>
          <w:b/>
          <w:sz w:val="36"/>
          <w:highlight w:val="none"/>
        </w:rPr>
      </w:pPr>
    </w:p>
    <w:p w14:paraId="1D109380">
      <w:pPr>
        <w:rPr>
          <w:rFonts w:hint="eastAsia" w:ascii="仿宋" w:hAnsi="仿宋" w:eastAsia="仿宋" w:cs="仿宋"/>
          <w:b/>
          <w:sz w:val="24"/>
          <w:highlight w:val="none"/>
        </w:rPr>
      </w:pPr>
      <w:r>
        <w:rPr>
          <w:rFonts w:hint="eastAsia" w:ascii="仿宋" w:hAnsi="仿宋" w:eastAsia="仿宋" w:cs="仿宋"/>
          <w:b/>
          <w:sz w:val="24"/>
          <w:highlight w:val="none"/>
        </w:rPr>
        <w:t>注：最终合同以和甲方签订为准。</w:t>
      </w:r>
    </w:p>
    <w:p w14:paraId="246855BA">
      <w:pPr>
        <w:rPr>
          <w:rFonts w:hint="eastAsia" w:ascii="仿宋" w:hAnsi="仿宋" w:eastAsia="仿宋" w:cs="仿宋"/>
          <w:b/>
          <w:sz w:val="24"/>
          <w:highlight w:val="none"/>
        </w:rPr>
      </w:pPr>
    </w:p>
    <w:p w14:paraId="3A2548CC">
      <w:pPr>
        <w:pStyle w:val="2"/>
        <w:numPr>
          <w:ilvl w:val="0"/>
          <w:numId w:val="12"/>
        </w:numPr>
        <w:rPr>
          <w:rStyle w:val="52"/>
          <w:rFonts w:hint="eastAsia" w:ascii="仿宋" w:hAnsi="仿宋" w:eastAsia="仿宋" w:cs="仿宋"/>
          <w:b/>
          <w:bCs/>
          <w:color w:val="auto"/>
          <w:highlight w:val="none"/>
        </w:rPr>
      </w:pPr>
      <w:bookmarkStart w:id="62" w:name="_Toc502882159"/>
      <w:r>
        <w:rPr>
          <w:rFonts w:hint="eastAsia" w:ascii="仿宋" w:hAnsi="仿宋" w:eastAsia="仿宋" w:cs="仿宋"/>
          <w:bCs w:val="0"/>
          <w:color w:val="auto"/>
          <w:kern w:val="2"/>
          <w:sz w:val="24"/>
          <w:szCs w:val="24"/>
          <w:highlight w:val="none"/>
        </w:rPr>
        <w:br w:type="page"/>
      </w:r>
      <w:r>
        <w:rPr>
          <w:rStyle w:val="52"/>
          <w:rFonts w:hint="eastAsia" w:ascii="仿宋" w:hAnsi="仿宋" w:eastAsia="仿宋" w:cs="仿宋"/>
          <w:b/>
          <w:bCs/>
          <w:color w:val="auto"/>
          <w:highlight w:val="none"/>
        </w:rPr>
        <w:t xml:space="preserve">  </w:t>
      </w:r>
      <w:bookmarkStart w:id="63" w:name="_Toc8629"/>
      <w:bookmarkStart w:id="64" w:name="_Toc2712"/>
      <w:r>
        <w:rPr>
          <w:rStyle w:val="52"/>
          <w:rFonts w:hint="eastAsia" w:ascii="仿宋" w:hAnsi="仿宋" w:eastAsia="仿宋" w:cs="仿宋"/>
          <w:b/>
          <w:bCs/>
          <w:color w:val="auto"/>
          <w:highlight w:val="none"/>
        </w:rPr>
        <w:t>投标格式及附件</w:t>
      </w:r>
      <w:bookmarkEnd w:id="61"/>
      <w:bookmarkEnd w:id="62"/>
      <w:bookmarkEnd w:id="63"/>
      <w:bookmarkEnd w:id="64"/>
    </w:p>
    <w:p w14:paraId="013B4190">
      <w:pPr>
        <w:spacing w:line="440" w:lineRule="exact"/>
        <w:rPr>
          <w:rFonts w:hint="eastAsia" w:ascii="仿宋" w:hAnsi="仿宋" w:eastAsia="仿宋" w:cs="仿宋"/>
          <w:b/>
          <w:sz w:val="28"/>
          <w:szCs w:val="28"/>
          <w:highlight w:val="none"/>
        </w:rPr>
      </w:pPr>
      <w:r>
        <w:rPr>
          <w:rFonts w:hint="eastAsia" w:ascii="仿宋" w:hAnsi="仿宋" w:eastAsia="仿宋" w:cs="仿宋"/>
          <w:b/>
          <w:sz w:val="28"/>
          <w:szCs w:val="28"/>
          <w:highlight w:val="none"/>
        </w:rPr>
        <w:t>一、投标文件封面</w:t>
      </w:r>
    </w:p>
    <w:p w14:paraId="3AA657CF">
      <w:pPr>
        <w:spacing w:line="440" w:lineRule="exact"/>
        <w:jc w:val="center"/>
        <w:rPr>
          <w:rFonts w:hint="eastAsia" w:ascii="仿宋" w:hAnsi="仿宋" w:eastAsia="仿宋" w:cs="仿宋"/>
          <w:b/>
          <w:szCs w:val="21"/>
          <w:highlight w:val="none"/>
        </w:rPr>
      </w:pPr>
    </w:p>
    <w:p w14:paraId="7A7A2187">
      <w:pPr>
        <w:spacing w:line="440" w:lineRule="exact"/>
        <w:jc w:val="center"/>
        <w:rPr>
          <w:rFonts w:hint="eastAsia" w:ascii="仿宋" w:hAnsi="仿宋" w:eastAsia="仿宋" w:cs="仿宋"/>
          <w:b/>
          <w:szCs w:val="21"/>
          <w:highlight w:val="none"/>
        </w:rPr>
      </w:pPr>
    </w:p>
    <w:p w14:paraId="51820AB9">
      <w:pPr>
        <w:spacing w:line="440" w:lineRule="exact"/>
        <w:jc w:val="center"/>
        <w:rPr>
          <w:rFonts w:hint="eastAsia" w:ascii="仿宋" w:hAnsi="仿宋" w:eastAsia="仿宋" w:cs="仿宋"/>
          <w:b/>
          <w:szCs w:val="21"/>
          <w:highlight w:val="none"/>
        </w:rPr>
      </w:pPr>
    </w:p>
    <w:p w14:paraId="359D55A0">
      <w:pPr>
        <w:spacing w:line="440" w:lineRule="exact"/>
        <w:jc w:val="center"/>
        <w:rPr>
          <w:rFonts w:hint="eastAsia" w:ascii="仿宋" w:hAnsi="仿宋" w:eastAsia="仿宋" w:cs="仿宋"/>
          <w:b/>
          <w:szCs w:val="21"/>
          <w:highlight w:val="none"/>
        </w:rPr>
      </w:pPr>
    </w:p>
    <w:p w14:paraId="283EAF63">
      <w:pPr>
        <w:pStyle w:val="39"/>
        <w:ind w:firstLine="422"/>
        <w:jc w:val="center"/>
        <w:rPr>
          <w:rFonts w:hint="eastAsia" w:ascii="仿宋" w:hAnsi="仿宋" w:eastAsia="仿宋" w:cs="仿宋"/>
          <w:b/>
          <w:szCs w:val="21"/>
          <w:highlight w:val="none"/>
        </w:rPr>
      </w:pPr>
      <w:r>
        <w:rPr>
          <w:rFonts w:hint="eastAsia" w:ascii="仿宋" w:hAnsi="仿宋" w:eastAsia="仿宋" w:cs="仿宋"/>
          <w:b/>
          <w:sz w:val="40"/>
          <w:szCs w:val="40"/>
          <w:highlight w:val="none"/>
          <w:lang w:eastAsia="zh-CN"/>
        </w:rPr>
        <w:t>新疆维吾尔自治区教育考试院职工食堂蔬菜采购项目</w:t>
      </w:r>
    </w:p>
    <w:p w14:paraId="225BF3D7">
      <w:pPr>
        <w:pStyle w:val="39"/>
        <w:ind w:firstLine="422"/>
        <w:rPr>
          <w:rFonts w:hint="eastAsia" w:ascii="仿宋" w:hAnsi="仿宋" w:eastAsia="仿宋" w:cs="仿宋"/>
          <w:b/>
          <w:szCs w:val="21"/>
          <w:highlight w:val="none"/>
        </w:rPr>
      </w:pPr>
    </w:p>
    <w:p w14:paraId="0CB3424C">
      <w:pPr>
        <w:spacing w:line="440" w:lineRule="exact"/>
        <w:jc w:val="center"/>
        <w:rPr>
          <w:rFonts w:hint="eastAsia" w:ascii="仿宋" w:hAnsi="仿宋" w:eastAsia="仿宋" w:cs="仿宋"/>
          <w:b/>
          <w:szCs w:val="21"/>
          <w:highlight w:val="none"/>
        </w:rPr>
      </w:pPr>
    </w:p>
    <w:p w14:paraId="4C216355">
      <w:pPr>
        <w:spacing w:line="440" w:lineRule="exact"/>
        <w:jc w:val="center"/>
        <w:rPr>
          <w:rFonts w:hint="eastAsia" w:ascii="仿宋" w:hAnsi="仿宋" w:eastAsia="仿宋" w:cs="仿宋"/>
          <w:b/>
          <w:sz w:val="40"/>
          <w:szCs w:val="40"/>
          <w:highlight w:val="none"/>
        </w:rPr>
      </w:pPr>
      <w:r>
        <w:rPr>
          <w:rFonts w:hint="eastAsia" w:ascii="仿宋" w:hAnsi="仿宋" w:eastAsia="仿宋" w:cs="仿宋"/>
          <w:b/>
          <w:sz w:val="40"/>
          <w:szCs w:val="40"/>
          <w:highlight w:val="none"/>
        </w:rPr>
        <w:t>投标文件</w:t>
      </w:r>
    </w:p>
    <w:p w14:paraId="7F1B35F3">
      <w:pPr>
        <w:spacing w:line="440" w:lineRule="exact"/>
        <w:rPr>
          <w:rFonts w:hint="eastAsia" w:ascii="仿宋" w:hAnsi="仿宋" w:eastAsia="仿宋" w:cs="仿宋"/>
          <w:szCs w:val="21"/>
          <w:highlight w:val="none"/>
        </w:rPr>
      </w:pPr>
    </w:p>
    <w:p w14:paraId="4555B905">
      <w:pPr>
        <w:pStyle w:val="39"/>
        <w:ind w:firstLine="420"/>
        <w:rPr>
          <w:rFonts w:hint="eastAsia" w:ascii="仿宋" w:hAnsi="仿宋" w:eastAsia="仿宋" w:cs="仿宋"/>
          <w:szCs w:val="21"/>
          <w:highlight w:val="none"/>
        </w:rPr>
      </w:pPr>
    </w:p>
    <w:p w14:paraId="032718D3">
      <w:pPr>
        <w:pStyle w:val="39"/>
        <w:ind w:firstLine="420"/>
        <w:rPr>
          <w:rFonts w:hint="eastAsia" w:ascii="仿宋" w:hAnsi="仿宋" w:eastAsia="仿宋" w:cs="仿宋"/>
          <w:szCs w:val="21"/>
          <w:highlight w:val="none"/>
        </w:rPr>
      </w:pPr>
    </w:p>
    <w:p w14:paraId="61ED518F">
      <w:pPr>
        <w:spacing w:line="440" w:lineRule="exact"/>
        <w:ind w:firstLine="480"/>
        <w:rPr>
          <w:rFonts w:hint="eastAsia" w:ascii="仿宋" w:hAnsi="仿宋" w:eastAsia="仿宋" w:cs="仿宋"/>
          <w:szCs w:val="21"/>
          <w:highlight w:val="none"/>
        </w:rPr>
      </w:pPr>
    </w:p>
    <w:p w14:paraId="622E508F">
      <w:pPr>
        <w:pStyle w:val="37"/>
        <w:outlineLvl w:val="9"/>
        <w:rPr>
          <w:rFonts w:hint="eastAsia"/>
          <w:highlight w:val="none"/>
        </w:rPr>
      </w:pPr>
    </w:p>
    <w:p w14:paraId="3894DC43">
      <w:pPr>
        <w:spacing w:line="440" w:lineRule="exact"/>
        <w:ind w:firstLine="480"/>
        <w:rPr>
          <w:rFonts w:hint="eastAsia" w:ascii="仿宋" w:hAnsi="仿宋" w:eastAsia="仿宋" w:cs="仿宋"/>
          <w:szCs w:val="21"/>
          <w:highlight w:val="none"/>
        </w:rPr>
      </w:pPr>
    </w:p>
    <w:p w14:paraId="11470B1A">
      <w:pPr>
        <w:spacing w:line="440" w:lineRule="exact"/>
        <w:ind w:firstLine="480"/>
        <w:rPr>
          <w:rFonts w:hint="eastAsia" w:ascii="仿宋" w:hAnsi="仿宋" w:eastAsia="仿宋" w:cs="仿宋"/>
          <w:sz w:val="24"/>
          <w:highlight w:val="none"/>
        </w:rPr>
      </w:pPr>
    </w:p>
    <w:p w14:paraId="1C4A6F93">
      <w:pPr>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项目编号：</w:t>
      </w:r>
    </w:p>
    <w:p w14:paraId="762E369D">
      <w:pPr>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所投包号：</w:t>
      </w:r>
    </w:p>
    <w:p w14:paraId="5FAFB251">
      <w:pPr>
        <w:spacing w:line="440" w:lineRule="exact"/>
        <w:ind w:firstLine="480"/>
        <w:rPr>
          <w:rFonts w:hint="eastAsia" w:ascii="仿宋" w:hAnsi="仿宋" w:eastAsia="仿宋" w:cs="仿宋"/>
          <w:sz w:val="24"/>
          <w:highlight w:val="none"/>
        </w:rPr>
      </w:pPr>
      <w:r>
        <w:rPr>
          <w:rFonts w:hint="eastAsia" w:ascii="仿宋" w:hAnsi="仿宋" w:eastAsia="仿宋" w:cs="仿宋"/>
          <w:sz w:val="24"/>
          <w:highlight w:val="none"/>
        </w:rPr>
        <w:t>投标单位名称：</w:t>
      </w:r>
    </w:p>
    <w:p w14:paraId="5675DBF8">
      <w:pPr>
        <w:spacing w:line="440" w:lineRule="exact"/>
        <w:ind w:firstLine="480"/>
        <w:rPr>
          <w:rFonts w:hint="eastAsia" w:ascii="仿宋" w:hAnsi="仿宋" w:eastAsia="仿宋" w:cs="仿宋"/>
          <w:sz w:val="24"/>
          <w:highlight w:val="none"/>
        </w:rPr>
      </w:pPr>
      <w:r>
        <w:rPr>
          <w:rFonts w:hint="eastAsia" w:ascii="仿宋" w:hAnsi="仿宋" w:eastAsia="仿宋" w:cs="仿宋"/>
          <w:sz w:val="24"/>
          <w:highlight w:val="none"/>
        </w:rPr>
        <w:t>投标单位联系人：</w:t>
      </w:r>
    </w:p>
    <w:p w14:paraId="4BD6FA4F">
      <w:pPr>
        <w:spacing w:line="440" w:lineRule="exact"/>
        <w:ind w:firstLine="480"/>
        <w:rPr>
          <w:rFonts w:hint="eastAsia" w:ascii="仿宋" w:hAnsi="仿宋" w:eastAsia="仿宋" w:cs="仿宋"/>
          <w:sz w:val="24"/>
          <w:highlight w:val="none"/>
        </w:rPr>
      </w:pPr>
      <w:r>
        <w:rPr>
          <w:rFonts w:hint="eastAsia" w:ascii="仿宋" w:hAnsi="仿宋" w:eastAsia="仿宋" w:cs="仿宋"/>
          <w:sz w:val="24"/>
          <w:highlight w:val="none"/>
        </w:rPr>
        <w:t>投标单位联系电话：</w:t>
      </w:r>
    </w:p>
    <w:p w14:paraId="6DB825F8">
      <w:pPr>
        <w:spacing w:line="440" w:lineRule="exact"/>
        <w:ind w:firstLine="480"/>
        <w:rPr>
          <w:rFonts w:hint="eastAsia" w:ascii="仿宋" w:hAnsi="仿宋" w:eastAsia="仿宋" w:cs="仿宋"/>
          <w:sz w:val="24"/>
          <w:highlight w:val="none"/>
        </w:rPr>
        <w:sectPr>
          <w:footerReference r:id="rId7" w:type="default"/>
          <w:pgSz w:w="11850" w:h="16783"/>
          <w:pgMar w:top="1417" w:right="1701" w:bottom="1417" w:left="1701" w:header="850" w:footer="567" w:gutter="0"/>
          <w:pgNumType w:fmt="decimal"/>
          <w:cols w:space="0" w:num="1"/>
          <w:rtlGutter w:val="0"/>
          <w:docGrid w:type="lines" w:linePitch="377" w:charSpace="0"/>
        </w:sectPr>
      </w:pPr>
      <w:r>
        <w:rPr>
          <w:rFonts w:hint="eastAsia" w:ascii="仿宋" w:hAnsi="仿宋" w:eastAsia="仿宋" w:cs="仿宋"/>
          <w:sz w:val="24"/>
          <w:highlight w:val="none"/>
        </w:rPr>
        <w:t xml:space="preserve">   年    月    日</w:t>
      </w:r>
    </w:p>
    <w:p w14:paraId="5BCDAD5E">
      <w:pPr>
        <w:spacing w:line="440" w:lineRule="exact"/>
        <w:rPr>
          <w:rFonts w:hint="eastAsia" w:ascii="仿宋" w:hAnsi="仿宋" w:eastAsia="仿宋" w:cs="仿宋"/>
          <w:b/>
          <w:sz w:val="28"/>
          <w:szCs w:val="28"/>
          <w:highlight w:val="none"/>
        </w:rPr>
      </w:pPr>
      <w:r>
        <w:rPr>
          <w:rFonts w:hint="eastAsia" w:ascii="仿宋" w:hAnsi="仿宋" w:eastAsia="仿宋" w:cs="仿宋"/>
          <w:b/>
          <w:sz w:val="28"/>
          <w:szCs w:val="28"/>
          <w:highlight w:val="none"/>
        </w:rPr>
        <w:t>二、技术标、商务标组成</w:t>
      </w:r>
    </w:p>
    <w:p w14:paraId="60479541">
      <w:pPr>
        <w:spacing w:line="440" w:lineRule="exact"/>
        <w:ind w:left="420" w:leftChars="200"/>
        <w:rPr>
          <w:rFonts w:hint="eastAsia" w:ascii="仿宋" w:hAnsi="仿宋" w:eastAsia="仿宋" w:cs="仿宋"/>
          <w:b/>
          <w:sz w:val="28"/>
          <w:szCs w:val="28"/>
          <w:highlight w:val="none"/>
        </w:rPr>
      </w:pPr>
    </w:p>
    <w:p w14:paraId="6015591E">
      <w:pPr>
        <w:ind w:left="105"/>
        <w:rPr>
          <w:rFonts w:hint="eastAsia" w:ascii="仿宋" w:hAnsi="仿宋" w:eastAsia="仿宋" w:cs="仿宋"/>
          <w:spacing w:val="-2"/>
          <w:sz w:val="28"/>
          <w:szCs w:val="28"/>
          <w:highlight w:val="none"/>
        </w:rPr>
      </w:pPr>
      <w:r>
        <w:rPr>
          <w:rFonts w:hint="eastAsia" w:ascii="仿宋" w:hAnsi="仿宋" w:eastAsia="仿宋" w:cs="仿宋"/>
          <w:spacing w:val="-2"/>
          <w:sz w:val="28"/>
          <w:szCs w:val="28"/>
          <w:highlight w:val="none"/>
        </w:rPr>
        <w:t>按照本招标文件 第三部分 第二章  第5条  表格顺序装订</w:t>
      </w:r>
    </w:p>
    <w:p w14:paraId="676C2486">
      <w:pPr>
        <w:ind w:left="105"/>
        <w:rPr>
          <w:rFonts w:hint="eastAsia" w:ascii="仿宋" w:hAnsi="仿宋" w:eastAsia="仿宋" w:cs="仿宋"/>
          <w:b/>
          <w:sz w:val="24"/>
          <w:highlight w:val="none"/>
        </w:rPr>
      </w:pPr>
    </w:p>
    <w:p w14:paraId="088A2008">
      <w:pP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附件1 投标函</w:t>
      </w:r>
    </w:p>
    <w:p w14:paraId="20C5056B">
      <w:pPr>
        <w:spacing w:line="440" w:lineRule="exact"/>
        <w:rPr>
          <w:rFonts w:hint="eastAsia" w:ascii="仿宋" w:hAnsi="仿宋" w:eastAsia="仿宋" w:cs="仿宋"/>
          <w:sz w:val="24"/>
          <w:highlight w:val="none"/>
        </w:rPr>
      </w:pPr>
      <w:r>
        <w:rPr>
          <w:rFonts w:hint="eastAsia" w:ascii="仿宋" w:hAnsi="仿宋" w:eastAsia="仿宋" w:cs="仿宋"/>
          <w:sz w:val="24"/>
          <w:highlight w:val="none"/>
        </w:rPr>
        <w:t>致：新疆中鼎远航招标有限公司:</w:t>
      </w:r>
    </w:p>
    <w:p w14:paraId="665918CE">
      <w:pPr>
        <w:spacing w:line="440" w:lineRule="exact"/>
        <w:ind w:firstLine="555"/>
        <w:rPr>
          <w:rFonts w:hint="eastAsia" w:ascii="仿宋" w:hAnsi="仿宋" w:eastAsia="仿宋" w:cs="仿宋"/>
          <w:sz w:val="24"/>
          <w:highlight w:val="none"/>
        </w:rPr>
      </w:pPr>
      <w:r>
        <w:rPr>
          <w:rFonts w:hint="eastAsia" w:ascii="仿宋" w:hAnsi="仿宋" w:eastAsia="仿宋" w:cs="仿宋"/>
          <w:sz w:val="24"/>
          <w:highlight w:val="none"/>
        </w:rPr>
        <w:t>根据贵方为项目招标的投标邀请</w:t>
      </w:r>
      <w:r>
        <w:rPr>
          <w:rFonts w:hint="eastAsia" w:ascii="仿宋" w:hAnsi="仿宋" w:eastAsia="仿宋" w:cs="仿宋"/>
          <w:sz w:val="24"/>
          <w:highlight w:val="none"/>
          <w:u w:val="single"/>
        </w:rPr>
        <w:t xml:space="preserve"> 项目名称、项目编号、所投包号 </w:t>
      </w:r>
      <w:r>
        <w:rPr>
          <w:rFonts w:hint="eastAsia" w:ascii="仿宋" w:hAnsi="仿宋" w:eastAsia="仿宋" w:cs="仿宋"/>
          <w:sz w:val="24"/>
          <w:highlight w:val="none"/>
        </w:rPr>
        <w:t>，签字代表</w:t>
      </w:r>
      <w:r>
        <w:rPr>
          <w:rFonts w:hint="eastAsia" w:ascii="仿宋" w:hAnsi="仿宋" w:eastAsia="仿宋" w:cs="仿宋"/>
          <w:sz w:val="24"/>
          <w:highlight w:val="none"/>
          <w:u w:val="single"/>
        </w:rPr>
        <w:t>（姓名、职务）</w:t>
      </w:r>
      <w:r>
        <w:rPr>
          <w:rFonts w:hint="eastAsia" w:ascii="仿宋" w:hAnsi="仿宋" w:eastAsia="仿宋" w:cs="仿宋"/>
          <w:sz w:val="24"/>
          <w:highlight w:val="none"/>
        </w:rPr>
        <w:t>经正式授权并代表投标人</w:t>
      </w:r>
      <w:r>
        <w:rPr>
          <w:rFonts w:hint="eastAsia" w:ascii="仿宋" w:hAnsi="仿宋" w:eastAsia="仿宋" w:cs="仿宋"/>
          <w:sz w:val="24"/>
          <w:highlight w:val="none"/>
          <w:u w:val="single"/>
        </w:rPr>
        <w:t>（投标人名称、地址）</w:t>
      </w:r>
      <w:r>
        <w:rPr>
          <w:rFonts w:hint="eastAsia" w:ascii="仿宋" w:hAnsi="仿宋" w:eastAsia="仿宋" w:cs="仿宋"/>
          <w:sz w:val="24"/>
          <w:highlight w:val="none"/>
        </w:rPr>
        <w:t>对此项目进行投标。据此函，签字代表宣布并同意如下：</w:t>
      </w:r>
    </w:p>
    <w:p w14:paraId="6A575C28">
      <w:pPr>
        <w:adjustRightInd w:val="0"/>
        <w:snapToGrid w:val="0"/>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1、我方同意在本项目招标文件中规定的开标日起</w:t>
      </w:r>
      <w:r>
        <w:rPr>
          <w:rFonts w:hint="eastAsia" w:ascii="仿宋" w:hAnsi="仿宋" w:eastAsia="仿宋" w:cs="仿宋"/>
          <w:sz w:val="24"/>
          <w:highlight w:val="none"/>
          <w:u w:val="single"/>
        </w:rPr>
        <w:t xml:space="preserve">  </w:t>
      </w:r>
      <w:r>
        <w:rPr>
          <w:rFonts w:hint="eastAsia" w:ascii="仿宋" w:hAnsi="仿宋" w:eastAsia="仿宋" w:cs="仿宋"/>
          <w:b/>
          <w:bCs/>
          <w:sz w:val="24"/>
          <w:highlight w:val="none"/>
          <w:u w:val="single"/>
        </w:rPr>
        <w:t>90</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个日历日遵守本投标文件中的承诺且在此期限期满之前均具有约束力。</w:t>
      </w:r>
    </w:p>
    <w:p w14:paraId="64A38BBB">
      <w:pPr>
        <w:pStyle w:val="162"/>
        <w:snapToGrid w:val="0"/>
        <w:spacing w:line="440" w:lineRule="exact"/>
        <w:ind w:firstLine="480" w:firstLineChars="200"/>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2、我方承诺已经具备《中华人民共和国政府采购法》中规定的参加政府采购活动的供应商应当具备的条件：</w:t>
      </w:r>
    </w:p>
    <w:p w14:paraId="5E8449C5">
      <w:pPr>
        <w:numPr>
          <w:ilvl w:val="0"/>
          <w:numId w:val="19"/>
        </w:numPr>
        <w:adjustRightInd w:val="0"/>
        <w:snapToGrid w:val="0"/>
        <w:spacing w:line="440" w:lineRule="exact"/>
        <w:ind w:left="0" w:firstLine="480" w:firstLineChars="200"/>
        <w:rPr>
          <w:rFonts w:hint="eastAsia" w:ascii="仿宋" w:hAnsi="仿宋" w:eastAsia="仿宋" w:cs="仿宋"/>
          <w:sz w:val="24"/>
          <w:highlight w:val="none"/>
        </w:rPr>
      </w:pPr>
      <w:r>
        <w:rPr>
          <w:rFonts w:hint="eastAsia" w:ascii="仿宋" w:hAnsi="仿宋" w:eastAsia="仿宋" w:cs="仿宋"/>
          <w:sz w:val="24"/>
          <w:highlight w:val="none"/>
        </w:rPr>
        <w:t>具有独立承担民事责任的能力；</w:t>
      </w:r>
    </w:p>
    <w:p w14:paraId="4652E2BD">
      <w:pPr>
        <w:numPr>
          <w:ilvl w:val="0"/>
          <w:numId w:val="19"/>
        </w:numPr>
        <w:adjustRightInd w:val="0"/>
        <w:snapToGrid w:val="0"/>
        <w:spacing w:line="440" w:lineRule="exact"/>
        <w:ind w:left="0" w:firstLine="480" w:firstLineChars="200"/>
        <w:rPr>
          <w:rFonts w:hint="eastAsia" w:ascii="仿宋" w:hAnsi="仿宋" w:eastAsia="仿宋" w:cs="仿宋"/>
          <w:sz w:val="24"/>
          <w:highlight w:val="none"/>
        </w:rPr>
      </w:pPr>
      <w:r>
        <w:rPr>
          <w:rFonts w:hint="eastAsia" w:ascii="仿宋" w:hAnsi="仿宋" w:eastAsia="仿宋" w:cs="仿宋"/>
          <w:sz w:val="24"/>
          <w:highlight w:val="none"/>
        </w:rPr>
        <w:t>具有良好的商业信誉和健全的财务会计制度；</w:t>
      </w:r>
    </w:p>
    <w:p w14:paraId="722EB2A7">
      <w:pPr>
        <w:numPr>
          <w:ilvl w:val="0"/>
          <w:numId w:val="19"/>
        </w:numPr>
        <w:adjustRightInd w:val="0"/>
        <w:snapToGrid w:val="0"/>
        <w:spacing w:line="440" w:lineRule="exact"/>
        <w:ind w:left="0" w:firstLine="480" w:firstLineChars="200"/>
        <w:rPr>
          <w:rFonts w:hint="eastAsia" w:ascii="仿宋" w:hAnsi="仿宋" w:eastAsia="仿宋" w:cs="仿宋"/>
          <w:sz w:val="24"/>
          <w:highlight w:val="none"/>
        </w:rPr>
      </w:pPr>
      <w:r>
        <w:rPr>
          <w:rFonts w:hint="eastAsia" w:ascii="仿宋" w:hAnsi="仿宋" w:eastAsia="仿宋" w:cs="仿宋"/>
          <w:sz w:val="24"/>
          <w:highlight w:val="none"/>
        </w:rPr>
        <w:t>具有履行合同所必需的设备和专业技术能力；</w:t>
      </w:r>
    </w:p>
    <w:p w14:paraId="76A075D0">
      <w:pPr>
        <w:numPr>
          <w:ilvl w:val="0"/>
          <w:numId w:val="19"/>
        </w:numPr>
        <w:adjustRightInd w:val="0"/>
        <w:snapToGrid w:val="0"/>
        <w:spacing w:line="440" w:lineRule="exact"/>
        <w:ind w:left="0" w:firstLine="480" w:firstLineChars="200"/>
        <w:rPr>
          <w:rFonts w:hint="eastAsia" w:ascii="仿宋" w:hAnsi="仿宋" w:eastAsia="仿宋" w:cs="仿宋"/>
          <w:sz w:val="24"/>
          <w:highlight w:val="none"/>
        </w:rPr>
      </w:pPr>
      <w:r>
        <w:rPr>
          <w:rFonts w:hint="eastAsia" w:ascii="仿宋" w:hAnsi="仿宋" w:eastAsia="仿宋" w:cs="仿宋"/>
          <w:sz w:val="24"/>
          <w:highlight w:val="none"/>
        </w:rPr>
        <w:t>有依法缴纳税收和社会保障资金的良好记录；</w:t>
      </w:r>
    </w:p>
    <w:p w14:paraId="22C4DCF2">
      <w:pPr>
        <w:numPr>
          <w:ilvl w:val="0"/>
          <w:numId w:val="19"/>
        </w:numPr>
        <w:adjustRightInd w:val="0"/>
        <w:snapToGrid w:val="0"/>
        <w:spacing w:line="440" w:lineRule="exact"/>
        <w:ind w:left="0" w:firstLine="480" w:firstLineChars="200"/>
        <w:rPr>
          <w:rFonts w:hint="eastAsia" w:ascii="仿宋" w:hAnsi="仿宋" w:eastAsia="仿宋" w:cs="仿宋"/>
          <w:sz w:val="24"/>
          <w:highlight w:val="none"/>
        </w:rPr>
      </w:pPr>
      <w:r>
        <w:rPr>
          <w:rFonts w:hint="eastAsia" w:ascii="仿宋" w:hAnsi="仿宋" w:eastAsia="仿宋" w:cs="仿宋"/>
          <w:sz w:val="24"/>
          <w:highlight w:val="none"/>
        </w:rPr>
        <w:t>参加此项采购活动前三年内，在经营活动中没有重大违法记录。</w:t>
      </w:r>
    </w:p>
    <w:p w14:paraId="2C91BF5F">
      <w:pPr>
        <w:adjustRightInd w:val="0"/>
        <w:snapToGrid w:val="0"/>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3、提供投标须知规定的全部投标文件，包括投标文件扫描件（盖章签字后）1份。</w:t>
      </w:r>
    </w:p>
    <w:p w14:paraId="3D4474A8">
      <w:pPr>
        <w:adjustRightInd w:val="0"/>
        <w:snapToGrid w:val="0"/>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4、保证忠实地执行双方所签订的合同，并承担合同规定的责任和义务。</w:t>
      </w:r>
    </w:p>
    <w:p w14:paraId="01C2A990">
      <w:pPr>
        <w:adjustRightInd w:val="0"/>
        <w:snapToGrid w:val="0"/>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5、保证遵守招标文件的规定。</w:t>
      </w:r>
    </w:p>
    <w:p w14:paraId="071B66A6">
      <w:pPr>
        <w:adjustRightInd w:val="0"/>
        <w:snapToGrid w:val="0"/>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6、如果在开标后规定的投标有效期内撤回投标，我方的投标保证金可被贵方没收。</w:t>
      </w:r>
    </w:p>
    <w:p w14:paraId="523D8CBA">
      <w:pPr>
        <w:adjustRightInd w:val="0"/>
        <w:snapToGrid w:val="0"/>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7、我方愿意向贵方提供任何与本项投标有关的数据、情况和技术资料。若贵方需要，我方愿意提供我方作出的一切承诺的证明材料。</w:t>
      </w:r>
    </w:p>
    <w:p w14:paraId="7F9BB293">
      <w:pPr>
        <w:adjustRightInd w:val="0"/>
        <w:snapToGrid w:val="0"/>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8、我方已详细审核全部投标文件，包括“修改投标文件”（如有的话）、参考资料及有关附件，确认无误。</w:t>
      </w:r>
    </w:p>
    <w:p w14:paraId="65FE8BA7">
      <w:pPr>
        <w:adjustRightInd w:val="0"/>
        <w:snapToGrid w:val="0"/>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9、我方承诺接受招标文件中第五部分—合同部分的全部条款且无任何异议。</w:t>
      </w:r>
    </w:p>
    <w:p w14:paraId="5D13FAA7">
      <w:pPr>
        <w:adjustRightInd w:val="0"/>
        <w:snapToGrid w:val="0"/>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10、我方将严格遵守《中华人民共和国政府采购法》的有关规定，若有下列情形之一的，将被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11B3316A">
      <w:pPr>
        <w:numPr>
          <w:ilvl w:val="0"/>
          <w:numId w:val="20"/>
        </w:numPr>
        <w:adjustRightInd w:val="0"/>
        <w:snapToGrid w:val="0"/>
        <w:spacing w:line="440" w:lineRule="exact"/>
        <w:ind w:left="0" w:firstLine="480" w:firstLineChars="200"/>
        <w:rPr>
          <w:rFonts w:hint="eastAsia" w:ascii="仿宋" w:hAnsi="仿宋" w:eastAsia="仿宋" w:cs="仿宋"/>
          <w:sz w:val="24"/>
          <w:highlight w:val="none"/>
        </w:rPr>
      </w:pPr>
      <w:r>
        <w:rPr>
          <w:rFonts w:hint="eastAsia" w:ascii="仿宋" w:hAnsi="仿宋" w:eastAsia="仿宋" w:cs="仿宋"/>
          <w:sz w:val="24"/>
          <w:highlight w:val="none"/>
        </w:rPr>
        <w:t>提供虚假材料谋取中标、成交的；</w:t>
      </w:r>
    </w:p>
    <w:p w14:paraId="1C581876">
      <w:pPr>
        <w:numPr>
          <w:ilvl w:val="0"/>
          <w:numId w:val="20"/>
        </w:numPr>
        <w:adjustRightInd w:val="0"/>
        <w:snapToGrid w:val="0"/>
        <w:spacing w:line="440" w:lineRule="exact"/>
        <w:ind w:left="0" w:firstLine="480" w:firstLineChars="200"/>
        <w:rPr>
          <w:rFonts w:hint="eastAsia" w:ascii="仿宋" w:hAnsi="仿宋" w:eastAsia="仿宋" w:cs="仿宋"/>
          <w:sz w:val="24"/>
          <w:highlight w:val="none"/>
        </w:rPr>
      </w:pPr>
      <w:r>
        <w:rPr>
          <w:rFonts w:hint="eastAsia" w:ascii="仿宋" w:hAnsi="仿宋" w:eastAsia="仿宋" w:cs="仿宋"/>
          <w:sz w:val="24"/>
          <w:highlight w:val="none"/>
        </w:rPr>
        <w:t>采取不正当手段诋毁、排挤其他供应商的；</w:t>
      </w:r>
    </w:p>
    <w:p w14:paraId="2896B65B">
      <w:pPr>
        <w:numPr>
          <w:ilvl w:val="0"/>
          <w:numId w:val="20"/>
        </w:numPr>
        <w:adjustRightInd w:val="0"/>
        <w:snapToGrid w:val="0"/>
        <w:spacing w:line="440" w:lineRule="exact"/>
        <w:ind w:left="0" w:firstLine="480" w:firstLineChars="200"/>
        <w:rPr>
          <w:rFonts w:hint="eastAsia" w:ascii="仿宋" w:hAnsi="仿宋" w:eastAsia="仿宋" w:cs="仿宋"/>
          <w:sz w:val="24"/>
          <w:highlight w:val="none"/>
        </w:rPr>
      </w:pPr>
      <w:r>
        <w:rPr>
          <w:rFonts w:hint="eastAsia" w:ascii="仿宋" w:hAnsi="仿宋" w:eastAsia="仿宋" w:cs="仿宋"/>
          <w:sz w:val="24"/>
          <w:highlight w:val="none"/>
        </w:rPr>
        <w:t>与采购人、其它供应商或者采购代理机构恶意串通的；</w:t>
      </w:r>
    </w:p>
    <w:p w14:paraId="3A549A88">
      <w:pPr>
        <w:numPr>
          <w:ilvl w:val="0"/>
          <w:numId w:val="20"/>
        </w:numPr>
        <w:adjustRightInd w:val="0"/>
        <w:snapToGrid w:val="0"/>
        <w:spacing w:line="440" w:lineRule="exact"/>
        <w:ind w:left="0" w:firstLine="480" w:firstLineChars="200"/>
        <w:rPr>
          <w:rFonts w:hint="eastAsia" w:ascii="仿宋" w:hAnsi="仿宋" w:eastAsia="仿宋" w:cs="仿宋"/>
          <w:sz w:val="24"/>
          <w:highlight w:val="none"/>
        </w:rPr>
      </w:pPr>
      <w:r>
        <w:rPr>
          <w:rFonts w:hint="eastAsia" w:ascii="仿宋" w:hAnsi="仿宋" w:eastAsia="仿宋" w:cs="仿宋"/>
          <w:sz w:val="24"/>
          <w:highlight w:val="none"/>
        </w:rPr>
        <w:t>向采购人、采购代理机构行贿或者提供其他不正当利益的；</w:t>
      </w:r>
    </w:p>
    <w:p w14:paraId="117AE8C3">
      <w:pPr>
        <w:numPr>
          <w:ilvl w:val="0"/>
          <w:numId w:val="20"/>
        </w:numPr>
        <w:adjustRightInd w:val="0"/>
        <w:snapToGrid w:val="0"/>
        <w:spacing w:line="440" w:lineRule="exact"/>
        <w:ind w:left="0" w:firstLine="480" w:firstLineChars="200"/>
        <w:rPr>
          <w:rFonts w:hint="eastAsia" w:ascii="仿宋" w:hAnsi="仿宋" w:eastAsia="仿宋" w:cs="仿宋"/>
          <w:sz w:val="24"/>
          <w:highlight w:val="none"/>
        </w:rPr>
      </w:pPr>
      <w:r>
        <w:rPr>
          <w:rFonts w:hint="eastAsia" w:ascii="仿宋" w:hAnsi="仿宋" w:eastAsia="仿宋" w:cs="仿宋"/>
          <w:sz w:val="24"/>
          <w:highlight w:val="none"/>
        </w:rPr>
        <w:t>未经采购代理机构同意，在采购过程中与采购人进行协商谈判的；</w:t>
      </w:r>
    </w:p>
    <w:p w14:paraId="67F396F8">
      <w:pPr>
        <w:numPr>
          <w:ilvl w:val="0"/>
          <w:numId w:val="20"/>
        </w:numPr>
        <w:adjustRightInd w:val="0"/>
        <w:snapToGrid w:val="0"/>
        <w:spacing w:line="440" w:lineRule="exact"/>
        <w:ind w:left="0" w:firstLine="480" w:firstLineChars="200"/>
        <w:rPr>
          <w:rFonts w:hint="eastAsia" w:ascii="仿宋" w:hAnsi="仿宋" w:eastAsia="仿宋" w:cs="仿宋"/>
          <w:sz w:val="24"/>
          <w:highlight w:val="none"/>
        </w:rPr>
      </w:pPr>
      <w:r>
        <w:rPr>
          <w:rFonts w:hint="eastAsia" w:ascii="仿宋" w:hAnsi="仿宋" w:eastAsia="仿宋" w:cs="仿宋"/>
          <w:sz w:val="24"/>
          <w:highlight w:val="none"/>
        </w:rPr>
        <w:t>拒绝有关部门监督检查或提供虚假情况的。</w:t>
      </w:r>
    </w:p>
    <w:p w14:paraId="6932EC7A">
      <w:pPr>
        <w:adjustRightInd w:val="0"/>
        <w:snapToGrid w:val="0"/>
        <w:spacing w:line="440" w:lineRule="exact"/>
        <w:rPr>
          <w:rFonts w:hint="eastAsia" w:ascii="仿宋" w:hAnsi="仿宋" w:eastAsia="仿宋" w:cs="仿宋"/>
          <w:sz w:val="24"/>
          <w:highlight w:val="none"/>
        </w:rPr>
      </w:pPr>
    </w:p>
    <w:p w14:paraId="2E252FB2">
      <w:pPr>
        <w:spacing w:line="440" w:lineRule="exact"/>
        <w:ind w:firstLine="240" w:firstLineChars="100"/>
        <w:rPr>
          <w:rFonts w:hint="eastAsia" w:ascii="仿宋" w:hAnsi="仿宋" w:eastAsia="仿宋" w:cs="仿宋"/>
          <w:sz w:val="24"/>
          <w:highlight w:val="none"/>
        </w:rPr>
      </w:pPr>
      <w:r>
        <w:rPr>
          <w:rFonts w:hint="eastAsia" w:ascii="仿宋" w:hAnsi="仿宋" w:eastAsia="仿宋" w:cs="仿宋"/>
          <w:sz w:val="24"/>
          <w:highlight w:val="none"/>
        </w:rPr>
        <w:t>与本投标有关的一切正式往来信函请寄：</w:t>
      </w:r>
    </w:p>
    <w:p w14:paraId="32E1CD66">
      <w:pPr>
        <w:spacing w:line="440" w:lineRule="exact"/>
        <w:ind w:firstLine="240" w:firstLineChars="100"/>
        <w:rPr>
          <w:rFonts w:hint="eastAsia"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single"/>
        </w:rPr>
        <w:t>　　　　　　　 　     　　</w:t>
      </w:r>
    </w:p>
    <w:p w14:paraId="19259A64">
      <w:pPr>
        <w:spacing w:line="440" w:lineRule="exact"/>
        <w:ind w:firstLine="240" w:firstLineChars="100"/>
        <w:rPr>
          <w:rFonts w:hint="eastAsia" w:ascii="仿宋" w:hAnsi="仿宋" w:eastAsia="仿宋" w:cs="仿宋"/>
          <w:sz w:val="24"/>
          <w:highlight w:val="none"/>
          <w:u w:val="single"/>
        </w:rPr>
      </w:pPr>
      <w:r>
        <w:rPr>
          <w:rFonts w:hint="eastAsia" w:ascii="仿宋" w:hAnsi="仿宋" w:eastAsia="仿宋" w:cs="仿宋"/>
          <w:sz w:val="24"/>
          <w:highlight w:val="none"/>
        </w:rPr>
        <w:t>邮          编：</w:t>
      </w:r>
      <w:r>
        <w:rPr>
          <w:rFonts w:hint="eastAsia" w:ascii="仿宋" w:hAnsi="仿宋" w:eastAsia="仿宋" w:cs="仿宋"/>
          <w:sz w:val="24"/>
          <w:highlight w:val="none"/>
          <w:u w:val="single"/>
        </w:rPr>
        <w:t>　　　　　　　　        　</w:t>
      </w:r>
    </w:p>
    <w:p w14:paraId="66018C41">
      <w:pPr>
        <w:spacing w:line="440" w:lineRule="exact"/>
        <w:rPr>
          <w:rFonts w:hint="eastAsia" w:ascii="仿宋" w:hAnsi="仿宋" w:eastAsia="仿宋" w:cs="仿宋"/>
          <w:sz w:val="24"/>
          <w:highlight w:val="none"/>
          <w:u w:val="single"/>
        </w:rPr>
      </w:pPr>
      <w:r>
        <w:rPr>
          <w:rFonts w:hint="eastAsia" w:ascii="仿宋" w:hAnsi="仿宋" w:eastAsia="仿宋" w:cs="仿宋"/>
          <w:sz w:val="24"/>
          <w:highlight w:val="none"/>
        </w:rPr>
        <w:t>　电　　　　　话：</w:t>
      </w:r>
      <w:r>
        <w:rPr>
          <w:rFonts w:hint="eastAsia" w:ascii="仿宋" w:hAnsi="仿宋" w:eastAsia="仿宋" w:cs="仿宋"/>
          <w:sz w:val="24"/>
          <w:highlight w:val="none"/>
          <w:u w:val="single"/>
        </w:rPr>
        <w:t>　　　　　　　     　 　　</w:t>
      </w:r>
    </w:p>
    <w:p w14:paraId="2C765B9F">
      <w:pPr>
        <w:spacing w:line="440" w:lineRule="exact"/>
        <w:ind w:firstLine="240" w:firstLineChars="100"/>
        <w:rPr>
          <w:rFonts w:hint="eastAsia" w:ascii="仿宋" w:hAnsi="仿宋" w:eastAsia="仿宋" w:cs="仿宋"/>
          <w:sz w:val="24"/>
          <w:highlight w:val="none"/>
        </w:rPr>
      </w:pPr>
      <w:r>
        <w:rPr>
          <w:rFonts w:hint="eastAsia" w:ascii="仿宋" w:hAnsi="仿宋" w:eastAsia="仿宋" w:cs="仿宋"/>
          <w:sz w:val="24"/>
          <w:highlight w:val="none"/>
        </w:rPr>
        <w:t>传          真：</w:t>
      </w:r>
      <w:r>
        <w:rPr>
          <w:rFonts w:hint="eastAsia" w:ascii="仿宋" w:hAnsi="仿宋" w:eastAsia="仿宋" w:cs="仿宋"/>
          <w:sz w:val="24"/>
          <w:highlight w:val="none"/>
          <w:u w:val="single"/>
        </w:rPr>
        <w:t>　　　　   　　　      　</w:t>
      </w:r>
    </w:p>
    <w:p w14:paraId="28C983A9">
      <w:pPr>
        <w:spacing w:line="440" w:lineRule="exact"/>
        <w:rPr>
          <w:rFonts w:hint="eastAsia" w:ascii="仿宋" w:hAnsi="仿宋" w:eastAsia="仿宋" w:cs="仿宋"/>
          <w:sz w:val="24"/>
          <w:highlight w:val="none"/>
        </w:rPr>
      </w:pPr>
      <w:r>
        <w:rPr>
          <w:rFonts w:hint="eastAsia" w:ascii="仿宋" w:hAnsi="仿宋" w:eastAsia="仿宋" w:cs="仿宋"/>
          <w:sz w:val="24"/>
          <w:highlight w:val="none"/>
        </w:rPr>
        <w:t>　投标人代表签字：</w:t>
      </w:r>
      <w:r>
        <w:rPr>
          <w:rFonts w:hint="eastAsia" w:ascii="仿宋" w:hAnsi="仿宋" w:eastAsia="仿宋" w:cs="仿宋"/>
          <w:sz w:val="24"/>
          <w:highlight w:val="none"/>
          <w:u w:val="single"/>
        </w:rPr>
        <w:t>　　　　　　　　　　　　　</w:t>
      </w:r>
    </w:p>
    <w:p w14:paraId="521E4D4B">
      <w:pPr>
        <w:spacing w:line="440" w:lineRule="exact"/>
        <w:rPr>
          <w:rFonts w:hint="eastAsia" w:ascii="仿宋" w:hAnsi="仿宋" w:eastAsia="仿宋" w:cs="仿宋"/>
          <w:sz w:val="24"/>
          <w:highlight w:val="none"/>
        </w:rPr>
      </w:pPr>
      <w:r>
        <w:rPr>
          <w:rFonts w:hint="eastAsia" w:ascii="仿宋" w:hAnsi="仿宋" w:eastAsia="仿宋" w:cs="仿宋"/>
          <w:sz w:val="24"/>
          <w:highlight w:val="none"/>
        </w:rPr>
        <w:t>　投标人名称：</w:t>
      </w:r>
      <w:r>
        <w:rPr>
          <w:rFonts w:hint="eastAsia" w:ascii="仿宋" w:hAnsi="仿宋" w:eastAsia="仿宋" w:cs="仿宋"/>
          <w:sz w:val="24"/>
          <w:highlight w:val="none"/>
          <w:u w:val="single"/>
        </w:rPr>
        <w:t>　　　　　          　　　　　</w:t>
      </w:r>
    </w:p>
    <w:p w14:paraId="65D04458">
      <w:pPr>
        <w:spacing w:line="440" w:lineRule="exact"/>
        <w:ind w:firstLine="6240" w:firstLineChars="2600"/>
        <w:rPr>
          <w:rFonts w:hint="eastAsia" w:ascii="仿宋" w:hAnsi="仿宋" w:eastAsia="仿宋" w:cs="仿宋"/>
          <w:sz w:val="24"/>
          <w:highlight w:val="none"/>
        </w:rPr>
      </w:pPr>
      <w:r>
        <w:rPr>
          <w:rFonts w:hint="eastAsia" w:ascii="仿宋" w:hAnsi="仿宋" w:eastAsia="仿宋" w:cs="仿宋"/>
          <w:sz w:val="24"/>
          <w:highlight w:val="none"/>
        </w:rPr>
        <w:t>（单位公章）</w:t>
      </w:r>
    </w:p>
    <w:p w14:paraId="3BF25DFD">
      <w:pPr>
        <w:spacing w:line="440" w:lineRule="exact"/>
        <w:ind w:firstLine="5880" w:firstLineChars="2450"/>
        <w:rPr>
          <w:rFonts w:hint="eastAsia" w:ascii="仿宋" w:hAnsi="仿宋" w:eastAsia="仿宋" w:cs="仿宋"/>
          <w:sz w:val="24"/>
          <w:highlight w:val="none"/>
        </w:rPr>
      </w:pPr>
      <w:r>
        <w:rPr>
          <w:rFonts w:hint="eastAsia" w:ascii="仿宋" w:hAnsi="仿宋" w:eastAsia="仿宋" w:cs="仿宋"/>
          <w:sz w:val="24"/>
          <w:highlight w:val="none"/>
        </w:rPr>
        <w:t xml:space="preserve">   年   月   日</w:t>
      </w:r>
    </w:p>
    <w:p w14:paraId="6A0837A0">
      <w:pPr>
        <w:rPr>
          <w:rFonts w:hint="eastAsia" w:ascii="仿宋" w:hAnsi="仿宋" w:eastAsia="仿宋" w:cs="仿宋"/>
          <w:sz w:val="28"/>
          <w:szCs w:val="28"/>
          <w:highlight w:val="none"/>
        </w:rPr>
      </w:pPr>
      <w:r>
        <w:rPr>
          <w:rFonts w:hint="eastAsia" w:ascii="仿宋" w:hAnsi="仿宋" w:eastAsia="仿宋" w:cs="仿宋"/>
          <w:b/>
          <w:sz w:val="24"/>
          <w:highlight w:val="none"/>
        </w:rPr>
        <w:br w:type="page"/>
      </w:r>
      <w:r>
        <w:rPr>
          <w:rFonts w:hint="eastAsia" w:ascii="仿宋" w:hAnsi="仿宋" w:eastAsia="仿宋" w:cs="仿宋"/>
          <w:b/>
          <w:bCs/>
          <w:sz w:val="28"/>
          <w:szCs w:val="28"/>
          <w:highlight w:val="none"/>
        </w:rPr>
        <w:t>附件2  关于资格的声明函</w:t>
      </w:r>
    </w:p>
    <w:p w14:paraId="583C3364">
      <w:pPr>
        <w:spacing w:line="440" w:lineRule="exact"/>
        <w:jc w:val="center"/>
        <w:rPr>
          <w:rFonts w:hint="eastAsia" w:ascii="仿宋" w:hAnsi="仿宋" w:eastAsia="仿宋" w:cs="仿宋"/>
          <w:b/>
          <w:sz w:val="30"/>
          <w:szCs w:val="30"/>
          <w:highlight w:val="none"/>
        </w:rPr>
      </w:pPr>
    </w:p>
    <w:p w14:paraId="3E5EA55D">
      <w:pPr>
        <w:pStyle w:val="1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致：新疆中鼎远航招标有限公司：</w:t>
      </w:r>
    </w:p>
    <w:p w14:paraId="70AB0EA0">
      <w:pPr>
        <w:pStyle w:val="1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关于贵方</w:t>
      </w:r>
      <w:r>
        <w:rPr>
          <w:rFonts w:hint="eastAsia" w:ascii="仿宋" w:hAnsi="仿宋" w:eastAsia="仿宋" w:cs="仿宋"/>
          <w:sz w:val="24"/>
          <w:szCs w:val="24"/>
          <w:highlight w:val="none"/>
          <w:u w:val="single"/>
        </w:rPr>
        <w:t>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w:t>
      </w:r>
      <w:r>
        <w:rPr>
          <w:rFonts w:hint="eastAsia" w:ascii="仿宋" w:hAnsi="仿宋" w:eastAsia="仿宋" w:cs="仿宋"/>
          <w:sz w:val="24"/>
          <w:szCs w:val="24"/>
          <w:highlight w:val="none"/>
        </w:rPr>
        <w:t>日第</w:t>
      </w:r>
      <w:r>
        <w:rPr>
          <w:rFonts w:hint="eastAsia" w:ascii="仿宋" w:hAnsi="仿宋" w:eastAsia="仿宋" w:cs="仿宋"/>
          <w:sz w:val="24"/>
          <w:szCs w:val="24"/>
          <w:highlight w:val="none"/>
          <w:u w:val="single"/>
        </w:rPr>
        <w:t xml:space="preserve"> 项目编号 </w:t>
      </w:r>
      <w:r>
        <w:rPr>
          <w:rFonts w:hint="eastAsia" w:ascii="仿宋" w:hAnsi="仿宋" w:eastAsia="仿宋" w:cs="仿宋"/>
          <w:sz w:val="24"/>
          <w:szCs w:val="24"/>
          <w:highlight w:val="none"/>
        </w:rPr>
        <w:t>招标公告关于</w:t>
      </w:r>
      <w:r>
        <w:rPr>
          <w:rFonts w:hint="eastAsia" w:ascii="仿宋" w:hAnsi="仿宋" w:eastAsia="仿宋" w:cs="仿宋"/>
          <w:sz w:val="24"/>
          <w:szCs w:val="24"/>
          <w:highlight w:val="none"/>
          <w:u w:val="single"/>
        </w:rPr>
        <w:t>“项目名称、所投包号”</w:t>
      </w:r>
      <w:r>
        <w:rPr>
          <w:rFonts w:hint="eastAsia" w:ascii="仿宋" w:hAnsi="仿宋" w:eastAsia="仿宋" w:cs="仿宋"/>
          <w:sz w:val="24"/>
          <w:szCs w:val="24"/>
          <w:highlight w:val="none"/>
        </w:rPr>
        <w:t>的招标项目，本签字人愿意参加投标，并有能力提供</w:t>
      </w:r>
      <w:r>
        <w:rPr>
          <w:rFonts w:hint="eastAsia" w:ascii="仿宋" w:hAnsi="仿宋" w:eastAsia="仿宋" w:cs="仿宋"/>
          <w:sz w:val="24"/>
          <w:szCs w:val="24"/>
          <w:highlight w:val="none"/>
          <w:u w:val="single"/>
        </w:rPr>
        <w:t xml:space="preserve"> 项目名称 、所投包号 </w:t>
      </w:r>
      <w:r>
        <w:rPr>
          <w:rFonts w:hint="eastAsia" w:ascii="仿宋" w:hAnsi="仿宋" w:eastAsia="仿宋" w:cs="仿宋"/>
          <w:sz w:val="24"/>
          <w:szCs w:val="24"/>
          <w:highlight w:val="none"/>
        </w:rPr>
        <w:t>项目中的招标货物及相关服务，并保证所提交的所有文件和说明是真实和准确的。</w:t>
      </w:r>
    </w:p>
    <w:tbl>
      <w:tblPr>
        <w:tblStyle w:val="41"/>
        <w:tblpPr w:leftFromText="180" w:rightFromText="180" w:vertAnchor="text" w:horzAnchor="page" w:tblpX="1926" w:tblpY="3596"/>
        <w:tblOverlap w:val="never"/>
        <w:tblW w:w="8539" w:type="dxa"/>
        <w:tblInd w:w="0" w:type="dxa"/>
        <w:tblLayout w:type="fixed"/>
        <w:tblCellMar>
          <w:top w:w="0" w:type="dxa"/>
          <w:left w:w="108" w:type="dxa"/>
          <w:bottom w:w="0" w:type="dxa"/>
          <w:right w:w="108" w:type="dxa"/>
        </w:tblCellMar>
      </w:tblPr>
      <w:tblGrid>
        <w:gridCol w:w="3478"/>
        <w:gridCol w:w="5061"/>
      </w:tblGrid>
      <w:tr w14:paraId="384BCF83">
        <w:tblPrEx>
          <w:tblCellMar>
            <w:top w:w="0" w:type="dxa"/>
            <w:left w:w="108" w:type="dxa"/>
            <w:bottom w:w="0" w:type="dxa"/>
            <w:right w:w="108" w:type="dxa"/>
          </w:tblCellMar>
        </w:tblPrEx>
        <w:trPr>
          <w:trHeight w:val="461" w:hRule="atLeast"/>
        </w:trPr>
        <w:tc>
          <w:tcPr>
            <w:tcW w:w="3478" w:type="dxa"/>
            <w:noWrap w:val="0"/>
            <w:vAlign w:val="top"/>
          </w:tcPr>
          <w:p w14:paraId="3CE4CE28">
            <w:pPr>
              <w:pStyle w:val="15"/>
              <w:spacing w:line="240" w:lineRule="auto"/>
              <w:ind w:firstLine="0"/>
              <w:jc w:val="left"/>
              <w:rPr>
                <w:rFonts w:hint="eastAsia" w:ascii="仿宋" w:hAnsi="仿宋" w:eastAsia="仿宋" w:cs="仿宋"/>
                <w:sz w:val="24"/>
                <w:highlight w:val="none"/>
              </w:rPr>
            </w:pPr>
            <w:r>
              <w:rPr>
                <w:rFonts w:hint="eastAsia" w:ascii="仿宋" w:hAnsi="仿宋" w:eastAsia="仿宋" w:cs="仿宋"/>
                <w:sz w:val="24"/>
                <w:highlight w:val="none"/>
              </w:rPr>
              <w:t>投标人（单位公章）：</w:t>
            </w:r>
          </w:p>
        </w:tc>
        <w:tc>
          <w:tcPr>
            <w:tcW w:w="5061" w:type="dxa"/>
            <w:noWrap w:val="0"/>
            <w:vAlign w:val="top"/>
          </w:tcPr>
          <w:p w14:paraId="33119FC9">
            <w:pPr>
              <w:pStyle w:val="15"/>
              <w:spacing w:line="240" w:lineRule="auto"/>
              <w:rPr>
                <w:rFonts w:hint="eastAsia" w:ascii="仿宋" w:hAnsi="仿宋" w:eastAsia="仿宋" w:cs="仿宋"/>
                <w:sz w:val="24"/>
                <w:highlight w:val="none"/>
              </w:rPr>
            </w:pPr>
          </w:p>
        </w:tc>
      </w:tr>
      <w:tr w14:paraId="6D8B4306">
        <w:tblPrEx>
          <w:tblCellMar>
            <w:top w:w="0" w:type="dxa"/>
            <w:left w:w="108" w:type="dxa"/>
            <w:bottom w:w="0" w:type="dxa"/>
            <w:right w:w="108" w:type="dxa"/>
          </w:tblCellMar>
        </w:tblPrEx>
        <w:trPr>
          <w:trHeight w:val="461" w:hRule="atLeast"/>
        </w:trPr>
        <w:tc>
          <w:tcPr>
            <w:tcW w:w="3478" w:type="dxa"/>
            <w:noWrap w:val="0"/>
            <w:vAlign w:val="top"/>
          </w:tcPr>
          <w:p w14:paraId="6BA0FA0D">
            <w:pPr>
              <w:pStyle w:val="15"/>
              <w:spacing w:line="240" w:lineRule="auto"/>
              <w:ind w:firstLine="0"/>
              <w:jc w:val="left"/>
              <w:rPr>
                <w:rFonts w:hint="eastAsia" w:ascii="仿宋" w:hAnsi="仿宋" w:eastAsia="仿宋" w:cs="仿宋"/>
                <w:sz w:val="24"/>
                <w:highlight w:val="none"/>
              </w:rPr>
            </w:pPr>
            <w:r>
              <w:rPr>
                <w:rFonts w:hint="eastAsia" w:ascii="仿宋" w:hAnsi="仿宋" w:eastAsia="仿宋" w:cs="仿宋"/>
                <w:sz w:val="24"/>
                <w:highlight w:val="none"/>
              </w:rPr>
              <w:t>地址：</w:t>
            </w:r>
          </w:p>
        </w:tc>
        <w:tc>
          <w:tcPr>
            <w:tcW w:w="5061" w:type="dxa"/>
            <w:noWrap w:val="0"/>
            <w:vAlign w:val="top"/>
          </w:tcPr>
          <w:p w14:paraId="79DFAA9D">
            <w:pPr>
              <w:pStyle w:val="15"/>
              <w:spacing w:line="240" w:lineRule="auto"/>
              <w:rPr>
                <w:rFonts w:hint="eastAsia" w:ascii="仿宋" w:hAnsi="仿宋" w:eastAsia="仿宋" w:cs="仿宋"/>
                <w:sz w:val="24"/>
                <w:highlight w:val="none"/>
              </w:rPr>
            </w:pPr>
          </w:p>
        </w:tc>
      </w:tr>
      <w:tr w14:paraId="15645545">
        <w:tblPrEx>
          <w:tblCellMar>
            <w:top w:w="0" w:type="dxa"/>
            <w:left w:w="108" w:type="dxa"/>
            <w:bottom w:w="0" w:type="dxa"/>
            <w:right w:w="108" w:type="dxa"/>
          </w:tblCellMar>
        </w:tblPrEx>
        <w:trPr>
          <w:trHeight w:val="461" w:hRule="atLeast"/>
        </w:trPr>
        <w:tc>
          <w:tcPr>
            <w:tcW w:w="3478" w:type="dxa"/>
            <w:noWrap w:val="0"/>
            <w:vAlign w:val="center"/>
          </w:tcPr>
          <w:p w14:paraId="36C8137F">
            <w:pPr>
              <w:pStyle w:val="15"/>
              <w:spacing w:line="240" w:lineRule="auto"/>
              <w:ind w:firstLine="0"/>
              <w:jc w:val="left"/>
              <w:rPr>
                <w:rFonts w:hint="eastAsia" w:ascii="仿宋" w:hAnsi="仿宋" w:eastAsia="仿宋" w:cs="仿宋"/>
                <w:sz w:val="24"/>
                <w:highlight w:val="none"/>
              </w:rPr>
            </w:pPr>
            <w:r>
              <w:rPr>
                <w:rFonts w:hint="eastAsia" w:ascii="仿宋" w:hAnsi="仿宋" w:eastAsia="仿宋" w:cs="仿宋"/>
                <w:sz w:val="24"/>
                <w:highlight w:val="none"/>
              </w:rPr>
              <w:t>法定代表人签字或盖章：</w:t>
            </w:r>
          </w:p>
        </w:tc>
        <w:tc>
          <w:tcPr>
            <w:tcW w:w="5061" w:type="dxa"/>
            <w:noWrap w:val="0"/>
            <w:vAlign w:val="top"/>
          </w:tcPr>
          <w:p w14:paraId="7C94BA45">
            <w:pPr>
              <w:pStyle w:val="15"/>
              <w:spacing w:line="240" w:lineRule="auto"/>
              <w:rPr>
                <w:rFonts w:hint="eastAsia" w:ascii="仿宋" w:hAnsi="仿宋" w:eastAsia="仿宋" w:cs="仿宋"/>
                <w:sz w:val="24"/>
                <w:highlight w:val="none"/>
              </w:rPr>
            </w:pPr>
          </w:p>
        </w:tc>
      </w:tr>
      <w:tr w14:paraId="64EBDC43">
        <w:tblPrEx>
          <w:tblCellMar>
            <w:top w:w="0" w:type="dxa"/>
            <w:left w:w="108" w:type="dxa"/>
            <w:bottom w:w="0" w:type="dxa"/>
            <w:right w:w="108" w:type="dxa"/>
          </w:tblCellMar>
        </w:tblPrEx>
        <w:trPr>
          <w:trHeight w:val="461" w:hRule="atLeast"/>
        </w:trPr>
        <w:tc>
          <w:tcPr>
            <w:tcW w:w="3478" w:type="dxa"/>
            <w:noWrap w:val="0"/>
            <w:vAlign w:val="top"/>
          </w:tcPr>
          <w:p w14:paraId="5AEABA38">
            <w:pPr>
              <w:pStyle w:val="15"/>
              <w:spacing w:line="240" w:lineRule="auto"/>
              <w:ind w:firstLine="0"/>
              <w:jc w:val="left"/>
              <w:rPr>
                <w:rFonts w:hint="eastAsia" w:ascii="仿宋" w:hAnsi="仿宋" w:eastAsia="仿宋" w:cs="仿宋"/>
                <w:sz w:val="24"/>
                <w:highlight w:val="none"/>
              </w:rPr>
            </w:pPr>
            <w:r>
              <w:rPr>
                <w:rFonts w:hint="eastAsia" w:ascii="仿宋" w:hAnsi="仿宋" w:eastAsia="仿宋" w:cs="仿宋"/>
                <w:sz w:val="24"/>
                <w:highlight w:val="none"/>
              </w:rPr>
              <w:t>代理（被授权人）签字或盖章：</w:t>
            </w:r>
          </w:p>
        </w:tc>
        <w:tc>
          <w:tcPr>
            <w:tcW w:w="5061" w:type="dxa"/>
            <w:noWrap w:val="0"/>
            <w:vAlign w:val="top"/>
          </w:tcPr>
          <w:p w14:paraId="151F4960">
            <w:pPr>
              <w:pStyle w:val="15"/>
              <w:spacing w:line="240" w:lineRule="auto"/>
              <w:rPr>
                <w:rFonts w:hint="eastAsia" w:ascii="仿宋" w:hAnsi="仿宋" w:eastAsia="仿宋" w:cs="仿宋"/>
                <w:sz w:val="24"/>
                <w:highlight w:val="none"/>
              </w:rPr>
            </w:pPr>
          </w:p>
        </w:tc>
      </w:tr>
      <w:tr w14:paraId="3FCFC759">
        <w:tblPrEx>
          <w:tblCellMar>
            <w:top w:w="0" w:type="dxa"/>
            <w:left w:w="108" w:type="dxa"/>
            <w:bottom w:w="0" w:type="dxa"/>
            <w:right w:w="108" w:type="dxa"/>
          </w:tblCellMar>
        </w:tblPrEx>
        <w:trPr>
          <w:trHeight w:val="461" w:hRule="atLeast"/>
        </w:trPr>
        <w:tc>
          <w:tcPr>
            <w:tcW w:w="3478" w:type="dxa"/>
            <w:noWrap w:val="0"/>
            <w:vAlign w:val="top"/>
          </w:tcPr>
          <w:p w14:paraId="6A9BCADD">
            <w:pPr>
              <w:pStyle w:val="15"/>
              <w:spacing w:line="240" w:lineRule="auto"/>
              <w:ind w:firstLine="0"/>
              <w:jc w:val="left"/>
              <w:rPr>
                <w:rFonts w:hint="eastAsia" w:ascii="仿宋" w:hAnsi="仿宋" w:eastAsia="仿宋" w:cs="仿宋"/>
                <w:sz w:val="24"/>
                <w:highlight w:val="none"/>
              </w:rPr>
            </w:pPr>
            <w:r>
              <w:rPr>
                <w:rFonts w:hint="eastAsia" w:ascii="仿宋" w:hAnsi="仿宋" w:eastAsia="仿宋" w:cs="仿宋"/>
                <w:sz w:val="24"/>
                <w:highlight w:val="none"/>
              </w:rPr>
              <w:t>联系电话：</w:t>
            </w:r>
          </w:p>
        </w:tc>
        <w:tc>
          <w:tcPr>
            <w:tcW w:w="5061" w:type="dxa"/>
            <w:noWrap w:val="0"/>
            <w:vAlign w:val="top"/>
          </w:tcPr>
          <w:p w14:paraId="3255B0D3">
            <w:pPr>
              <w:pStyle w:val="15"/>
              <w:spacing w:line="240" w:lineRule="auto"/>
              <w:rPr>
                <w:rFonts w:hint="eastAsia" w:ascii="仿宋" w:hAnsi="仿宋" w:eastAsia="仿宋" w:cs="仿宋"/>
                <w:sz w:val="24"/>
                <w:highlight w:val="none"/>
              </w:rPr>
            </w:pPr>
          </w:p>
        </w:tc>
      </w:tr>
      <w:tr w14:paraId="60869F95">
        <w:tblPrEx>
          <w:tblCellMar>
            <w:top w:w="0" w:type="dxa"/>
            <w:left w:w="108" w:type="dxa"/>
            <w:bottom w:w="0" w:type="dxa"/>
            <w:right w:w="108" w:type="dxa"/>
          </w:tblCellMar>
        </w:tblPrEx>
        <w:trPr>
          <w:trHeight w:val="461" w:hRule="atLeast"/>
        </w:trPr>
        <w:tc>
          <w:tcPr>
            <w:tcW w:w="3478" w:type="dxa"/>
            <w:noWrap w:val="0"/>
            <w:vAlign w:val="top"/>
          </w:tcPr>
          <w:p w14:paraId="53C35EEE">
            <w:pPr>
              <w:pStyle w:val="15"/>
              <w:spacing w:line="240" w:lineRule="auto"/>
              <w:ind w:firstLine="0"/>
              <w:jc w:val="left"/>
              <w:rPr>
                <w:rFonts w:hint="eastAsia" w:ascii="仿宋" w:hAnsi="仿宋" w:eastAsia="仿宋" w:cs="仿宋"/>
                <w:sz w:val="24"/>
                <w:highlight w:val="none"/>
              </w:rPr>
            </w:pPr>
            <w:r>
              <w:rPr>
                <w:rFonts w:hint="eastAsia" w:ascii="仿宋" w:hAnsi="仿宋" w:eastAsia="仿宋" w:cs="仿宋"/>
                <w:sz w:val="24"/>
                <w:highlight w:val="none"/>
              </w:rPr>
              <w:t>日期：</w:t>
            </w:r>
          </w:p>
        </w:tc>
        <w:tc>
          <w:tcPr>
            <w:tcW w:w="5061" w:type="dxa"/>
            <w:noWrap w:val="0"/>
            <w:vAlign w:val="center"/>
          </w:tcPr>
          <w:p w14:paraId="6F98AF20">
            <w:pPr>
              <w:spacing w:line="240" w:lineRule="auto"/>
              <w:rPr>
                <w:rFonts w:hint="eastAsia" w:ascii="仿宋" w:hAnsi="仿宋" w:eastAsia="仿宋" w:cs="仿宋"/>
                <w:sz w:val="24"/>
                <w:highlight w:val="none"/>
              </w:rPr>
            </w:pPr>
            <w:r>
              <w:rPr>
                <w:rFonts w:hint="eastAsia" w:ascii="仿宋" w:hAnsi="仿宋" w:eastAsia="仿宋" w:cs="仿宋"/>
                <w:sz w:val="24"/>
                <w:highlight w:val="none"/>
              </w:rPr>
              <w:t xml:space="preserve">  年   月   日</w:t>
            </w:r>
          </w:p>
        </w:tc>
      </w:tr>
    </w:tbl>
    <w:p w14:paraId="001960BB">
      <w:pPr>
        <w:pStyle w:val="15"/>
        <w:spacing w:line="480" w:lineRule="auto"/>
        <w:ind w:firstLine="480" w:firstLineChars="200"/>
        <w:rPr>
          <w:rFonts w:hint="eastAsia" w:ascii="仿宋" w:hAnsi="仿宋" w:eastAsia="仿宋" w:cs="仿宋"/>
          <w:sz w:val="24"/>
          <w:highlight w:val="none"/>
        </w:rPr>
      </w:pPr>
    </w:p>
    <w:p w14:paraId="76A51A6A">
      <w:pPr>
        <w:pStyle w:val="15"/>
        <w:spacing w:line="480" w:lineRule="auto"/>
        <w:ind w:firstLine="480" w:firstLineChars="200"/>
        <w:rPr>
          <w:rFonts w:hint="eastAsia" w:ascii="仿宋" w:hAnsi="仿宋" w:eastAsia="仿宋" w:cs="仿宋"/>
          <w:sz w:val="24"/>
          <w:highlight w:val="none"/>
        </w:rPr>
      </w:pPr>
    </w:p>
    <w:p w14:paraId="7F401D7B">
      <w:pPr>
        <w:pStyle w:val="15"/>
        <w:spacing w:line="480" w:lineRule="auto"/>
        <w:ind w:firstLine="480" w:firstLineChars="200"/>
        <w:rPr>
          <w:rFonts w:hint="eastAsia" w:ascii="仿宋" w:hAnsi="仿宋" w:eastAsia="仿宋" w:cs="仿宋"/>
          <w:sz w:val="24"/>
          <w:highlight w:val="none"/>
        </w:rPr>
      </w:pPr>
    </w:p>
    <w:p w14:paraId="304A05B2">
      <w:pPr>
        <w:pStyle w:val="15"/>
        <w:spacing w:line="440" w:lineRule="exact"/>
        <w:rPr>
          <w:rFonts w:hint="eastAsia" w:ascii="仿宋" w:hAnsi="仿宋" w:eastAsia="仿宋" w:cs="仿宋"/>
          <w:sz w:val="24"/>
          <w:highlight w:val="none"/>
          <w:u w:val="single"/>
        </w:rPr>
      </w:pPr>
    </w:p>
    <w:p w14:paraId="0F2145D4">
      <w:pPr>
        <w:pStyle w:val="15"/>
        <w:spacing w:line="440" w:lineRule="exact"/>
        <w:rPr>
          <w:rFonts w:hint="eastAsia" w:ascii="仿宋" w:hAnsi="仿宋" w:eastAsia="仿宋" w:cs="仿宋"/>
          <w:sz w:val="24"/>
          <w:highlight w:val="none"/>
          <w:u w:val="single"/>
        </w:rPr>
      </w:pPr>
    </w:p>
    <w:p w14:paraId="1AAD1F9E">
      <w:pPr>
        <w:spacing w:line="440" w:lineRule="exact"/>
        <w:jc w:val="left"/>
        <w:rPr>
          <w:rFonts w:hint="eastAsia" w:ascii="仿宋" w:hAnsi="仿宋" w:eastAsia="仿宋" w:cs="仿宋"/>
          <w:b/>
          <w:sz w:val="32"/>
          <w:szCs w:val="32"/>
          <w:highlight w:val="none"/>
        </w:rPr>
      </w:pPr>
      <w:r>
        <w:rPr>
          <w:rFonts w:hint="eastAsia" w:ascii="仿宋" w:hAnsi="仿宋" w:eastAsia="仿宋" w:cs="仿宋"/>
          <w:b/>
          <w:szCs w:val="21"/>
          <w:highlight w:val="none"/>
        </w:rPr>
        <w:br w:type="page"/>
      </w:r>
      <w:r>
        <w:rPr>
          <w:rFonts w:hint="eastAsia" w:ascii="仿宋" w:hAnsi="仿宋" w:eastAsia="仿宋" w:cs="仿宋"/>
          <w:b/>
          <w:bCs/>
          <w:sz w:val="28"/>
          <w:szCs w:val="28"/>
          <w:highlight w:val="none"/>
        </w:rPr>
        <w:t>附件3  授权委托书</w:t>
      </w:r>
    </w:p>
    <w:p w14:paraId="6C1B19AC">
      <w:pPr>
        <w:spacing w:line="440" w:lineRule="exact"/>
        <w:jc w:val="center"/>
        <w:rPr>
          <w:rFonts w:hint="eastAsia" w:ascii="仿宋" w:hAnsi="仿宋" w:eastAsia="仿宋" w:cs="仿宋"/>
          <w:b/>
          <w:sz w:val="24"/>
          <w:highlight w:val="none"/>
        </w:rPr>
      </w:pPr>
    </w:p>
    <w:p w14:paraId="4BEF13DC">
      <w:pPr>
        <w:autoSpaceDE w:val="0"/>
        <w:autoSpaceDN w:val="0"/>
        <w:adjustRightInd w:val="0"/>
        <w:spacing w:line="440" w:lineRule="exact"/>
        <w:ind w:firstLine="422"/>
        <w:rPr>
          <w:rFonts w:hint="eastAsia" w:ascii="仿宋" w:hAnsi="仿宋" w:eastAsia="仿宋" w:cs="仿宋"/>
          <w:sz w:val="24"/>
          <w:highlight w:val="none"/>
        </w:rPr>
      </w:pPr>
      <w:r>
        <w:rPr>
          <w:rFonts w:hint="eastAsia" w:ascii="仿宋" w:hAnsi="仿宋" w:eastAsia="仿宋" w:cs="仿宋"/>
          <w:sz w:val="24"/>
          <w:highlight w:val="none"/>
        </w:rPr>
        <w:t>本授权声明：注册于中华人民共和国的</w:t>
      </w:r>
      <w:r>
        <w:rPr>
          <w:rFonts w:hint="eastAsia" w:ascii="仿宋" w:hAnsi="仿宋" w:eastAsia="仿宋" w:cs="仿宋"/>
          <w:sz w:val="24"/>
          <w:highlight w:val="none"/>
          <w:u w:val="single"/>
        </w:rPr>
        <w:t>（投标人名称、住址）</w:t>
      </w:r>
      <w:r>
        <w:rPr>
          <w:rFonts w:hint="eastAsia" w:ascii="仿宋" w:hAnsi="仿宋" w:eastAsia="仿宋" w:cs="仿宋"/>
          <w:sz w:val="24"/>
          <w:highlight w:val="none"/>
        </w:rPr>
        <w:t>的法定代表人</w:t>
      </w:r>
      <w:r>
        <w:rPr>
          <w:rFonts w:hint="eastAsia" w:ascii="仿宋" w:hAnsi="仿宋" w:eastAsia="仿宋" w:cs="仿宋"/>
          <w:sz w:val="24"/>
          <w:highlight w:val="none"/>
          <w:u w:val="single"/>
        </w:rPr>
        <w:t>（法定代表人姓名、职务）</w:t>
      </w:r>
      <w:r>
        <w:rPr>
          <w:rFonts w:hint="eastAsia" w:ascii="仿宋" w:hAnsi="仿宋" w:eastAsia="仿宋" w:cs="仿宋"/>
          <w:sz w:val="24"/>
          <w:highlight w:val="none"/>
        </w:rPr>
        <w:t>代表本公司授权在下面签字的</w:t>
      </w:r>
      <w:r>
        <w:rPr>
          <w:rFonts w:hint="eastAsia" w:ascii="仿宋" w:hAnsi="仿宋" w:eastAsia="仿宋" w:cs="仿宋"/>
          <w:sz w:val="24"/>
          <w:highlight w:val="none"/>
          <w:u w:val="single"/>
        </w:rPr>
        <w:t>（被授权人的姓名、职务）</w:t>
      </w:r>
      <w:r>
        <w:rPr>
          <w:rFonts w:hint="eastAsia" w:ascii="仿宋" w:hAnsi="仿宋" w:eastAsia="仿宋" w:cs="仿宋"/>
          <w:sz w:val="24"/>
          <w:highlight w:val="none"/>
        </w:rPr>
        <w:t>为本公司的合法代理人，就此次</w:t>
      </w:r>
      <w:r>
        <w:rPr>
          <w:rFonts w:hint="eastAsia" w:ascii="仿宋" w:hAnsi="仿宋" w:eastAsia="仿宋" w:cs="仿宋"/>
          <w:kern w:val="0"/>
          <w:sz w:val="24"/>
          <w:highlight w:val="none"/>
          <w:u w:val="single"/>
        </w:rPr>
        <w:t>项目名称</w:t>
      </w:r>
      <w:r>
        <w:rPr>
          <w:rFonts w:hint="eastAsia" w:ascii="仿宋" w:hAnsi="仿宋" w:eastAsia="仿宋" w:cs="仿宋"/>
          <w:sz w:val="24"/>
          <w:highlight w:val="none"/>
        </w:rPr>
        <w:t>项目，项目编号为</w:t>
      </w:r>
      <w:r>
        <w:rPr>
          <w:rFonts w:hint="eastAsia" w:ascii="仿宋" w:hAnsi="仿宋" w:eastAsia="仿宋" w:cs="仿宋"/>
          <w:sz w:val="24"/>
          <w:highlight w:val="none"/>
          <w:u w:val="single"/>
        </w:rPr>
        <w:t xml:space="preserve"> 项目编号、所投包号 </w:t>
      </w:r>
      <w:r>
        <w:rPr>
          <w:rFonts w:hint="eastAsia" w:ascii="仿宋" w:hAnsi="仿宋" w:eastAsia="仿宋" w:cs="仿宋"/>
          <w:sz w:val="24"/>
          <w:highlight w:val="none"/>
        </w:rPr>
        <w:t>的投标及合同的执行、完成和保修，以本公司名义处理一切与之有关的事务。</w:t>
      </w:r>
    </w:p>
    <w:p w14:paraId="4D7C04A1">
      <w:pPr>
        <w:autoSpaceDE w:val="0"/>
        <w:autoSpaceDN w:val="0"/>
        <w:adjustRightInd w:val="0"/>
        <w:spacing w:line="44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 xml:space="preserve">本授权书于 </w:t>
      </w:r>
      <w:r>
        <w:rPr>
          <w:rFonts w:hint="eastAsia" w:ascii="仿宋" w:hAnsi="仿宋" w:eastAsia="仿宋" w:cs="仿宋"/>
          <w:sz w:val="24"/>
          <w:highlight w:val="none"/>
          <w:u w:val="single"/>
        </w:rPr>
        <w:t xml:space="preserve">       年   月   日 </w:t>
      </w:r>
      <w:r>
        <w:rPr>
          <w:rFonts w:hint="eastAsia" w:ascii="仿宋" w:hAnsi="仿宋" w:eastAsia="仿宋" w:cs="仿宋"/>
          <w:sz w:val="24"/>
          <w:highlight w:val="none"/>
        </w:rPr>
        <w:t>签字生效，特此声明。</w:t>
      </w:r>
    </w:p>
    <w:p w14:paraId="226011E1">
      <w:pPr>
        <w:autoSpaceDE w:val="0"/>
        <w:autoSpaceDN w:val="0"/>
        <w:adjustRightInd w:val="0"/>
        <w:spacing w:line="440" w:lineRule="exact"/>
        <w:ind w:firstLine="480" w:firstLineChars="200"/>
        <w:jc w:val="left"/>
        <w:rPr>
          <w:rFonts w:ascii="仿宋" w:hAnsi="仿宋" w:eastAsia="仿宋" w:cs="仿宋"/>
          <w:sz w:val="24"/>
          <w:highlight w:val="none"/>
          <w:u w:val="single"/>
        </w:rPr>
      </w:pPr>
      <w:r>
        <w:rPr>
          <w:rFonts w:hint="eastAsia" w:ascii="仿宋" w:hAnsi="仿宋" w:eastAsia="仿宋" w:cs="仿宋"/>
          <w:sz w:val="24"/>
          <w:highlight w:val="none"/>
        </w:rPr>
        <w:t>单位名称：</w:t>
      </w:r>
      <w:r>
        <w:rPr>
          <w:rFonts w:hint="eastAsia" w:ascii="仿宋" w:hAnsi="仿宋" w:eastAsia="仿宋" w:cs="仿宋"/>
          <w:sz w:val="24"/>
          <w:highlight w:val="none"/>
          <w:u w:val="single"/>
        </w:rPr>
        <w:t xml:space="preserve">                                        </w:t>
      </w:r>
    </w:p>
    <w:p w14:paraId="74895B45">
      <w:pPr>
        <w:autoSpaceDE w:val="0"/>
        <w:autoSpaceDN w:val="0"/>
        <w:adjustRightInd w:val="0"/>
        <w:spacing w:line="440" w:lineRule="exact"/>
        <w:ind w:firstLine="480" w:firstLineChars="200"/>
        <w:jc w:val="left"/>
        <w:rPr>
          <w:rFonts w:hint="eastAsia" w:ascii="仿宋" w:hAnsi="仿宋" w:eastAsia="仿宋" w:cs="仿宋"/>
          <w:sz w:val="24"/>
          <w:highlight w:val="none"/>
          <w:u w:val="single"/>
        </w:rPr>
      </w:pPr>
      <w:r>
        <w:rPr>
          <w:rFonts w:hint="eastAsia" w:ascii="仿宋" w:hAnsi="仿宋" w:eastAsia="仿宋" w:cs="仿宋"/>
          <w:sz w:val="24"/>
          <w:highlight w:val="none"/>
        </w:rPr>
        <w:t>法定代表人签字或盖章：</w:t>
      </w:r>
      <w:r>
        <w:rPr>
          <w:rFonts w:hint="eastAsia" w:ascii="仿宋" w:hAnsi="仿宋" w:eastAsia="仿宋" w:cs="仿宋"/>
          <w:sz w:val="24"/>
          <w:highlight w:val="none"/>
          <w:u w:val="single"/>
        </w:rPr>
        <w:t xml:space="preserve">                            </w:t>
      </w:r>
    </w:p>
    <w:p w14:paraId="442F5FE8">
      <w:pPr>
        <w:autoSpaceDE w:val="0"/>
        <w:autoSpaceDN w:val="0"/>
        <w:adjustRightInd w:val="0"/>
        <w:spacing w:line="440" w:lineRule="exact"/>
        <w:ind w:firstLine="480" w:firstLineChars="200"/>
        <w:jc w:val="left"/>
        <w:rPr>
          <w:rFonts w:hint="eastAsia" w:ascii="仿宋" w:hAnsi="仿宋" w:eastAsia="仿宋" w:cs="仿宋"/>
          <w:sz w:val="24"/>
          <w:highlight w:val="none"/>
          <w:u w:val="single"/>
        </w:rPr>
      </w:pPr>
      <w:r>
        <w:rPr>
          <w:rFonts w:hint="eastAsia" w:ascii="仿宋" w:hAnsi="仿宋" w:eastAsia="仿宋" w:cs="仿宋"/>
          <w:sz w:val="24"/>
          <w:highlight w:val="none"/>
        </w:rPr>
        <w:t>代理（被授权人）签字或盖章：</w:t>
      </w:r>
      <w:r>
        <w:rPr>
          <w:rFonts w:hint="eastAsia" w:ascii="仿宋" w:hAnsi="仿宋" w:eastAsia="仿宋" w:cs="仿宋"/>
          <w:sz w:val="24"/>
          <w:highlight w:val="none"/>
          <w:u w:val="single"/>
        </w:rPr>
        <w:t xml:space="preserve">                      </w:t>
      </w:r>
    </w:p>
    <w:p w14:paraId="5C171477">
      <w:pPr>
        <w:spacing w:line="44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授权日期：</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w:t>
      </w:r>
      <w:r>
        <w:rPr>
          <w:rFonts w:hint="eastAsia" w:ascii="仿宋" w:hAnsi="仿宋" w:eastAsia="仿宋" w:cs="仿宋"/>
          <w:sz w:val="24"/>
          <w:highlight w:val="none"/>
        </w:rPr>
        <w:t>月</w:t>
      </w:r>
      <w:r>
        <w:rPr>
          <w:rFonts w:hint="eastAsia" w:ascii="仿宋" w:hAnsi="仿宋" w:eastAsia="仿宋" w:cs="仿宋"/>
          <w:sz w:val="24"/>
          <w:highlight w:val="none"/>
          <w:u w:val="single"/>
        </w:rPr>
        <w:t>　　</w:t>
      </w:r>
      <w:r>
        <w:rPr>
          <w:rFonts w:hint="eastAsia" w:ascii="仿宋" w:hAnsi="仿宋" w:eastAsia="仿宋" w:cs="仿宋"/>
          <w:sz w:val="24"/>
          <w:highlight w:val="none"/>
        </w:rPr>
        <w:t>日</w:t>
      </w:r>
    </w:p>
    <w:p w14:paraId="2FC4870C">
      <w:pPr>
        <w:spacing w:line="440" w:lineRule="exact"/>
        <w:ind w:firstLine="480"/>
        <w:rPr>
          <w:rFonts w:hint="eastAsia" w:ascii="仿宋" w:hAnsi="仿宋" w:eastAsia="仿宋" w:cs="仿宋"/>
          <w:sz w:val="24"/>
          <w:highlight w:val="none"/>
        </w:rPr>
      </w:pPr>
    </w:p>
    <w:p w14:paraId="676CB2B1">
      <w:pPr>
        <w:spacing w:line="440" w:lineRule="exact"/>
        <w:ind w:firstLine="6240" w:firstLineChars="2600"/>
        <w:rPr>
          <w:rFonts w:hint="eastAsia" w:ascii="仿宋" w:hAnsi="仿宋" w:eastAsia="仿宋" w:cs="仿宋"/>
          <w:sz w:val="24"/>
          <w:highlight w:val="none"/>
        </w:rPr>
      </w:pPr>
      <w:r>
        <w:rPr>
          <w:rFonts w:hint="eastAsia" w:ascii="仿宋" w:hAnsi="仿宋" w:eastAsia="仿宋" w:cs="仿宋"/>
          <w:sz w:val="24"/>
          <w:highlight w:val="none"/>
        </w:rPr>
        <w:t>（单位公章）</w:t>
      </w:r>
    </w:p>
    <w:p w14:paraId="37990673">
      <w:pPr>
        <w:spacing w:line="440" w:lineRule="exact"/>
        <w:ind w:firstLine="5760" w:firstLineChars="2400"/>
        <w:rPr>
          <w:rFonts w:hint="eastAsia" w:ascii="仿宋" w:hAnsi="仿宋" w:eastAsia="仿宋" w:cs="仿宋"/>
          <w:sz w:val="24"/>
          <w:highlight w:val="none"/>
        </w:rPr>
      </w:pPr>
      <w:r>
        <w:rPr>
          <w:rFonts w:hint="eastAsia" w:ascii="仿宋" w:hAnsi="仿宋" w:eastAsia="仿宋" w:cs="仿宋"/>
          <w:sz w:val="24"/>
          <w:highlight w:val="none"/>
        </w:rPr>
        <w:t xml:space="preserve">    年    月   日</w:t>
      </w:r>
    </w:p>
    <w:p w14:paraId="68EF623D">
      <w:pPr>
        <w:spacing w:line="440" w:lineRule="exact"/>
        <w:rPr>
          <w:rFonts w:hint="eastAsia" w:ascii="仿宋" w:hAnsi="仿宋" w:eastAsia="仿宋" w:cs="仿宋"/>
          <w:b/>
          <w:szCs w:val="21"/>
          <w:highlight w:val="none"/>
          <w:em w:val="dot"/>
        </w:rPr>
      </w:pPr>
      <w:r>
        <w:rPr>
          <w:rFonts w:hint="eastAsia" w:ascii="仿宋" w:hAnsi="仿宋" w:eastAsia="仿宋" w:cs="仿宋"/>
          <w:sz w:val="24"/>
          <w:highlight w:val="none"/>
        </w:rPr>
        <mc:AlternateContent>
          <mc:Choice Requires="wpg">
            <w:drawing>
              <wp:anchor distT="0" distB="0" distL="114300" distR="114300" simplePos="0" relativeHeight="251662336" behindDoc="0" locked="0" layoutInCell="1" allowOverlap="1">
                <wp:simplePos x="0" y="0"/>
                <wp:positionH relativeFrom="column">
                  <wp:posOffset>-271780</wp:posOffset>
                </wp:positionH>
                <wp:positionV relativeFrom="paragraph">
                  <wp:posOffset>89535</wp:posOffset>
                </wp:positionV>
                <wp:extent cx="6046470" cy="3416300"/>
                <wp:effectExtent l="4445" t="5080" r="6985" b="7620"/>
                <wp:wrapNone/>
                <wp:docPr id="6" name="组合 286"/>
                <wp:cNvGraphicFramePr/>
                <a:graphic xmlns:a="http://schemas.openxmlformats.org/drawingml/2006/main">
                  <a:graphicData uri="http://schemas.microsoft.com/office/word/2010/wordprocessingGroup">
                    <wpg:wgp>
                      <wpg:cNvGrpSpPr/>
                      <wpg:grpSpPr>
                        <a:xfrm>
                          <a:off x="0" y="0"/>
                          <a:ext cx="6046470" cy="3416300"/>
                          <a:chOff x="6894" y="574848"/>
                          <a:chExt cx="9522" cy="5380"/>
                        </a:xfrm>
                      </wpg:grpSpPr>
                      <wps:wsp>
                        <wps:cNvPr id="2" name="文本框 287"/>
                        <wps:cNvSpPr txBox="1"/>
                        <wps:spPr>
                          <a:xfrm>
                            <a:off x="6894" y="574852"/>
                            <a:ext cx="4500" cy="2496"/>
                          </a:xfrm>
                          <a:prstGeom prst="rect">
                            <a:avLst/>
                          </a:prstGeom>
                          <a:solidFill>
                            <a:srgbClr val="FFFFFF"/>
                          </a:solidFill>
                          <a:ln w="9525" cap="flat" cmpd="sng">
                            <a:solidFill>
                              <a:srgbClr val="000000"/>
                            </a:solidFill>
                            <a:prstDash val="sysDot"/>
                            <a:miter/>
                            <a:headEnd type="none" w="med" len="med"/>
                            <a:tailEnd type="none" w="med" len="med"/>
                          </a:ln>
                        </wps:spPr>
                        <wps:txbx>
                          <w:txbxContent>
                            <w:p w14:paraId="35CE7BB6">
                              <w:pPr>
                                <w:jc w:val="center"/>
                                <w:rPr>
                                  <w:rFonts w:hint="eastAsia"/>
                                </w:rPr>
                              </w:pPr>
                            </w:p>
                            <w:p w14:paraId="2D920E0E">
                              <w:pPr>
                                <w:jc w:val="center"/>
                                <w:rPr>
                                  <w:rFonts w:hint="eastAsia" w:ascii="宋体" w:hAnsi="宋体"/>
                                </w:rPr>
                              </w:pPr>
                            </w:p>
                            <w:p w14:paraId="76448017">
                              <w:pPr>
                                <w:jc w:val="center"/>
                                <w:rPr>
                                  <w:rFonts w:hint="eastAsia" w:ascii="宋体" w:hAnsi="宋体"/>
                                  <w:b/>
                                  <w:sz w:val="24"/>
                                </w:rPr>
                              </w:pPr>
                              <w:r>
                                <w:rPr>
                                  <w:rFonts w:hint="eastAsia" w:ascii="宋体" w:hAnsi="宋体"/>
                                  <w:b/>
                                  <w:sz w:val="24"/>
                                </w:rPr>
                                <w:t>法定代表人身份证正面粘贴处</w:t>
                              </w:r>
                            </w:p>
                            <w:p w14:paraId="1D3C87FD">
                              <w:pPr>
                                <w:jc w:val="center"/>
                                <w:rPr>
                                  <w:rFonts w:hint="eastAsia" w:ascii="宋体" w:hAnsi="宋体"/>
                                  <w:b/>
                                  <w:sz w:val="24"/>
                                </w:rPr>
                              </w:pPr>
                              <w:r>
                                <w:rPr>
                                  <w:rFonts w:hint="eastAsia" w:ascii="宋体" w:hAnsi="宋体"/>
                                  <w:b/>
                                  <w:sz w:val="24"/>
                                </w:rPr>
                                <w:t>加盖公章</w:t>
                              </w:r>
                            </w:p>
                          </w:txbxContent>
                        </wps:txbx>
                        <wps:bodyPr upright="1"/>
                      </wps:wsp>
                      <wps:wsp>
                        <wps:cNvPr id="3" name="文本框 288"/>
                        <wps:cNvSpPr txBox="1"/>
                        <wps:spPr>
                          <a:xfrm>
                            <a:off x="11916" y="577703"/>
                            <a:ext cx="4500" cy="2496"/>
                          </a:xfrm>
                          <a:prstGeom prst="rect">
                            <a:avLst/>
                          </a:prstGeom>
                          <a:solidFill>
                            <a:srgbClr val="FFFFFF"/>
                          </a:solidFill>
                          <a:ln w="9525" cap="flat" cmpd="sng">
                            <a:solidFill>
                              <a:srgbClr val="000000"/>
                            </a:solidFill>
                            <a:prstDash val="sysDot"/>
                            <a:miter/>
                            <a:headEnd type="none" w="med" len="med"/>
                            <a:tailEnd type="none" w="med" len="med"/>
                          </a:ln>
                        </wps:spPr>
                        <wps:txbx>
                          <w:txbxContent>
                            <w:p w14:paraId="4266A59B">
                              <w:pPr>
                                <w:jc w:val="center"/>
                                <w:rPr>
                                  <w:rFonts w:hint="eastAsia"/>
                                </w:rPr>
                              </w:pPr>
                            </w:p>
                            <w:p w14:paraId="4BDE9500">
                              <w:pPr>
                                <w:jc w:val="center"/>
                                <w:rPr>
                                  <w:rFonts w:hint="eastAsia"/>
                                </w:rPr>
                              </w:pPr>
                            </w:p>
                            <w:p w14:paraId="615F7B7B">
                              <w:pPr>
                                <w:jc w:val="center"/>
                                <w:rPr>
                                  <w:rFonts w:hint="eastAsia" w:ascii="宋体" w:hAnsi="宋体"/>
                                  <w:b/>
                                  <w:sz w:val="24"/>
                                </w:rPr>
                              </w:pPr>
                              <w:r>
                                <w:rPr>
                                  <w:rFonts w:hint="eastAsia" w:ascii="宋体" w:hAnsi="宋体"/>
                                  <w:b/>
                                  <w:sz w:val="24"/>
                                </w:rPr>
                                <w:t>被授权人身份证背面粘贴处</w:t>
                              </w:r>
                            </w:p>
                            <w:p w14:paraId="7D16AE17">
                              <w:pPr>
                                <w:jc w:val="center"/>
                                <w:rPr>
                                  <w:rFonts w:hint="eastAsia" w:ascii="宋体" w:hAnsi="宋体"/>
                                  <w:sz w:val="24"/>
                                </w:rPr>
                              </w:pPr>
                              <w:r>
                                <w:rPr>
                                  <w:rFonts w:hint="eastAsia" w:ascii="宋体" w:hAnsi="宋体"/>
                                  <w:b/>
                                  <w:sz w:val="24"/>
                                </w:rPr>
                                <w:t>加盖公章</w:t>
                              </w:r>
                            </w:p>
                          </w:txbxContent>
                        </wps:txbx>
                        <wps:bodyPr upright="1"/>
                      </wps:wsp>
                      <wps:wsp>
                        <wps:cNvPr id="4" name="文本框 289"/>
                        <wps:cNvSpPr txBox="1"/>
                        <wps:spPr>
                          <a:xfrm>
                            <a:off x="6910" y="577732"/>
                            <a:ext cx="4500" cy="2496"/>
                          </a:xfrm>
                          <a:prstGeom prst="rect">
                            <a:avLst/>
                          </a:prstGeom>
                          <a:solidFill>
                            <a:srgbClr val="FFFFFF"/>
                          </a:solidFill>
                          <a:ln w="9525" cap="flat" cmpd="sng">
                            <a:solidFill>
                              <a:srgbClr val="000000"/>
                            </a:solidFill>
                            <a:prstDash val="sysDot"/>
                            <a:miter/>
                            <a:headEnd type="none" w="med" len="med"/>
                            <a:tailEnd type="none" w="med" len="med"/>
                          </a:ln>
                        </wps:spPr>
                        <wps:txbx>
                          <w:txbxContent>
                            <w:p w14:paraId="1BFA0FCA">
                              <w:pPr>
                                <w:jc w:val="center"/>
                                <w:rPr>
                                  <w:rFonts w:hint="eastAsia"/>
                                </w:rPr>
                              </w:pPr>
                            </w:p>
                            <w:p w14:paraId="1A79215A">
                              <w:pPr>
                                <w:jc w:val="center"/>
                                <w:rPr>
                                  <w:rFonts w:hint="eastAsia" w:ascii="宋体" w:hAnsi="宋体"/>
                                </w:rPr>
                              </w:pPr>
                            </w:p>
                            <w:p w14:paraId="448A4612">
                              <w:pPr>
                                <w:jc w:val="center"/>
                                <w:rPr>
                                  <w:rFonts w:hint="eastAsia" w:ascii="宋体" w:hAnsi="宋体"/>
                                  <w:b/>
                                  <w:sz w:val="24"/>
                                </w:rPr>
                              </w:pPr>
                              <w:r>
                                <w:rPr>
                                  <w:rFonts w:hint="eastAsia" w:ascii="宋体" w:hAnsi="宋体"/>
                                  <w:b/>
                                  <w:sz w:val="24"/>
                                </w:rPr>
                                <w:t>被授权人身份证正面粘贴处</w:t>
                              </w:r>
                            </w:p>
                            <w:p w14:paraId="0773CAAB">
                              <w:pPr>
                                <w:jc w:val="center"/>
                                <w:rPr>
                                  <w:rFonts w:hint="eastAsia" w:ascii="宋体" w:hAnsi="宋体"/>
                                  <w:b/>
                                  <w:sz w:val="24"/>
                                </w:rPr>
                              </w:pPr>
                              <w:r>
                                <w:rPr>
                                  <w:rFonts w:hint="eastAsia" w:ascii="宋体" w:hAnsi="宋体"/>
                                  <w:b/>
                                  <w:sz w:val="24"/>
                                </w:rPr>
                                <w:t>加盖公章</w:t>
                              </w:r>
                            </w:p>
                          </w:txbxContent>
                        </wps:txbx>
                        <wps:bodyPr upright="1"/>
                      </wps:wsp>
                      <wps:wsp>
                        <wps:cNvPr id="5" name="文本框 290"/>
                        <wps:cNvSpPr txBox="1"/>
                        <wps:spPr>
                          <a:xfrm>
                            <a:off x="11912" y="574848"/>
                            <a:ext cx="4500" cy="2496"/>
                          </a:xfrm>
                          <a:prstGeom prst="rect">
                            <a:avLst/>
                          </a:prstGeom>
                          <a:solidFill>
                            <a:srgbClr val="FFFFFF"/>
                          </a:solidFill>
                          <a:ln w="9525" cap="flat" cmpd="sng">
                            <a:solidFill>
                              <a:srgbClr val="000000"/>
                            </a:solidFill>
                            <a:prstDash val="sysDot"/>
                            <a:miter/>
                            <a:headEnd type="none" w="med" len="med"/>
                            <a:tailEnd type="none" w="med" len="med"/>
                          </a:ln>
                        </wps:spPr>
                        <wps:txbx>
                          <w:txbxContent>
                            <w:p w14:paraId="4F7683DA">
                              <w:pPr>
                                <w:jc w:val="center"/>
                                <w:rPr>
                                  <w:rFonts w:hint="eastAsia"/>
                                </w:rPr>
                              </w:pPr>
                            </w:p>
                            <w:p w14:paraId="1D46FB08">
                              <w:pPr>
                                <w:jc w:val="center"/>
                                <w:rPr>
                                  <w:rFonts w:hint="eastAsia"/>
                                </w:rPr>
                              </w:pPr>
                            </w:p>
                            <w:p w14:paraId="56BECD0D">
                              <w:pPr>
                                <w:jc w:val="center"/>
                                <w:rPr>
                                  <w:rFonts w:hint="eastAsia" w:ascii="宋体" w:hAnsi="宋体"/>
                                  <w:b/>
                                  <w:sz w:val="24"/>
                                </w:rPr>
                              </w:pPr>
                              <w:r>
                                <w:rPr>
                                  <w:rFonts w:hint="eastAsia" w:ascii="宋体" w:hAnsi="宋体"/>
                                  <w:b/>
                                  <w:sz w:val="24"/>
                                </w:rPr>
                                <w:t>法定代表人身份证背面粘贴处</w:t>
                              </w:r>
                            </w:p>
                            <w:p w14:paraId="7F7C0429">
                              <w:pPr>
                                <w:jc w:val="center"/>
                                <w:rPr>
                                  <w:rFonts w:hint="eastAsia" w:ascii="宋体" w:hAnsi="宋体"/>
                                  <w:sz w:val="24"/>
                                </w:rPr>
                              </w:pPr>
                              <w:r>
                                <w:rPr>
                                  <w:rFonts w:hint="eastAsia" w:ascii="宋体" w:hAnsi="宋体"/>
                                  <w:b/>
                                  <w:sz w:val="24"/>
                                </w:rPr>
                                <w:t>加盖公章</w:t>
                              </w:r>
                            </w:p>
                          </w:txbxContent>
                        </wps:txbx>
                        <wps:bodyPr upright="1"/>
                      </wps:wsp>
                    </wpg:wgp>
                  </a:graphicData>
                </a:graphic>
              </wp:anchor>
            </w:drawing>
          </mc:Choice>
          <mc:Fallback>
            <w:pict>
              <v:group id="组合 286" o:spid="_x0000_s1026" o:spt="203" style="position:absolute;left:0pt;margin-left:-21.4pt;margin-top:7.05pt;height:269pt;width:476.1pt;z-index:251662336;mso-width-relative:page;mso-height-relative:page;" coordorigin="6894,574848" coordsize="9522,5380" o:gfxdata="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">
                <o:lock v:ext="edit" aspectratio="f"/>
                <v:shape id="文本框 287" o:spid="_x0000_s1026" o:spt="202" type="#_x0000_t202" style="position:absolute;left:6894;top:574852;height:2496;width:4500;" fillcolor="#FFFFFF" filled="t" stroked="t" coordsize="21600,21600" o:gfxdata="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otY/SbgAAADaAAAA&#10;DwAAAAAAAAABACAAAAAiAAAAZHJzL2Rvd25yZXYueG1sUEsBAhQAFAAAAAgAh07iQDMvBZ47AAAA&#10;OQAAABAAAAAAAAAAAQAgAAAABwEAAGRycy9zaGFwZXhtbC54bWxQSwUGAAAAAAYABgBbAQAAsQMA&#10;AAAA&#10;">
                  <v:fill on="t" focussize="0,0"/>
                  <v:stroke color="#000000" joinstyle="miter" dashstyle="1 1"/>
                  <v:imagedata o:title=""/>
                  <o:lock v:ext="edit" aspectratio="f"/>
                  <v:textbox>
                    <w:txbxContent>
                      <w:p w14:paraId="35CE7BB6">
                        <w:pPr>
                          <w:jc w:val="center"/>
                          <w:rPr>
                            <w:rFonts w:hint="eastAsia"/>
                          </w:rPr>
                        </w:pPr>
                      </w:p>
                      <w:p w14:paraId="2D920E0E">
                        <w:pPr>
                          <w:jc w:val="center"/>
                          <w:rPr>
                            <w:rFonts w:hint="eastAsia" w:ascii="宋体" w:hAnsi="宋体"/>
                          </w:rPr>
                        </w:pPr>
                      </w:p>
                      <w:p w14:paraId="76448017">
                        <w:pPr>
                          <w:jc w:val="center"/>
                          <w:rPr>
                            <w:rFonts w:hint="eastAsia" w:ascii="宋体" w:hAnsi="宋体"/>
                            <w:b/>
                            <w:sz w:val="24"/>
                          </w:rPr>
                        </w:pPr>
                        <w:r>
                          <w:rPr>
                            <w:rFonts w:hint="eastAsia" w:ascii="宋体" w:hAnsi="宋体"/>
                            <w:b/>
                            <w:sz w:val="24"/>
                          </w:rPr>
                          <w:t>法定代表人身份证正面粘贴处</w:t>
                        </w:r>
                      </w:p>
                      <w:p w14:paraId="1D3C87FD">
                        <w:pPr>
                          <w:jc w:val="center"/>
                          <w:rPr>
                            <w:rFonts w:hint="eastAsia" w:ascii="宋体" w:hAnsi="宋体"/>
                            <w:b/>
                            <w:sz w:val="24"/>
                          </w:rPr>
                        </w:pPr>
                        <w:r>
                          <w:rPr>
                            <w:rFonts w:hint="eastAsia" w:ascii="宋体" w:hAnsi="宋体"/>
                            <w:b/>
                            <w:sz w:val="24"/>
                          </w:rPr>
                          <w:t>加盖公章</w:t>
                        </w:r>
                      </w:p>
                    </w:txbxContent>
                  </v:textbox>
                </v:shape>
                <v:shape id="文本框 288" o:spid="_x0000_s1026" o:spt="202" type="#_x0000_t202" style="position:absolute;left:11916;top:577703;height:2496;width:4500;" fillcolor="#FFFFFF" filled="t" stroked="t" coordsize="21600,21600" o:gfxdata="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mprSvQAA&#10;ANoAAAAPAAAAAAAAAAEAIAAAACIAAABkcnMvZG93bnJldi54bWxQSwECFAAUAAAACACHTuJAMy8F&#10;njsAAAA5AAAAEAAAAAAAAAABACAAAAAMAQAAZHJzL3NoYXBleG1sLnhtbFBLBQYAAAAABgAGAFsB&#10;AAC2AwAAAAA=&#10;">
                  <v:fill on="t" focussize="0,0"/>
                  <v:stroke color="#000000" joinstyle="miter" dashstyle="1 1"/>
                  <v:imagedata o:title=""/>
                  <o:lock v:ext="edit" aspectratio="f"/>
                  <v:textbox>
                    <w:txbxContent>
                      <w:p w14:paraId="4266A59B">
                        <w:pPr>
                          <w:jc w:val="center"/>
                          <w:rPr>
                            <w:rFonts w:hint="eastAsia"/>
                          </w:rPr>
                        </w:pPr>
                      </w:p>
                      <w:p w14:paraId="4BDE9500">
                        <w:pPr>
                          <w:jc w:val="center"/>
                          <w:rPr>
                            <w:rFonts w:hint="eastAsia"/>
                          </w:rPr>
                        </w:pPr>
                      </w:p>
                      <w:p w14:paraId="615F7B7B">
                        <w:pPr>
                          <w:jc w:val="center"/>
                          <w:rPr>
                            <w:rFonts w:hint="eastAsia" w:ascii="宋体" w:hAnsi="宋体"/>
                            <w:b/>
                            <w:sz w:val="24"/>
                          </w:rPr>
                        </w:pPr>
                        <w:r>
                          <w:rPr>
                            <w:rFonts w:hint="eastAsia" w:ascii="宋体" w:hAnsi="宋体"/>
                            <w:b/>
                            <w:sz w:val="24"/>
                          </w:rPr>
                          <w:t>被授权人身份证背面粘贴处</w:t>
                        </w:r>
                      </w:p>
                      <w:p w14:paraId="7D16AE17">
                        <w:pPr>
                          <w:jc w:val="center"/>
                          <w:rPr>
                            <w:rFonts w:hint="eastAsia" w:ascii="宋体" w:hAnsi="宋体"/>
                            <w:sz w:val="24"/>
                          </w:rPr>
                        </w:pPr>
                        <w:r>
                          <w:rPr>
                            <w:rFonts w:hint="eastAsia" w:ascii="宋体" w:hAnsi="宋体"/>
                            <w:b/>
                            <w:sz w:val="24"/>
                          </w:rPr>
                          <w:t>加盖公章</w:t>
                        </w:r>
                      </w:p>
                    </w:txbxContent>
                  </v:textbox>
                </v:shape>
                <v:shape id="文本框 289" o:spid="_x0000_s1026" o:spt="202" type="#_x0000_t202" style="position:absolute;left:6910;top:577732;height:2496;width:4500;" fillcolor="#FFFFFF" filled="t" stroked="t" coordsize="21600,21600" o:gfxdata="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cwKmvQAA&#10;ANoAAAAPAAAAAAAAAAEAIAAAACIAAABkcnMvZG93bnJldi54bWxQSwECFAAUAAAACACHTuJAMy8F&#10;njsAAAA5AAAAEAAAAAAAAAABACAAAAAMAQAAZHJzL3NoYXBleG1sLnhtbFBLBQYAAAAABgAGAFsB&#10;AAC2AwAAAAA=&#10;">
                  <v:fill on="t" focussize="0,0"/>
                  <v:stroke color="#000000" joinstyle="miter" dashstyle="1 1"/>
                  <v:imagedata o:title=""/>
                  <o:lock v:ext="edit" aspectratio="f"/>
                  <v:textbox>
                    <w:txbxContent>
                      <w:p w14:paraId="1BFA0FCA">
                        <w:pPr>
                          <w:jc w:val="center"/>
                          <w:rPr>
                            <w:rFonts w:hint="eastAsia"/>
                          </w:rPr>
                        </w:pPr>
                      </w:p>
                      <w:p w14:paraId="1A79215A">
                        <w:pPr>
                          <w:jc w:val="center"/>
                          <w:rPr>
                            <w:rFonts w:hint="eastAsia" w:ascii="宋体" w:hAnsi="宋体"/>
                          </w:rPr>
                        </w:pPr>
                      </w:p>
                      <w:p w14:paraId="448A4612">
                        <w:pPr>
                          <w:jc w:val="center"/>
                          <w:rPr>
                            <w:rFonts w:hint="eastAsia" w:ascii="宋体" w:hAnsi="宋体"/>
                            <w:b/>
                            <w:sz w:val="24"/>
                          </w:rPr>
                        </w:pPr>
                        <w:r>
                          <w:rPr>
                            <w:rFonts w:hint="eastAsia" w:ascii="宋体" w:hAnsi="宋体"/>
                            <w:b/>
                            <w:sz w:val="24"/>
                          </w:rPr>
                          <w:t>被授权人身份证正面粘贴处</w:t>
                        </w:r>
                      </w:p>
                      <w:p w14:paraId="0773CAAB">
                        <w:pPr>
                          <w:jc w:val="center"/>
                          <w:rPr>
                            <w:rFonts w:hint="eastAsia" w:ascii="宋体" w:hAnsi="宋体"/>
                            <w:b/>
                            <w:sz w:val="24"/>
                          </w:rPr>
                        </w:pPr>
                        <w:r>
                          <w:rPr>
                            <w:rFonts w:hint="eastAsia" w:ascii="宋体" w:hAnsi="宋体"/>
                            <w:b/>
                            <w:sz w:val="24"/>
                          </w:rPr>
                          <w:t>加盖公章</w:t>
                        </w:r>
                      </w:p>
                    </w:txbxContent>
                  </v:textbox>
                </v:shape>
                <v:shape id="文本框 290" o:spid="_x0000_s1026" o:spt="202" type="#_x0000_t202" style="position:absolute;left:11912;top:574848;height:2496;width:4500;" fillcolor="#FFFFFF" filled="t" stroked="t" coordsize="21600,21600" o:gfxdata="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P6c9vQAA&#10;ANoAAAAPAAAAAAAAAAEAIAAAACIAAABkcnMvZG93bnJldi54bWxQSwECFAAUAAAACACHTuJAMy8F&#10;njsAAAA5AAAAEAAAAAAAAAABACAAAAAMAQAAZHJzL3NoYXBleG1sLnhtbFBLBQYAAAAABgAGAFsB&#10;AAC2AwAAAAA=&#10;">
                  <v:fill on="t" focussize="0,0"/>
                  <v:stroke color="#000000" joinstyle="miter" dashstyle="1 1"/>
                  <v:imagedata o:title=""/>
                  <o:lock v:ext="edit" aspectratio="f"/>
                  <v:textbox>
                    <w:txbxContent>
                      <w:p w14:paraId="4F7683DA">
                        <w:pPr>
                          <w:jc w:val="center"/>
                          <w:rPr>
                            <w:rFonts w:hint="eastAsia"/>
                          </w:rPr>
                        </w:pPr>
                      </w:p>
                      <w:p w14:paraId="1D46FB08">
                        <w:pPr>
                          <w:jc w:val="center"/>
                          <w:rPr>
                            <w:rFonts w:hint="eastAsia"/>
                          </w:rPr>
                        </w:pPr>
                      </w:p>
                      <w:p w14:paraId="56BECD0D">
                        <w:pPr>
                          <w:jc w:val="center"/>
                          <w:rPr>
                            <w:rFonts w:hint="eastAsia" w:ascii="宋体" w:hAnsi="宋体"/>
                            <w:b/>
                            <w:sz w:val="24"/>
                          </w:rPr>
                        </w:pPr>
                        <w:r>
                          <w:rPr>
                            <w:rFonts w:hint="eastAsia" w:ascii="宋体" w:hAnsi="宋体"/>
                            <w:b/>
                            <w:sz w:val="24"/>
                          </w:rPr>
                          <w:t>法定代表人身份证背面粘贴处</w:t>
                        </w:r>
                      </w:p>
                      <w:p w14:paraId="7F7C0429">
                        <w:pPr>
                          <w:jc w:val="center"/>
                          <w:rPr>
                            <w:rFonts w:hint="eastAsia" w:ascii="宋体" w:hAnsi="宋体"/>
                            <w:sz w:val="24"/>
                          </w:rPr>
                        </w:pPr>
                        <w:r>
                          <w:rPr>
                            <w:rFonts w:hint="eastAsia" w:ascii="宋体" w:hAnsi="宋体"/>
                            <w:b/>
                            <w:sz w:val="24"/>
                          </w:rPr>
                          <w:t>加盖公章</w:t>
                        </w:r>
                      </w:p>
                    </w:txbxContent>
                  </v:textbox>
                </v:shape>
              </v:group>
            </w:pict>
          </mc:Fallback>
        </mc:AlternateContent>
      </w:r>
    </w:p>
    <w:p w14:paraId="19094BEB">
      <w:pPr>
        <w:spacing w:line="440" w:lineRule="exact"/>
        <w:rPr>
          <w:rFonts w:hint="eastAsia" w:ascii="仿宋" w:hAnsi="仿宋" w:eastAsia="仿宋" w:cs="仿宋"/>
          <w:b/>
          <w:szCs w:val="21"/>
          <w:highlight w:val="none"/>
          <w:em w:val="dot"/>
        </w:rPr>
      </w:pPr>
    </w:p>
    <w:p w14:paraId="32BFA86F">
      <w:pPr>
        <w:spacing w:line="440" w:lineRule="exact"/>
        <w:rPr>
          <w:rFonts w:hint="eastAsia" w:ascii="仿宋" w:hAnsi="仿宋" w:eastAsia="仿宋" w:cs="仿宋"/>
          <w:b/>
          <w:szCs w:val="21"/>
          <w:highlight w:val="none"/>
          <w:em w:val="dot"/>
        </w:rPr>
      </w:pPr>
    </w:p>
    <w:p w14:paraId="569918A5">
      <w:pPr>
        <w:spacing w:line="440" w:lineRule="exact"/>
        <w:rPr>
          <w:rFonts w:hint="eastAsia" w:ascii="仿宋" w:hAnsi="仿宋" w:eastAsia="仿宋" w:cs="仿宋"/>
          <w:b/>
          <w:szCs w:val="21"/>
          <w:highlight w:val="none"/>
        </w:rPr>
      </w:pPr>
    </w:p>
    <w:p w14:paraId="0292C9EC">
      <w:pPr>
        <w:spacing w:line="440" w:lineRule="exact"/>
        <w:rPr>
          <w:rFonts w:hint="eastAsia" w:ascii="仿宋" w:hAnsi="仿宋" w:eastAsia="仿宋" w:cs="仿宋"/>
          <w:b/>
          <w:szCs w:val="21"/>
          <w:highlight w:val="none"/>
        </w:rPr>
      </w:pPr>
    </w:p>
    <w:p w14:paraId="193B54EB">
      <w:pPr>
        <w:spacing w:line="440" w:lineRule="exact"/>
        <w:rPr>
          <w:rFonts w:hint="eastAsia" w:ascii="仿宋" w:hAnsi="仿宋" w:eastAsia="仿宋" w:cs="仿宋"/>
          <w:b/>
          <w:szCs w:val="21"/>
          <w:highlight w:val="none"/>
        </w:rPr>
      </w:pPr>
    </w:p>
    <w:p w14:paraId="76DBF91C">
      <w:pPr>
        <w:spacing w:line="440" w:lineRule="exact"/>
        <w:jc w:val="center"/>
        <w:rPr>
          <w:rFonts w:hint="eastAsia" w:ascii="仿宋" w:hAnsi="仿宋" w:eastAsia="仿宋" w:cs="仿宋"/>
          <w:b/>
          <w:szCs w:val="21"/>
          <w:highlight w:val="none"/>
        </w:rPr>
      </w:pPr>
    </w:p>
    <w:p w14:paraId="7D83F0F7">
      <w:pPr>
        <w:spacing w:line="440" w:lineRule="exact"/>
        <w:jc w:val="center"/>
        <w:rPr>
          <w:rFonts w:hint="eastAsia" w:ascii="仿宋" w:hAnsi="仿宋" w:eastAsia="仿宋" w:cs="仿宋"/>
          <w:b/>
          <w:szCs w:val="21"/>
          <w:highlight w:val="none"/>
        </w:rPr>
      </w:pPr>
    </w:p>
    <w:p w14:paraId="50D73594">
      <w:pPr>
        <w:adjustRightInd w:val="0"/>
        <w:snapToGrid w:val="0"/>
        <w:spacing w:line="440" w:lineRule="exact"/>
        <w:rPr>
          <w:rFonts w:hint="eastAsia" w:ascii="仿宋" w:hAnsi="仿宋" w:eastAsia="仿宋" w:cs="仿宋"/>
          <w:b/>
          <w:bCs/>
          <w:sz w:val="28"/>
          <w:szCs w:val="28"/>
          <w:highlight w:val="none"/>
        </w:rPr>
      </w:pPr>
      <w:r>
        <w:rPr>
          <w:rFonts w:hint="eastAsia" w:ascii="仿宋" w:hAnsi="仿宋" w:eastAsia="仿宋" w:cs="仿宋"/>
          <w:b/>
          <w:szCs w:val="21"/>
          <w:highlight w:val="none"/>
        </w:rPr>
        <w:br w:type="page"/>
      </w:r>
      <w:r>
        <w:rPr>
          <w:rFonts w:hint="eastAsia" w:ascii="仿宋" w:hAnsi="仿宋" w:eastAsia="仿宋" w:cs="仿宋"/>
          <w:b/>
          <w:bCs/>
          <w:sz w:val="28"/>
          <w:szCs w:val="28"/>
          <w:highlight w:val="none"/>
        </w:rPr>
        <w:t>附件4 商务条款偏离表</w:t>
      </w:r>
    </w:p>
    <w:p w14:paraId="77D0E70F">
      <w:pPr>
        <w:pStyle w:val="220"/>
        <w:spacing w:line="360" w:lineRule="auto"/>
        <w:ind w:left="960" w:hanging="960" w:hangingChars="400"/>
        <w:jc w:val="both"/>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项目名称： </w:t>
      </w:r>
      <w:r>
        <w:rPr>
          <w:rFonts w:hint="eastAsia" w:ascii="仿宋" w:hAnsi="仿宋" w:eastAsia="仿宋" w:cs="仿宋"/>
          <w:color w:val="auto"/>
          <w:sz w:val="24"/>
          <w:highlight w:val="none"/>
          <w:u w:val="single"/>
        </w:rPr>
        <w:t xml:space="preserve">                                       </w:t>
      </w:r>
    </w:p>
    <w:p w14:paraId="27815B79">
      <w:pPr>
        <w:pStyle w:val="220"/>
        <w:spacing w:line="360" w:lineRule="auto"/>
        <w:ind w:left="960" w:hanging="960" w:hangingChars="400"/>
        <w:jc w:val="both"/>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项目编号： </w:t>
      </w:r>
      <w:r>
        <w:rPr>
          <w:rFonts w:hint="eastAsia" w:ascii="仿宋" w:hAnsi="仿宋" w:eastAsia="仿宋" w:cs="仿宋"/>
          <w:color w:val="auto"/>
          <w:sz w:val="24"/>
          <w:highlight w:val="none"/>
          <w:u w:val="single"/>
        </w:rPr>
        <w:t xml:space="preserve">                                       </w:t>
      </w:r>
    </w:p>
    <w:p w14:paraId="61F8A421">
      <w:pPr>
        <w:pStyle w:val="220"/>
        <w:spacing w:line="360" w:lineRule="auto"/>
        <w:ind w:left="960" w:hanging="960" w:hangingChars="40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所投包号： </w:t>
      </w:r>
      <w:r>
        <w:rPr>
          <w:rFonts w:hint="eastAsia" w:ascii="仿宋" w:hAnsi="仿宋" w:eastAsia="仿宋" w:cs="仿宋"/>
          <w:color w:val="auto"/>
          <w:sz w:val="24"/>
          <w:highlight w:val="none"/>
          <w:u w:val="single"/>
        </w:rPr>
        <w:t xml:space="preserve">                                       </w:t>
      </w:r>
    </w:p>
    <w:p w14:paraId="24A04997">
      <w:pPr>
        <w:pStyle w:val="220"/>
        <w:spacing w:line="360" w:lineRule="auto"/>
        <w:ind w:left="960" w:hanging="960" w:hangingChars="40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38F4652C">
      <w:pPr>
        <w:pStyle w:val="220"/>
        <w:ind w:left="210" w:leftChars="-86" w:hanging="391" w:hangingChars="163"/>
        <w:jc w:val="both"/>
        <w:rPr>
          <w:rFonts w:hint="eastAsia" w:ascii="仿宋" w:hAnsi="仿宋" w:eastAsia="仿宋" w:cs="仿宋"/>
          <w:color w:val="auto"/>
          <w:sz w:val="24"/>
          <w:highlight w:val="none"/>
        </w:rPr>
      </w:pPr>
    </w:p>
    <w:tbl>
      <w:tblPr>
        <w:tblStyle w:val="41"/>
        <w:tblW w:w="9068" w:type="dxa"/>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6165"/>
        <w:gridCol w:w="886"/>
        <w:gridCol w:w="1344"/>
      </w:tblGrid>
      <w:tr w14:paraId="1AB7A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673" w:type="dxa"/>
            <w:shd w:val="clear" w:color="auto" w:fill="F3F3F3"/>
            <w:noWrap w:val="0"/>
            <w:vAlign w:val="center"/>
          </w:tcPr>
          <w:p w14:paraId="1877CDAB">
            <w:pPr>
              <w:jc w:val="center"/>
              <w:rPr>
                <w:rFonts w:hint="eastAsia" w:ascii="仿宋" w:hAnsi="仿宋" w:eastAsia="仿宋" w:cs="仿宋"/>
                <w:b/>
                <w:bCs/>
                <w:szCs w:val="21"/>
                <w:highlight w:val="none"/>
              </w:rPr>
            </w:pPr>
            <w:r>
              <w:rPr>
                <w:rFonts w:hint="eastAsia" w:ascii="仿宋" w:hAnsi="仿宋" w:eastAsia="仿宋" w:cs="仿宋"/>
                <w:b/>
                <w:bCs/>
                <w:szCs w:val="21"/>
                <w:highlight w:val="none"/>
              </w:rPr>
              <w:t>序号</w:t>
            </w:r>
          </w:p>
        </w:tc>
        <w:tc>
          <w:tcPr>
            <w:tcW w:w="6165" w:type="dxa"/>
            <w:shd w:val="clear" w:color="auto" w:fill="F3F3F3"/>
            <w:noWrap w:val="0"/>
            <w:vAlign w:val="center"/>
          </w:tcPr>
          <w:p w14:paraId="7F3E062E">
            <w:pPr>
              <w:jc w:val="center"/>
              <w:rPr>
                <w:rFonts w:hint="eastAsia" w:ascii="仿宋" w:hAnsi="仿宋" w:eastAsia="仿宋" w:cs="仿宋"/>
                <w:b/>
                <w:bCs/>
                <w:szCs w:val="21"/>
                <w:highlight w:val="none"/>
              </w:rPr>
            </w:pPr>
            <w:r>
              <w:rPr>
                <w:rFonts w:hint="eastAsia" w:ascii="仿宋" w:hAnsi="仿宋" w:eastAsia="仿宋" w:cs="仿宋"/>
                <w:b/>
                <w:bCs/>
                <w:szCs w:val="21"/>
                <w:highlight w:val="none"/>
              </w:rPr>
              <w:t>主要商务条款</w:t>
            </w:r>
          </w:p>
        </w:tc>
        <w:tc>
          <w:tcPr>
            <w:tcW w:w="886" w:type="dxa"/>
            <w:shd w:val="clear" w:color="auto" w:fill="F3F3F3"/>
            <w:noWrap w:val="0"/>
            <w:vAlign w:val="center"/>
          </w:tcPr>
          <w:p w14:paraId="1ABE28FA">
            <w:pPr>
              <w:jc w:val="center"/>
              <w:rPr>
                <w:rFonts w:hint="eastAsia" w:ascii="仿宋" w:hAnsi="仿宋" w:eastAsia="仿宋" w:cs="仿宋"/>
                <w:b/>
                <w:bCs/>
                <w:szCs w:val="21"/>
                <w:highlight w:val="none"/>
              </w:rPr>
            </w:pPr>
            <w:r>
              <w:rPr>
                <w:rFonts w:hint="eastAsia" w:ascii="仿宋" w:hAnsi="仿宋" w:eastAsia="仿宋" w:cs="仿宋"/>
                <w:b/>
                <w:bCs/>
                <w:szCs w:val="21"/>
                <w:highlight w:val="none"/>
              </w:rPr>
              <w:t>是否</w:t>
            </w:r>
          </w:p>
          <w:p w14:paraId="7F04F88E">
            <w:pPr>
              <w:jc w:val="center"/>
              <w:rPr>
                <w:rFonts w:hint="eastAsia" w:ascii="仿宋" w:hAnsi="仿宋" w:eastAsia="仿宋" w:cs="仿宋"/>
                <w:b/>
                <w:bCs/>
                <w:szCs w:val="21"/>
                <w:highlight w:val="none"/>
              </w:rPr>
            </w:pPr>
            <w:r>
              <w:rPr>
                <w:rFonts w:hint="eastAsia" w:ascii="仿宋" w:hAnsi="仿宋" w:eastAsia="仿宋" w:cs="仿宋"/>
                <w:b/>
                <w:bCs/>
                <w:szCs w:val="21"/>
                <w:highlight w:val="none"/>
              </w:rPr>
              <w:t>响应</w:t>
            </w:r>
          </w:p>
        </w:tc>
        <w:tc>
          <w:tcPr>
            <w:tcW w:w="1344" w:type="dxa"/>
            <w:shd w:val="clear" w:color="auto" w:fill="F3F3F3"/>
            <w:noWrap w:val="0"/>
            <w:vAlign w:val="center"/>
          </w:tcPr>
          <w:p w14:paraId="082A47D3">
            <w:pPr>
              <w:jc w:val="center"/>
              <w:rPr>
                <w:rFonts w:hint="eastAsia" w:ascii="仿宋" w:hAnsi="仿宋" w:eastAsia="仿宋" w:cs="仿宋"/>
                <w:b/>
                <w:bCs/>
                <w:szCs w:val="21"/>
                <w:highlight w:val="none"/>
              </w:rPr>
            </w:pPr>
            <w:r>
              <w:rPr>
                <w:rFonts w:hint="eastAsia" w:ascii="仿宋" w:hAnsi="仿宋" w:eastAsia="仿宋" w:cs="仿宋"/>
                <w:b/>
                <w:bCs/>
                <w:szCs w:val="21"/>
                <w:highlight w:val="none"/>
              </w:rPr>
              <w:t>偏离说明</w:t>
            </w:r>
          </w:p>
        </w:tc>
      </w:tr>
      <w:tr w14:paraId="40900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3" w:type="dxa"/>
            <w:noWrap w:val="0"/>
            <w:vAlign w:val="center"/>
          </w:tcPr>
          <w:p w14:paraId="26ED2955">
            <w:pPr>
              <w:jc w:val="center"/>
              <w:rPr>
                <w:rFonts w:hint="eastAsia" w:ascii="仿宋" w:hAnsi="仿宋" w:eastAsia="仿宋" w:cs="仿宋"/>
                <w:szCs w:val="21"/>
                <w:highlight w:val="none"/>
              </w:rPr>
            </w:pPr>
            <w:r>
              <w:rPr>
                <w:rFonts w:hint="eastAsia" w:ascii="仿宋" w:hAnsi="仿宋" w:eastAsia="仿宋" w:cs="仿宋"/>
                <w:szCs w:val="21"/>
                <w:highlight w:val="none"/>
              </w:rPr>
              <w:t>1</w:t>
            </w:r>
          </w:p>
        </w:tc>
        <w:tc>
          <w:tcPr>
            <w:tcW w:w="6165" w:type="dxa"/>
            <w:noWrap w:val="0"/>
            <w:vAlign w:val="center"/>
          </w:tcPr>
          <w:p w14:paraId="7ECE81FF">
            <w:pPr>
              <w:adjustRightInd w:val="0"/>
              <w:snapToGrid w:val="0"/>
              <w:ind w:right="105" w:rightChars="50"/>
              <w:jc w:val="left"/>
              <w:rPr>
                <w:rFonts w:hint="eastAsia" w:ascii="仿宋" w:hAnsi="仿宋" w:eastAsia="仿宋" w:cs="仿宋"/>
                <w:szCs w:val="21"/>
                <w:highlight w:val="none"/>
              </w:rPr>
            </w:pPr>
            <w:r>
              <w:rPr>
                <w:rFonts w:hint="eastAsia" w:ascii="仿宋_GB2312" w:hAnsi="仿宋_GB2312" w:eastAsia="仿宋_GB2312" w:cs="仿宋_GB2312"/>
                <w:szCs w:val="21"/>
                <w:highlight w:val="none"/>
              </w:rPr>
              <w:t>★服务期限</w:t>
            </w:r>
          </w:p>
        </w:tc>
        <w:tc>
          <w:tcPr>
            <w:tcW w:w="886" w:type="dxa"/>
            <w:noWrap w:val="0"/>
            <w:vAlign w:val="center"/>
          </w:tcPr>
          <w:p w14:paraId="3D57B8A3">
            <w:pPr>
              <w:pStyle w:val="198"/>
              <w:keepNext w:val="0"/>
              <w:adjustRightInd/>
              <w:spacing w:before="0" w:after="0" w:line="240" w:lineRule="auto"/>
              <w:textAlignment w:val="auto"/>
              <w:rPr>
                <w:rFonts w:hint="eastAsia" w:ascii="仿宋" w:hAnsi="仿宋" w:eastAsia="仿宋" w:cs="仿宋"/>
                <w:snapToGrid/>
                <w:spacing w:val="0"/>
                <w:kern w:val="2"/>
                <w:sz w:val="21"/>
                <w:szCs w:val="21"/>
                <w:highlight w:val="none"/>
              </w:rPr>
            </w:pPr>
          </w:p>
        </w:tc>
        <w:tc>
          <w:tcPr>
            <w:tcW w:w="1344" w:type="dxa"/>
            <w:noWrap w:val="0"/>
            <w:vAlign w:val="center"/>
          </w:tcPr>
          <w:p w14:paraId="4E08F720">
            <w:pPr>
              <w:jc w:val="center"/>
              <w:rPr>
                <w:rFonts w:hint="eastAsia" w:ascii="仿宋" w:hAnsi="仿宋" w:eastAsia="仿宋" w:cs="仿宋"/>
                <w:szCs w:val="21"/>
                <w:highlight w:val="none"/>
              </w:rPr>
            </w:pPr>
          </w:p>
        </w:tc>
      </w:tr>
      <w:tr w14:paraId="7C266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3" w:type="dxa"/>
            <w:noWrap w:val="0"/>
            <w:vAlign w:val="center"/>
          </w:tcPr>
          <w:p w14:paraId="1A825205">
            <w:pPr>
              <w:jc w:val="center"/>
              <w:rPr>
                <w:rFonts w:hint="eastAsia" w:ascii="仿宋" w:hAnsi="仿宋" w:eastAsia="仿宋" w:cs="仿宋"/>
                <w:szCs w:val="21"/>
                <w:highlight w:val="none"/>
              </w:rPr>
            </w:pPr>
            <w:r>
              <w:rPr>
                <w:rFonts w:hint="eastAsia" w:ascii="仿宋" w:hAnsi="仿宋" w:eastAsia="仿宋" w:cs="仿宋"/>
                <w:szCs w:val="21"/>
                <w:highlight w:val="none"/>
              </w:rPr>
              <w:t>2</w:t>
            </w:r>
          </w:p>
        </w:tc>
        <w:tc>
          <w:tcPr>
            <w:tcW w:w="6165" w:type="dxa"/>
            <w:noWrap w:val="0"/>
            <w:vAlign w:val="center"/>
          </w:tcPr>
          <w:p w14:paraId="1C11475A">
            <w:pPr>
              <w:adjustRightInd w:val="0"/>
              <w:snapToGrid w:val="0"/>
              <w:rPr>
                <w:rFonts w:hint="eastAsia" w:ascii="仿宋" w:hAnsi="仿宋" w:eastAsia="仿宋_GB2312" w:cs="仿宋"/>
                <w:szCs w:val="21"/>
                <w:highlight w:val="none"/>
                <w:lang w:eastAsia="zh-CN"/>
              </w:rPr>
            </w:pPr>
            <w:r>
              <w:rPr>
                <w:rFonts w:hint="eastAsia" w:ascii="仿宋_GB2312" w:hAnsi="仿宋_GB2312" w:eastAsia="仿宋_GB2312" w:cs="仿宋_GB2312"/>
                <w:b/>
                <w:sz w:val="18"/>
                <w:szCs w:val="18"/>
                <w:highlight w:val="none"/>
              </w:rPr>
              <w:t>★</w:t>
            </w:r>
            <w:r>
              <w:rPr>
                <w:rFonts w:hint="eastAsia" w:ascii="仿宋_GB2312" w:hAnsi="仿宋_GB2312" w:eastAsia="仿宋_GB2312" w:cs="仿宋_GB2312"/>
                <w:szCs w:val="21"/>
                <w:highlight w:val="none"/>
                <w:lang w:eastAsia="zh-CN"/>
              </w:rPr>
              <w:t>服务地点</w:t>
            </w:r>
          </w:p>
        </w:tc>
        <w:tc>
          <w:tcPr>
            <w:tcW w:w="886" w:type="dxa"/>
            <w:noWrap w:val="0"/>
            <w:vAlign w:val="center"/>
          </w:tcPr>
          <w:p w14:paraId="0CDA0B0D">
            <w:pPr>
              <w:jc w:val="center"/>
              <w:rPr>
                <w:rFonts w:hint="eastAsia" w:ascii="仿宋" w:hAnsi="仿宋" w:eastAsia="仿宋" w:cs="仿宋"/>
                <w:szCs w:val="21"/>
                <w:highlight w:val="none"/>
              </w:rPr>
            </w:pPr>
          </w:p>
        </w:tc>
        <w:tc>
          <w:tcPr>
            <w:tcW w:w="1344" w:type="dxa"/>
            <w:noWrap w:val="0"/>
            <w:vAlign w:val="center"/>
          </w:tcPr>
          <w:p w14:paraId="689A81BA">
            <w:pPr>
              <w:ind w:right="-35"/>
              <w:jc w:val="center"/>
              <w:rPr>
                <w:rFonts w:hint="eastAsia" w:ascii="仿宋" w:hAnsi="仿宋" w:eastAsia="仿宋" w:cs="仿宋"/>
                <w:szCs w:val="21"/>
                <w:highlight w:val="none"/>
              </w:rPr>
            </w:pPr>
          </w:p>
        </w:tc>
      </w:tr>
      <w:tr w14:paraId="1B8DD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3" w:type="dxa"/>
            <w:noWrap w:val="0"/>
            <w:vAlign w:val="center"/>
          </w:tcPr>
          <w:p w14:paraId="01BCF10F">
            <w:pPr>
              <w:jc w:val="center"/>
              <w:rPr>
                <w:rFonts w:hint="eastAsia" w:ascii="仿宋" w:hAnsi="仿宋" w:eastAsia="仿宋" w:cs="仿宋"/>
                <w:szCs w:val="21"/>
                <w:highlight w:val="none"/>
              </w:rPr>
            </w:pPr>
            <w:r>
              <w:rPr>
                <w:rFonts w:hint="eastAsia" w:ascii="仿宋" w:hAnsi="仿宋" w:eastAsia="仿宋" w:cs="仿宋"/>
                <w:szCs w:val="21"/>
                <w:highlight w:val="none"/>
              </w:rPr>
              <w:t>3</w:t>
            </w:r>
          </w:p>
        </w:tc>
        <w:tc>
          <w:tcPr>
            <w:tcW w:w="6165" w:type="dxa"/>
            <w:noWrap w:val="0"/>
            <w:vAlign w:val="center"/>
          </w:tcPr>
          <w:p w14:paraId="5A7DF563">
            <w:pPr>
              <w:adjustRightInd w:val="0"/>
              <w:snapToGrid w:val="0"/>
              <w:rPr>
                <w:rFonts w:hint="eastAsia" w:ascii="仿宋" w:hAnsi="仿宋" w:eastAsia="仿宋" w:cs="仿宋"/>
                <w:szCs w:val="21"/>
                <w:highlight w:val="none"/>
              </w:rPr>
            </w:pPr>
            <w:r>
              <w:rPr>
                <w:rFonts w:hint="eastAsia" w:ascii="仿宋_GB2312" w:hAnsi="仿宋_GB2312" w:eastAsia="仿宋_GB2312" w:cs="仿宋_GB2312"/>
                <w:b/>
                <w:sz w:val="18"/>
                <w:szCs w:val="18"/>
                <w:highlight w:val="none"/>
              </w:rPr>
              <w:t>★</w:t>
            </w:r>
            <w:r>
              <w:rPr>
                <w:rFonts w:hint="eastAsia" w:ascii="仿宋_GB2312" w:hAnsi="仿宋_GB2312" w:eastAsia="仿宋_GB2312" w:cs="仿宋_GB2312"/>
                <w:szCs w:val="21"/>
                <w:highlight w:val="none"/>
              </w:rPr>
              <w:t>付款方式及条件</w:t>
            </w:r>
          </w:p>
        </w:tc>
        <w:tc>
          <w:tcPr>
            <w:tcW w:w="886" w:type="dxa"/>
            <w:noWrap w:val="0"/>
            <w:vAlign w:val="center"/>
          </w:tcPr>
          <w:p w14:paraId="215C6372">
            <w:pPr>
              <w:jc w:val="center"/>
              <w:rPr>
                <w:rFonts w:hint="eastAsia" w:ascii="仿宋" w:hAnsi="仿宋" w:eastAsia="仿宋" w:cs="仿宋"/>
                <w:szCs w:val="21"/>
                <w:highlight w:val="none"/>
              </w:rPr>
            </w:pPr>
          </w:p>
        </w:tc>
        <w:tc>
          <w:tcPr>
            <w:tcW w:w="1344" w:type="dxa"/>
            <w:noWrap w:val="0"/>
            <w:vAlign w:val="center"/>
          </w:tcPr>
          <w:p w14:paraId="25F29813">
            <w:pPr>
              <w:ind w:right="-35"/>
              <w:jc w:val="center"/>
              <w:rPr>
                <w:rFonts w:hint="eastAsia" w:ascii="仿宋" w:hAnsi="仿宋" w:eastAsia="仿宋" w:cs="仿宋"/>
                <w:szCs w:val="21"/>
                <w:highlight w:val="none"/>
              </w:rPr>
            </w:pPr>
          </w:p>
        </w:tc>
      </w:tr>
      <w:tr w14:paraId="425AB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3" w:type="dxa"/>
            <w:noWrap w:val="0"/>
            <w:vAlign w:val="center"/>
          </w:tcPr>
          <w:p w14:paraId="1071B938">
            <w:pPr>
              <w:jc w:val="center"/>
              <w:rPr>
                <w:rFonts w:hint="eastAsia" w:ascii="仿宋" w:hAnsi="仿宋" w:eastAsia="仿宋" w:cs="仿宋"/>
                <w:szCs w:val="21"/>
                <w:highlight w:val="none"/>
              </w:rPr>
            </w:pPr>
            <w:r>
              <w:rPr>
                <w:rFonts w:hint="eastAsia" w:ascii="仿宋" w:hAnsi="仿宋" w:eastAsia="仿宋" w:cs="仿宋"/>
                <w:szCs w:val="21"/>
                <w:highlight w:val="none"/>
              </w:rPr>
              <w:t>4</w:t>
            </w:r>
          </w:p>
        </w:tc>
        <w:tc>
          <w:tcPr>
            <w:tcW w:w="6165" w:type="dxa"/>
            <w:noWrap w:val="0"/>
            <w:vAlign w:val="center"/>
          </w:tcPr>
          <w:p w14:paraId="5DD61548">
            <w:pPr>
              <w:adjustRightInd w:val="0"/>
              <w:snapToGrid w:val="0"/>
              <w:ind w:hanging="1" w:firstLineChars="0"/>
              <w:rPr>
                <w:rFonts w:hint="eastAsia" w:ascii="仿宋" w:hAnsi="仿宋" w:eastAsia="仿宋" w:cs="仿宋"/>
                <w:szCs w:val="21"/>
                <w:highlight w:val="none"/>
              </w:rPr>
            </w:pPr>
            <w:r>
              <w:rPr>
                <w:rFonts w:hint="eastAsia" w:ascii="仿宋_GB2312" w:hAnsi="仿宋_GB2312" w:eastAsia="仿宋_GB2312" w:cs="仿宋_GB2312"/>
                <w:szCs w:val="21"/>
                <w:highlight w:val="none"/>
              </w:rPr>
              <w:t>其它</w:t>
            </w:r>
          </w:p>
        </w:tc>
        <w:tc>
          <w:tcPr>
            <w:tcW w:w="886" w:type="dxa"/>
            <w:noWrap w:val="0"/>
            <w:vAlign w:val="center"/>
          </w:tcPr>
          <w:p w14:paraId="4EA94D77">
            <w:pPr>
              <w:jc w:val="center"/>
              <w:rPr>
                <w:rFonts w:hint="eastAsia" w:ascii="仿宋" w:hAnsi="仿宋" w:eastAsia="仿宋" w:cs="仿宋"/>
                <w:szCs w:val="21"/>
                <w:highlight w:val="none"/>
              </w:rPr>
            </w:pPr>
          </w:p>
        </w:tc>
        <w:tc>
          <w:tcPr>
            <w:tcW w:w="1344" w:type="dxa"/>
            <w:noWrap w:val="0"/>
            <w:vAlign w:val="center"/>
          </w:tcPr>
          <w:p w14:paraId="732CD4D6">
            <w:pPr>
              <w:ind w:right="-35"/>
              <w:jc w:val="center"/>
              <w:rPr>
                <w:rFonts w:hint="eastAsia" w:ascii="仿宋" w:hAnsi="仿宋" w:eastAsia="仿宋" w:cs="仿宋"/>
                <w:szCs w:val="21"/>
                <w:highlight w:val="none"/>
              </w:rPr>
            </w:pPr>
          </w:p>
        </w:tc>
      </w:tr>
      <w:tr w14:paraId="54AD1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3" w:type="dxa"/>
            <w:noWrap w:val="0"/>
            <w:vAlign w:val="center"/>
          </w:tcPr>
          <w:p w14:paraId="3FDC49A3">
            <w:pPr>
              <w:jc w:val="center"/>
              <w:rPr>
                <w:rFonts w:hint="eastAsia" w:ascii="仿宋" w:hAnsi="仿宋" w:eastAsia="仿宋" w:cs="仿宋"/>
                <w:szCs w:val="21"/>
                <w:highlight w:val="none"/>
                <w:lang w:eastAsia="zh-CN"/>
              </w:rPr>
            </w:pPr>
            <w:r>
              <w:rPr>
                <w:rFonts w:hint="eastAsia" w:ascii="仿宋" w:hAnsi="仿宋" w:eastAsia="仿宋" w:cs="仿宋"/>
                <w:szCs w:val="21"/>
                <w:highlight w:val="none"/>
                <w:lang w:val="en-US" w:eastAsia="zh-CN"/>
              </w:rPr>
              <w:t>5</w:t>
            </w:r>
          </w:p>
        </w:tc>
        <w:tc>
          <w:tcPr>
            <w:tcW w:w="8395" w:type="dxa"/>
            <w:gridSpan w:val="3"/>
            <w:noWrap w:val="0"/>
            <w:vAlign w:val="center"/>
          </w:tcPr>
          <w:p w14:paraId="34FEEDAC">
            <w:pPr>
              <w:rPr>
                <w:rFonts w:hint="eastAsia" w:ascii="仿宋" w:hAnsi="仿宋" w:eastAsia="仿宋" w:cs="仿宋"/>
                <w:szCs w:val="21"/>
                <w:highlight w:val="none"/>
              </w:rPr>
            </w:pPr>
            <w:r>
              <w:rPr>
                <w:rFonts w:hint="eastAsia" w:ascii="仿宋" w:hAnsi="仿宋" w:eastAsia="仿宋" w:cs="仿宋"/>
                <w:szCs w:val="21"/>
                <w:highlight w:val="none"/>
              </w:rPr>
              <w:t>其它商务条款偏离说明：</w:t>
            </w:r>
          </w:p>
        </w:tc>
      </w:tr>
    </w:tbl>
    <w:p w14:paraId="242C588E">
      <w:pPr>
        <w:pStyle w:val="113"/>
        <w:rPr>
          <w:rFonts w:hint="eastAsia" w:ascii="仿宋" w:hAnsi="仿宋" w:eastAsia="仿宋" w:cs="仿宋"/>
          <w:highlight w:val="none"/>
        </w:rPr>
      </w:pPr>
    </w:p>
    <w:tbl>
      <w:tblPr>
        <w:tblStyle w:val="41"/>
        <w:tblpPr w:leftFromText="180" w:rightFromText="180" w:vertAnchor="text" w:horzAnchor="page" w:tblpX="5867" w:tblpY="522"/>
        <w:tblOverlap w:val="never"/>
        <w:tblW w:w="0" w:type="auto"/>
        <w:tblInd w:w="0" w:type="dxa"/>
        <w:tblLayout w:type="fixed"/>
        <w:tblCellMar>
          <w:top w:w="0" w:type="dxa"/>
          <w:left w:w="108" w:type="dxa"/>
          <w:bottom w:w="0" w:type="dxa"/>
          <w:right w:w="108" w:type="dxa"/>
        </w:tblCellMar>
      </w:tblPr>
      <w:tblGrid>
        <w:gridCol w:w="4700"/>
      </w:tblGrid>
      <w:tr w14:paraId="115F1613">
        <w:trPr>
          <w:trHeight w:val="1911" w:hRule="atLeast"/>
        </w:trPr>
        <w:tc>
          <w:tcPr>
            <w:tcW w:w="4700" w:type="dxa"/>
            <w:noWrap w:val="0"/>
            <w:vAlign w:val="top"/>
          </w:tcPr>
          <w:p w14:paraId="4173B62A">
            <w:pPr>
              <w:pStyle w:val="39"/>
              <w:spacing w:line="360" w:lineRule="auto"/>
              <w:ind w:firstLine="0" w:firstLineChars="0"/>
              <w:rPr>
                <w:rFonts w:hint="eastAsia" w:ascii="仿宋" w:hAnsi="仿宋" w:eastAsia="仿宋" w:cs="仿宋"/>
                <w:bCs/>
                <w:sz w:val="24"/>
                <w:highlight w:val="none"/>
              </w:rPr>
            </w:pPr>
            <w:r>
              <w:rPr>
                <w:rFonts w:hint="eastAsia" w:ascii="仿宋" w:hAnsi="仿宋" w:eastAsia="仿宋" w:cs="仿宋"/>
                <w:bCs/>
                <w:sz w:val="24"/>
                <w:highlight w:val="none"/>
              </w:rPr>
              <w:t>投标人名称（加盖公章）：</w:t>
            </w:r>
          </w:p>
          <w:p w14:paraId="47AD994B">
            <w:pPr>
              <w:pStyle w:val="39"/>
              <w:spacing w:line="360" w:lineRule="auto"/>
              <w:ind w:firstLine="0" w:firstLineChars="0"/>
              <w:rPr>
                <w:rFonts w:hint="eastAsia" w:ascii="仿宋" w:hAnsi="仿宋" w:eastAsia="仿宋" w:cs="仿宋"/>
                <w:sz w:val="24"/>
                <w:highlight w:val="none"/>
              </w:rPr>
            </w:pPr>
            <w:r>
              <w:rPr>
                <w:rFonts w:hint="eastAsia" w:ascii="仿宋" w:hAnsi="仿宋" w:eastAsia="仿宋" w:cs="仿宋"/>
                <w:kern w:val="0"/>
                <w:sz w:val="24"/>
                <w:highlight w:val="none"/>
              </w:rPr>
              <w:t>代理（被授权人）签字或盖章：</w:t>
            </w:r>
          </w:p>
          <w:p w14:paraId="7CD03B1D">
            <w:pPr>
              <w:widowControl/>
              <w:adjustRightIn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日期：  年  月  日</w:t>
            </w:r>
          </w:p>
        </w:tc>
      </w:tr>
    </w:tbl>
    <w:p w14:paraId="6F523312">
      <w:pPr>
        <w:adjustRightInd w:val="0"/>
        <w:snapToGrid w:val="0"/>
        <w:spacing w:line="400" w:lineRule="exact"/>
        <w:jc w:val="left"/>
        <w:rPr>
          <w:rFonts w:hint="eastAsia" w:ascii="仿宋" w:hAnsi="仿宋" w:eastAsia="仿宋" w:cs="仿宋"/>
          <w:b/>
          <w:sz w:val="28"/>
          <w:szCs w:val="28"/>
          <w:highlight w:val="none"/>
        </w:rPr>
      </w:pPr>
      <w:r>
        <w:rPr>
          <w:rFonts w:hint="eastAsia" w:ascii="仿宋" w:hAnsi="仿宋" w:eastAsia="仿宋" w:cs="仿宋"/>
          <w:szCs w:val="21"/>
          <w:highlight w:val="none"/>
        </w:rPr>
        <w:br w:type="page"/>
      </w:r>
      <w:r>
        <w:rPr>
          <w:rFonts w:hint="eastAsia" w:ascii="仿宋" w:hAnsi="仿宋" w:eastAsia="仿宋" w:cs="仿宋"/>
          <w:b/>
          <w:sz w:val="28"/>
          <w:szCs w:val="28"/>
          <w:highlight w:val="none"/>
        </w:rPr>
        <w:t>附件5  技术参数（服务需求）偏离表</w:t>
      </w:r>
    </w:p>
    <w:p w14:paraId="3B6DBCE6">
      <w:pPr>
        <w:adjustRightInd w:val="0"/>
        <w:snapToGrid w:val="0"/>
        <w:spacing w:line="400" w:lineRule="exact"/>
        <w:jc w:val="left"/>
        <w:rPr>
          <w:rFonts w:hint="eastAsia" w:ascii="仿宋" w:hAnsi="仿宋" w:eastAsia="仿宋" w:cs="仿宋"/>
          <w:b/>
          <w:sz w:val="28"/>
          <w:szCs w:val="28"/>
          <w:highlight w:val="none"/>
        </w:rPr>
      </w:pPr>
    </w:p>
    <w:p w14:paraId="07DC6E6A">
      <w:pPr>
        <w:pStyle w:val="220"/>
        <w:spacing w:line="360" w:lineRule="auto"/>
        <w:ind w:left="960" w:hanging="960" w:hangingChars="400"/>
        <w:jc w:val="both"/>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项目名称： </w:t>
      </w:r>
      <w:r>
        <w:rPr>
          <w:rFonts w:hint="eastAsia" w:ascii="仿宋" w:hAnsi="仿宋" w:eastAsia="仿宋" w:cs="仿宋"/>
          <w:color w:val="auto"/>
          <w:sz w:val="24"/>
          <w:highlight w:val="none"/>
          <w:u w:val="single"/>
        </w:rPr>
        <w:t xml:space="preserve">                                       </w:t>
      </w:r>
    </w:p>
    <w:p w14:paraId="0C10B9C7">
      <w:pPr>
        <w:pStyle w:val="220"/>
        <w:spacing w:line="360" w:lineRule="auto"/>
        <w:ind w:left="960" w:hanging="960" w:hangingChars="400"/>
        <w:jc w:val="both"/>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项目编号： </w:t>
      </w:r>
      <w:r>
        <w:rPr>
          <w:rFonts w:hint="eastAsia" w:ascii="仿宋" w:hAnsi="仿宋" w:eastAsia="仿宋" w:cs="仿宋"/>
          <w:color w:val="auto"/>
          <w:sz w:val="24"/>
          <w:highlight w:val="none"/>
          <w:u w:val="single"/>
        </w:rPr>
        <w:t xml:space="preserve">                                       </w:t>
      </w:r>
    </w:p>
    <w:p w14:paraId="13774221">
      <w:pPr>
        <w:pStyle w:val="220"/>
        <w:spacing w:line="360" w:lineRule="auto"/>
        <w:ind w:left="960" w:hanging="960" w:hangingChars="40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所投包号： </w:t>
      </w:r>
      <w:r>
        <w:rPr>
          <w:rFonts w:hint="eastAsia" w:ascii="仿宋" w:hAnsi="仿宋" w:eastAsia="仿宋" w:cs="仿宋"/>
          <w:color w:val="auto"/>
          <w:sz w:val="24"/>
          <w:highlight w:val="none"/>
          <w:u w:val="single"/>
        </w:rPr>
        <w:t xml:space="preserve">                                       </w:t>
      </w:r>
    </w:p>
    <w:p w14:paraId="49CE9205">
      <w:pPr>
        <w:pStyle w:val="220"/>
        <w:spacing w:line="360" w:lineRule="auto"/>
        <w:ind w:left="960" w:hanging="960" w:hangingChars="40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4C92F672">
      <w:pPr>
        <w:spacing w:line="440" w:lineRule="exact"/>
        <w:jc w:val="left"/>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w:t>
      </w:r>
    </w:p>
    <w:p w14:paraId="7D83C9DD">
      <w:pPr>
        <w:pStyle w:val="19"/>
        <w:spacing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tbl>
      <w:tblPr>
        <w:tblStyle w:val="41"/>
        <w:tblW w:w="0" w:type="auto"/>
        <w:jc w:val="center"/>
        <w:tblLayout w:type="fixed"/>
        <w:tblCellMar>
          <w:top w:w="0" w:type="dxa"/>
          <w:left w:w="108" w:type="dxa"/>
          <w:bottom w:w="0" w:type="dxa"/>
          <w:right w:w="108" w:type="dxa"/>
        </w:tblCellMar>
      </w:tblPr>
      <w:tblGrid>
        <w:gridCol w:w="1068"/>
        <w:gridCol w:w="2334"/>
        <w:gridCol w:w="1701"/>
        <w:gridCol w:w="1971"/>
        <w:gridCol w:w="1619"/>
      </w:tblGrid>
      <w:tr w14:paraId="405685B2">
        <w:tblPrEx>
          <w:tblCellMar>
            <w:top w:w="0" w:type="dxa"/>
            <w:left w:w="108" w:type="dxa"/>
            <w:bottom w:w="0" w:type="dxa"/>
            <w:right w:w="108" w:type="dxa"/>
          </w:tblCellMar>
        </w:tblPrEx>
        <w:trPr>
          <w:trHeight w:val="747" w:hRule="atLeast"/>
          <w:jc w:val="center"/>
        </w:trPr>
        <w:tc>
          <w:tcPr>
            <w:tcW w:w="1068" w:type="dxa"/>
            <w:tcBorders>
              <w:top w:val="single" w:color="auto" w:sz="4" w:space="0"/>
              <w:left w:val="single" w:color="auto" w:sz="4" w:space="0"/>
              <w:bottom w:val="single" w:color="auto" w:sz="4" w:space="0"/>
              <w:right w:val="single" w:color="auto" w:sz="4" w:space="0"/>
            </w:tcBorders>
            <w:noWrap w:val="0"/>
            <w:vAlign w:val="center"/>
          </w:tcPr>
          <w:p w14:paraId="442A67FC">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序号</w:t>
            </w:r>
          </w:p>
        </w:tc>
        <w:tc>
          <w:tcPr>
            <w:tcW w:w="2334" w:type="dxa"/>
            <w:tcBorders>
              <w:top w:val="single" w:color="auto" w:sz="4" w:space="0"/>
              <w:left w:val="single" w:color="auto" w:sz="4" w:space="0"/>
              <w:bottom w:val="single" w:color="auto" w:sz="4" w:space="0"/>
              <w:right w:val="single" w:color="auto" w:sz="4" w:space="0"/>
            </w:tcBorders>
            <w:noWrap w:val="0"/>
            <w:vAlign w:val="center"/>
          </w:tcPr>
          <w:p w14:paraId="08E135A8">
            <w:pPr>
              <w:spacing w:line="360" w:lineRule="auto"/>
              <w:jc w:val="center"/>
              <w:rPr>
                <w:rFonts w:hint="eastAsia" w:ascii="仿宋" w:hAnsi="仿宋" w:eastAsia="仿宋" w:cs="仿宋"/>
                <w:sz w:val="24"/>
                <w:highlight w:val="none"/>
                <w:lang w:val="en-US" w:eastAsia="zh-CN"/>
              </w:rPr>
            </w:pPr>
            <w:r>
              <w:rPr>
                <w:rFonts w:hint="eastAsia" w:ascii="仿宋" w:hAnsi="仿宋" w:eastAsia="仿宋" w:cs="仿宋"/>
                <w:sz w:val="24"/>
                <w:highlight w:val="none"/>
              </w:rPr>
              <w:t>招标</w:t>
            </w:r>
            <w:r>
              <w:rPr>
                <w:rFonts w:hint="eastAsia" w:ascii="仿宋" w:hAnsi="仿宋" w:eastAsia="仿宋" w:cs="仿宋"/>
                <w:sz w:val="24"/>
                <w:highlight w:val="none"/>
                <w:lang w:eastAsia="zh-CN"/>
              </w:rPr>
              <w:t>要求</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2A97ECB6">
            <w:pPr>
              <w:spacing w:line="360" w:lineRule="auto"/>
              <w:jc w:val="center"/>
              <w:rPr>
                <w:rFonts w:hint="eastAsia" w:ascii="仿宋" w:hAnsi="仿宋" w:eastAsia="仿宋" w:cs="仿宋"/>
                <w:sz w:val="24"/>
                <w:highlight w:val="none"/>
                <w:lang w:eastAsia="zh-CN"/>
              </w:rPr>
            </w:pPr>
            <w:r>
              <w:rPr>
                <w:rFonts w:hint="eastAsia" w:ascii="仿宋" w:hAnsi="仿宋" w:eastAsia="仿宋" w:cs="仿宋"/>
                <w:sz w:val="24"/>
                <w:highlight w:val="none"/>
              </w:rPr>
              <w:t>投标</w:t>
            </w:r>
            <w:r>
              <w:rPr>
                <w:rFonts w:hint="eastAsia" w:ascii="仿宋" w:hAnsi="仿宋" w:eastAsia="仿宋" w:cs="仿宋"/>
                <w:sz w:val="24"/>
                <w:highlight w:val="none"/>
                <w:lang w:eastAsia="zh-CN"/>
              </w:rPr>
              <w:t>内容</w:t>
            </w:r>
          </w:p>
        </w:tc>
        <w:tc>
          <w:tcPr>
            <w:tcW w:w="1971" w:type="dxa"/>
            <w:tcBorders>
              <w:top w:val="single" w:color="auto" w:sz="4" w:space="0"/>
              <w:left w:val="single" w:color="auto" w:sz="4" w:space="0"/>
              <w:bottom w:val="single" w:color="auto" w:sz="4" w:space="0"/>
              <w:right w:val="single" w:color="auto" w:sz="4" w:space="0"/>
            </w:tcBorders>
            <w:noWrap w:val="0"/>
            <w:vAlign w:val="center"/>
          </w:tcPr>
          <w:p w14:paraId="46596387">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响应/偏离</w:t>
            </w:r>
          </w:p>
        </w:tc>
        <w:tc>
          <w:tcPr>
            <w:tcW w:w="1619" w:type="dxa"/>
            <w:tcBorders>
              <w:top w:val="single" w:color="auto" w:sz="4" w:space="0"/>
              <w:left w:val="single" w:color="auto" w:sz="4" w:space="0"/>
              <w:bottom w:val="single" w:color="auto" w:sz="4" w:space="0"/>
              <w:right w:val="single" w:color="auto" w:sz="4" w:space="0"/>
            </w:tcBorders>
            <w:noWrap w:val="0"/>
            <w:vAlign w:val="center"/>
          </w:tcPr>
          <w:p w14:paraId="78439CEA">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说明</w:t>
            </w:r>
          </w:p>
        </w:tc>
      </w:tr>
      <w:tr w14:paraId="6BD2534E">
        <w:tblPrEx>
          <w:tblCellMar>
            <w:top w:w="0" w:type="dxa"/>
            <w:left w:w="108" w:type="dxa"/>
            <w:bottom w:w="0" w:type="dxa"/>
            <w:right w:w="108" w:type="dxa"/>
          </w:tblCellMar>
        </w:tblPrEx>
        <w:trPr>
          <w:trHeight w:val="373" w:hRule="atLeast"/>
          <w:jc w:val="center"/>
        </w:trPr>
        <w:tc>
          <w:tcPr>
            <w:tcW w:w="1068" w:type="dxa"/>
            <w:tcBorders>
              <w:top w:val="single" w:color="auto" w:sz="4" w:space="0"/>
              <w:left w:val="single" w:color="auto" w:sz="4" w:space="0"/>
              <w:bottom w:val="single" w:color="auto" w:sz="4" w:space="0"/>
              <w:right w:val="single" w:color="auto" w:sz="4" w:space="0"/>
            </w:tcBorders>
            <w:noWrap w:val="0"/>
            <w:vAlign w:val="top"/>
          </w:tcPr>
          <w:p w14:paraId="52F96D58">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2334" w:type="dxa"/>
            <w:tcBorders>
              <w:top w:val="single" w:color="auto" w:sz="4" w:space="0"/>
              <w:left w:val="single" w:color="auto" w:sz="4" w:space="0"/>
              <w:bottom w:val="single" w:color="auto" w:sz="4" w:space="0"/>
              <w:right w:val="single" w:color="auto" w:sz="4" w:space="0"/>
            </w:tcBorders>
            <w:noWrap w:val="0"/>
            <w:vAlign w:val="top"/>
          </w:tcPr>
          <w:p w14:paraId="7AD5789B">
            <w:pPr>
              <w:spacing w:line="360" w:lineRule="auto"/>
              <w:rPr>
                <w:rFonts w:hint="eastAsia" w:ascii="仿宋" w:hAnsi="仿宋" w:eastAsia="仿宋" w:cs="仿宋"/>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414259FE">
            <w:pPr>
              <w:spacing w:line="360" w:lineRule="auto"/>
              <w:rPr>
                <w:rFonts w:hint="eastAsia" w:ascii="仿宋" w:hAnsi="仿宋" w:eastAsia="仿宋" w:cs="仿宋"/>
                <w:sz w:val="24"/>
                <w:highlight w:val="none"/>
              </w:rPr>
            </w:pPr>
          </w:p>
        </w:tc>
        <w:tc>
          <w:tcPr>
            <w:tcW w:w="1971" w:type="dxa"/>
            <w:tcBorders>
              <w:top w:val="single" w:color="auto" w:sz="4" w:space="0"/>
              <w:left w:val="single" w:color="auto" w:sz="4" w:space="0"/>
              <w:bottom w:val="single" w:color="auto" w:sz="4" w:space="0"/>
              <w:right w:val="single" w:color="auto" w:sz="4" w:space="0"/>
            </w:tcBorders>
            <w:noWrap w:val="0"/>
            <w:vAlign w:val="top"/>
          </w:tcPr>
          <w:p w14:paraId="5A484BE1">
            <w:pPr>
              <w:spacing w:line="360" w:lineRule="auto"/>
              <w:rPr>
                <w:rFonts w:hint="eastAsia" w:ascii="仿宋" w:hAnsi="仿宋" w:eastAsia="仿宋" w:cs="仿宋"/>
                <w:sz w:val="24"/>
                <w:highlight w:val="none"/>
              </w:rPr>
            </w:pPr>
          </w:p>
        </w:tc>
        <w:tc>
          <w:tcPr>
            <w:tcW w:w="1619" w:type="dxa"/>
            <w:tcBorders>
              <w:top w:val="single" w:color="auto" w:sz="4" w:space="0"/>
              <w:left w:val="single" w:color="auto" w:sz="4" w:space="0"/>
              <w:bottom w:val="single" w:color="auto" w:sz="4" w:space="0"/>
              <w:right w:val="single" w:color="auto" w:sz="4" w:space="0"/>
            </w:tcBorders>
            <w:noWrap w:val="0"/>
            <w:vAlign w:val="top"/>
          </w:tcPr>
          <w:p w14:paraId="6F7594CE">
            <w:pPr>
              <w:spacing w:line="360" w:lineRule="auto"/>
              <w:rPr>
                <w:rFonts w:hint="eastAsia" w:ascii="仿宋" w:hAnsi="仿宋" w:eastAsia="仿宋" w:cs="仿宋"/>
                <w:sz w:val="24"/>
                <w:highlight w:val="none"/>
              </w:rPr>
            </w:pPr>
          </w:p>
        </w:tc>
      </w:tr>
      <w:tr w14:paraId="38E69B7D">
        <w:tblPrEx>
          <w:tblCellMar>
            <w:top w:w="0" w:type="dxa"/>
            <w:left w:w="108" w:type="dxa"/>
            <w:bottom w:w="0" w:type="dxa"/>
            <w:right w:w="108" w:type="dxa"/>
          </w:tblCellMar>
        </w:tblPrEx>
        <w:trPr>
          <w:trHeight w:val="353" w:hRule="atLeast"/>
          <w:jc w:val="center"/>
        </w:trPr>
        <w:tc>
          <w:tcPr>
            <w:tcW w:w="1068" w:type="dxa"/>
            <w:tcBorders>
              <w:top w:val="single" w:color="auto" w:sz="4" w:space="0"/>
              <w:left w:val="single" w:color="auto" w:sz="4" w:space="0"/>
              <w:bottom w:val="single" w:color="auto" w:sz="4" w:space="0"/>
              <w:right w:val="single" w:color="auto" w:sz="4" w:space="0"/>
            </w:tcBorders>
            <w:noWrap w:val="0"/>
            <w:vAlign w:val="top"/>
          </w:tcPr>
          <w:p w14:paraId="41813212">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2334" w:type="dxa"/>
            <w:tcBorders>
              <w:top w:val="single" w:color="auto" w:sz="4" w:space="0"/>
              <w:left w:val="single" w:color="auto" w:sz="4" w:space="0"/>
              <w:bottom w:val="single" w:color="auto" w:sz="4" w:space="0"/>
              <w:right w:val="single" w:color="auto" w:sz="4" w:space="0"/>
            </w:tcBorders>
            <w:noWrap w:val="0"/>
            <w:vAlign w:val="top"/>
          </w:tcPr>
          <w:p w14:paraId="79E3D0E0">
            <w:pPr>
              <w:spacing w:line="360" w:lineRule="auto"/>
              <w:rPr>
                <w:rFonts w:hint="eastAsia" w:ascii="仿宋" w:hAnsi="仿宋" w:eastAsia="仿宋" w:cs="仿宋"/>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4E00AC59">
            <w:pPr>
              <w:spacing w:line="360" w:lineRule="auto"/>
              <w:rPr>
                <w:rFonts w:hint="eastAsia" w:ascii="仿宋" w:hAnsi="仿宋" w:eastAsia="仿宋" w:cs="仿宋"/>
                <w:sz w:val="24"/>
                <w:highlight w:val="none"/>
              </w:rPr>
            </w:pPr>
          </w:p>
        </w:tc>
        <w:tc>
          <w:tcPr>
            <w:tcW w:w="1971" w:type="dxa"/>
            <w:tcBorders>
              <w:top w:val="single" w:color="auto" w:sz="4" w:space="0"/>
              <w:left w:val="single" w:color="auto" w:sz="4" w:space="0"/>
              <w:bottom w:val="single" w:color="auto" w:sz="4" w:space="0"/>
              <w:right w:val="single" w:color="auto" w:sz="4" w:space="0"/>
            </w:tcBorders>
            <w:noWrap w:val="0"/>
            <w:vAlign w:val="top"/>
          </w:tcPr>
          <w:p w14:paraId="54FF374C">
            <w:pPr>
              <w:spacing w:line="360" w:lineRule="auto"/>
              <w:rPr>
                <w:rFonts w:hint="eastAsia" w:ascii="仿宋" w:hAnsi="仿宋" w:eastAsia="仿宋" w:cs="仿宋"/>
                <w:sz w:val="24"/>
                <w:highlight w:val="none"/>
              </w:rPr>
            </w:pPr>
          </w:p>
        </w:tc>
        <w:tc>
          <w:tcPr>
            <w:tcW w:w="1619" w:type="dxa"/>
            <w:tcBorders>
              <w:top w:val="single" w:color="auto" w:sz="4" w:space="0"/>
              <w:left w:val="single" w:color="auto" w:sz="4" w:space="0"/>
              <w:bottom w:val="single" w:color="auto" w:sz="4" w:space="0"/>
              <w:right w:val="single" w:color="auto" w:sz="4" w:space="0"/>
            </w:tcBorders>
            <w:noWrap w:val="0"/>
            <w:vAlign w:val="top"/>
          </w:tcPr>
          <w:p w14:paraId="153DAE2C">
            <w:pPr>
              <w:spacing w:line="360" w:lineRule="auto"/>
              <w:rPr>
                <w:rFonts w:hint="eastAsia" w:ascii="仿宋" w:hAnsi="仿宋" w:eastAsia="仿宋" w:cs="仿宋"/>
                <w:sz w:val="24"/>
                <w:highlight w:val="none"/>
              </w:rPr>
            </w:pPr>
          </w:p>
        </w:tc>
      </w:tr>
      <w:tr w14:paraId="2775259F">
        <w:tblPrEx>
          <w:tblCellMar>
            <w:top w:w="0" w:type="dxa"/>
            <w:left w:w="108" w:type="dxa"/>
            <w:bottom w:w="0" w:type="dxa"/>
            <w:right w:w="108" w:type="dxa"/>
          </w:tblCellMar>
        </w:tblPrEx>
        <w:trPr>
          <w:trHeight w:val="373" w:hRule="atLeast"/>
          <w:jc w:val="center"/>
        </w:trPr>
        <w:tc>
          <w:tcPr>
            <w:tcW w:w="1068" w:type="dxa"/>
            <w:tcBorders>
              <w:top w:val="single" w:color="auto" w:sz="4" w:space="0"/>
              <w:left w:val="single" w:color="auto" w:sz="4" w:space="0"/>
              <w:bottom w:val="single" w:color="auto" w:sz="4" w:space="0"/>
              <w:right w:val="single" w:color="auto" w:sz="4" w:space="0"/>
            </w:tcBorders>
            <w:noWrap w:val="0"/>
            <w:vAlign w:val="top"/>
          </w:tcPr>
          <w:p w14:paraId="487F77EB">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3</w:t>
            </w:r>
          </w:p>
        </w:tc>
        <w:tc>
          <w:tcPr>
            <w:tcW w:w="2334" w:type="dxa"/>
            <w:tcBorders>
              <w:top w:val="single" w:color="auto" w:sz="4" w:space="0"/>
              <w:left w:val="single" w:color="auto" w:sz="4" w:space="0"/>
              <w:bottom w:val="single" w:color="auto" w:sz="4" w:space="0"/>
              <w:right w:val="single" w:color="auto" w:sz="4" w:space="0"/>
            </w:tcBorders>
            <w:noWrap w:val="0"/>
            <w:vAlign w:val="top"/>
          </w:tcPr>
          <w:p w14:paraId="4071CE3A">
            <w:pPr>
              <w:spacing w:line="360" w:lineRule="auto"/>
              <w:rPr>
                <w:rFonts w:hint="eastAsia" w:ascii="仿宋" w:hAnsi="仿宋" w:eastAsia="仿宋" w:cs="仿宋"/>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62C085F0">
            <w:pPr>
              <w:spacing w:line="360" w:lineRule="auto"/>
              <w:rPr>
                <w:rFonts w:hint="eastAsia" w:ascii="仿宋" w:hAnsi="仿宋" w:eastAsia="仿宋" w:cs="仿宋"/>
                <w:sz w:val="24"/>
                <w:highlight w:val="none"/>
              </w:rPr>
            </w:pPr>
          </w:p>
        </w:tc>
        <w:tc>
          <w:tcPr>
            <w:tcW w:w="1971" w:type="dxa"/>
            <w:tcBorders>
              <w:top w:val="single" w:color="auto" w:sz="4" w:space="0"/>
              <w:left w:val="single" w:color="auto" w:sz="4" w:space="0"/>
              <w:bottom w:val="single" w:color="auto" w:sz="4" w:space="0"/>
              <w:right w:val="single" w:color="auto" w:sz="4" w:space="0"/>
            </w:tcBorders>
            <w:noWrap w:val="0"/>
            <w:vAlign w:val="top"/>
          </w:tcPr>
          <w:p w14:paraId="0D95852D">
            <w:pPr>
              <w:spacing w:line="360" w:lineRule="auto"/>
              <w:rPr>
                <w:rFonts w:hint="eastAsia" w:ascii="仿宋" w:hAnsi="仿宋" w:eastAsia="仿宋" w:cs="仿宋"/>
                <w:sz w:val="24"/>
                <w:highlight w:val="none"/>
              </w:rPr>
            </w:pPr>
          </w:p>
        </w:tc>
        <w:tc>
          <w:tcPr>
            <w:tcW w:w="1619" w:type="dxa"/>
            <w:tcBorders>
              <w:top w:val="single" w:color="auto" w:sz="4" w:space="0"/>
              <w:left w:val="single" w:color="auto" w:sz="4" w:space="0"/>
              <w:bottom w:val="single" w:color="auto" w:sz="4" w:space="0"/>
              <w:right w:val="single" w:color="auto" w:sz="4" w:space="0"/>
            </w:tcBorders>
            <w:noWrap w:val="0"/>
            <w:vAlign w:val="top"/>
          </w:tcPr>
          <w:p w14:paraId="7EE6C88F">
            <w:pPr>
              <w:spacing w:line="360" w:lineRule="auto"/>
              <w:rPr>
                <w:rFonts w:hint="eastAsia" w:ascii="仿宋" w:hAnsi="仿宋" w:eastAsia="仿宋" w:cs="仿宋"/>
                <w:sz w:val="24"/>
                <w:highlight w:val="none"/>
              </w:rPr>
            </w:pPr>
          </w:p>
        </w:tc>
      </w:tr>
      <w:tr w14:paraId="57176134">
        <w:tblPrEx>
          <w:tblCellMar>
            <w:top w:w="0" w:type="dxa"/>
            <w:left w:w="108" w:type="dxa"/>
            <w:bottom w:w="0" w:type="dxa"/>
            <w:right w:w="108" w:type="dxa"/>
          </w:tblCellMar>
        </w:tblPrEx>
        <w:trPr>
          <w:trHeight w:val="373" w:hRule="atLeast"/>
          <w:jc w:val="center"/>
        </w:trPr>
        <w:tc>
          <w:tcPr>
            <w:tcW w:w="1068" w:type="dxa"/>
            <w:tcBorders>
              <w:top w:val="single" w:color="auto" w:sz="4" w:space="0"/>
              <w:left w:val="single" w:color="auto" w:sz="4" w:space="0"/>
              <w:bottom w:val="single" w:color="auto" w:sz="4" w:space="0"/>
              <w:right w:val="single" w:color="auto" w:sz="4" w:space="0"/>
            </w:tcBorders>
            <w:noWrap w:val="0"/>
            <w:vAlign w:val="top"/>
          </w:tcPr>
          <w:p w14:paraId="13627BA2">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w:t>
            </w:r>
          </w:p>
        </w:tc>
        <w:tc>
          <w:tcPr>
            <w:tcW w:w="2334" w:type="dxa"/>
            <w:tcBorders>
              <w:top w:val="single" w:color="auto" w:sz="4" w:space="0"/>
              <w:left w:val="single" w:color="auto" w:sz="4" w:space="0"/>
              <w:bottom w:val="single" w:color="auto" w:sz="4" w:space="0"/>
              <w:right w:val="single" w:color="auto" w:sz="4" w:space="0"/>
            </w:tcBorders>
            <w:noWrap w:val="0"/>
            <w:vAlign w:val="top"/>
          </w:tcPr>
          <w:p w14:paraId="39994990">
            <w:pPr>
              <w:spacing w:line="360" w:lineRule="auto"/>
              <w:rPr>
                <w:rFonts w:hint="eastAsia" w:ascii="仿宋" w:hAnsi="仿宋" w:eastAsia="仿宋" w:cs="仿宋"/>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257A8BD2">
            <w:pPr>
              <w:spacing w:line="360" w:lineRule="auto"/>
              <w:rPr>
                <w:rFonts w:hint="eastAsia" w:ascii="仿宋" w:hAnsi="仿宋" w:eastAsia="仿宋" w:cs="仿宋"/>
                <w:sz w:val="24"/>
                <w:highlight w:val="none"/>
              </w:rPr>
            </w:pPr>
          </w:p>
        </w:tc>
        <w:tc>
          <w:tcPr>
            <w:tcW w:w="1971" w:type="dxa"/>
            <w:tcBorders>
              <w:top w:val="single" w:color="auto" w:sz="4" w:space="0"/>
              <w:left w:val="single" w:color="auto" w:sz="4" w:space="0"/>
              <w:bottom w:val="single" w:color="auto" w:sz="4" w:space="0"/>
              <w:right w:val="single" w:color="auto" w:sz="4" w:space="0"/>
            </w:tcBorders>
            <w:noWrap w:val="0"/>
            <w:vAlign w:val="top"/>
          </w:tcPr>
          <w:p w14:paraId="41846C75">
            <w:pPr>
              <w:spacing w:line="360" w:lineRule="auto"/>
              <w:rPr>
                <w:rFonts w:hint="eastAsia" w:ascii="仿宋" w:hAnsi="仿宋" w:eastAsia="仿宋" w:cs="仿宋"/>
                <w:sz w:val="24"/>
                <w:highlight w:val="none"/>
              </w:rPr>
            </w:pPr>
          </w:p>
        </w:tc>
        <w:tc>
          <w:tcPr>
            <w:tcW w:w="1619" w:type="dxa"/>
            <w:tcBorders>
              <w:top w:val="single" w:color="auto" w:sz="4" w:space="0"/>
              <w:left w:val="single" w:color="auto" w:sz="4" w:space="0"/>
              <w:bottom w:val="single" w:color="auto" w:sz="4" w:space="0"/>
              <w:right w:val="single" w:color="auto" w:sz="4" w:space="0"/>
            </w:tcBorders>
            <w:noWrap w:val="0"/>
            <w:vAlign w:val="top"/>
          </w:tcPr>
          <w:p w14:paraId="47489858">
            <w:pPr>
              <w:spacing w:line="360" w:lineRule="auto"/>
              <w:rPr>
                <w:rFonts w:hint="eastAsia" w:ascii="仿宋" w:hAnsi="仿宋" w:eastAsia="仿宋" w:cs="仿宋"/>
                <w:sz w:val="24"/>
                <w:highlight w:val="none"/>
              </w:rPr>
            </w:pPr>
          </w:p>
        </w:tc>
      </w:tr>
    </w:tbl>
    <w:p w14:paraId="4A001103">
      <w:pPr>
        <w:adjustRightInd w:val="0"/>
        <w:snapToGrid w:val="0"/>
        <w:spacing w:line="360" w:lineRule="auto"/>
        <w:ind w:right="105" w:rightChars="50"/>
        <w:jc w:val="left"/>
        <w:rPr>
          <w:rFonts w:hint="eastAsia" w:ascii="仿宋" w:hAnsi="仿宋" w:eastAsia="仿宋" w:cs="仿宋"/>
          <w:b/>
          <w:szCs w:val="21"/>
          <w:highlight w:val="none"/>
        </w:rPr>
      </w:pPr>
    </w:p>
    <w:tbl>
      <w:tblPr>
        <w:tblStyle w:val="41"/>
        <w:tblpPr w:leftFromText="180" w:rightFromText="180" w:vertAnchor="text" w:horzAnchor="page" w:tblpX="5463" w:tblpY="429"/>
        <w:tblOverlap w:val="never"/>
        <w:tblW w:w="0" w:type="auto"/>
        <w:tblInd w:w="0" w:type="dxa"/>
        <w:tblLayout w:type="fixed"/>
        <w:tblCellMar>
          <w:top w:w="0" w:type="dxa"/>
          <w:left w:w="108" w:type="dxa"/>
          <w:bottom w:w="0" w:type="dxa"/>
          <w:right w:w="108" w:type="dxa"/>
        </w:tblCellMar>
      </w:tblPr>
      <w:tblGrid>
        <w:gridCol w:w="4700"/>
      </w:tblGrid>
      <w:tr w14:paraId="4B6BB48B">
        <w:tblPrEx>
          <w:tblCellMar>
            <w:top w:w="0" w:type="dxa"/>
            <w:left w:w="108" w:type="dxa"/>
            <w:bottom w:w="0" w:type="dxa"/>
            <w:right w:w="108" w:type="dxa"/>
          </w:tblCellMar>
        </w:tblPrEx>
        <w:trPr>
          <w:trHeight w:val="1911" w:hRule="atLeast"/>
        </w:trPr>
        <w:tc>
          <w:tcPr>
            <w:tcW w:w="4700" w:type="dxa"/>
            <w:noWrap w:val="0"/>
            <w:vAlign w:val="top"/>
          </w:tcPr>
          <w:p w14:paraId="7B70A949">
            <w:pPr>
              <w:pStyle w:val="39"/>
              <w:spacing w:line="360" w:lineRule="auto"/>
              <w:ind w:firstLine="0" w:firstLineChars="0"/>
              <w:rPr>
                <w:rFonts w:hint="eastAsia" w:ascii="仿宋" w:hAnsi="仿宋" w:eastAsia="仿宋" w:cs="仿宋"/>
                <w:bCs/>
                <w:sz w:val="24"/>
                <w:highlight w:val="none"/>
              </w:rPr>
            </w:pPr>
            <w:r>
              <w:rPr>
                <w:rFonts w:hint="eastAsia" w:ascii="仿宋" w:hAnsi="仿宋" w:eastAsia="仿宋" w:cs="仿宋"/>
                <w:bCs/>
                <w:sz w:val="24"/>
                <w:highlight w:val="none"/>
              </w:rPr>
              <w:t>投标人名称（加盖公章）：</w:t>
            </w:r>
          </w:p>
          <w:p w14:paraId="67D46B12">
            <w:pPr>
              <w:pStyle w:val="39"/>
              <w:spacing w:line="360" w:lineRule="auto"/>
              <w:ind w:firstLine="0" w:firstLineChars="0"/>
              <w:rPr>
                <w:rFonts w:hint="eastAsia" w:ascii="仿宋" w:hAnsi="仿宋" w:eastAsia="仿宋" w:cs="仿宋"/>
                <w:sz w:val="24"/>
                <w:highlight w:val="none"/>
              </w:rPr>
            </w:pPr>
            <w:r>
              <w:rPr>
                <w:rFonts w:hint="eastAsia" w:ascii="仿宋" w:hAnsi="仿宋" w:eastAsia="仿宋" w:cs="仿宋"/>
                <w:kern w:val="0"/>
                <w:sz w:val="24"/>
                <w:highlight w:val="none"/>
              </w:rPr>
              <w:t>代理（被授权人）签字或盖章：</w:t>
            </w:r>
          </w:p>
          <w:p w14:paraId="725C379C">
            <w:pPr>
              <w:widowControl/>
              <w:adjustRightIn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日期：  年    月    日</w:t>
            </w:r>
          </w:p>
        </w:tc>
      </w:tr>
    </w:tbl>
    <w:p w14:paraId="3630C12F">
      <w:pPr>
        <w:spacing w:line="440" w:lineRule="exact"/>
        <w:rPr>
          <w:rFonts w:hint="eastAsia" w:ascii="仿宋" w:hAnsi="仿宋" w:eastAsia="仿宋" w:cs="仿宋"/>
          <w:szCs w:val="21"/>
          <w:highlight w:val="none"/>
        </w:rPr>
      </w:pPr>
    </w:p>
    <w:p w14:paraId="309F5D75">
      <w:pPr>
        <w:spacing w:line="440" w:lineRule="exact"/>
        <w:rPr>
          <w:rFonts w:hint="eastAsia" w:ascii="仿宋" w:hAnsi="仿宋" w:eastAsia="仿宋" w:cs="仿宋"/>
          <w:szCs w:val="21"/>
          <w:highlight w:val="none"/>
        </w:rPr>
      </w:pPr>
    </w:p>
    <w:p w14:paraId="2849D2A1">
      <w:pPr>
        <w:spacing w:line="440" w:lineRule="exact"/>
        <w:rPr>
          <w:rFonts w:hint="eastAsia" w:ascii="仿宋" w:hAnsi="仿宋" w:eastAsia="仿宋" w:cs="仿宋"/>
          <w:szCs w:val="21"/>
          <w:highlight w:val="none"/>
        </w:rPr>
      </w:pPr>
    </w:p>
    <w:p w14:paraId="342E9A3F">
      <w:pPr>
        <w:spacing w:line="440" w:lineRule="exact"/>
        <w:rPr>
          <w:rFonts w:hint="eastAsia" w:ascii="仿宋" w:hAnsi="仿宋" w:eastAsia="仿宋" w:cs="仿宋"/>
          <w:szCs w:val="21"/>
          <w:highlight w:val="none"/>
        </w:rPr>
      </w:pPr>
    </w:p>
    <w:p w14:paraId="79F09589">
      <w:pPr>
        <w:spacing w:line="440" w:lineRule="exact"/>
        <w:rPr>
          <w:rFonts w:hint="eastAsia" w:ascii="仿宋" w:hAnsi="仿宋" w:eastAsia="仿宋" w:cs="仿宋"/>
          <w:szCs w:val="21"/>
          <w:highlight w:val="none"/>
        </w:rPr>
      </w:pPr>
    </w:p>
    <w:p w14:paraId="7730BA83">
      <w:pPr>
        <w:spacing w:line="440" w:lineRule="exact"/>
        <w:jc w:val="left"/>
        <w:rPr>
          <w:rFonts w:hint="eastAsia" w:ascii="仿宋" w:hAnsi="仿宋" w:eastAsia="仿宋" w:cs="仿宋"/>
          <w:b/>
          <w:bCs/>
          <w:sz w:val="28"/>
          <w:szCs w:val="28"/>
          <w:highlight w:val="none"/>
        </w:rPr>
      </w:pPr>
      <w:r>
        <w:rPr>
          <w:rFonts w:hint="eastAsia" w:ascii="仿宋" w:hAnsi="仿宋" w:eastAsia="仿宋" w:cs="仿宋"/>
          <w:szCs w:val="21"/>
          <w:highlight w:val="none"/>
        </w:rPr>
        <w:br w:type="page"/>
      </w:r>
      <w:r>
        <w:rPr>
          <w:rFonts w:hint="eastAsia" w:ascii="仿宋" w:hAnsi="仿宋" w:eastAsia="仿宋" w:cs="仿宋"/>
          <w:b/>
          <w:bCs/>
          <w:sz w:val="28"/>
          <w:szCs w:val="28"/>
          <w:highlight w:val="none"/>
        </w:rPr>
        <w:t>附件6  近三年经营业绩表</w:t>
      </w:r>
    </w:p>
    <w:p w14:paraId="27297911">
      <w:pPr>
        <w:spacing w:line="440" w:lineRule="exact"/>
        <w:rPr>
          <w:rFonts w:hint="eastAsia" w:ascii="仿宋" w:hAnsi="仿宋" w:eastAsia="仿宋" w:cs="仿宋"/>
          <w:b/>
          <w:sz w:val="32"/>
          <w:szCs w:val="32"/>
          <w:highlight w:val="none"/>
        </w:rPr>
      </w:pPr>
    </w:p>
    <w:p w14:paraId="2870A7B4">
      <w:pPr>
        <w:pStyle w:val="220"/>
        <w:spacing w:line="360" w:lineRule="auto"/>
        <w:ind w:left="210" w:leftChars="-86" w:hanging="391" w:hangingChars="163"/>
        <w:jc w:val="both"/>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项目名称： </w:t>
      </w:r>
      <w:r>
        <w:rPr>
          <w:rFonts w:hint="eastAsia" w:ascii="仿宋" w:hAnsi="仿宋" w:eastAsia="仿宋" w:cs="仿宋"/>
          <w:color w:val="auto"/>
          <w:sz w:val="24"/>
          <w:highlight w:val="none"/>
          <w:u w:val="single"/>
        </w:rPr>
        <w:t xml:space="preserve">                                       </w:t>
      </w:r>
    </w:p>
    <w:p w14:paraId="3EDDA4C6">
      <w:pPr>
        <w:pStyle w:val="220"/>
        <w:spacing w:line="360" w:lineRule="auto"/>
        <w:ind w:left="210" w:leftChars="-86" w:hanging="391" w:hangingChars="163"/>
        <w:jc w:val="both"/>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项目编号： </w:t>
      </w:r>
      <w:r>
        <w:rPr>
          <w:rFonts w:hint="eastAsia" w:ascii="仿宋" w:hAnsi="仿宋" w:eastAsia="仿宋" w:cs="仿宋"/>
          <w:color w:val="auto"/>
          <w:sz w:val="24"/>
          <w:highlight w:val="none"/>
          <w:u w:val="single"/>
        </w:rPr>
        <w:t xml:space="preserve">                                       </w:t>
      </w:r>
    </w:p>
    <w:p w14:paraId="005D99C4">
      <w:pPr>
        <w:pStyle w:val="220"/>
        <w:spacing w:line="360" w:lineRule="auto"/>
        <w:ind w:left="210" w:leftChars="-86" w:hanging="391" w:hangingChars="163"/>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所投包号： </w:t>
      </w:r>
      <w:r>
        <w:rPr>
          <w:rFonts w:hint="eastAsia" w:ascii="仿宋" w:hAnsi="仿宋" w:eastAsia="仿宋" w:cs="仿宋"/>
          <w:color w:val="auto"/>
          <w:sz w:val="24"/>
          <w:highlight w:val="none"/>
          <w:u w:val="single"/>
        </w:rPr>
        <w:t xml:space="preserve">                                       </w:t>
      </w:r>
    </w:p>
    <w:p w14:paraId="23268B19">
      <w:pPr>
        <w:pStyle w:val="220"/>
        <w:spacing w:line="360" w:lineRule="auto"/>
        <w:ind w:left="210" w:leftChars="-86" w:hanging="391" w:hangingChars="163"/>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3036352C">
      <w:pPr>
        <w:spacing w:line="440" w:lineRule="exact"/>
        <w:rPr>
          <w:rFonts w:hint="eastAsia" w:ascii="仿宋" w:hAnsi="仿宋" w:eastAsia="仿宋" w:cs="仿宋"/>
          <w:sz w:val="24"/>
          <w:highlight w:val="none"/>
          <w:u w:val="single"/>
        </w:rPr>
      </w:pP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8"/>
        <w:gridCol w:w="3763"/>
        <w:gridCol w:w="2154"/>
        <w:gridCol w:w="1719"/>
      </w:tblGrid>
      <w:tr w14:paraId="2FE6D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218" w:type="dxa"/>
            <w:noWrap w:val="0"/>
            <w:vAlign w:val="top"/>
          </w:tcPr>
          <w:p w14:paraId="19C75616">
            <w:pPr>
              <w:spacing w:line="440" w:lineRule="exact"/>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序号</w:t>
            </w:r>
          </w:p>
        </w:tc>
        <w:tc>
          <w:tcPr>
            <w:tcW w:w="3763" w:type="dxa"/>
            <w:noWrap w:val="0"/>
            <w:vAlign w:val="top"/>
          </w:tcPr>
          <w:p w14:paraId="46658138">
            <w:pPr>
              <w:spacing w:line="440" w:lineRule="exact"/>
              <w:jc w:val="center"/>
              <w:rPr>
                <w:rFonts w:hint="eastAsia" w:ascii="仿宋" w:hAnsi="仿宋" w:eastAsia="仿宋" w:cs="仿宋"/>
                <w:sz w:val="24"/>
                <w:highlight w:val="none"/>
              </w:rPr>
            </w:pPr>
            <w:r>
              <w:rPr>
                <w:rFonts w:hint="eastAsia" w:ascii="仿宋" w:hAnsi="仿宋" w:eastAsia="仿宋" w:cs="仿宋"/>
                <w:sz w:val="24"/>
                <w:highlight w:val="none"/>
              </w:rPr>
              <w:t>项目名称</w:t>
            </w:r>
          </w:p>
        </w:tc>
        <w:tc>
          <w:tcPr>
            <w:tcW w:w="2154" w:type="dxa"/>
            <w:noWrap w:val="0"/>
            <w:vAlign w:val="top"/>
          </w:tcPr>
          <w:p w14:paraId="09D3936D">
            <w:pPr>
              <w:spacing w:line="440" w:lineRule="exact"/>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合同</w:t>
            </w:r>
            <w:r>
              <w:rPr>
                <w:rFonts w:hint="eastAsia" w:ascii="仿宋" w:hAnsi="仿宋" w:eastAsia="仿宋" w:cs="仿宋"/>
                <w:sz w:val="24"/>
                <w:highlight w:val="none"/>
              </w:rPr>
              <w:t>金额</w:t>
            </w:r>
          </w:p>
        </w:tc>
        <w:tc>
          <w:tcPr>
            <w:tcW w:w="1719" w:type="dxa"/>
            <w:noWrap w:val="0"/>
            <w:vAlign w:val="top"/>
          </w:tcPr>
          <w:p w14:paraId="13EDE767">
            <w:pPr>
              <w:spacing w:line="440" w:lineRule="exact"/>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合同签订</w:t>
            </w:r>
            <w:r>
              <w:rPr>
                <w:rFonts w:hint="eastAsia" w:ascii="仿宋" w:hAnsi="仿宋" w:eastAsia="仿宋" w:cs="仿宋"/>
                <w:sz w:val="24"/>
                <w:highlight w:val="none"/>
              </w:rPr>
              <w:t>日期</w:t>
            </w:r>
          </w:p>
        </w:tc>
      </w:tr>
      <w:tr w14:paraId="59A0E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218" w:type="dxa"/>
            <w:noWrap w:val="0"/>
            <w:vAlign w:val="top"/>
          </w:tcPr>
          <w:p w14:paraId="0F79A76A">
            <w:pPr>
              <w:spacing w:line="440" w:lineRule="exact"/>
              <w:jc w:val="center"/>
              <w:rPr>
                <w:rFonts w:hint="eastAsia" w:ascii="仿宋" w:hAnsi="仿宋" w:eastAsia="仿宋" w:cs="仿宋"/>
                <w:sz w:val="24"/>
                <w:highlight w:val="none"/>
              </w:rPr>
            </w:pPr>
          </w:p>
        </w:tc>
        <w:tc>
          <w:tcPr>
            <w:tcW w:w="3763" w:type="dxa"/>
            <w:noWrap w:val="0"/>
            <w:vAlign w:val="top"/>
          </w:tcPr>
          <w:p w14:paraId="4CFB7B95">
            <w:pPr>
              <w:spacing w:line="440" w:lineRule="exact"/>
              <w:jc w:val="center"/>
              <w:rPr>
                <w:rFonts w:hint="eastAsia" w:ascii="仿宋" w:hAnsi="仿宋" w:eastAsia="仿宋" w:cs="仿宋"/>
                <w:sz w:val="24"/>
                <w:highlight w:val="none"/>
              </w:rPr>
            </w:pPr>
          </w:p>
        </w:tc>
        <w:tc>
          <w:tcPr>
            <w:tcW w:w="2154" w:type="dxa"/>
            <w:noWrap w:val="0"/>
            <w:vAlign w:val="top"/>
          </w:tcPr>
          <w:p w14:paraId="7DB96CF2">
            <w:pPr>
              <w:spacing w:line="440" w:lineRule="exact"/>
              <w:jc w:val="center"/>
              <w:rPr>
                <w:rFonts w:hint="eastAsia" w:ascii="仿宋" w:hAnsi="仿宋" w:eastAsia="仿宋" w:cs="仿宋"/>
                <w:sz w:val="24"/>
                <w:highlight w:val="none"/>
              </w:rPr>
            </w:pPr>
          </w:p>
        </w:tc>
        <w:tc>
          <w:tcPr>
            <w:tcW w:w="1719" w:type="dxa"/>
            <w:noWrap w:val="0"/>
            <w:vAlign w:val="top"/>
          </w:tcPr>
          <w:p w14:paraId="2E4FB581">
            <w:pPr>
              <w:spacing w:line="440" w:lineRule="exact"/>
              <w:jc w:val="center"/>
              <w:rPr>
                <w:rFonts w:hint="eastAsia" w:ascii="仿宋" w:hAnsi="仿宋" w:eastAsia="仿宋" w:cs="仿宋"/>
                <w:sz w:val="24"/>
                <w:highlight w:val="none"/>
              </w:rPr>
            </w:pPr>
          </w:p>
        </w:tc>
      </w:tr>
      <w:tr w14:paraId="54BC3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218" w:type="dxa"/>
            <w:noWrap w:val="0"/>
            <w:vAlign w:val="top"/>
          </w:tcPr>
          <w:p w14:paraId="1EB42F4E">
            <w:pPr>
              <w:spacing w:line="440" w:lineRule="exact"/>
              <w:jc w:val="center"/>
              <w:rPr>
                <w:rFonts w:hint="eastAsia" w:ascii="仿宋" w:hAnsi="仿宋" w:eastAsia="仿宋" w:cs="仿宋"/>
                <w:sz w:val="24"/>
                <w:highlight w:val="none"/>
              </w:rPr>
            </w:pPr>
          </w:p>
        </w:tc>
        <w:tc>
          <w:tcPr>
            <w:tcW w:w="3763" w:type="dxa"/>
            <w:noWrap w:val="0"/>
            <w:vAlign w:val="top"/>
          </w:tcPr>
          <w:p w14:paraId="06790188">
            <w:pPr>
              <w:spacing w:line="440" w:lineRule="exact"/>
              <w:jc w:val="center"/>
              <w:rPr>
                <w:rFonts w:hint="eastAsia" w:ascii="仿宋" w:hAnsi="仿宋" w:eastAsia="仿宋" w:cs="仿宋"/>
                <w:sz w:val="24"/>
                <w:highlight w:val="none"/>
              </w:rPr>
            </w:pPr>
          </w:p>
        </w:tc>
        <w:tc>
          <w:tcPr>
            <w:tcW w:w="2154" w:type="dxa"/>
            <w:noWrap w:val="0"/>
            <w:vAlign w:val="top"/>
          </w:tcPr>
          <w:p w14:paraId="2720E320">
            <w:pPr>
              <w:spacing w:line="440" w:lineRule="exact"/>
              <w:jc w:val="center"/>
              <w:rPr>
                <w:rFonts w:hint="eastAsia" w:ascii="仿宋" w:hAnsi="仿宋" w:eastAsia="仿宋" w:cs="仿宋"/>
                <w:sz w:val="24"/>
                <w:highlight w:val="none"/>
              </w:rPr>
            </w:pPr>
          </w:p>
        </w:tc>
        <w:tc>
          <w:tcPr>
            <w:tcW w:w="1719" w:type="dxa"/>
            <w:noWrap w:val="0"/>
            <w:vAlign w:val="top"/>
          </w:tcPr>
          <w:p w14:paraId="55D3918A">
            <w:pPr>
              <w:spacing w:line="440" w:lineRule="exact"/>
              <w:jc w:val="center"/>
              <w:rPr>
                <w:rFonts w:hint="eastAsia" w:ascii="仿宋" w:hAnsi="仿宋" w:eastAsia="仿宋" w:cs="仿宋"/>
                <w:sz w:val="24"/>
                <w:highlight w:val="none"/>
              </w:rPr>
            </w:pPr>
          </w:p>
        </w:tc>
      </w:tr>
      <w:tr w14:paraId="0AF8A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2218" w:type="dxa"/>
            <w:noWrap w:val="0"/>
            <w:vAlign w:val="top"/>
          </w:tcPr>
          <w:p w14:paraId="6443C291">
            <w:pPr>
              <w:spacing w:line="440" w:lineRule="exact"/>
              <w:jc w:val="center"/>
              <w:rPr>
                <w:rFonts w:hint="eastAsia" w:ascii="仿宋" w:hAnsi="仿宋" w:eastAsia="仿宋" w:cs="仿宋"/>
                <w:sz w:val="24"/>
                <w:highlight w:val="none"/>
              </w:rPr>
            </w:pPr>
          </w:p>
        </w:tc>
        <w:tc>
          <w:tcPr>
            <w:tcW w:w="3763" w:type="dxa"/>
            <w:noWrap w:val="0"/>
            <w:vAlign w:val="top"/>
          </w:tcPr>
          <w:p w14:paraId="600AF39C">
            <w:pPr>
              <w:spacing w:line="440" w:lineRule="exact"/>
              <w:jc w:val="center"/>
              <w:rPr>
                <w:rFonts w:hint="eastAsia" w:ascii="仿宋" w:hAnsi="仿宋" w:eastAsia="仿宋" w:cs="仿宋"/>
                <w:sz w:val="24"/>
                <w:highlight w:val="none"/>
              </w:rPr>
            </w:pPr>
          </w:p>
        </w:tc>
        <w:tc>
          <w:tcPr>
            <w:tcW w:w="2154" w:type="dxa"/>
            <w:noWrap w:val="0"/>
            <w:vAlign w:val="top"/>
          </w:tcPr>
          <w:p w14:paraId="1872EE9E">
            <w:pPr>
              <w:spacing w:line="440" w:lineRule="exact"/>
              <w:jc w:val="center"/>
              <w:rPr>
                <w:rFonts w:hint="eastAsia" w:ascii="仿宋" w:hAnsi="仿宋" w:eastAsia="仿宋" w:cs="仿宋"/>
                <w:sz w:val="24"/>
                <w:highlight w:val="none"/>
              </w:rPr>
            </w:pPr>
          </w:p>
        </w:tc>
        <w:tc>
          <w:tcPr>
            <w:tcW w:w="1719" w:type="dxa"/>
            <w:noWrap w:val="0"/>
            <w:vAlign w:val="top"/>
          </w:tcPr>
          <w:p w14:paraId="615DF9F0">
            <w:pPr>
              <w:spacing w:line="440" w:lineRule="exact"/>
              <w:jc w:val="center"/>
              <w:rPr>
                <w:rFonts w:hint="eastAsia" w:ascii="仿宋" w:hAnsi="仿宋" w:eastAsia="仿宋" w:cs="仿宋"/>
                <w:sz w:val="24"/>
                <w:highlight w:val="none"/>
              </w:rPr>
            </w:pPr>
          </w:p>
        </w:tc>
      </w:tr>
      <w:tr w14:paraId="1BC49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2218" w:type="dxa"/>
            <w:noWrap w:val="0"/>
            <w:vAlign w:val="top"/>
          </w:tcPr>
          <w:p w14:paraId="3ED248C6">
            <w:pPr>
              <w:spacing w:line="440" w:lineRule="exact"/>
              <w:jc w:val="center"/>
              <w:rPr>
                <w:rFonts w:hint="eastAsia" w:ascii="仿宋" w:hAnsi="仿宋" w:eastAsia="仿宋" w:cs="仿宋"/>
                <w:sz w:val="24"/>
                <w:highlight w:val="none"/>
              </w:rPr>
            </w:pPr>
            <w:r>
              <w:rPr>
                <w:rFonts w:hint="eastAsia" w:ascii="仿宋" w:hAnsi="仿宋" w:eastAsia="仿宋" w:cs="仿宋"/>
                <w:sz w:val="24"/>
                <w:highlight w:val="none"/>
              </w:rPr>
              <w:t>…</w:t>
            </w:r>
          </w:p>
        </w:tc>
        <w:tc>
          <w:tcPr>
            <w:tcW w:w="3763" w:type="dxa"/>
            <w:noWrap w:val="0"/>
            <w:vAlign w:val="top"/>
          </w:tcPr>
          <w:p w14:paraId="33090088">
            <w:pPr>
              <w:spacing w:line="440" w:lineRule="exact"/>
              <w:jc w:val="center"/>
              <w:rPr>
                <w:rFonts w:hint="eastAsia" w:ascii="仿宋" w:hAnsi="仿宋" w:eastAsia="仿宋" w:cs="仿宋"/>
                <w:sz w:val="24"/>
                <w:highlight w:val="none"/>
              </w:rPr>
            </w:pPr>
            <w:r>
              <w:rPr>
                <w:rFonts w:hint="eastAsia" w:ascii="仿宋" w:hAnsi="仿宋" w:eastAsia="仿宋" w:cs="仿宋"/>
                <w:sz w:val="24"/>
                <w:highlight w:val="none"/>
              </w:rPr>
              <w:t>…</w:t>
            </w:r>
          </w:p>
        </w:tc>
        <w:tc>
          <w:tcPr>
            <w:tcW w:w="2154" w:type="dxa"/>
            <w:noWrap w:val="0"/>
            <w:vAlign w:val="top"/>
          </w:tcPr>
          <w:p w14:paraId="3307E6B2">
            <w:pPr>
              <w:spacing w:line="440" w:lineRule="exact"/>
              <w:jc w:val="center"/>
              <w:rPr>
                <w:rFonts w:hint="eastAsia" w:ascii="仿宋" w:hAnsi="仿宋" w:eastAsia="仿宋" w:cs="仿宋"/>
                <w:sz w:val="24"/>
                <w:highlight w:val="none"/>
              </w:rPr>
            </w:pPr>
            <w:r>
              <w:rPr>
                <w:rFonts w:hint="eastAsia" w:ascii="仿宋" w:hAnsi="仿宋" w:eastAsia="仿宋" w:cs="仿宋"/>
                <w:sz w:val="24"/>
                <w:highlight w:val="none"/>
              </w:rPr>
              <w:t>…</w:t>
            </w:r>
          </w:p>
        </w:tc>
        <w:tc>
          <w:tcPr>
            <w:tcW w:w="1719" w:type="dxa"/>
            <w:noWrap w:val="0"/>
            <w:vAlign w:val="top"/>
          </w:tcPr>
          <w:p w14:paraId="51FBC92C">
            <w:pPr>
              <w:spacing w:line="440" w:lineRule="exact"/>
              <w:jc w:val="center"/>
              <w:rPr>
                <w:rFonts w:hint="eastAsia" w:ascii="仿宋" w:hAnsi="仿宋" w:eastAsia="仿宋" w:cs="仿宋"/>
                <w:sz w:val="24"/>
                <w:highlight w:val="none"/>
              </w:rPr>
            </w:pPr>
            <w:r>
              <w:rPr>
                <w:rFonts w:hint="eastAsia" w:ascii="仿宋" w:hAnsi="仿宋" w:eastAsia="仿宋" w:cs="仿宋"/>
                <w:sz w:val="24"/>
                <w:highlight w:val="none"/>
              </w:rPr>
              <w:t>…</w:t>
            </w:r>
          </w:p>
        </w:tc>
      </w:tr>
    </w:tbl>
    <w:p w14:paraId="5ACA7024">
      <w:pPr>
        <w:spacing w:line="440" w:lineRule="exact"/>
        <w:rPr>
          <w:rFonts w:hint="eastAsia" w:ascii="仿宋" w:hAnsi="仿宋" w:eastAsia="仿宋" w:cs="仿宋"/>
          <w:b/>
          <w:sz w:val="24"/>
          <w:highlight w:val="none"/>
        </w:rPr>
      </w:pPr>
      <w:r>
        <w:rPr>
          <w:rFonts w:hint="eastAsia" w:ascii="仿宋" w:hAnsi="仿宋" w:eastAsia="仿宋" w:cs="仿宋"/>
          <w:b/>
          <w:sz w:val="24"/>
          <w:highlight w:val="none"/>
        </w:rPr>
        <w:t>附合同及</w:t>
      </w:r>
      <w:r>
        <w:rPr>
          <w:rFonts w:hint="eastAsia" w:ascii="仿宋" w:hAnsi="仿宋" w:eastAsia="仿宋" w:cs="仿宋"/>
          <w:b/>
          <w:sz w:val="24"/>
          <w:highlight w:val="none"/>
          <w:lang w:eastAsia="zh-CN"/>
        </w:rPr>
        <w:t>其他相关资料</w:t>
      </w:r>
      <w:r>
        <w:rPr>
          <w:rFonts w:hint="eastAsia" w:ascii="仿宋" w:hAnsi="仿宋" w:eastAsia="仿宋" w:cs="仿宋"/>
          <w:b/>
          <w:sz w:val="24"/>
          <w:highlight w:val="none"/>
        </w:rPr>
        <w:t>。</w:t>
      </w:r>
    </w:p>
    <w:tbl>
      <w:tblPr>
        <w:tblStyle w:val="41"/>
        <w:tblpPr w:leftFromText="180" w:rightFromText="180" w:vertAnchor="text" w:horzAnchor="page" w:tblpX="5923" w:tblpY="2650"/>
        <w:tblOverlap w:val="never"/>
        <w:tblW w:w="0" w:type="auto"/>
        <w:tblInd w:w="0" w:type="dxa"/>
        <w:tblLayout w:type="fixed"/>
        <w:tblCellMar>
          <w:top w:w="0" w:type="dxa"/>
          <w:left w:w="108" w:type="dxa"/>
          <w:bottom w:w="0" w:type="dxa"/>
          <w:right w:w="108" w:type="dxa"/>
        </w:tblCellMar>
      </w:tblPr>
      <w:tblGrid>
        <w:gridCol w:w="4700"/>
      </w:tblGrid>
      <w:tr w14:paraId="14645E01">
        <w:tblPrEx>
          <w:tblCellMar>
            <w:top w:w="0" w:type="dxa"/>
            <w:left w:w="108" w:type="dxa"/>
            <w:bottom w:w="0" w:type="dxa"/>
            <w:right w:w="108" w:type="dxa"/>
          </w:tblCellMar>
        </w:tblPrEx>
        <w:trPr>
          <w:trHeight w:val="1911" w:hRule="atLeast"/>
        </w:trPr>
        <w:tc>
          <w:tcPr>
            <w:tcW w:w="4700" w:type="dxa"/>
            <w:noWrap w:val="0"/>
            <w:vAlign w:val="top"/>
          </w:tcPr>
          <w:p w14:paraId="7E1073C7">
            <w:pPr>
              <w:pStyle w:val="39"/>
              <w:spacing w:line="360" w:lineRule="auto"/>
              <w:ind w:firstLine="0" w:firstLineChars="0"/>
              <w:rPr>
                <w:rFonts w:hint="eastAsia" w:ascii="仿宋" w:hAnsi="仿宋" w:eastAsia="仿宋" w:cs="仿宋"/>
                <w:bCs/>
                <w:sz w:val="24"/>
                <w:highlight w:val="none"/>
              </w:rPr>
            </w:pPr>
            <w:r>
              <w:rPr>
                <w:rFonts w:hint="eastAsia" w:ascii="仿宋" w:hAnsi="仿宋" w:eastAsia="仿宋" w:cs="仿宋"/>
                <w:bCs/>
                <w:sz w:val="24"/>
                <w:highlight w:val="none"/>
              </w:rPr>
              <w:t>投标人名称（加盖公章）：</w:t>
            </w:r>
          </w:p>
          <w:p w14:paraId="0DA72BFB">
            <w:pPr>
              <w:pStyle w:val="39"/>
              <w:spacing w:line="360" w:lineRule="auto"/>
              <w:ind w:firstLine="0" w:firstLineChars="0"/>
              <w:rPr>
                <w:rFonts w:hint="eastAsia" w:ascii="仿宋" w:hAnsi="仿宋" w:eastAsia="仿宋" w:cs="仿宋"/>
                <w:sz w:val="24"/>
                <w:highlight w:val="none"/>
              </w:rPr>
            </w:pPr>
            <w:r>
              <w:rPr>
                <w:rFonts w:hint="eastAsia" w:ascii="仿宋" w:hAnsi="仿宋" w:eastAsia="仿宋" w:cs="仿宋"/>
                <w:kern w:val="0"/>
                <w:sz w:val="24"/>
                <w:highlight w:val="none"/>
              </w:rPr>
              <w:t>代理（被授权人）签字或盖章：</w:t>
            </w:r>
          </w:p>
          <w:p w14:paraId="507473AF">
            <w:pPr>
              <w:widowControl/>
              <w:adjustRightIn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日期：  年  月  日</w:t>
            </w:r>
          </w:p>
        </w:tc>
      </w:tr>
    </w:tbl>
    <w:p w14:paraId="48EE6FCB">
      <w:pPr>
        <w:spacing w:line="440" w:lineRule="exact"/>
        <w:jc w:val="left"/>
        <w:rPr>
          <w:rFonts w:hint="eastAsia" w:ascii="仿宋" w:hAnsi="仿宋" w:eastAsia="仿宋" w:cs="仿宋"/>
          <w:b/>
          <w:bCs/>
          <w:sz w:val="28"/>
          <w:szCs w:val="28"/>
          <w:highlight w:val="none"/>
        </w:rPr>
      </w:pPr>
      <w:r>
        <w:rPr>
          <w:rFonts w:hint="eastAsia" w:ascii="仿宋" w:hAnsi="仿宋" w:eastAsia="仿宋" w:cs="仿宋"/>
          <w:szCs w:val="21"/>
          <w:highlight w:val="none"/>
        </w:rPr>
        <w:br w:type="page"/>
      </w:r>
      <w:r>
        <w:rPr>
          <w:rFonts w:hint="eastAsia" w:ascii="仿宋" w:hAnsi="仿宋" w:eastAsia="仿宋" w:cs="仿宋"/>
          <w:b/>
          <w:bCs/>
          <w:sz w:val="28"/>
          <w:szCs w:val="28"/>
          <w:highlight w:val="none"/>
        </w:rPr>
        <w:t>附件7  拟指派负责人和主要成员名单</w:t>
      </w:r>
    </w:p>
    <w:p w14:paraId="05E00A74">
      <w:pPr>
        <w:pStyle w:val="113"/>
        <w:rPr>
          <w:rFonts w:hint="eastAsia" w:ascii="仿宋" w:hAnsi="仿宋" w:eastAsia="仿宋" w:cs="仿宋"/>
          <w:highlight w:val="none"/>
        </w:rPr>
      </w:pPr>
    </w:p>
    <w:tbl>
      <w:tblPr>
        <w:tblStyle w:val="41"/>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1"/>
        <w:gridCol w:w="888"/>
        <w:gridCol w:w="888"/>
        <w:gridCol w:w="711"/>
        <w:gridCol w:w="955"/>
        <w:gridCol w:w="1312"/>
        <w:gridCol w:w="1238"/>
        <w:gridCol w:w="1371"/>
        <w:gridCol w:w="1064"/>
      </w:tblGrid>
      <w:tr w14:paraId="1DB8C0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0" w:hRule="atLeast"/>
        </w:trPr>
        <w:tc>
          <w:tcPr>
            <w:tcW w:w="711" w:type="dxa"/>
            <w:noWrap w:val="0"/>
            <w:vAlign w:val="center"/>
          </w:tcPr>
          <w:p w14:paraId="1E3D9987">
            <w:pPr>
              <w:jc w:val="center"/>
              <w:rPr>
                <w:rFonts w:hint="eastAsia" w:ascii="仿宋" w:hAnsi="仿宋" w:eastAsia="仿宋" w:cs="仿宋"/>
                <w:sz w:val="24"/>
                <w:highlight w:val="none"/>
              </w:rPr>
            </w:pPr>
            <w:r>
              <w:rPr>
                <w:rFonts w:hint="eastAsia" w:ascii="仿宋" w:hAnsi="仿宋" w:eastAsia="仿宋" w:cs="仿宋"/>
                <w:sz w:val="24"/>
                <w:highlight w:val="none"/>
              </w:rPr>
              <w:t>序号</w:t>
            </w:r>
          </w:p>
        </w:tc>
        <w:tc>
          <w:tcPr>
            <w:tcW w:w="888" w:type="dxa"/>
            <w:noWrap w:val="0"/>
            <w:vAlign w:val="center"/>
          </w:tcPr>
          <w:p w14:paraId="757928AB">
            <w:pPr>
              <w:jc w:val="center"/>
              <w:rPr>
                <w:rFonts w:hint="eastAsia" w:ascii="仿宋" w:hAnsi="仿宋" w:eastAsia="仿宋" w:cs="仿宋"/>
                <w:sz w:val="24"/>
                <w:highlight w:val="none"/>
              </w:rPr>
            </w:pPr>
            <w:r>
              <w:rPr>
                <w:rFonts w:hint="eastAsia" w:ascii="仿宋" w:hAnsi="仿宋" w:eastAsia="仿宋" w:cs="仿宋"/>
                <w:sz w:val="24"/>
                <w:highlight w:val="none"/>
              </w:rPr>
              <w:t>姓名</w:t>
            </w:r>
          </w:p>
        </w:tc>
        <w:tc>
          <w:tcPr>
            <w:tcW w:w="888" w:type="dxa"/>
            <w:noWrap w:val="0"/>
            <w:vAlign w:val="center"/>
          </w:tcPr>
          <w:p w14:paraId="4015E91B">
            <w:pPr>
              <w:jc w:val="center"/>
              <w:rPr>
                <w:rFonts w:hint="eastAsia" w:ascii="仿宋" w:hAnsi="仿宋" w:eastAsia="仿宋" w:cs="仿宋"/>
                <w:sz w:val="24"/>
                <w:highlight w:val="none"/>
              </w:rPr>
            </w:pPr>
            <w:r>
              <w:rPr>
                <w:rFonts w:hint="eastAsia" w:ascii="仿宋" w:hAnsi="仿宋" w:eastAsia="仿宋" w:cs="仿宋"/>
                <w:sz w:val="24"/>
                <w:highlight w:val="none"/>
              </w:rPr>
              <w:t>性别</w:t>
            </w:r>
          </w:p>
        </w:tc>
        <w:tc>
          <w:tcPr>
            <w:tcW w:w="711" w:type="dxa"/>
            <w:noWrap w:val="0"/>
            <w:vAlign w:val="center"/>
          </w:tcPr>
          <w:p w14:paraId="4E78CA3C">
            <w:pPr>
              <w:jc w:val="center"/>
              <w:rPr>
                <w:rFonts w:hint="eastAsia" w:ascii="仿宋" w:hAnsi="仿宋" w:eastAsia="仿宋" w:cs="仿宋"/>
                <w:sz w:val="24"/>
                <w:highlight w:val="none"/>
              </w:rPr>
            </w:pPr>
            <w:r>
              <w:rPr>
                <w:rFonts w:hint="eastAsia" w:ascii="仿宋" w:hAnsi="仿宋" w:eastAsia="仿宋" w:cs="仿宋"/>
                <w:sz w:val="24"/>
                <w:highlight w:val="none"/>
              </w:rPr>
              <w:t>年龄</w:t>
            </w:r>
          </w:p>
        </w:tc>
        <w:tc>
          <w:tcPr>
            <w:tcW w:w="955" w:type="dxa"/>
            <w:noWrap w:val="0"/>
            <w:vAlign w:val="center"/>
          </w:tcPr>
          <w:p w14:paraId="77152487">
            <w:pPr>
              <w:jc w:val="center"/>
              <w:rPr>
                <w:rFonts w:hint="eastAsia" w:ascii="仿宋" w:hAnsi="仿宋" w:eastAsia="仿宋" w:cs="仿宋"/>
                <w:sz w:val="24"/>
                <w:highlight w:val="none"/>
              </w:rPr>
            </w:pPr>
            <w:r>
              <w:rPr>
                <w:rFonts w:hint="eastAsia" w:ascii="仿宋" w:hAnsi="仿宋" w:eastAsia="仿宋" w:cs="仿宋"/>
                <w:sz w:val="24"/>
                <w:highlight w:val="none"/>
              </w:rPr>
              <w:t>学历</w:t>
            </w:r>
          </w:p>
        </w:tc>
        <w:tc>
          <w:tcPr>
            <w:tcW w:w="1312" w:type="dxa"/>
            <w:noWrap w:val="0"/>
            <w:vAlign w:val="center"/>
          </w:tcPr>
          <w:p w14:paraId="3409DC03">
            <w:pPr>
              <w:spacing w:line="280" w:lineRule="exact"/>
              <w:jc w:val="center"/>
              <w:rPr>
                <w:rFonts w:hint="eastAsia" w:ascii="仿宋" w:hAnsi="仿宋" w:eastAsia="仿宋" w:cs="仿宋"/>
                <w:sz w:val="24"/>
                <w:highlight w:val="none"/>
              </w:rPr>
            </w:pPr>
            <w:r>
              <w:rPr>
                <w:rFonts w:hint="eastAsia" w:ascii="仿宋" w:hAnsi="仿宋" w:eastAsia="仿宋" w:cs="仿宋"/>
                <w:sz w:val="24"/>
                <w:highlight w:val="none"/>
              </w:rPr>
              <w:t>职称/职务</w:t>
            </w:r>
          </w:p>
        </w:tc>
        <w:tc>
          <w:tcPr>
            <w:tcW w:w="1238" w:type="dxa"/>
            <w:noWrap w:val="0"/>
            <w:vAlign w:val="center"/>
          </w:tcPr>
          <w:p w14:paraId="40930626">
            <w:pPr>
              <w:spacing w:line="280" w:lineRule="exact"/>
              <w:jc w:val="center"/>
              <w:rPr>
                <w:rFonts w:hint="eastAsia" w:ascii="仿宋" w:hAnsi="仿宋" w:eastAsia="仿宋" w:cs="仿宋"/>
                <w:sz w:val="24"/>
                <w:highlight w:val="none"/>
              </w:rPr>
            </w:pPr>
            <w:r>
              <w:rPr>
                <w:rFonts w:hint="eastAsia" w:ascii="仿宋" w:hAnsi="仿宋" w:eastAsia="仿宋" w:cs="仿宋"/>
                <w:sz w:val="24"/>
                <w:highlight w:val="none"/>
              </w:rPr>
              <w:t>本</w:t>
            </w:r>
            <w:r>
              <w:rPr>
                <w:rFonts w:hint="eastAsia" w:ascii="仿宋" w:hAnsi="仿宋" w:eastAsia="仿宋" w:cs="仿宋"/>
                <w:sz w:val="24"/>
                <w:highlight w:val="none"/>
                <w:lang w:eastAsia="zh-CN"/>
              </w:rPr>
              <w:t>项目</w:t>
            </w:r>
            <w:r>
              <w:rPr>
                <w:rFonts w:hint="eastAsia" w:ascii="仿宋" w:hAnsi="仿宋" w:eastAsia="仿宋" w:cs="仿宋"/>
                <w:sz w:val="24"/>
                <w:highlight w:val="none"/>
              </w:rPr>
              <w:t>中的岗位</w:t>
            </w:r>
          </w:p>
        </w:tc>
        <w:tc>
          <w:tcPr>
            <w:tcW w:w="1371" w:type="dxa"/>
            <w:noWrap w:val="0"/>
            <w:vAlign w:val="center"/>
          </w:tcPr>
          <w:p w14:paraId="04198A71">
            <w:pPr>
              <w:jc w:val="center"/>
              <w:rPr>
                <w:rFonts w:hint="eastAsia" w:ascii="仿宋" w:hAnsi="仿宋" w:eastAsia="仿宋" w:cs="仿宋"/>
                <w:sz w:val="24"/>
                <w:highlight w:val="none"/>
              </w:rPr>
            </w:pPr>
            <w:r>
              <w:rPr>
                <w:rFonts w:hint="eastAsia" w:ascii="仿宋" w:hAnsi="仿宋" w:eastAsia="仿宋" w:cs="仿宋"/>
                <w:sz w:val="24"/>
                <w:highlight w:val="none"/>
              </w:rPr>
              <w:t>从事专业年限</w:t>
            </w:r>
          </w:p>
        </w:tc>
        <w:tc>
          <w:tcPr>
            <w:tcW w:w="1064" w:type="dxa"/>
            <w:noWrap w:val="0"/>
            <w:vAlign w:val="center"/>
          </w:tcPr>
          <w:p w14:paraId="1C44CA59">
            <w:pPr>
              <w:jc w:val="center"/>
              <w:rPr>
                <w:rFonts w:hint="eastAsia" w:ascii="仿宋" w:hAnsi="仿宋" w:eastAsia="仿宋" w:cs="仿宋"/>
                <w:sz w:val="24"/>
                <w:highlight w:val="none"/>
              </w:rPr>
            </w:pPr>
            <w:r>
              <w:rPr>
                <w:rFonts w:hint="eastAsia" w:ascii="仿宋" w:hAnsi="仿宋" w:eastAsia="仿宋" w:cs="仿宋"/>
                <w:sz w:val="24"/>
                <w:highlight w:val="none"/>
              </w:rPr>
              <w:t>备注</w:t>
            </w:r>
          </w:p>
        </w:tc>
      </w:tr>
      <w:tr w14:paraId="20AB70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0" w:hRule="exact"/>
        </w:trPr>
        <w:tc>
          <w:tcPr>
            <w:tcW w:w="711" w:type="dxa"/>
            <w:noWrap w:val="0"/>
            <w:vAlign w:val="center"/>
          </w:tcPr>
          <w:p w14:paraId="16B470D2">
            <w:pPr>
              <w:jc w:val="center"/>
              <w:rPr>
                <w:rFonts w:hint="eastAsia" w:ascii="仿宋" w:hAnsi="仿宋" w:eastAsia="仿宋" w:cs="仿宋"/>
                <w:sz w:val="24"/>
                <w:highlight w:val="none"/>
              </w:rPr>
            </w:pPr>
          </w:p>
        </w:tc>
        <w:tc>
          <w:tcPr>
            <w:tcW w:w="888" w:type="dxa"/>
            <w:noWrap w:val="0"/>
            <w:vAlign w:val="center"/>
          </w:tcPr>
          <w:p w14:paraId="49FE8D14">
            <w:pPr>
              <w:jc w:val="center"/>
              <w:rPr>
                <w:rFonts w:hint="eastAsia" w:ascii="仿宋" w:hAnsi="仿宋" w:eastAsia="仿宋" w:cs="仿宋"/>
                <w:sz w:val="24"/>
                <w:highlight w:val="none"/>
              </w:rPr>
            </w:pPr>
          </w:p>
        </w:tc>
        <w:tc>
          <w:tcPr>
            <w:tcW w:w="888" w:type="dxa"/>
            <w:noWrap w:val="0"/>
            <w:vAlign w:val="center"/>
          </w:tcPr>
          <w:p w14:paraId="7052F154">
            <w:pPr>
              <w:jc w:val="center"/>
              <w:rPr>
                <w:rFonts w:hint="eastAsia" w:ascii="仿宋" w:hAnsi="仿宋" w:eastAsia="仿宋" w:cs="仿宋"/>
                <w:sz w:val="24"/>
                <w:highlight w:val="none"/>
              </w:rPr>
            </w:pPr>
          </w:p>
        </w:tc>
        <w:tc>
          <w:tcPr>
            <w:tcW w:w="711" w:type="dxa"/>
            <w:noWrap w:val="0"/>
            <w:vAlign w:val="center"/>
          </w:tcPr>
          <w:p w14:paraId="07727307">
            <w:pPr>
              <w:jc w:val="center"/>
              <w:rPr>
                <w:rFonts w:hint="eastAsia" w:ascii="仿宋" w:hAnsi="仿宋" w:eastAsia="仿宋" w:cs="仿宋"/>
                <w:sz w:val="24"/>
                <w:highlight w:val="none"/>
              </w:rPr>
            </w:pPr>
          </w:p>
        </w:tc>
        <w:tc>
          <w:tcPr>
            <w:tcW w:w="955" w:type="dxa"/>
            <w:noWrap w:val="0"/>
            <w:vAlign w:val="center"/>
          </w:tcPr>
          <w:p w14:paraId="461E6E7D">
            <w:pPr>
              <w:jc w:val="center"/>
              <w:rPr>
                <w:rFonts w:hint="eastAsia" w:ascii="仿宋" w:hAnsi="仿宋" w:eastAsia="仿宋" w:cs="仿宋"/>
                <w:sz w:val="24"/>
                <w:highlight w:val="none"/>
              </w:rPr>
            </w:pPr>
          </w:p>
        </w:tc>
        <w:tc>
          <w:tcPr>
            <w:tcW w:w="1312" w:type="dxa"/>
            <w:noWrap w:val="0"/>
            <w:vAlign w:val="center"/>
          </w:tcPr>
          <w:p w14:paraId="25497AEB">
            <w:pPr>
              <w:jc w:val="center"/>
              <w:rPr>
                <w:rFonts w:hint="eastAsia" w:ascii="仿宋" w:hAnsi="仿宋" w:eastAsia="仿宋" w:cs="仿宋"/>
                <w:sz w:val="24"/>
                <w:highlight w:val="none"/>
              </w:rPr>
            </w:pPr>
          </w:p>
        </w:tc>
        <w:tc>
          <w:tcPr>
            <w:tcW w:w="1238" w:type="dxa"/>
            <w:noWrap w:val="0"/>
            <w:vAlign w:val="center"/>
          </w:tcPr>
          <w:p w14:paraId="64F6A733">
            <w:pPr>
              <w:jc w:val="center"/>
              <w:rPr>
                <w:rFonts w:hint="eastAsia" w:ascii="仿宋" w:hAnsi="仿宋" w:eastAsia="仿宋" w:cs="仿宋"/>
                <w:sz w:val="24"/>
                <w:highlight w:val="none"/>
              </w:rPr>
            </w:pPr>
          </w:p>
        </w:tc>
        <w:tc>
          <w:tcPr>
            <w:tcW w:w="1371" w:type="dxa"/>
            <w:noWrap w:val="0"/>
            <w:vAlign w:val="top"/>
          </w:tcPr>
          <w:p w14:paraId="40424471">
            <w:pPr>
              <w:jc w:val="center"/>
              <w:rPr>
                <w:rFonts w:hint="eastAsia" w:ascii="仿宋" w:hAnsi="仿宋" w:eastAsia="仿宋" w:cs="仿宋"/>
                <w:sz w:val="24"/>
                <w:highlight w:val="none"/>
              </w:rPr>
            </w:pPr>
          </w:p>
        </w:tc>
        <w:tc>
          <w:tcPr>
            <w:tcW w:w="1064" w:type="dxa"/>
            <w:noWrap w:val="0"/>
            <w:vAlign w:val="center"/>
          </w:tcPr>
          <w:p w14:paraId="77AF1B46">
            <w:pPr>
              <w:jc w:val="center"/>
              <w:rPr>
                <w:rFonts w:hint="eastAsia" w:ascii="仿宋" w:hAnsi="仿宋" w:eastAsia="仿宋" w:cs="仿宋"/>
                <w:sz w:val="24"/>
                <w:highlight w:val="none"/>
              </w:rPr>
            </w:pPr>
          </w:p>
        </w:tc>
      </w:tr>
      <w:tr w14:paraId="3C100B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0" w:hRule="exact"/>
        </w:trPr>
        <w:tc>
          <w:tcPr>
            <w:tcW w:w="711" w:type="dxa"/>
            <w:noWrap w:val="0"/>
            <w:vAlign w:val="center"/>
          </w:tcPr>
          <w:p w14:paraId="48364F72">
            <w:pPr>
              <w:jc w:val="center"/>
              <w:rPr>
                <w:rFonts w:hint="eastAsia" w:ascii="仿宋" w:hAnsi="仿宋" w:eastAsia="仿宋" w:cs="仿宋"/>
                <w:sz w:val="24"/>
                <w:highlight w:val="none"/>
              </w:rPr>
            </w:pPr>
          </w:p>
        </w:tc>
        <w:tc>
          <w:tcPr>
            <w:tcW w:w="888" w:type="dxa"/>
            <w:noWrap w:val="0"/>
            <w:vAlign w:val="center"/>
          </w:tcPr>
          <w:p w14:paraId="3C17B599">
            <w:pPr>
              <w:jc w:val="center"/>
              <w:rPr>
                <w:rFonts w:hint="eastAsia" w:ascii="仿宋" w:hAnsi="仿宋" w:eastAsia="仿宋" w:cs="仿宋"/>
                <w:sz w:val="24"/>
                <w:highlight w:val="none"/>
              </w:rPr>
            </w:pPr>
          </w:p>
        </w:tc>
        <w:tc>
          <w:tcPr>
            <w:tcW w:w="888" w:type="dxa"/>
            <w:noWrap w:val="0"/>
            <w:vAlign w:val="center"/>
          </w:tcPr>
          <w:p w14:paraId="2AFD8BA0">
            <w:pPr>
              <w:jc w:val="center"/>
              <w:rPr>
                <w:rFonts w:hint="eastAsia" w:ascii="仿宋" w:hAnsi="仿宋" w:eastAsia="仿宋" w:cs="仿宋"/>
                <w:sz w:val="24"/>
                <w:highlight w:val="none"/>
              </w:rPr>
            </w:pPr>
          </w:p>
        </w:tc>
        <w:tc>
          <w:tcPr>
            <w:tcW w:w="711" w:type="dxa"/>
            <w:noWrap w:val="0"/>
            <w:vAlign w:val="center"/>
          </w:tcPr>
          <w:p w14:paraId="1F2F26BF">
            <w:pPr>
              <w:jc w:val="center"/>
              <w:rPr>
                <w:rFonts w:hint="eastAsia" w:ascii="仿宋" w:hAnsi="仿宋" w:eastAsia="仿宋" w:cs="仿宋"/>
                <w:sz w:val="24"/>
                <w:highlight w:val="none"/>
              </w:rPr>
            </w:pPr>
          </w:p>
        </w:tc>
        <w:tc>
          <w:tcPr>
            <w:tcW w:w="955" w:type="dxa"/>
            <w:noWrap w:val="0"/>
            <w:vAlign w:val="center"/>
          </w:tcPr>
          <w:p w14:paraId="1910DF1B">
            <w:pPr>
              <w:jc w:val="center"/>
              <w:rPr>
                <w:rFonts w:hint="eastAsia" w:ascii="仿宋" w:hAnsi="仿宋" w:eastAsia="仿宋" w:cs="仿宋"/>
                <w:sz w:val="24"/>
                <w:highlight w:val="none"/>
              </w:rPr>
            </w:pPr>
          </w:p>
        </w:tc>
        <w:tc>
          <w:tcPr>
            <w:tcW w:w="1312" w:type="dxa"/>
            <w:noWrap w:val="0"/>
            <w:vAlign w:val="center"/>
          </w:tcPr>
          <w:p w14:paraId="6D79E806">
            <w:pPr>
              <w:jc w:val="center"/>
              <w:rPr>
                <w:rFonts w:hint="eastAsia" w:ascii="仿宋" w:hAnsi="仿宋" w:eastAsia="仿宋" w:cs="仿宋"/>
                <w:sz w:val="24"/>
                <w:highlight w:val="none"/>
              </w:rPr>
            </w:pPr>
          </w:p>
        </w:tc>
        <w:tc>
          <w:tcPr>
            <w:tcW w:w="1238" w:type="dxa"/>
            <w:noWrap w:val="0"/>
            <w:vAlign w:val="center"/>
          </w:tcPr>
          <w:p w14:paraId="11B4ED4A">
            <w:pPr>
              <w:jc w:val="center"/>
              <w:rPr>
                <w:rFonts w:hint="eastAsia" w:ascii="仿宋" w:hAnsi="仿宋" w:eastAsia="仿宋" w:cs="仿宋"/>
                <w:sz w:val="24"/>
                <w:highlight w:val="none"/>
              </w:rPr>
            </w:pPr>
          </w:p>
        </w:tc>
        <w:tc>
          <w:tcPr>
            <w:tcW w:w="1371" w:type="dxa"/>
            <w:noWrap w:val="0"/>
            <w:vAlign w:val="top"/>
          </w:tcPr>
          <w:p w14:paraId="24120352">
            <w:pPr>
              <w:jc w:val="center"/>
              <w:rPr>
                <w:rFonts w:hint="eastAsia" w:ascii="仿宋" w:hAnsi="仿宋" w:eastAsia="仿宋" w:cs="仿宋"/>
                <w:sz w:val="24"/>
                <w:highlight w:val="none"/>
              </w:rPr>
            </w:pPr>
          </w:p>
        </w:tc>
        <w:tc>
          <w:tcPr>
            <w:tcW w:w="1064" w:type="dxa"/>
            <w:noWrap w:val="0"/>
            <w:vAlign w:val="center"/>
          </w:tcPr>
          <w:p w14:paraId="12BBC9B6">
            <w:pPr>
              <w:jc w:val="center"/>
              <w:rPr>
                <w:rFonts w:hint="eastAsia" w:ascii="仿宋" w:hAnsi="仿宋" w:eastAsia="仿宋" w:cs="仿宋"/>
                <w:sz w:val="24"/>
                <w:highlight w:val="none"/>
              </w:rPr>
            </w:pPr>
          </w:p>
        </w:tc>
      </w:tr>
      <w:tr w14:paraId="2AA53B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0" w:hRule="exact"/>
        </w:trPr>
        <w:tc>
          <w:tcPr>
            <w:tcW w:w="711" w:type="dxa"/>
            <w:noWrap w:val="0"/>
            <w:vAlign w:val="center"/>
          </w:tcPr>
          <w:p w14:paraId="7DB40676">
            <w:pPr>
              <w:jc w:val="center"/>
              <w:rPr>
                <w:rFonts w:hint="eastAsia" w:ascii="仿宋" w:hAnsi="仿宋" w:eastAsia="仿宋" w:cs="仿宋"/>
                <w:sz w:val="24"/>
                <w:highlight w:val="none"/>
              </w:rPr>
            </w:pPr>
          </w:p>
        </w:tc>
        <w:tc>
          <w:tcPr>
            <w:tcW w:w="888" w:type="dxa"/>
            <w:noWrap w:val="0"/>
            <w:vAlign w:val="center"/>
          </w:tcPr>
          <w:p w14:paraId="4E5F9F39">
            <w:pPr>
              <w:jc w:val="center"/>
              <w:rPr>
                <w:rFonts w:hint="eastAsia" w:ascii="仿宋" w:hAnsi="仿宋" w:eastAsia="仿宋" w:cs="仿宋"/>
                <w:sz w:val="24"/>
                <w:highlight w:val="none"/>
              </w:rPr>
            </w:pPr>
          </w:p>
        </w:tc>
        <w:tc>
          <w:tcPr>
            <w:tcW w:w="888" w:type="dxa"/>
            <w:noWrap w:val="0"/>
            <w:vAlign w:val="center"/>
          </w:tcPr>
          <w:p w14:paraId="5071B5A0">
            <w:pPr>
              <w:jc w:val="center"/>
              <w:rPr>
                <w:rFonts w:hint="eastAsia" w:ascii="仿宋" w:hAnsi="仿宋" w:eastAsia="仿宋" w:cs="仿宋"/>
                <w:sz w:val="24"/>
                <w:highlight w:val="none"/>
              </w:rPr>
            </w:pPr>
          </w:p>
        </w:tc>
        <w:tc>
          <w:tcPr>
            <w:tcW w:w="711" w:type="dxa"/>
            <w:noWrap w:val="0"/>
            <w:vAlign w:val="center"/>
          </w:tcPr>
          <w:p w14:paraId="52866A4B">
            <w:pPr>
              <w:jc w:val="center"/>
              <w:rPr>
                <w:rFonts w:hint="eastAsia" w:ascii="仿宋" w:hAnsi="仿宋" w:eastAsia="仿宋" w:cs="仿宋"/>
                <w:sz w:val="24"/>
                <w:highlight w:val="none"/>
              </w:rPr>
            </w:pPr>
          </w:p>
        </w:tc>
        <w:tc>
          <w:tcPr>
            <w:tcW w:w="955" w:type="dxa"/>
            <w:noWrap w:val="0"/>
            <w:vAlign w:val="center"/>
          </w:tcPr>
          <w:p w14:paraId="36E56A2A">
            <w:pPr>
              <w:jc w:val="center"/>
              <w:rPr>
                <w:rFonts w:hint="eastAsia" w:ascii="仿宋" w:hAnsi="仿宋" w:eastAsia="仿宋" w:cs="仿宋"/>
                <w:sz w:val="24"/>
                <w:highlight w:val="none"/>
              </w:rPr>
            </w:pPr>
          </w:p>
        </w:tc>
        <w:tc>
          <w:tcPr>
            <w:tcW w:w="1312" w:type="dxa"/>
            <w:noWrap w:val="0"/>
            <w:vAlign w:val="center"/>
          </w:tcPr>
          <w:p w14:paraId="08A0A8B6">
            <w:pPr>
              <w:jc w:val="center"/>
              <w:rPr>
                <w:rFonts w:hint="eastAsia" w:ascii="仿宋" w:hAnsi="仿宋" w:eastAsia="仿宋" w:cs="仿宋"/>
                <w:sz w:val="24"/>
                <w:highlight w:val="none"/>
              </w:rPr>
            </w:pPr>
          </w:p>
        </w:tc>
        <w:tc>
          <w:tcPr>
            <w:tcW w:w="1238" w:type="dxa"/>
            <w:noWrap w:val="0"/>
            <w:vAlign w:val="center"/>
          </w:tcPr>
          <w:p w14:paraId="40CA57DE">
            <w:pPr>
              <w:jc w:val="center"/>
              <w:rPr>
                <w:rFonts w:hint="eastAsia" w:ascii="仿宋" w:hAnsi="仿宋" w:eastAsia="仿宋" w:cs="仿宋"/>
                <w:sz w:val="24"/>
                <w:highlight w:val="none"/>
              </w:rPr>
            </w:pPr>
          </w:p>
        </w:tc>
        <w:tc>
          <w:tcPr>
            <w:tcW w:w="1371" w:type="dxa"/>
            <w:noWrap w:val="0"/>
            <w:vAlign w:val="top"/>
          </w:tcPr>
          <w:p w14:paraId="47F5A3F9">
            <w:pPr>
              <w:jc w:val="center"/>
              <w:rPr>
                <w:rFonts w:hint="eastAsia" w:ascii="仿宋" w:hAnsi="仿宋" w:eastAsia="仿宋" w:cs="仿宋"/>
                <w:sz w:val="24"/>
                <w:highlight w:val="none"/>
              </w:rPr>
            </w:pPr>
          </w:p>
        </w:tc>
        <w:tc>
          <w:tcPr>
            <w:tcW w:w="1064" w:type="dxa"/>
            <w:noWrap w:val="0"/>
            <w:vAlign w:val="center"/>
          </w:tcPr>
          <w:p w14:paraId="75ED7A3E">
            <w:pPr>
              <w:jc w:val="center"/>
              <w:rPr>
                <w:rFonts w:hint="eastAsia" w:ascii="仿宋" w:hAnsi="仿宋" w:eastAsia="仿宋" w:cs="仿宋"/>
                <w:sz w:val="24"/>
                <w:highlight w:val="none"/>
              </w:rPr>
            </w:pPr>
          </w:p>
        </w:tc>
      </w:tr>
      <w:tr w14:paraId="370807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0" w:hRule="exact"/>
        </w:trPr>
        <w:tc>
          <w:tcPr>
            <w:tcW w:w="711" w:type="dxa"/>
            <w:noWrap w:val="0"/>
            <w:vAlign w:val="center"/>
          </w:tcPr>
          <w:p w14:paraId="1B0DD8C9">
            <w:pPr>
              <w:jc w:val="center"/>
              <w:rPr>
                <w:rFonts w:hint="eastAsia" w:ascii="仿宋" w:hAnsi="仿宋" w:eastAsia="仿宋" w:cs="仿宋"/>
                <w:sz w:val="24"/>
                <w:highlight w:val="none"/>
              </w:rPr>
            </w:pPr>
          </w:p>
        </w:tc>
        <w:tc>
          <w:tcPr>
            <w:tcW w:w="888" w:type="dxa"/>
            <w:noWrap w:val="0"/>
            <w:vAlign w:val="center"/>
          </w:tcPr>
          <w:p w14:paraId="7C8239C5">
            <w:pPr>
              <w:jc w:val="center"/>
              <w:rPr>
                <w:rFonts w:hint="eastAsia" w:ascii="仿宋" w:hAnsi="仿宋" w:eastAsia="仿宋" w:cs="仿宋"/>
                <w:sz w:val="24"/>
                <w:highlight w:val="none"/>
              </w:rPr>
            </w:pPr>
          </w:p>
        </w:tc>
        <w:tc>
          <w:tcPr>
            <w:tcW w:w="888" w:type="dxa"/>
            <w:noWrap w:val="0"/>
            <w:vAlign w:val="center"/>
          </w:tcPr>
          <w:p w14:paraId="53F902DE">
            <w:pPr>
              <w:jc w:val="center"/>
              <w:rPr>
                <w:rFonts w:hint="eastAsia" w:ascii="仿宋" w:hAnsi="仿宋" w:eastAsia="仿宋" w:cs="仿宋"/>
                <w:sz w:val="24"/>
                <w:highlight w:val="none"/>
              </w:rPr>
            </w:pPr>
          </w:p>
        </w:tc>
        <w:tc>
          <w:tcPr>
            <w:tcW w:w="711" w:type="dxa"/>
            <w:noWrap w:val="0"/>
            <w:vAlign w:val="center"/>
          </w:tcPr>
          <w:p w14:paraId="3ED3B455">
            <w:pPr>
              <w:jc w:val="center"/>
              <w:rPr>
                <w:rFonts w:hint="eastAsia" w:ascii="仿宋" w:hAnsi="仿宋" w:eastAsia="仿宋" w:cs="仿宋"/>
                <w:sz w:val="24"/>
                <w:highlight w:val="none"/>
              </w:rPr>
            </w:pPr>
          </w:p>
        </w:tc>
        <w:tc>
          <w:tcPr>
            <w:tcW w:w="955" w:type="dxa"/>
            <w:noWrap w:val="0"/>
            <w:vAlign w:val="center"/>
          </w:tcPr>
          <w:p w14:paraId="7963A6AA">
            <w:pPr>
              <w:jc w:val="center"/>
              <w:rPr>
                <w:rFonts w:hint="eastAsia" w:ascii="仿宋" w:hAnsi="仿宋" w:eastAsia="仿宋" w:cs="仿宋"/>
                <w:sz w:val="24"/>
                <w:highlight w:val="none"/>
              </w:rPr>
            </w:pPr>
          </w:p>
        </w:tc>
        <w:tc>
          <w:tcPr>
            <w:tcW w:w="1312" w:type="dxa"/>
            <w:noWrap w:val="0"/>
            <w:vAlign w:val="center"/>
          </w:tcPr>
          <w:p w14:paraId="15070D39">
            <w:pPr>
              <w:jc w:val="center"/>
              <w:rPr>
                <w:rFonts w:hint="eastAsia" w:ascii="仿宋" w:hAnsi="仿宋" w:eastAsia="仿宋" w:cs="仿宋"/>
                <w:sz w:val="24"/>
                <w:highlight w:val="none"/>
              </w:rPr>
            </w:pPr>
          </w:p>
        </w:tc>
        <w:tc>
          <w:tcPr>
            <w:tcW w:w="1238" w:type="dxa"/>
            <w:noWrap w:val="0"/>
            <w:vAlign w:val="center"/>
          </w:tcPr>
          <w:p w14:paraId="4C18FE1A">
            <w:pPr>
              <w:jc w:val="center"/>
              <w:rPr>
                <w:rFonts w:hint="eastAsia" w:ascii="仿宋" w:hAnsi="仿宋" w:eastAsia="仿宋" w:cs="仿宋"/>
                <w:sz w:val="24"/>
                <w:highlight w:val="none"/>
              </w:rPr>
            </w:pPr>
          </w:p>
        </w:tc>
        <w:tc>
          <w:tcPr>
            <w:tcW w:w="1371" w:type="dxa"/>
            <w:noWrap w:val="0"/>
            <w:vAlign w:val="top"/>
          </w:tcPr>
          <w:p w14:paraId="72A39CF4">
            <w:pPr>
              <w:jc w:val="center"/>
              <w:rPr>
                <w:rFonts w:hint="eastAsia" w:ascii="仿宋" w:hAnsi="仿宋" w:eastAsia="仿宋" w:cs="仿宋"/>
                <w:sz w:val="24"/>
                <w:highlight w:val="none"/>
              </w:rPr>
            </w:pPr>
          </w:p>
        </w:tc>
        <w:tc>
          <w:tcPr>
            <w:tcW w:w="1064" w:type="dxa"/>
            <w:noWrap w:val="0"/>
            <w:vAlign w:val="center"/>
          </w:tcPr>
          <w:p w14:paraId="39B802D2">
            <w:pPr>
              <w:jc w:val="center"/>
              <w:rPr>
                <w:rFonts w:hint="eastAsia" w:ascii="仿宋" w:hAnsi="仿宋" w:eastAsia="仿宋" w:cs="仿宋"/>
                <w:sz w:val="24"/>
                <w:highlight w:val="none"/>
              </w:rPr>
            </w:pPr>
          </w:p>
        </w:tc>
      </w:tr>
    </w:tbl>
    <w:p w14:paraId="0982683C">
      <w:pPr>
        <w:autoSpaceDE w:val="0"/>
        <w:autoSpaceDN w:val="0"/>
        <w:adjustRightInd w:val="0"/>
        <w:spacing w:line="440" w:lineRule="exact"/>
        <w:rPr>
          <w:rFonts w:hint="eastAsia" w:ascii="仿宋" w:hAnsi="仿宋" w:eastAsia="仿宋" w:cs="仿宋"/>
          <w:b/>
          <w:bCs/>
          <w:sz w:val="24"/>
          <w:highlight w:val="none"/>
        </w:rPr>
      </w:pPr>
    </w:p>
    <w:tbl>
      <w:tblPr>
        <w:tblStyle w:val="41"/>
        <w:tblpPr w:leftFromText="180" w:rightFromText="180" w:vertAnchor="text" w:horzAnchor="page" w:tblpX="6129" w:tblpY="1763"/>
        <w:tblOverlap w:val="never"/>
        <w:tblW w:w="0" w:type="auto"/>
        <w:tblInd w:w="0" w:type="dxa"/>
        <w:tblLayout w:type="fixed"/>
        <w:tblCellMar>
          <w:top w:w="0" w:type="dxa"/>
          <w:left w:w="108" w:type="dxa"/>
          <w:bottom w:w="0" w:type="dxa"/>
          <w:right w:w="108" w:type="dxa"/>
        </w:tblCellMar>
      </w:tblPr>
      <w:tblGrid>
        <w:gridCol w:w="4700"/>
      </w:tblGrid>
      <w:tr w14:paraId="296F8FF7">
        <w:tblPrEx>
          <w:tblCellMar>
            <w:top w:w="0" w:type="dxa"/>
            <w:left w:w="108" w:type="dxa"/>
            <w:bottom w:w="0" w:type="dxa"/>
            <w:right w:w="108" w:type="dxa"/>
          </w:tblCellMar>
        </w:tblPrEx>
        <w:trPr>
          <w:trHeight w:val="1911" w:hRule="atLeast"/>
        </w:trPr>
        <w:tc>
          <w:tcPr>
            <w:tcW w:w="4700" w:type="dxa"/>
            <w:noWrap w:val="0"/>
            <w:vAlign w:val="top"/>
          </w:tcPr>
          <w:p w14:paraId="2FA26CC9">
            <w:pPr>
              <w:pStyle w:val="39"/>
              <w:spacing w:line="360" w:lineRule="auto"/>
              <w:ind w:firstLine="0" w:firstLineChars="0"/>
              <w:rPr>
                <w:rFonts w:hint="eastAsia" w:ascii="仿宋" w:hAnsi="仿宋" w:eastAsia="仿宋" w:cs="仿宋"/>
                <w:bCs/>
                <w:sz w:val="24"/>
                <w:highlight w:val="none"/>
              </w:rPr>
            </w:pPr>
            <w:r>
              <w:rPr>
                <w:rFonts w:hint="eastAsia" w:ascii="仿宋" w:hAnsi="仿宋" w:eastAsia="仿宋" w:cs="仿宋"/>
                <w:bCs/>
                <w:sz w:val="24"/>
                <w:highlight w:val="none"/>
              </w:rPr>
              <w:t>投标人名称（加盖公章）：</w:t>
            </w:r>
          </w:p>
          <w:p w14:paraId="53A2BDA3">
            <w:pPr>
              <w:pStyle w:val="39"/>
              <w:spacing w:line="360" w:lineRule="auto"/>
              <w:ind w:firstLine="0" w:firstLineChars="0"/>
              <w:rPr>
                <w:rFonts w:hint="eastAsia" w:ascii="仿宋" w:hAnsi="仿宋" w:eastAsia="仿宋" w:cs="仿宋"/>
                <w:sz w:val="24"/>
                <w:highlight w:val="none"/>
              </w:rPr>
            </w:pPr>
            <w:r>
              <w:rPr>
                <w:rFonts w:hint="eastAsia" w:ascii="仿宋" w:hAnsi="仿宋" w:eastAsia="仿宋" w:cs="仿宋"/>
                <w:kern w:val="0"/>
                <w:sz w:val="24"/>
                <w:highlight w:val="none"/>
              </w:rPr>
              <w:t>代理（被授权人）签字或盖章：</w:t>
            </w:r>
          </w:p>
          <w:p w14:paraId="56AE7CAD">
            <w:pPr>
              <w:widowControl/>
              <w:adjustRightIn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日期：  年  月  日</w:t>
            </w:r>
          </w:p>
        </w:tc>
      </w:tr>
    </w:tbl>
    <w:p w14:paraId="76A67D1A">
      <w:pPr>
        <w:adjustRightInd w:val="0"/>
        <w:snapToGrid w:val="0"/>
        <w:spacing w:line="440" w:lineRule="exact"/>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注：后附人员相关资格证书。</w:t>
      </w:r>
    </w:p>
    <w:p w14:paraId="496B0A5A">
      <w:pPr>
        <w:adjustRightInd w:val="0"/>
        <w:snapToGrid w:val="0"/>
        <w:spacing w:line="440" w:lineRule="exact"/>
        <w:ind w:firstLine="422" w:firstLineChars="200"/>
        <w:rPr>
          <w:rFonts w:hint="eastAsia" w:ascii="仿宋" w:hAnsi="仿宋" w:eastAsia="仿宋" w:cs="仿宋"/>
          <w:b/>
          <w:szCs w:val="21"/>
          <w:highlight w:val="none"/>
        </w:rPr>
      </w:pPr>
    </w:p>
    <w:p w14:paraId="28820A21">
      <w:pPr>
        <w:spacing w:line="440" w:lineRule="exact"/>
        <w:rPr>
          <w:rFonts w:hint="eastAsia" w:ascii="仿宋" w:hAnsi="仿宋" w:eastAsia="仿宋" w:cs="仿宋"/>
          <w:b/>
          <w:bCs/>
          <w:sz w:val="28"/>
          <w:szCs w:val="28"/>
          <w:highlight w:val="none"/>
        </w:rPr>
      </w:pPr>
    </w:p>
    <w:p w14:paraId="32104549">
      <w:pPr>
        <w:spacing w:line="440" w:lineRule="exact"/>
        <w:rPr>
          <w:rFonts w:hint="eastAsia" w:ascii="仿宋" w:hAnsi="仿宋" w:eastAsia="仿宋" w:cs="仿宋"/>
          <w:b/>
          <w:bCs/>
          <w:sz w:val="28"/>
          <w:szCs w:val="28"/>
          <w:highlight w:val="none"/>
        </w:rPr>
      </w:pPr>
    </w:p>
    <w:p w14:paraId="78428215">
      <w:pPr>
        <w:spacing w:line="440" w:lineRule="exact"/>
        <w:rPr>
          <w:rFonts w:hint="eastAsia" w:ascii="仿宋" w:hAnsi="仿宋" w:eastAsia="仿宋" w:cs="仿宋"/>
          <w:b/>
          <w:bCs/>
          <w:sz w:val="28"/>
          <w:szCs w:val="28"/>
          <w:highlight w:val="none"/>
        </w:rPr>
      </w:pPr>
    </w:p>
    <w:p w14:paraId="13EFD045">
      <w:pPr>
        <w:spacing w:line="440" w:lineRule="exact"/>
        <w:rPr>
          <w:rFonts w:hint="eastAsia" w:ascii="仿宋" w:hAnsi="仿宋" w:eastAsia="仿宋" w:cs="仿宋"/>
          <w:b/>
          <w:bCs/>
          <w:sz w:val="28"/>
          <w:szCs w:val="28"/>
          <w:highlight w:val="none"/>
        </w:rPr>
      </w:pPr>
    </w:p>
    <w:p w14:paraId="6C70E173">
      <w:pPr>
        <w:spacing w:line="440" w:lineRule="exact"/>
        <w:rPr>
          <w:rFonts w:hint="eastAsia" w:ascii="仿宋" w:hAnsi="仿宋" w:eastAsia="仿宋" w:cs="仿宋"/>
          <w:b/>
          <w:bCs/>
          <w:sz w:val="28"/>
          <w:szCs w:val="28"/>
          <w:highlight w:val="none"/>
        </w:rPr>
      </w:pPr>
    </w:p>
    <w:p w14:paraId="4B8D4907">
      <w:pPr>
        <w:spacing w:line="440" w:lineRule="exact"/>
        <w:rPr>
          <w:rFonts w:hint="eastAsia" w:ascii="仿宋" w:hAnsi="仿宋" w:eastAsia="仿宋" w:cs="仿宋"/>
          <w:b/>
          <w:bCs/>
          <w:sz w:val="28"/>
          <w:szCs w:val="28"/>
          <w:highlight w:val="none"/>
        </w:rPr>
      </w:pPr>
    </w:p>
    <w:p w14:paraId="1AC4F9AB">
      <w:pPr>
        <w:spacing w:line="440" w:lineRule="exact"/>
        <w:rPr>
          <w:rFonts w:hint="eastAsia" w:ascii="仿宋" w:hAnsi="仿宋" w:eastAsia="仿宋" w:cs="仿宋"/>
          <w:b/>
          <w:bCs/>
          <w:sz w:val="28"/>
          <w:szCs w:val="28"/>
          <w:highlight w:val="none"/>
        </w:rPr>
      </w:pPr>
    </w:p>
    <w:p w14:paraId="13827587">
      <w:pPr>
        <w:spacing w:line="440" w:lineRule="exact"/>
        <w:rPr>
          <w:rFonts w:hint="eastAsia" w:ascii="仿宋" w:hAnsi="仿宋" w:eastAsia="仿宋" w:cs="仿宋"/>
          <w:b/>
          <w:bCs/>
          <w:color w:val="auto"/>
          <w:sz w:val="28"/>
          <w:szCs w:val="28"/>
          <w:highlight w:val="none"/>
        </w:rPr>
      </w:pPr>
      <w:r>
        <w:rPr>
          <w:rFonts w:hint="eastAsia" w:ascii="仿宋" w:hAnsi="仿宋" w:eastAsia="仿宋" w:cs="仿宋"/>
          <w:b/>
          <w:bCs/>
          <w:sz w:val="28"/>
          <w:szCs w:val="28"/>
          <w:highlight w:val="none"/>
        </w:rPr>
        <w:br w:type="page"/>
      </w:r>
      <w:r>
        <w:rPr>
          <w:rFonts w:hint="eastAsia" w:ascii="仿宋" w:hAnsi="仿宋" w:eastAsia="仿宋" w:cs="仿宋"/>
          <w:b/>
          <w:bCs/>
          <w:color w:val="auto"/>
          <w:sz w:val="28"/>
          <w:szCs w:val="28"/>
          <w:highlight w:val="none"/>
        </w:rPr>
        <w:t>附件8  服务承诺书</w:t>
      </w:r>
    </w:p>
    <w:p w14:paraId="2E2837A1">
      <w:pPr>
        <w:pStyle w:val="37"/>
        <w:outlineLvl w:val="9"/>
        <w:rPr>
          <w:rFonts w:hint="eastAsia"/>
          <w:color w:val="auto"/>
          <w:highlight w:val="none"/>
        </w:rPr>
      </w:pPr>
    </w:p>
    <w:p w14:paraId="5790A543">
      <w:pPr>
        <w:pStyle w:val="220"/>
        <w:keepNext w:val="0"/>
        <w:keepLines w:val="0"/>
        <w:pageBreakBefore w:val="0"/>
        <w:widowControl w:val="0"/>
        <w:kinsoku/>
        <w:wordWrap/>
        <w:overflowPunct/>
        <w:topLinePunct w:val="0"/>
        <w:autoSpaceDE w:val="0"/>
        <w:autoSpaceDN w:val="0"/>
        <w:bidi w:val="0"/>
        <w:adjustRightInd w:val="0"/>
        <w:snapToGrid/>
        <w:spacing w:line="360" w:lineRule="auto"/>
        <w:ind w:left="1440" w:leftChars="0" w:hanging="1440" w:hangingChars="600"/>
        <w:jc w:val="both"/>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项目名称：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1792A0EF">
      <w:pPr>
        <w:pStyle w:val="220"/>
        <w:keepNext w:val="0"/>
        <w:keepLines w:val="0"/>
        <w:pageBreakBefore w:val="0"/>
        <w:widowControl w:val="0"/>
        <w:kinsoku/>
        <w:wordWrap/>
        <w:overflowPunct/>
        <w:topLinePunct w:val="0"/>
        <w:autoSpaceDE w:val="0"/>
        <w:autoSpaceDN w:val="0"/>
        <w:bidi w:val="0"/>
        <w:adjustRightInd w:val="0"/>
        <w:snapToGrid/>
        <w:spacing w:line="360" w:lineRule="auto"/>
        <w:ind w:left="1440" w:leftChars="0" w:hanging="1440" w:hangingChars="600"/>
        <w:jc w:val="both"/>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项目编号：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5E8D49D1">
      <w:pPr>
        <w:pStyle w:val="220"/>
        <w:keepNext w:val="0"/>
        <w:keepLines w:val="0"/>
        <w:pageBreakBefore w:val="0"/>
        <w:widowControl w:val="0"/>
        <w:kinsoku/>
        <w:wordWrap/>
        <w:overflowPunct/>
        <w:topLinePunct w:val="0"/>
        <w:autoSpaceDE w:val="0"/>
        <w:autoSpaceDN w:val="0"/>
        <w:bidi w:val="0"/>
        <w:adjustRightInd w:val="0"/>
        <w:snapToGrid/>
        <w:spacing w:line="360" w:lineRule="auto"/>
        <w:ind w:left="1440" w:leftChars="0" w:hanging="1440" w:hangingChars="600"/>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所投包号：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347A625A">
      <w:pPr>
        <w:pStyle w:val="220"/>
        <w:keepNext w:val="0"/>
        <w:keepLines w:val="0"/>
        <w:pageBreakBefore w:val="0"/>
        <w:widowControl w:val="0"/>
        <w:kinsoku/>
        <w:wordWrap/>
        <w:overflowPunct/>
        <w:topLinePunct w:val="0"/>
        <w:autoSpaceDE w:val="0"/>
        <w:autoSpaceDN w:val="0"/>
        <w:bidi w:val="0"/>
        <w:adjustRightInd w:val="0"/>
        <w:snapToGrid/>
        <w:spacing w:line="360" w:lineRule="auto"/>
        <w:ind w:left="1440" w:leftChars="0" w:hanging="1440" w:hangingChars="600"/>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7A5D90AD">
      <w:pPr>
        <w:widowControl/>
        <w:numPr>
          <w:ilvl w:val="0"/>
          <w:numId w:val="0"/>
        </w:numPr>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主要承诺: </w:t>
      </w:r>
    </w:p>
    <w:p w14:paraId="56DF5AFB">
      <w:pPr>
        <w:pStyle w:val="37"/>
        <w:outlineLvl w:val="9"/>
        <w:rPr>
          <w:rFonts w:hint="eastAsia"/>
          <w:color w:val="auto"/>
          <w:highlight w:val="none"/>
        </w:rPr>
      </w:pPr>
    </w:p>
    <w:p w14:paraId="33CC9DA5">
      <w:pPr>
        <w:widowControl/>
        <w:spacing w:line="360" w:lineRule="auto"/>
        <w:ind w:left="902"/>
        <w:jc w:val="center"/>
        <w:rPr>
          <w:rFonts w:hint="eastAsia" w:ascii="仿宋" w:hAnsi="仿宋" w:eastAsia="仿宋" w:cs="仿宋"/>
          <w:b/>
          <w:bCs/>
          <w:color w:val="auto"/>
          <w:kern w:val="0"/>
          <w:sz w:val="44"/>
          <w:szCs w:val="44"/>
          <w:highlight w:val="none"/>
          <w:lang w:eastAsia="zh-CN"/>
        </w:rPr>
      </w:pPr>
      <w:r>
        <w:rPr>
          <w:rFonts w:hint="eastAsia" w:ascii="仿宋" w:hAnsi="仿宋" w:eastAsia="仿宋" w:cs="仿宋"/>
          <w:b/>
          <w:bCs/>
          <w:color w:val="auto"/>
          <w:kern w:val="0"/>
          <w:sz w:val="44"/>
          <w:szCs w:val="44"/>
          <w:highlight w:val="none"/>
          <w:lang w:val="en-US" w:eastAsia="zh-CN"/>
        </w:rPr>
        <w:t>格式自定</w:t>
      </w:r>
    </w:p>
    <w:p w14:paraId="1BE2288E">
      <w:pPr>
        <w:widowControl/>
        <w:spacing w:line="360" w:lineRule="auto"/>
        <w:ind w:left="902"/>
        <w:jc w:val="left"/>
        <w:rPr>
          <w:rFonts w:hint="eastAsia" w:ascii="仿宋" w:hAnsi="仿宋" w:eastAsia="仿宋" w:cs="仿宋"/>
          <w:color w:val="auto"/>
          <w:kern w:val="0"/>
          <w:sz w:val="24"/>
          <w:highlight w:val="none"/>
        </w:rPr>
      </w:pPr>
    </w:p>
    <w:p w14:paraId="31C755DC">
      <w:pPr>
        <w:widowControl/>
        <w:spacing w:before="100" w:beforeAutospacing="1" w:after="100" w:afterAutospacing="1"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p>
    <w:p w14:paraId="29CFF00D">
      <w:pPr>
        <w:tabs>
          <w:tab w:val="left" w:pos="3420"/>
        </w:tabs>
        <w:rPr>
          <w:rFonts w:hint="eastAsia" w:ascii="仿宋" w:hAnsi="仿宋" w:eastAsia="仿宋" w:cs="仿宋"/>
          <w:color w:val="auto"/>
          <w:sz w:val="24"/>
          <w:highlight w:val="none"/>
        </w:rPr>
      </w:pPr>
      <w:r>
        <w:rPr>
          <w:rFonts w:hint="eastAsia" w:ascii="仿宋" w:hAnsi="仿宋" w:eastAsia="仿宋" w:cs="仿宋"/>
          <w:color w:val="auto"/>
          <w:sz w:val="24"/>
          <w:highlight w:val="none"/>
        </w:rPr>
        <w:tab/>
      </w:r>
    </w:p>
    <w:tbl>
      <w:tblPr>
        <w:tblStyle w:val="41"/>
        <w:tblpPr w:leftFromText="180" w:rightFromText="180" w:vertAnchor="text" w:horzAnchor="page" w:tblpX="5884" w:tblpY="44"/>
        <w:tblOverlap w:val="never"/>
        <w:tblW w:w="0" w:type="auto"/>
        <w:tblInd w:w="0" w:type="dxa"/>
        <w:tblLayout w:type="fixed"/>
        <w:tblCellMar>
          <w:top w:w="0" w:type="dxa"/>
          <w:left w:w="108" w:type="dxa"/>
          <w:bottom w:w="0" w:type="dxa"/>
          <w:right w:w="108" w:type="dxa"/>
        </w:tblCellMar>
      </w:tblPr>
      <w:tblGrid>
        <w:gridCol w:w="4700"/>
      </w:tblGrid>
      <w:tr w14:paraId="182F3AC9">
        <w:tblPrEx>
          <w:tblCellMar>
            <w:top w:w="0" w:type="dxa"/>
            <w:left w:w="108" w:type="dxa"/>
            <w:bottom w:w="0" w:type="dxa"/>
            <w:right w:w="108" w:type="dxa"/>
          </w:tblCellMar>
        </w:tblPrEx>
        <w:trPr>
          <w:trHeight w:val="1911" w:hRule="atLeast"/>
        </w:trPr>
        <w:tc>
          <w:tcPr>
            <w:tcW w:w="4700" w:type="dxa"/>
            <w:noWrap w:val="0"/>
            <w:vAlign w:val="top"/>
          </w:tcPr>
          <w:p w14:paraId="666413BF">
            <w:pPr>
              <w:pStyle w:val="39"/>
              <w:spacing w:line="360" w:lineRule="auto"/>
              <w:ind w:firstLine="0" w:firstLineChars="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投标人名称（加盖公章）：</w:t>
            </w:r>
          </w:p>
          <w:p w14:paraId="5BD2FB41">
            <w:pPr>
              <w:pStyle w:val="39"/>
              <w:spacing w:line="360" w:lineRule="auto"/>
              <w:ind w:firstLine="0" w:firstLineChars="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rPr>
              <w:t>代理人（被授权人）</w:t>
            </w:r>
            <w:r>
              <w:rPr>
                <w:rFonts w:hint="eastAsia" w:ascii="仿宋" w:hAnsi="仿宋" w:eastAsia="仿宋" w:cs="仿宋"/>
                <w:color w:val="auto"/>
                <w:kern w:val="0"/>
                <w:sz w:val="24"/>
                <w:highlight w:val="none"/>
              </w:rPr>
              <w:t>签字或盖章：</w:t>
            </w:r>
          </w:p>
          <w:p w14:paraId="7D2A4B3A">
            <w:pPr>
              <w:widowControl/>
              <w:adjustRightIn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日期：  年  月  日</w:t>
            </w:r>
          </w:p>
        </w:tc>
      </w:tr>
    </w:tbl>
    <w:p w14:paraId="0C225E6F">
      <w:pPr>
        <w:widowControl/>
        <w:adjustRightInd w:val="0"/>
        <w:ind w:firstLine="3570" w:firstLineChars="1700"/>
        <w:rPr>
          <w:rFonts w:hint="eastAsia" w:ascii="仿宋" w:hAnsi="仿宋" w:eastAsia="仿宋" w:cs="仿宋"/>
          <w:kern w:val="0"/>
          <w:szCs w:val="21"/>
          <w:highlight w:val="none"/>
        </w:rPr>
      </w:pPr>
    </w:p>
    <w:p w14:paraId="1677ED49">
      <w:pPr>
        <w:widowControl/>
        <w:adjustRightInd w:val="0"/>
        <w:ind w:firstLine="3570" w:firstLineChars="1700"/>
        <w:rPr>
          <w:rFonts w:hint="eastAsia" w:ascii="仿宋" w:hAnsi="仿宋" w:eastAsia="仿宋" w:cs="仿宋"/>
          <w:kern w:val="0"/>
          <w:szCs w:val="21"/>
          <w:highlight w:val="none"/>
        </w:rPr>
      </w:pPr>
    </w:p>
    <w:p w14:paraId="3FD1B5FF">
      <w:pPr>
        <w:widowControl/>
        <w:adjustRightInd w:val="0"/>
        <w:ind w:firstLine="3570" w:firstLineChars="1700"/>
        <w:rPr>
          <w:rFonts w:hint="eastAsia" w:ascii="仿宋" w:hAnsi="仿宋" w:eastAsia="仿宋" w:cs="仿宋"/>
          <w:kern w:val="0"/>
          <w:szCs w:val="21"/>
          <w:highlight w:val="none"/>
        </w:rPr>
      </w:pPr>
    </w:p>
    <w:p w14:paraId="296D7879">
      <w:pPr>
        <w:widowControl/>
        <w:adjustRightInd w:val="0"/>
        <w:ind w:firstLine="3570" w:firstLineChars="1700"/>
        <w:rPr>
          <w:rFonts w:hint="eastAsia" w:ascii="仿宋" w:hAnsi="仿宋" w:eastAsia="仿宋" w:cs="仿宋"/>
          <w:kern w:val="0"/>
          <w:szCs w:val="21"/>
          <w:highlight w:val="none"/>
        </w:rPr>
      </w:pPr>
    </w:p>
    <w:p w14:paraId="02ED16F4">
      <w:pPr>
        <w:widowControl/>
        <w:adjustRightInd w:val="0"/>
        <w:ind w:firstLine="3570" w:firstLineChars="1700"/>
        <w:rPr>
          <w:rFonts w:hint="eastAsia" w:ascii="仿宋" w:hAnsi="仿宋" w:eastAsia="仿宋" w:cs="仿宋"/>
          <w:kern w:val="0"/>
          <w:szCs w:val="21"/>
          <w:highlight w:val="none"/>
        </w:rPr>
      </w:pPr>
    </w:p>
    <w:p w14:paraId="691CF5AB">
      <w:pPr>
        <w:widowControl/>
        <w:adjustRightInd w:val="0"/>
        <w:spacing w:line="440" w:lineRule="exact"/>
        <w:jc w:val="left"/>
        <w:rPr>
          <w:rFonts w:hint="eastAsia" w:ascii="仿宋" w:hAnsi="仿宋" w:eastAsia="仿宋" w:cs="仿宋"/>
          <w:b/>
          <w:bCs/>
          <w:sz w:val="28"/>
          <w:szCs w:val="28"/>
          <w:highlight w:val="none"/>
        </w:rPr>
      </w:pPr>
      <w:r>
        <w:rPr>
          <w:rFonts w:hint="eastAsia" w:ascii="仿宋" w:hAnsi="仿宋" w:eastAsia="仿宋" w:cs="仿宋"/>
          <w:kern w:val="0"/>
          <w:szCs w:val="21"/>
          <w:highlight w:val="none"/>
        </w:rPr>
        <w:br w:type="page"/>
      </w:r>
      <w:r>
        <w:rPr>
          <w:rFonts w:hint="eastAsia" w:ascii="仿宋" w:hAnsi="仿宋" w:eastAsia="仿宋" w:cs="仿宋"/>
          <w:b/>
          <w:bCs/>
          <w:sz w:val="28"/>
          <w:szCs w:val="28"/>
          <w:highlight w:val="none"/>
        </w:rPr>
        <w:t>附件9  反商业贿赂承诺书</w:t>
      </w:r>
    </w:p>
    <w:p w14:paraId="2D7A1A02">
      <w:pPr>
        <w:spacing w:line="440" w:lineRule="exact"/>
        <w:rPr>
          <w:rFonts w:hint="eastAsia" w:ascii="仿宋" w:hAnsi="仿宋" w:eastAsia="仿宋" w:cs="仿宋"/>
          <w:b/>
          <w:bCs/>
          <w:sz w:val="28"/>
          <w:szCs w:val="28"/>
          <w:highlight w:val="none"/>
        </w:rPr>
      </w:pPr>
    </w:p>
    <w:p w14:paraId="430D7CD4">
      <w:pPr>
        <w:spacing w:line="440" w:lineRule="exact"/>
        <w:rPr>
          <w:rFonts w:hint="eastAsia" w:ascii="仿宋" w:hAnsi="仿宋" w:eastAsia="仿宋" w:cs="仿宋"/>
          <w:b/>
          <w:bCs/>
          <w:sz w:val="28"/>
          <w:szCs w:val="28"/>
          <w:highlight w:val="none"/>
        </w:rPr>
      </w:pPr>
    </w:p>
    <w:p w14:paraId="3104C1F3">
      <w:pPr>
        <w:pStyle w:val="15"/>
        <w:spacing w:line="600" w:lineRule="auto"/>
        <w:ind w:firstLine="482"/>
        <w:rPr>
          <w:rFonts w:hint="eastAsia" w:ascii="仿宋" w:hAnsi="仿宋" w:eastAsia="仿宋" w:cs="仿宋"/>
          <w:sz w:val="24"/>
          <w:highlight w:val="none"/>
        </w:rPr>
      </w:pPr>
      <w:r>
        <w:rPr>
          <w:rFonts w:hint="eastAsia" w:ascii="仿宋" w:hAnsi="仿宋" w:eastAsia="仿宋" w:cs="仿宋"/>
          <w:sz w:val="24"/>
          <w:highlight w:val="none"/>
        </w:rPr>
        <w:t>我公司承诺在</w:t>
      </w:r>
      <w:r>
        <w:rPr>
          <w:rFonts w:hint="eastAsia" w:ascii="仿宋" w:hAnsi="仿宋" w:eastAsia="仿宋" w:cs="仿宋"/>
          <w:sz w:val="24"/>
          <w:highlight w:val="none"/>
          <w:u w:val="single"/>
        </w:rPr>
        <w:t>（项目名称、项目编号）</w:t>
      </w:r>
      <w:r>
        <w:rPr>
          <w:rFonts w:hint="eastAsia" w:ascii="仿宋" w:hAnsi="仿宋" w:eastAsia="仿宋" w:cs="仿宋"/>
          <w:sz w:val="24"/>
          <w:highlight w:val="none"/>
        </w:rPr>
        <w:t>招标活动中，不给予采购方工作人员以及招标代理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w:t>
      </w:r>
    </w:p>
    <w:p w14:paraId="3449A90A">
      <w:pPr>
        <w:pStyle w:val="15"/>
        <w:spacing w:line="600" w:lineRule="auto"/>
        <w:ind w:firstLine="482"/>
        <w:rPr>
          <w:rFonts w:hint="eastAsia" w:ascii="仿宋" w:hAnsi="仿宋" w:eastAsia="仿宋" w:cs="仿宋"/>
          <w:sz w:val="24"/>
          <w:highlight w:val="none"/>
        </w:rPr>
      </w:pPr>
    </w:p>
    <w:p w14:paraId="5C622E58">
      <w:pPr>
        <w:pStyle w:val="15"/>
        <w:spacing w:line="440" w:lineRule="exact"/>
        <w:ind w:firstLine="482"/>
        <w:rPr>
          <w:rFonts w:hint="eastAsia" w:ascii="仿宋" w:hAnsi="仿宋" w:eastAsia="仿宋" w:cs="仿宋"/>
          <w:sz w:val="24"/>
          <w:highlight w:val="none"/>
        </w:rPr>
      </w:pPr>
    </w:p>
    <w:tbl>
      <w:tblPr>
        <w:tblStyle w:val="41"/>
        <w:tblpPr w:leftFromText="180" w:rightFromText="180" w:vertAnchor="text" w:horzAnchor="page" w:tblpX="5727" w:tblpY="302"/>
        <w:tblOverlap w:val="never"/>
        <w:tblW w:w="0" w:type="auto"/>
        <w:tblInd w:w="0" w:type="dxa"/>
        <w:tblLayout w:type="fixed"/>
        <w:tblCellMar>
          <w:top w:w="0" w:type="dxa"/>
          <w:left w:w="108" w:type="dxa"/>
          <w:bottom w:w="0" w:type="dxa"/>
          <w:right w:w="108" w:type="dxa"/>
        </w:tblCellMar>
      </w:tblPr>
      <w:tblGrid>
        <w:gridCol w:w="4700"/>
      </w:tblGrid>
      <w:tr w14:paraId="11898536">
        <w:tblPrEx>
          <w:tblCellMar>
            <w:top w:w="0" w:type="dxa"/>
            <w:left w:w="108" w:type="dxa"/>
            <w:bottom w:w="0" w:type="dxa"/>
            <w:right w:w="108" w:type="dxa"/>
          </w:tblCellMar>
        </w:tblPrEx>
        <w:trPr>
          <w:trHeight w:val="1911" w:hRule="atLeast"/>
        </w:trPr>
        <w:tc>
          <w:tcPr>
            <w:tcW w:w="4700" w:type="dxa"/>
            <w:noWrap w:val="0"/>
            <w:vAlign w:val="top"/>
          </w:tcPr>
          <w:p w14:paraId="719E3F49">
            <w:pPr>
              <w:pStyle w:val="39"/>
              <w:spacing w:line="360" w:lineRule="auto"/>
              <w:ind w:firstLine="0" w:firstLineChars="0"/>
              <w:rPr>
                <w:rFonts w:hint="eastAsia" w:ascii="仿宋" w:hAnsi="仿宋" w:eastAsia="仿宋" w:cs="仿宋"/>
                <w:bCs/>
                <w:sz w:val="24"/>
                <w:highlight w:val="none"/>
              </w:rPr>
            </w:pPr>
            <w:r>
              <w:rPr>
                <w:rFonts w:hint="eastAsia" w:ascii="仿宋" w:hAnsi="仿宋" w:eastAsia="仿宋" w:cs="仿宋"/>
                <w:bCs/>
                <w:sz w:val="24"/>
                <w:highlight w:val="none"/>
              </w:rPr>
              <w:t>投标人名称（加盖公章）：</w:t>
            </w:r>
          </w:p>
          <w:p w14:paraId="04D10A38">
            <w:pPr>
              <w:pStyle w:val="39"/>
              <w:spacing w:line="360" w:lineRule="auto"/>
              <w:ind w:firstLine="0" w:firstLineChars="0"/>
              <w:rPr>
                <w:rFonts w:hint="eastAsia" w:ascii="仿宋" w:hAnsi="仿宋" w:eastAsia="仿宋" w:cs="仿宋"/>
                <w:sz w:val="24"/>
                <w:highlight w:val="none"/>
              </w:rPr>
            </w:pPr>
            <w:r>
              <w:rPr>
                <w:rFonts w:hint="eastAsia" w:ascii="仿宋" w:hAnsi="仿宋" w:eastAsia="仿宋" w:cs="仿宋"/>
                <w:kern w:val="0"/>
                <w:sz w:val="24"/>
                <w:highlight w:val="none"/>
              </w:rPr>
              <w:t>代理（被授权人）签字或盖章：</w:t>
            </w:r>
          </w:p>
          <w:p w14:paraId="799919C6">
            <w:pPr>
              <w:widowControl/>
              <w:adjustRightIn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日期：  年  月  日</w:t>
            </w:r>
          </w:p>
        </w:tc>
      </w:tr>
    </w:tbl>
    <w:p w14:paraId="5B7D7572">
      <w:pPr>
        <w:pStyle w:val="15"/>
        <w:spacing w:line="440" w:lineRule="exact"/>
        <w:ind w:firstLine="482"/>
        <w:rPr>
          <w:rFonts w:hint="eastAsia" w:ascii="仿宋" w:hAnsi="仿宋" w:eastAsia="仿宋" w:cs="仿宋"/>
          <w:sz w:val="24"/>
          <w:highlight w:val="none"/>
        </w:rPr>
      </w:pPr>
    </w:p>
    <w:p w14:paraId="34631C14">
      <w:pPr>
        <w:pStyle w:val="15"/>
        <w:spacing w:line="440" w:lineRule="exact"/>
        <w:ind w:firstLine="482"/>
        <w:rPr>
          <w:rFonts w:hint="eastAsia" w:ascii="仿宋" w:hAnsi="仿宋" w:eastAsia="仿宋" w:cs="仿宋"/>
          <w:sz w:val="24"/>
          <w:highlight w:val="none"/>
        </w:rPr>
      </w:pPr>
    </w:p>
    <w:p w14:paraId="097C88E7">
      <w:pPr>
        <w:pStyle w:val="15"/>
        <w:spacing w:line="440" w:lineRule="exact"/>
        <w:ind w:firstLine="482"/>
        <w:rPr>
          <w:rFonts w:hint="eastAsia" w:ascii="仿宋" w:hAnsi="仿宋" w:eastAsia="仿宋" w:cs="仿宋"/>
          <w:sz w:val="24"/>
          <w:highlight w:val="none"/>
        </w:rPr>
      </w:pPr>
    </w:p>
    <w:p w14:paraId="0FE1BC13">
      <w:pPr>
        <w:pStyle w:val="15"/>
        <w:spacing w:line="440" w:lineRule="exact"/>
        <w:ind w:firstLine="482"/>
        <w:rPr>
          <w:rFonts w:hint="eastAsia" w:ascii="仿宋" w:hAnsi="仿宋" w:eastAsia="仿宋" w:cs="仿宋"/>
          <w:sz w:val="24"/>
          <w:highlight w:val="none"/>
        </w:rPr>
      </w:pPr>
    </w:p>
    <w:p w14:paraId="0F12E95C">
      <w:pPr>
        <w:pStyle w:val="15"/>
        <w:spacing w:line="440" w:lineRule="exact"/>
        <w:ind w:firstLine="482"/>
        <w:rPr>
          <w:rFonts w:hint="eastAsia" w:ascii="仿宋" w:hAnsi="仿宋" w:eastAsia="仿宋" w:cs="仿宋"/>
          <w:sz w:val="24"/>
          <w:highlight w:val="none"/>
        </w:rPr>
      </w:pPr>
    </w:p>
    <w:p w14:paraId="6EDAC06A">
      <w:pPr>
        <w:pStyle w:val="15"/>
        <w:spacing w:line="440" w:lineRule="exact"/>
        <w:ind w:firstLine="482"/>
        <w:rPr>
          <w:rFonts w:hint="eastAsia" w:ascii="仿宋" w:hAnsi="仿宋" w:eastAsia="仿宋" w:cs="仿宋"/>
          <w:sz w:val="24"/>
          <w:highlight w:val="none"/>
        </w:rPr>
      </w:pPr>
    </w:p>
    <w:p w14:paraId="561B2FEE">
      <w:pPr>
        <w:spacing w:line="440" w:lineRule="exact"/>
        <w:rPr>
          <w:rFonts w:hint="eastAsia" w:ascii="仿宋" w:hAnsi="仿宋" w:eastAsia="仿宋" w:cs="仿宋"/>
          <w:sz w:val="24"/>
          <w:highlight w:val="none"/>
        </w:rPr>
        <w:sectPr>
          <w:footerReference r:id="rId8" w:type="default"/>
          <w:pgSz w:w="11850" w:h="16783"/>
          <w:pgMar w:top="1417" w:right="1701" w:bottom="1417" w:left="1701" w:header="850" w:footer="567" w:gutter="0"/>
          <w:pgNumType w:fmt="decimal"/>
          <w:cols w:space="0" w:num="1"/>
          <w:rtlGutter w:val="0"/>
          <w:docGrid w:type="lines" w:linePitch="377" w:charSpace="0"/>
        </w:sectPr>
      </w:pPr>
    </w:p>
    <w:p w14:paraId="2F2C4AF1">
      <w:pPr>
        <w:spacing w:line="440" w:lineRule="exac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附件10  开标一览表</w:t>
      </w:r>
    </w:p>
    <w:p w14:paraId="67ABBC19">
      <w:pPr>
        <w:pStyle w:val="220"/>
        <w:keepNext w:val="0"/>
        <w:keepLines w:val="0"/>
        <w:pageBreakBefore w:val="0"/>
        <w:widowControl w:val="0"/>
        <w:kinsoku/>
        <w:wordWrap/>
        <w:overflowPunct/>
        <w:topLinePunct w:val="0"/>
        <w:autoSpaceDE w:val="0"/>
        <w:autoSpaceDN w:val="0"/>
        <w:bidi w:val="0"/>
        <w:adjustRightInd w:val="0"/>
        <w:snapToGrid/>
        <w:spacing w:line="360" w:lineRule="auto"/>
        <w:ind w:left="1440" w:leftChars="0" w:hanging="1440" w:hangingChars="600"/>
        <w:jc w:val="both"/>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项目名称：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050A424E">
      <w:pPr>
        <w:pStyle w:val="220"/>
        <w:keepNext w:val="0"/>
        <w:keepLines w:val="0"/>
        <w:pageBreakBefore w:val="0"/>
        <w:widowControl w:val="0"/>
        <w:kinsoku/>
        <w:wordWrap/>
        <w:overflowPunct/>
        <w:topLinePunct w:val="0"/>
        <w:autoSpaceDE w:val="0"/>
        <w:autoSpaceDN w:val="0"/>
        <w:bidi w:val="0"/>
        <w:adjustRightInd w:val="0"/>
        <w:snapToGrid/>
        <w:spacing w:line="360" w:lineRule="auto"/>
        <w:ind w:left="1440" w:leftChars="0" w:hanging="1440" w:hangingChars="600"/>
        <w:jc w:val="both"/>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项目编号：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0F278038">
      <w:pPr>
        <w:pStyle w:val="220"/>
        <w:keepNext w:val="0"/>
        <w:keepLines w:val="0"/>
        <w:pageBreakBefore w:val="0"/>
        <w:widowControl w:val="0"/>
        <w:kinsoku/>
        <w:wordWrap/>
        <w:overflowPunct/>
        <w:topLinePunct w:val="0"/>
        <w:autoSpaceDE w:val="0"/>
        <w:autoSpaceDN w:val="0"/>
        <w:bidi w:val="0"/>
        <w:adjustRightInd w:val="0"/>
        <w:snapToGrid/>
        <w:spacing w:line="360" w:lineRule="auto"/>
        <w:ind w:left="1440" w:leftChars="0" w:hanging="1440" w:hangingChars="600"/>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所投包号：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6FBB60C8">
      <w:pPr>
        <w:pStyle w:val="220"/>
        <w:keepNext w:val="0"/>
        <w:keepLines w:val="0"/>
        <w:pageBreakBefore w:val="0"/>
        <w:widowControl w:val="0"/>
        <w:kinsoku/>
        <w:wordWrap/>
        <w:overflowPunct/>
        <w:topLinePunct w:val="0"/>
        <w:autoSpaceDE w:val="0"/>
        <w:autoSpaceDN w:val="0"/>
        <w:bidi w:val="0"/>
        <w:adjustRightInd w:val="0"/>
        <w:snapToGrid/>
        <w:spacing w:line="360" w:lineRule="auto"/>
        <w:ind w:left="1440" w:leftChars="0" w:hanging="1440" w:hangingChars="600"/>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tbl>
      <w:tblPr>
        <w:tblStyle w:val="41"/>
        <w:tblpPr w:leftFromText="180" w:rightFromText="180" w:vertAnchor="text" w:horzAnchor="page" w:tblpX="1157" w:tblpY="15"/>
        <w:tblOverlap w:val="never"/>
        <w:tblW w:w="9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5"/>
        <w:gridCol w:w="6801"/>
      </w:tblGrid>
      <w:tr w14:paraId="546A4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exact"/>
        </w:trPr>
        <w:tc>
          <w:tcPr>
            <w:tcW w:w="3035" w:type="dxa"/>
            <w:noWrap w:val="0"/>
            <w:vAlign w:val="center"/>
          </w:tcPr>
          <w:p w14:paraId="1B309B2B">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投标响应</w:t>
            </w:r>
            <w:r>
              <w:rPr>
                <w:rFonts w:hint="eastAsia" w:ascii="仿宋_GB2312" w:hAnsi="仿宋_GB2312" w:eastAsia="仿宋_GB2312" w:cs="仿宋_GB2312"/>
                <w:color w:val="auto"/>
                <w:sz w:val="24"/>
                <w:highlight w:val="none"/>
              </w:rPr>
              <w:t>内容</w:t>
            </w:r>
          </w:p>
        </w:tc>
        <w:tc>
          <w:tcPr>
            <w:tcW w:w="6801" w:type="dxa"/>
            <w:noWrap w:val="0"/>
            <w:vAlign w:val="center"/>
          </w:tcPr>
          <w:p w14:paraId="3EF71DD9">
            <w:pPr>
              <w:jc w:val="cente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val="en-US" w:eastAsia="zh-CN"/>
              </w:rPr>
              <w:t>投标</w:t>
            </w:r>
            <w:r>
              <w:rPr>
                <w:rFonts w:hint="eastAsia" w:ascii="仿宋_GB2312" w:hAnsi="仿宋_GB2312" w:eastAsia="仿宋_GB2312" w:cs="仿宋_GB2312"/>
                <w:color w:val="auto"/>
                <w:sz w:val="24"/>
                <w:highlight w:val="none"/>
              </w:rPr>
              <w:t>报价</w:t>
            </w:r>
            <w:r>
              <w:rPr>
                <w:rFonts w:hint="eastAsia" w:ascii="仿宋_GB2312" w:hAnsi="仿宋_GB2312" w:eastAsia="仿宋_GB2312" w:cs="仿宋_GB2312"/>
                <w:color w:val="auto"/>
                <w:sz w:val="24"/>
                <w:highlight w:val="none"/>
                <w:lang w:val="en-US" w:eastAsia="zh-CN"/>
              </w:rPr>
              <w:t>（下浮率）</w:t>
            </w:r>
          </w:p>
        </w:tc>
      </w:tr>
      <w:tr w14:paraId="41976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trPr>
        <w:tc>
          <w:tcPr>
            <w:tcW w:w="3035" w:type="dxa"/>
            <w:noWrap w:val="0"/>
            <w:vAlign w:val="center"/>
          </w:tcPr>
          <w:p w14:paraId="60CA5228">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新疆维吾尔自治区教育考试院职工食堂蔬菜采购项目</w:t>
            </w:r>
          </w:p>
        </w:tc>
        <w:tc>
          <w:tcPr>
            <w:tcW w:w="6801" w:type="dxa"/>
            <w:noWrap w:val="0"/>
            <w:vAlign w:val="center"/>
          </w:tcPr>
          <w:p w14:paraId="3A04FE01">
            <w:pPr>
              <w:pStyle w:val="8"/>
              <w:spacing w:line="360" w:lineRule="auto"/>
              <w:ind w:left="0" w:leftChars="0" w:firstLine="0" w:firstLineChars="0"/>
              <w:jc w:val="left"/>
              <w:rPr>
                <w:rFonts w:hint="eastAsia" w:ascii="宋体" w:hAnsi="宋体" w:eastAsia="宋体" w:cs="宋体"/>
                <w:b w:val="0"/>
                <w:bCs w:val="0"/>
                <w:color w:val="auto"/>
                <w:sz w:val="21"/>
                <w:szCs w:val="21"/>
                <w:highlight w:val="none"/>
                <w:u w:val="single"/>
                <w:lang w:val="en-US" w:eastAsia="zh-CN"/>
              </w:rPr>
            </w:pPr>
            <w:r>
              <w:rPr>
                <w:rFonts w:hint="eastAsia" w:ascii="宋体" w:hAnsi="宋体" w:eastAsia="宋体" w:cs="宋体"/>
                <w:b w:val="0"/>
                <w:bCs w:val="0"/>
                <w:color w:val="auto"/>
                <w:sz w:val="21"/>
                <w:szCs w:val="21"/>
                <w:highlight w:val="none"/>
                <w:lang w:val="en-US" w:eastAsia="zh-CN"/>
              </w:rPr>
              <w:t>投标报价下浮率为：</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u w:val="single"/>
                <w:lang w:val="en-US" w:eastAsia="zh-CN"/>
              </w:rPr>
              <w:t xml:space="preserve"> </w:t>
            </w:r>
          </w:p>
          <w:p w14:paraId="1357266F">
            <w:pPr>
              <w:ind w:firstLine="480" w:firstLineChars="200"/>
              <w:jc w:val="left"/>
              <w:rPr>
                <w:rFonts w:hint="eastAsia" w:ascii="仿宋_GB2312" w:hAnsi="仿宋_GB2312" w:eastAsia="仿宋_GB2312" w:cs="仿宋_GB2312"/>
                <w:color w:val="auto"/>
                <w:sz w:val="24"/>
                <w:highlight w:val="none"/>
              </w:rPr>
            </w:pPr>
          </w:p>
        </w:tc>
      </w:tr>
      <w:tr w14:paraId="5688B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exact"/>
        </w:trPr>
        <w:tc>
          <w:tcPr>
            <w:tcW w:w="3035" w:type="dxa"/>
            <w:noWrap w:val="0"/>
            <w:vAlign w:val="center"/>
          </w:tcPr>
          <w:p w14:paraId="5583A865">
            <w:pPr>
              <w:jc w:val="cente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投标有效期</w:t>
            </w:r>
          </w:p>
        </w:tc>
        <w:tc>
          <w:tcPr>
            <w:tcW w:w="6801" w:type="dxa"/>
            <w:noWrap w:val="0"/>
            <w:vAlign w:val="center"/>
          </w:tcPr>
          <w:p w14:paraId="1367F979">
            <w:pPr>
              <w:numPr>
                <w:ilvl w:val="0"/>
                <w:numId w:val="0"/>
              </w:numPr>
              <w:spacing w:line="360" w:lineRule="auto"/>
              <w:ind w:leftChars="0"/>
              <w:jc w:val="center"/>
              <w:rPr>
                <w:rFonts w:hint="eastAsia" w:ascii="仿宋_GB2312" w:hAnsi="仿宋_GB2312" w:eastAsia="仿宋_GB2312" w:cs="仿宋_GB2312"/>
                <w:color w:val="auto"/>
                <w:sz w:val="24"/>
                <w:highlight w:val="none"/>
              </w:rPr>
            </w:pPr>
          </w:p>
        </w:tc>
      </w:tr>
      <w:tr w14:paraId="34641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exact"/>
        </w:trPr>
        <w:tc>
          <w:tcPr>
            <w:tcW w:w="3035" w:type="dxa"/>
            <w:noWrap w:val="0"/>
            <w:vAlign w:val="center"/>
          </w:tcPr>
          <w:p w14:paraId="3849AF34">
            <w:pPr>
              <w:jc w:val="cente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服务期（合同履约期）</w:t>
            </w:r>
          </w:p>
        </w:tc>
        <w:tc>
          <w:tcPr>
            <w:tcW w:w="6801" w:type="dxa"/>
            <w:noWrap w:val="0"/>
            <w:vAlign w:val="center"/>
          </w:tcPr>
          <w:p w14:paraId="4D3620BF">
            <w:pPr>
              <w:jc w:val="center"/>
              <w:rPr>
                <w:rFonts w:hint="eastAsia" w:ascii="仿宋_GB2312" w:hAnsi="仿宋_GB2312" w:eastAsia="仿宋_GB2312" w:cs="仿宋_GB2312"/>
                <w:color w:val="auto"/>
                <w:sz w:val="24"/>
                <w:highlight w:val="none"/>
                <w:lang w:val="en-US" w:eastAsia="zh-CN"/>
              </w:rPr>
            </w:pPr>
          </w:p>
        </w:tc>
      </w:tr>
      <w:tr w14:paraId="69E52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exact"/>
        </w:trPr>
        <w:tc>
          <w:tcPr>
            <w:tcW w:w="3035" w:type="dxa"/>
            <w:noWrap w:val="0"/>
            <w:vAlign w:val="center"/>
          </w:tcPr>
          <w:p w14:paraId="7E3C8DC1">
            <w:pPr>
              <w:jc w:val="cente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备注</w:t>
            </w:r>
          </w:p>
        </w:tc>
        <w:tc>
          <w:tcPr>
            <w:tcW w:w="6801" w:type="dxa"/>
            <w:noWrap w:val="0"/>
            <w:vAlign w:val="center"/>
          </w:tcPr>
          <w:p w14:paraId="05335F54">
            <w:pPr>
              <w:numPr>
                <w:ilvl w:val="0"/>
                <w:numId w:val="0"/>
              </w:numPr>
              <w:jc w:val="both"/>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结算单价=结算基准价×（ 1-下浮率）</w:t>
            </w:r>
          </w:p>
        </w:tc>
      </w:tr>
    </w:tbl>
    <w:p w14:paraId="6B6B3808">
      <w:pPr>
        <w:widowControl/>
        <w:spacing w:line="440" w:lineRule="exact"/>
        <w:ind w:firstLine="120" w:firstLineChars="50"/>
        <w:rPr>
          <w:rFonts w:hint="eastAsia" w:ascii="仿宋_GB2312" w:hAnsi="仿宋_GB2312" w:eastAsia="仿宋_GB2312" w:cs="仿宋_GB2312"/>
          <w:b w:val="0"/>
          <w:bCs w:val="0"/>
          <w:color w:val="auto"/>
          <w:kern w:val="2"/>
          <w:sz w:val="24"/>
          <w:highlight w:val="none"/>
        </w:rPr>
      </w:pPr>
      <w:r>
        <w:rPr>
          <w:rFonts w:hint="eastAsia" w:ascii="仿宋_GB2312" w:hAnsi="仿宋_GB2312" w:eastAsia="仿宋_GB2312" w:cs="仿宋_GB2312"/>
          <w:color w:val="auto"/>
          <w:sz w:val="24"/>
          <w:highlight w:val="none"/>
        </w:rPr>
        <w:t xml:space="preserve">  </w:t>
      </w:r>
      <w:r>
        <w:rPr>
          <w:rFonts w:hint="eastAsia" w:ascii="仿宋_GB2312" w:hAnsi="仿宋_GB2312" w:eastAsia="仿宋_GB2312" w:cs="仿宋_GB2312"/>
          <w:b w:val="0"/>
          <w:bCs w:val="0"/>
          <w:color w:val="auto"/>
          <w:kern w:val="2"/>
          <w:sz w:val="24"/>
          <w:highlight w:val="none"/>
        </w:rPr>
        <w:t>本表格式不得更改，投标人只能按要求填报，否则将被视为无效投标。</w:t>
      </w:r>
    </w:p>
    <w:p w14:paraId="1290FECA">
      <w:pPr>
        <w:widowControl/>
        <w:spacing w:line="440" w:lineRule="exact"/>
        <w:ind w:firstLine="3240" w:firstLineChars="1350"/>
        <w:rPr>
          <w:rFonts w:hint="eastAsia" w:ascii="仿宋_GB2312" w:hAnsi="仿宋_GB2312" w:eastAsia="仿宋_GB2312" w:cs="仿宋_GB2312"/>
          <w:b w:val="0"/>
          <w:bCs w:val="0"/>
          <w:color w:val="auto"/>
          <w:kern w:val="2"/>
          <w:sz w:val="24"/>
          <w:highlight w:val="none"/>
        </w:rPr>
      </w:pPr>
    </w:p>
    <w:p w14:paraId="07E1BF45">
      <w:pPr>
        <w:widowControl/>
        <w:spacing w:line="440" w:lineRule="exact"/>
        <w:ind w:firstLine="3240" w:firstLineChars="1350"/>
        <w:rPr>
          <w:rFonts w:hint="eastAsia" w:ascii="仿宋_GB2312" w:hAnsi="仿宋_GB2312" w:eastAsia="仿宋_GB2312" w:cs="仿宋_GB2312"/>
          <w:b w:val="0"/>
          <w:bCs w:val="0"/>
          <w:color w:val="auto"/>
          <w:kern w:val="2"/>
          <w:sz w:val="24"/>
          <w:highlight w:val="none"/>
        </w:rPr>
      </w:pPr>
      <w:r>
        <w:rPr>
          <w:rFonts w:hint="eastAsia" w:ascii="仿宋_GB2312" w:hAnsi="仿宋_GB2312" w:eastAsia="仿宋_GB2312" w:cs="仿宋_GB2312"/>
          <w:b w:val="0"/>
          <w:bCs w:val="0"/>
          <w:color w:val="auto"/>
          <w:kern w:val="2"/>
          <w:sz w:val="24"/>
          <w:highlight w:val="none"/>
        </w:rPr>
        <w:t>投标人名称（加盖公章）：</w:t>
      </w:r>
    </w:p>
    <w:p w14:paraId="326A2946">
      <w:pPr>
        <w:spacing w:line="440" w:lineRule="exact"/>
        <w:ind w:firstLine="3600" w:firstLineChars="1500"/>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授权代表(盖章或签字)：</w:t>
      </w:r>
    </w:p>
    <w:p w14:paraId="66D3EF79">
      <w:pPr>
        <w:widowControl/>
        <w:spacing w:line="440" w:lineRule="exact"/>
        <w:ind w:firstLine="5520" w:firstLineChars="2300"/>
        <w:rPr>
          <w:rFonts w:hint="eastAsia" w:ascii="仿宋_GB2312" w:hAnsi="仿宋_GB2312" w:eastAsia="仿宋_GB2312" w:cs="仿宋_GB2312"/>
          <w:b w:val="0"/>
          <w:bCs w:val="0"/>
          <w:color w:val="auto"/>
          <w:kern w:val="2"/>
          <w:sz w:val="24"/>
          <w:highlight w:val="none"/>
        </w:rPr>
      </w:pPr>
      <w:r>
        <w:rPr>
          <w:rFonts w:hint="eastAsia" w:ascii="仿宋_GB2312" w:hAnsi="仿宋_GB2312" w:eastAsia="仿宋_GB2312" w:cs="仿宋_GB2312"/>
          <w:b w:val="0"/>
          <w:bCs w:val="0"/>
          <w:color w:val="auto"/>
          <w:kern w:val="2"/>
          <w:sz w:val="24"/>
          <w:highlight w:val="none"/>
        </w:rPr>
        <w:t>日期：</w:t>
      </w:r>
    </w:p>
    <w:p w14:paraId="6147C30A">
      <w:pPr>
        <w:widowControl/>
        <w:spacing w:line="440" w:lineRule="exact"/>
        <w:ind w:firstLine="120" w:firstLineChars="50"/>
        <w:rPr>
          <w:rFonts w:hint="eastAsia" w:ascii="仿宋" w:hAnsi="仿宋" w:eastAsia="仿宋" w:cs="仿宋"/>
          <w:b/>
          <w:bCs/>
          <w:color w:val="auto"/>
          <w:sz w:val="24"/>
          <w:highlight w:val="none"/>
        </w:rPr>
      </w:pPr>
      <w:r>
        <w:rPr>
          <w:rFonts w:hint="eastAsia" w:ascii="仿宋" w:hAnsi="仿宋" w:eastAsia="仿宋" w:cs="仿宋"/>
          <w:sz w:val="24"/>
          <w:highlight w:val="none"/>
        </w:rPr>
        <w:br w:type="page"/>
      </w:r>
    </w:p>
    <w:p w14:paraId="647BBACA">
      <w:pP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附件11  明细报价表</w:t>
      </w:r>
    </w:p>
    <w:p w14:paraId="25949E99">
      <w:pPr>
        <w:rPr>
          <w:rFonts w:hint="eastAsia" w:ascii="仿宋" w:hAnsi="仿宋" w:eastAsia="仿宋" w:cs="仿宋"/>
          <w:b/>
          <w:bCs/>
          <w:sz w:val="28"/>
          <w:szCs w:val="28"/>
          <w:highlight w:val="none"/>
        </w:rPr>
      </w:pPr>
    </w:p>
    <w:p w14:paraId="13B5B7FB">
      <w:pPr>
        <w:pStyle w:val="40"/>
        <w:ind w:left="0" w:leftChars="0" w:firstLine="0" w:firstLineChars="0"/>
        <w:rPr>
          <w:rFonts w:hint="eastAsia" w:ascii="仿宋" w:hAnsi="仿宋" w:eastAsia="仿宋" w:cs="仿宋"/>
          <w:color w:val="auto"/>
          <w:sz w:val="24"/>
          <w:highlight w:val="none"/>
          <w:u w:val="single"/>
        </w:rPr>
      </w:pPr>
    </w:p>
    <w:p w14:paraId="2024C183">
      <w:pPr>
        <w:pStyle w:val="40"/>
        <w:ind w:left="0" w:leftChars="0" w:firstLine="0" w:firstLineChars="0"/>
        <w:rPr>
          <w:rFonts w:hint="eastAsia" w:ascii="仿宋" w:hAnsi="仿宋" w:eastAsia="仿宋" w:cs="仿宋"/>
          <w:color w:val="auto"/>
          <w:sz w:val="24"/>
          <w:highlight w:val="none"/>
          <w:u w:val="single"/>
        </w:rPr>
      </w:pPr>
    </w:p>
    <w:p w14:paraId="14582115">
      <w:pPr>
        <w:pStyle w:val="40"/>
        <w:ind w:left="0" w:leftChars="0" w:firstLine="0" w:firstLineChars="0"/>
        <w:rPr>
          <w:rFonts w:hint="eastAsia" w:ascii="仿宋" w:hAnsi="仿宋" w:eastAsia="仿宋" w:cs="仿宋"/>
          <w:color w:val="auto"/>
          <w:sz w:val="24"/>
          <w:highlight w:val="none"/>
          <w:u w:val="single"/>
        </w:rPr>
      </w:pPr>
    </w:p>
    <w:p w14:paraId="33EBD41A">
      <w:pPr>
        <w:pStyle w:val="40"/>
        <w:ind w:left="0" w:leftChars="0" w:firstLine="0" w:firstLineChars="0"/>
        <w:jc w:val="center"/>
        <w:rPr>
          <w:rFonts w:hint="eastAsia"/>
          <w:highlight w:val="none"/>
        </w:rPr>
        <w:sectPr>
          <w:pgSz w:w="11850" w:h="16783"/>
          <w:pgMar w:top="1417" w:right="1701" w:bottom="1417" w:left="1701" w:header="850" w:footer="567" w:gutter="0"/>
          <w:pgNumType w:fmt="decimal"/>
          <w:cols w:space="0" w:num="1"/>
          <w:rtlGutter w:val="0"/>
          <w:docGrid w:type="lines" w:linePitch="377" w:charSpace="0"/>
        </w:sectPr>
      </w:pPr>
      <w:r>
        <w:rPr>
          <w:rFonts w:hint="eastAsia" w:ascii="仿宋" w:hAnsi="仿宋" w:eastAsia="仿宋" w:cs="仿宋"/>
          <w:color w:val="auto"/>
          <w:sz w:val="24"/>
          <w:highlight w:val="none"/>
          <w:u w:val="single"/>
          <w:lang w:eastAsia="zh-CN"/>
        </w:rPr>
        <w:t>格式自拟</w:t>
      </w:r>
    </w:p>
    <w:p w14:paraId="73986A6B">
      <w:pPr>
        <w:spacing w:line="440" w:lineRule="exact"/>
        <w:ind w:firstLine="551" w:firstLineChars="196"/>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附件12  中小微企业声明函</w:t>
      </w:r>
    </w:p>
    <w:p w14:paraId="5BEB6DA2">
      <w:pPr>
        <w:pStyle w:val="37"/>
        <w:outlineLvl w:val="9"/>
        <w:rPr>
          <w:rFonts w:hint="eastAsia"/>
          <w:highlight w:val="none"/>
        </w:rPr>
      </w:pPr>
    </w:p>
    <w:p w14:paraId="67377806">
      <w:pPr>
        <w:spacing w:line="440" w:lineRule="exact"/>
        <w:ind w:firstLine="420"/>
        <w:jc w:val="center"/>
        <w:rPr>
          <w:rFonts w:hint="eastAsia" w:ascii="仿宋" w:hAnsi="仿宋" w:eastAsia="仿宋" w:cs="仿宋"/>
          <w:sz w:val="24"/>
          <w:highlight w:val="none"/>
        </w:rPr>
      </w:pPr>
      <w:r>
        <w:rPr>
          <w:rFonts w:hint="eastAsia" w:ascii="仿宋" w:hAnsi="仿宋" w:eastAsia="仿宋" w:cs="仿宋"/>
          <w:sz w:val="24"/>
          <w:highlight w:val="none"/>
        </w:rPr>
        <w:t>中小企业声明函（货物）</w:t>
      </w:r>
    </w:p>
    <w:p w14:paraId="42C6CEAA">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本公司（联合体）郑重声明，根据《政府采购促进中小企业发展管理办法》（财库﹝2020﹞46 号）的规定，本公司（联合体）参加</w:t>
      </w:r>
      <w:r>
        <w:rPr>
          <w:rFonts w:hint="eastAsia" w:ascii="仿宋" w:hAnsi="仿宋" w:eastAsia="仿宋" w:cs="仿宋"/>
          <w:sz w:val="24"/>
          <w:highlight w:val="none"/>
          <w:u w:val="single"/>
        </w:rPr>
        <w:t>（单位名称）</w:t>
      </w:r>
      <w:r>
        <w:rPr>
          <w:rFonts w:hint="eastAsia" w:ascii="仿宋" w:hAnsi="仿宋" w:eastAsia="仿宋" w:cs="仿宋"/>
          <w:sz w:val="24"/>
          <w:highlight w:val="none"/>
        </w:rPr>
        <w:t>的</w:t>
      </w:r>
      <w:r>
        <w:rPr>
          <w:rFonts w:hint="eastAsia" w:ascii="仿宋" w:hAnsi="仿宋" w:eastAsia="仿宋" w:cs="仿宋"/>
          <w:sz w:val="24"/>
          <w:highlight w:val="none"/>
          <w:u w:val="single"/>
        </w:rPr>
        <w:t>（项目名称）</w:t>
      </w:r>
      <w:r>
        <w:rPr>
          <w:rFonts w:hint="eastAsia" w:ascii="仿宋" w:hAnsi="仿宋" w:eastAsia="仿宋" w:cs="仿宋"/>
          <w:sz w:val="24"/>
          <w:highlight w:val="none"/>
        </w:rPr>
        <w:t xml:space="preserve">采购活动，提供的货物全部由符合政策要求的中小企业制造。相关企业（含联合体中的中小企业、签订分包意向协议的中小企业）的具体情况如下： </w:t>
      </w:r>
    </w:p>
    <w:p w14:paraId="63F639E7">
      <w:pPr>
        <w:spacing w:line="440" w:lineRule="exact"/>
        <w:ind w:firstLine="420"/>
        <w:rPr>
          <w:rFonts w:hint="eastAsia" w:ascii="仿宋" w:hAnsi="仿宋" w:eastAsia="仿宋" w:cs="仿宋"/>
          <w:sz w:val="24"/>
          <w:highlight w:val="none"/>
        </w:rPr>
      </w:pPr>
      <w:r>
        <w:rPr>
          <w:rFonts w:hint="eastAsia" w:ascii="仿宋" w:hAnsi="仿宋" w:eastAsia="仿宋" w:cs="仿宋"/>
          <w:sz w:val="24"/>
          <w:highlight w:val="none"/>
        </w:rPr>
        <w:t xml:space="preserve">1、 </w:t>
      </w:r>
      <w:r>
        <w:rPr>
          <w:rFonts w:hint="eastAsia" w:ascii="仿宋" w:hAnsi="仿宋" w:eastAsia="仿宋" w:cs="仿宋"/>
          <w:sz w:val="24"/>
          <w:highlight w:val="none"/>
          <w:u w:val="single"/>
        </w:rPr>
        <w:t>（标的名称）</w:t>
      </w:r>
      <w:r>
        <w:rPr>
          <w:rFonts w:hint="eastAsia" w:ascii="仿宋" w:hAnsi="仿宋" w:eastAsia="仿宋" w:cs="仿宋"/>
          <w:sz w:val="24"/>
          <w:highlight w:val="none"/>
        </w:rPr>
        <w:t>，属于</w:t>
      </w:r>
      <w:r>
        <w:rPr>
          <w:rFonts w:hint="eastAsia" w:ascii="仿宋" w:hAnsi="仿宋" w:eastAsia="仿宋" w:cs="仿宋"/>
          <w:sz w:val="24"/>
          <w:highlight w:val="none"/>
          <w:u w:val="single"/>
        </w:rPr>
        <w:t>（采购文件中明确的所属行业）</w:t>
      </w:r>
      <w:r>
        <w:rPr>
          <w:rFonts w:hint="eastAsia" w:ascii="仿宋" w:hAnsi="仿宋" w:eastAsia="仿宋" w:cs="仿宋"/>
          <w:sz w:val="24"/>
          <w:highlight w:val="none"/>
        </w:rPr>
        <w:t>行业；制造商为</w:t>
      </w:r>
      <w:r>
        <w:rPr>
          <w:rFonts w:hint="eastAsia" w:ascii="仿宋" w:hAnsi="仿宋" w:eastAsia="仿宋" w:cs="仿宋"/>
          <w:sz w:val="24"/>
          <w:highlight w:val="none"/>
          <w:u w:val="single"/>
        </w:rPr>
        <w:t>（企业名称）</w:t>
      </w:r>
      <w:r>
        <w:rPr>
          <w:rFonts w:hint="eastAsia" w:ascii="仿宋" w:hAnsi="仿宋" w:eastAsia="仿宋" w:cs="仿宋"/>
          <w:sz w:val="24"/>
          <w:highlight w:val="none"/>
        </w:rPr>
        <w:t>，从业人员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（中型企业、小型企业、微型企业）</w:t>
      </w:r>
      <w:r>
        <w:rPr>
          <w:rFonts w:hint="eastAsia" w:ascii="仿宋" w:hAnsi="仿宋" w:eastAsia="仿宋" w:cs="仿宋"/>
          <w:sz w:val="24"/>
          <w:highlight w:val="none"/>
        </w:rPr>
        <w:t xml:space="preserve">； </w:t>
      </w:r>
    </w:p>
    <w:p w14:paraId="45A9D90E">
      <w:pPr>
        <w:spacing w:line="440" w:lineRule="exact"/>
        <w:ind w:firstLine="420"/>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u w:val="single"/>
        </w:rPr>
        <w:t>（标的名称）</w:t>
      </w:r>
      <w:r>
        <w:rPr>
          <w:rFonts w:hint="eastAsia" w:ascii="仿宋" w:hAnsi="仿宋" w:eastAsia="仿宋" w:cs="仿宋"/>
          <w:sz w:val="24"/>
          <w:highlight w:val="none"/>
        </w:rPr>
        <w:t>，属于</w:t>
      </w:r>
      <w:r>
        <w:rPr>
          <w:rFonts w:hint="eastAsia" w:ascii="仿宋" w:hAnsi="仿宋" w:eastAsia="仿宋" w:cs="仿宋"/>
          <w:sz w:val="24"/>
          <w:highlight w:val="none"/>
          <w:u w:val="single"/>
        </w:rPr>
        <w:t>（采购文件中明确的所属行业）</w:t>
      </w:r>
      <w:r>
        <w:rPr>
          <w:rFonts w:hint="eastAsia" w:ascii="仿宋" w:hAnsi="仿宋" w:eastAsia="仿宋" w:cs="仿宋"/>
          <w:sz w:val="24"/>
          <w:highlight w:val="none"/>
        </w:rPr>
        <w:t xml:space="preserve"> 行业；制造商为</w:t>
      </w:r>
      <w:r>
        <w:rPr>
          <w:rFonts w:hint="eastAsia" w:ascii="仿宋" w:hAnsi="仿宋" w:eastAsia="仿宋" w:cs="仿宋"/>
          <w:sz w:val="24"/>
          <w:highlight w:val="none"/>
          <w:u w:val="single"/>
        </w:rPr>
        <w:t>（企业名称）</w:t>
      </w:r>
      <w:r>
        <w:rPr>
          <w:rFonts w:hint="eastAsia" w:ascii="仿宋" w:hAnsi="仿宋" w:eastAsia="仿宋" w:cs="仿宋"/>
          <w:sz w:val="24"/>
          <w:highlight w:val="none"/>
        </w:rPr>
        <w:t>，从业人员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万元，资产总额为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（中型企业、小型企业、微型企业）</w:t>
      </w:r>
      <w:r>
        <w:rPr>
          <w:rFonts w:hint="eastAsia" w:ascii="仿宋" w:hAnsi="仿宋" w:eastAsia="仿宋" w:cs="仿宋"/>
          <w:sz w:val="24"/>
          <w:highlight w:val="none"/>
        </w:rPr>
        <w:t xml:space="preserve">； </w:t>
      </w:r>
    </w:p>
    <w:p w14:paraId="29FF496F">
      <w:pPr>
        <w:spacing w:line="440" w:lineRule="exact"/>
        <w:ind w:firstLine="420"/>
        <w:rPr>
          <w:rFonts w:hint="eastAsia" w:ascii="仿宋" w:hAnsi="仿宋" w:eastAsia="仿宋" w:cs="仿宋"/>
          <w:sz w:val="24"/>
          <w:highlight w:val="none"/>
        </w:rPr>
      </w:pPr>
      <w:r>
        <w:rPr>
          <w:rFonts w:hint="eastAsia" w:ascii="仿宋" w:hAnsi="仿宋" w:eastAsia="仿宋" w:cs="仿宋"/>
          <w:sz w:val="24"/>
          <w:highlight w:val="none"/>
        </w:rPr>
        <w:t>……</w:t>
      </w:r>
    </w:p>
    <w:p w14:paraId="1BDCC171">
      <w:pPr>
        <w:spacing w:line="440" w:lineRule="exact"/>
        <w:ind w:firstLine="420"/>
        <w:rPr>
          <w:rFonts w:hint="eastAsia" w:ascii="仿宋" w:hAnsi="仿宋" w:eastAsia="仿宋" w:cs="仿宋"/>
          <w:sz w:val="24"/>
          <w:highlight w:val="none"/>
        </w:rPr>
      </w:pPr>
      <w:r>
        <w:rPr>
          <w:rFonts w:hint="eastAsia" w:ascii="仿宋" w:hAnsi="仿宋" w:eastAsia="仿宋" w:cs="仿宋"/>
          <w:sz w:val="24"/>
          <w:highlight w:val="none"/>
        </w:rPr>
        <w:t>以上企业，不属于大企业的分支机构，不存在控股股东为大企业的情形，也不存在与大企业的负责人为同一人的情形。</w:t>
      </w:r>
    </w:p>
    <w:p w14:paraId="0644C467">
      <w:pPr>
        <w:spacing w:line="440" w:lineRule="exact"/>
        <w:ind w:firstLine="420"/>
        <w:rPr>
          <w:rFonts w:hint="eastAsia" w:ascii="仿宋" w:hAnsi="仿宋" w:eastAsia="仿宋" w:cs="仿宋"/>
          <w:sz w:val="24"/>
          <w:highlight w:val="none"/>
        </w:rPr>
      </w:pPr>
      <w:r>
        <w:rPr>
          <w:rFonts w:hint="eastAsia" w:ascii="仿宋" w:hAnsi="仿宋" w:eastAsia="仿宋" w:cs="仿宋"/>
          <w:sz w:val="24"/>
          <w:highlight w:val="none"/>
        </w:rPr>
        <w:t xml:space="preserve">本企业对上述声明内容的真实性负责。如有虚假，将依法承担相应责任。 </w:t>
      </w:r>
    </w:p>
    <w:p w14:paraId="1A27F0EA">
      <w:pPr>
        <w:pStyle w:val="39"/>
        <w:ind w:firstLine="480"/>
        <w:rPr>
          <w:rFonts w:hint="eastAsia" w:ascii="仿宋" w:hAnsi="仿宋" w:eastAsia="仿宋" w:cs="仿宋"/>
          <w:sz w:val="24"/>
          <w:highlight w:val="none"/>
        </w:rPr>
      </w:pPr>
    </w:p>
    <w:p w14:paraId="67A9A024">
      <w:pPr>
        <w:spacing w:line="440" w:lineRule="exact"/>
        <w:ind w:firstLine="420"/>
        <w:jc w:val="center"/>
        <w:rPr>
          <w:rFonts w:hint="eastAsia" w:ascii="仿宋" w:hAnsi="仿宋" w:eastAsia="仿宋" w:cs="仿宋"/>
          <w:sz w:val="24"/>
          <w:highlight w:val="none"/>
        </w:rPr>
      </w:pPr>
    </w:p>
    <w:tbl>
      <w:tblPr>
        <w:tblStyle w:val="41"/>
        <w:tblpPr w:leftFromText="180" w:rightFromText="180" w:vertAnchor="text" w:horzAnchor="page" w:tblpX="4911" w:tblpY="306"/>
        <w:tblOverlap w:val="never"/>
        <w:tblW w:w="0" w:type="auto"/>
        <w:tblInd w:w="0" w:type="dxa"/>
        <w:tblLayout w:type="fixed"/>
        <w:tblCellMar>
          <w:top w:w="0" w:type="dxa"/>
          <w:left w:w="108" w:type="dxa"/>
          <w:bottom w:w="0" w:type="dxa"/>
          <w:right w:w="108" w:type="dxa"/>
        </w:tblCellMar>
      </w:tblPr>
      <w:tblGrid>
        <w:gridCol w:w="2910"/>
        <w:gridCol w:w="2910"/>
      </w:tblGrid>
      <w:tr w14:paraId="7FDF3AF2">
        <w:tblPrEx>
          <w:tblCellMar>
            <w:top w:w="0" w:type="dxa"/>
            <w:left w:w="108" w:type="dxa"/>
            <w:bottom w:w="0" w:type="dxa"/>
            <w:right w:w="108" w:type="dxa"/>
          </w:tblCellMar>
        </w:tblPrEx>
        <w:trPr>
          <w:trHeight w:val="683" w:hRule="atLeast"/>
        </w:trPr>
        <w:tc>
          <w:tcPr>
            <w:tcW w:w="2910" w:type="dxa"/>
            <w:noWrap w:val="0"/>
            <w:vAlign w:val="top"/>
          </w:tcPr>
          <w:p w14:paraId="69C7A6EB">
            <w:pPr>
              <w:pStyle w:val="39"/>
              <w:ind w:firstLine="0" w:firstLineChars="0"/>
              <w:rPr>
                <w:rFonts w:hint="eastAsia" w:ascii="仿宋" w:hAnsi="仿宋" w:eastAsia="仿宋" w:cs="仿宋"/>
                <w:sz w:val="24"/>
                <w:highlight w:val="none"/>
              </w:rPr>
            </w:pPr>
            <w:r>
              <w:rPr>
                <w:rFonts w:hint="eastAsia" w:ascii="仿宋" w:hAnsi="仿宋" w:eastAsia="仿宋" w:cs="仿宋"/>
                <w:sz w:val="24"/>
                <w:highlight w:val="none"/>
              </w:rPr>
              <w:t>企业名称（盖章）：</w:t>
            </w:r>
          </w:p>
        </w:tc>
        <w:tc>
          <w:tcPr>
            <w:tcW w:w="2910" w:type="dxa"/>
            <w:noWrap w:val="0"/>
            <w:vAlign w:val="top"/>
          </w:tcPr>
          <w:p w14:paraId="5AC48EEC">
            <w:pPr>
              <w:pStyle w:val="39"/>
              <w:ind w:firstLine="480"/>
              <w:rPr>
                <w:rFonts w:hint="eastAsia" w:ascii="仿宋" w:hAnsi="仿宋" w:eastAsia="仿宋" w:cs="仿宋"/>
                <w:sz w:val="24"/>
                <w:highlight w:val="none"/>
              </w:rPr>
            </w:pPr>
          </w:p>
        </w:tc>
      </w:tr>
      <w:tr w14:paraId="0897E960">
        <w:tblPrEx>
          <w:tblCellMar>
            <w:top w:w="0" w:type="dxa"/>
            <w:left w:w="108" w:type="dxa"/>
            <w:bottom w:w="0" w:type="dxa"/>
            <w:right w:w="108" w:type="dxa"/>
          </w:tblCellMar>
        </w:tblPrEx>
        <w:trPr>
          <w:trHeight w:val="683" w:hRule="atLeast"/>
        </w:trPr>
        <w:tc>
          <w:tcPr>
            <w:tcW w:w="2910" w:type="dxa"/>
            <w:noWrap w:val="0"/>
            <w:vAlign w:val="top"/>
          </w:tcPr>
          <w:p w14:paraId="1C312A57">
            <w:pPr>
              <w:spacing w:line="440" w:lineRule="exact"/>
              <w:rPr>
                <w:rFonts w:hint="eastAsia" w:ascii="仿宋" w:hAnsi="仿宋" w:eastAsia="仿宋" w:cs="仿宋"/>
                <w:sz w:val="24"/>
                <w:highlight w:val="none"/>
              </w:rPr>
            </w:pPr>
            <w:r>
              <w:rPr>
                <w:rFonts w:hint="eastAsia" w:ascii="仿宋" w:hAnsi="仿宋" w:eastAsia="仿宋" w:cs="仿宋"/>
                <w:sz w:val="24"/>
                <w:highlight w:val="none"/>
              </w:rPr>
              <w:t>日 期：</w:t>
            </w:r>
          </w:p>
        </w:tc>
        <w:tc>
          <w:tcPr>
            <w:tcW w:w="2910" w:type="dxa"/>
            <w:noWrap w:val="0"/>
            <w:vAlign w:val="top"/>
          </w:tcPr>
          <w:p w14:paraId="56F6D5F2">
            <w:pPr>
              <w:pStyle w:val="39"/>
              <w:ind w:firstLine="480"/>
              <w:rPr>
                <w:rFonts w:hint="eastAsia" w:ascii="仿宋" w:hAnsi="仿宋" w:eastAsia="仿宋" w:cs="仿宋"/>
                <w:sz w:val="24"/>
                <w:highlight w:val="none"/>
              </w:rPr>
            </w:pPr>
          </w:p>
        </w:tc>
      </w:tr>
    </w:tbl>
    <w:p w14:paraId="6456C585">
      <w:pPr>
        <w:adjustRightInd w:val="0"/>
        <w:snapToGrid w:val="0"/>
        <w:spacing w:line="600" w:lineRule="auto"/>
        <w:ind w:firstLine="3600" w:firstLineChars="1500"/>
        <w:rPr>
          <w:rFonts w:hint="eastAsia" w:ascii="仿宋" w:hAnsi="仿宋" w:eastAsia="仿宋" w:cs="仿宋"/>
          <w:sz w:val="24"/>
          <w:highlight w:val="none"/>
        </w:rPr>
      </w:pPr>
    </w:p>
    <w:p w14:paraId="1146290C">
      <w:pPr>
        <w:spacing w:line="440" w:lineRule="exact"/>
        <w:ind w:firstLine="480" w:firstLineChars="200"/>
        <w:rPr>
          <w:rFonts w:hint="eastAsia" w:ascii="仿宋" w:hAnsi="仿宋" w:eastAsia="仿宋" w:cs="仿宋"/>
          <w:kern w:val="0"/>
          <w:sz w:val="24"/>
          <w:highlight w:val="none"/>
        </w:rPr>
      </w:pPr>
    </w:p>
    <w:p w14:paraId="5819A364">
      <w:pPr>
        <w:tabs>
          <w:tab w:val="left" w:pos="3777"/>
          <w:tab w:val="center" w:pos="4819"/>
        </w:tabs>
        <w:spacing w:line="440" w:lineRule="exact"/>
        <w:jc w:val="left"/>
        <w:rPr>
          <w:rFonts w:hint="eastAsia" w:ascii="仿宋" w:hAnsi="仿宋" w:eastAsia="仿宋" w:cs="仿宋"/>
          <w:b/>
          <w:szCs w:val="21"/>
          <w:highlight w:val="none"/>
        </w:rPr>
      </w:pPr>
    </w:p>
    <w:p w14:paraId="5FE6E4DF">
      <w:pPr>
        <w:tabs>
          <w:tab w:val="left" w:pos="3777"/>
          <w:tab w:val="center" w:pos="4819"/>
        </w:tabs>
        <w:spacing w:line="440" w:lineRule="exact"/>
        <w:jc w:val="left"/>
        <w:rPr>
          <w:rFonts w:hint="eastAsia" w:ascii="仿宋" w:hAnsi="仿宋" w:eastAsia="仿宋" w:cs="仿宋"/>
          <w:b/>
          <w:szCs w:val="21"/>
          <w:highlight w:val="none"/>
        </w:rPr>
      </w:pPr>
    </w:p>
    <w:p w14:paraId="7D9C3152">
      <w:pPr>
        <w:ind w:firstLine="420"/>
        <w:rPr>
          <w:rFonts w:hint="eastAsia" w:ascii="仿宋" w:hAnsi="仿宋" w:eastAsia="仿宋" w:cs="仿宋"/>
          <w:szCs w:val="21"/>
          <w:highlight w:val="none"/>
        </w:rPr>
      </w:pPr>
      <w:r>
        <w:rPr>
          <w:rFonts w:hint="eastAsia" w:ascii="仿宋" w:hAnsi="仿宋" w:eastAsia="仿宋" w:cs="仿宋"/>
          <w:szCs w:val="21"/>
          <w:highlight w:val="none"/>
        </w:rPr>
        <w:t>注：</w:t>
      </w:r>
    </w:p>
    <w:p w14:paraId="4FCEA6DA">
      <w:pPr>
        <w:ind w:firstLine="420"/>
        <w:rPr>
          <w:rFonts w:hint="eastAsia" w:ascii="仿宋" w:hAnsi="仿宋" w:eastAsia="仿宋" w:cs="仿宋"/>
          <w:szCs w:val="21"/>
          <w:highlight w:val="none"/>
        </w:rPr>
      </w:pPr>
      <w:r>
        <w:rPr>
          <w:rFonts w:hint="eastAsia" w:ascii="仿宋" w:hAnsi="仿宋" w:eastAsia="仿宋" w:cs="仿宋"/>
          <w:szCs w:val="21"/>
          <w:highlight w:val="none"/>
        </w:rPr>
        <w:t>1、从业人员、营业收入、资产总额填报上一年度数据，无上一年度数据的新成立企业可不填报。</w:t>
      </w:r>
    </w:p>
    <w:p w14:paraId="617D3E04">
      <w:pPr>
        <w:ind w:firstLine="420"/>
        <w:rPr>
          <w:rFonts w:hint="eastAsia" w:ascii="仿宋" w:hAnsi="仿宋" w:eastAsia="仿宋" w:cs="仿宋"/>
          <w:szCs w:val="21"/>
          <w:highlight w:val="none"/>
        </w:rPr>
      </w:pPr>
      <w:r>
        <w:rPr>
          <w:rFonts w:hint="eastAsia" w:ascii="仿宋" w:hAnsi="仿宋" w:eastAsia="仿宋" w:cs="仿宋"/>
          <w:szCs w:val="21"/>
          <w:highlight w:val="none"/>
        </w:rPr>
        <w:t>2、如未按上述要求提供、填写，评审时造成的资格审查不通过或价格评审时的价格扣除不予认定等后果，由供应商自行承担。</w:t>
      </w:r>
    </w:p>
    <w:p w14:paraId="1956C02D">
      <w:pPr>
        <w:tabs>
          <w:tab w:val="left" w:pos="3777"/>
          <w:tab w:val="center" w:pos="4819"/>
        </w:tabs>
        <w:spacing w:line="440" w:lineRule="exact"/>
        <w:jc w:val="left"/>
        <w:rPr>
          <w:rFonts w:hint="eastAsia" w:ascii="仿宋" w:hAnsi="仿宋" w:eastAsia="仿宋" w:cs="仿宋"/>
          <w:b/>
          <w:szCs w:val="21"/>
          <w:highlight w:val="none"/>
        </w:rPr>
      </w:pPr>
    </w:p>
    <w:p w14:paraId="54ACAEE9">
      <w:pPr>
        <w:pStyle w:val="11"/>
        <w:rPr>
          <w:rFonts w:hint="eastAsia"/>
          <w:highlight w:val="none"/>
        </w:rPr>
      </w:pPr>
    </w:p>
    <w:p w14:paraId="69996C9E">
      <w:pPr>
        <w:spacing w:line="440" w:lineRule="exact"/>
        <w:ind w:firstLine="420"/>
        <w:jc w:val="center"/>
        <w:rPr>
          <w:rFonts w:hint="eastAsia" w:ascii="仿宋" w:hAnsi="仿宋" w:eastAsia="仿宋" w:cs="仿宋"/>
          <w:sz w:val="24"/>
          <w:highlight w:val="none"/>
        </w:rPr>
      </w:pPr>
      <w:r>
        <w:rPr>
          <w:rFonts w:hint="eastAsia" w:ascii="仿宋" w:hAnsi="仿宋" w:eastAsia="仿宋" w:cs="仿宋"/>
          <w:sz w:val="24"/>
          <w:highlight w:val="none"/>
        </w:rPr>
        <w:t xml:space="preserve">中小企业声明函（工程、服务） </w:t>
      </w:r>
    </w:p>
    <w:p w14:paraId="51B0B8F9">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本公司（联合体）郑重声明，根据《政府采购促进中小企业发展管理办法》（财库﹝2020﹞46 号）的规定，本公司（联合体）参加</w:t>
      </w:r>
      <w:r>
        <w:rPr>
          <w:rFonts w:hint="eastAsia" w:ascii="仿宋" w:hAnsi="仿宋" w:eastAsia="仿宋" w:cs="仿宋"/>
          <w:sz w:val="24"/>
          <w:highlight w:val="none"/>
          <w:u w:val="single"/>
        </w:rPr>
        <w:t>（单位名称）</w:t>
      </w:r>
      <w:r>
        <w:rPr>
          <w:rFonts w:hint="eastAsia" w:ascii="仿宋" w:hAnsi="仿宋" w:eastAsia="仿宋" w:cs="仿宋"/>
          <w:sz w:val="24"/>
          <w:highlight w:val="none"/>
        </w:rPr>
        <w:t>的</w:t>
      </w:r>
      <w:r>
        <w:rPr>
          <w:rFonts w:hint="eastAsia" w:ascii="仿宋" w:hAnsi="仿宋" w:eastAsia="仿宋" w:cs="仿宋"/>
          <w:sz w:val="24"/>
          <w:highlight w:val="none"/>
          <w:u w:val="single"/>
        </w:rPr>
        <w:t>（项目名称）</w:t>
      </w:r>
      <w:r>
        <w:rPr>
          <w:rFonts w:hint="eastAsia" w:ascii="仿宋" w:hAnsi="仿宋" w:eastAsia="仿宋" w:cs="仿宋"/>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EB6F6C5">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u w:val="single"/>
        </w:rPr>
        <w:t>（标的名称）</w:t>
      </w:r>
      <w:r>
        <w:rPr>
          <w:rFonts w:hint="eastAsia" w:ascii="仿宋" w:hAnsi="仿宋" w:eastAsia="仿宋" w:cs="仿宋"/>
          <w:sz w:val="24"/>
          <w:highlight w:val="none"/>
        </w:rPr>
        <w:t>，属于</w:t>
      </w:r>
      <w:r>
        <w:rPr>
          <w:rFonts w:hint="eastAsia" w:ascii="仿宋" w:hAnsi="仿宋" w:eastAsia="仿宋" w:cs="仿宋"/>
          <w:sz w:val="24"/>
          <w:highlight w:val="none"/>
          <w:u w:val="single"/>
        </w:rPr>
        <w:t>（采购文件中明确的所属行业）</w:t>
      </w:r>
      <w:r>
        <w:rPr>
          <w:rFonts w:hint="eastAsia" w:ascii="仿宋" w:hAnsi="仿宋" w:eastAsia="仿宋" w:cs="仿宋"/>
          <w:sz w:val="24"/>
          <w:highlight w:val="none"/>
        </w:rPr>
        <w:t>； 承建（承接）企业为</w:t>
      </w:r>
      <w:r>
        <w:rPr>
          <w:rFonts w:hint="eastAsia" w:ascii="仿宋" w:hAnsi="仿宋" w:eastAsia="仿宋" w:cs="仿宋"/>
          <w:sz w:val="24"/>
          <w:highlight w:val="none"/>
          <w:u w:val="single"/>
        </w:rPr>
        <w:t>（企业名称）</w:t>
      </w:r>
      <w:r>
        <w:rPr>
          <w:rFonts w:hint="eastAsia" w:ascii="仿宋" w:hAnsi="仿宋" w:eastAsia="仿宋" w:cs="仿宋"/>
          <w:sz w:val="24"/>
          <w:highlight w:val="none"/>
        </w:rPr>
        <w:t>，从业人员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（中型企业、小型企业、微型企业）</w:t>
      </w:r>
      <w:r>
        <w:rPr>
          <w:rFonts w:hint="eastAsia" w:ascii="仿宋" w:hAnsi="仿宋" w:eastAsia="仿宋" w:cs="仿宋"/>
          <w:sz w:val="24"/>
          <w:highlight w:val="none"/>
        </w:rPr>
        <w:t xml:space="preserve">； </w:t>
      </w:r>
    </w:p>
    <w:p w14:paraId="4A27B884">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u w:val="single"/>
        </w:rPr>
        <w:t>（标的名称）</w:t>
      </w:r>
      <w:r>
        <w:rPr>
          <w:rFonts w:hint="eastAsia" w:ascii="仿宋" w:hAnsi="仿宋" w:eastAsia="仿宋" w:cs="仿宋"/>
          <w:sz w:val="24"/>
          <w:highlight w:val="none"/>
        </w:rPr>
        <w:t>，属于</w:t>
      </w:r>
      <w:r>
        <w:rPr>
          <w:rFonts w:hint="eastAsia" w:ascii="仿宋" w:hAnsi="仿宋" w:eastAsia="仿宋" w:cs="仿宋"/>
          <w:sz w:val="24"/>
          <w:highlight w:val="none"/>
          <w:u w:val="single"/>
        </w:rPr>
        <w:t>（采购文件中明确的所属行业）</w:t>
      </w:r>
      <w:r>
        <w:rPr>
          <w:rFonts w:hint="eastAsia" w:ascii="仿宋" w:hAnsi="仿宋" w:eastAsia="仿宋" w:cs="仿宋"/>
          <w:sz w:val="24"/>
          <w:highlight w:val="none"/>
        </w:rPr>
        <w:t>； 承建（承接）企业为</w:t>
      </w:r>
      <w:r>
        <w:rPr>
          <w:rFonts w:hint="eastAsia" w:ascii="仿宋" w:hAnsi="仿宋" w:eastAsia="仿宋" w:cs="仿宋"/>
          <w:sz w:val="24"/>
          <w:highlight w:val="none"/>
          <w:u w:val="single"/>
        </w:rPr>
        <w:t>（企业名称）</w:t>
      </w:r>
      <w:r>
        <w:rPr>
          <w:rFonts w:hint="eastAsia" w:ascii="仿宋" w:hAnsi="仿宋" w:eastAsia="仿宋" w:cs="仿宋"/>
          <w:sz w:val="24"/>
          <w:highlight w:val="none"/>
        </w:rPr>
        <w:t xml:space="preserve">，从业人员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（中型企业、小型企业、微型企业）</w:t>
      </w:r>
      <w:r>
        <w:rPr>
          <w:rFonts w:hint="eastAsia" w:ascii="仿宋" w:hAnsi="仿宋" w:eastAsia="仿宋" w:cs="仿宋"/>
          <w:sz w:val="24"/>
          <w:highlight w:val="none"/>
        </w:rPr>
        <w:t xml:space="preserve">； </w:t>
      </w:r>
    </w:p>
    <w:p w14:paraId="53AAC8B7">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w:t>
      </w:r>
    </w:p>
    <w:p w14:paraId="455A885B">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以上企业，不属于大企业的分支机构，不存在控股股东为大企业的情形，也不存在与大企业的负责人为同一人的情形。</w:t>
      </w:r>
    </w:p>
    <w:p w14:paraId="6E5A70B5">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本企业对上述声明内容的真实性负责。如有虚假，将依法承担相应责任。</w:t>
      </w:r>
    </w:p>
    <w:tbl>
      <w:tblPr>
        <w:tblStyle w:val="41"/>
        <w:tblpPr w:leftFromText="180" w:rightFromText="180" w:vertAnchor="text" w:horzAnchor="page" w:tblpX="5072" w:tblpY="1695"/>
        <w:tblOverlap w:val="never"/>
        <w:tblW w:w="0" w:type="auto"/>
        <w:tblInd w:w="0" w:type="dxa"/>
        <w:tblLayout w:type="fixed"/>
        <w:tblCellMar>
          <w:top w:w="0" w:type="dxa"/>
          <w:left w:w="108" w:type="dxa"/>
          <w:bottom w:w="0" w:type="dxa"/>
          <w:right w:w="108" w:type="dxa"/>
        </w:tblCellMar>
      </w:tblPr>
      <w:tblGrid>
        <w:gridCol w:w="2910"/>
        <w:gridCol w:w="2910"/>
      </w:tblGrid>
      <w:tr w14:paraId="0F758737">
        <w:tblPrEx>
          <w:tblCellMar>
            <w:top w:w="0" w:type="dxa"/>
            <w:left w:w="108" w:type="dxa"/>
            <w:bottom w:w="0" w:type="dxa"/>
            <w:right w:w="108" w:type="dxa"/>
          </w:tblCellMar>
        </w:tblPrEx>
        <w:trPr>
          <w:trHeight w:val="683" w:hRule="atLeast"/>
        </w:trPr>
        <w:tc>
          <w:tcPr>
            <w:tcW w:w="2910" w:type="dxa"/>
            <w:noWrap w:val="0"/>
            <w:vAlign w:val="top"/>
          </w:tcPr>
          <w:p w14:paraId="361AA2A7">
            <w:pPr>
              <w:pStyle w:val="39"/>
              <w:ind w:firstLine="0" w:firstLineChars="0"/>
              <w:rPr>
                <w:rFonts w:hint="eastAsia" w:ascii="仿宋" w:hAnsi="仿宋" w:eastAsia="仿宋" w:cs="仿宋"/>
                <w:sz w:val="24"/>
                <w:highlight w:val="none"/>
              </w:rPr>
            </w:pPr>
            <w:r>
              <w:rPr>
                <w:rFonts w:hint="eastAsia" w:ascii="仿宋" w:hAnsi="仿宋" w:eastAsia="仿宋" w:cs="仿宋"/>
                <w:sz w:val="24"/>
                <w:highlight w:val="none"/>
              </w:rPr>
              <w:t>企业名称（盖章）：</w:t>
            </w:r>
          </w:p>
        </w:tc>
        <w:tc>
          <w:tcPr>
            <w:tcW w:w="2910" w:type="dxa"/>
            <w:noWrap w:val="0"/>
            <w:vAlign w:val="top"/>
          </w:tcPr>
          <w:p w14:paraId="5A7EC756">
            <w:pPr>
              <w:pStyle w:val="39"/>
              <w:ind w:firstLine="480"/>
              <w:rPr>
                <w:rFonts w:hint="eastAsia" w:ascii="仿宋" w:hAnsi="仿宋" w:eastAsia="仿宋" w:cs="仿宋"/>
                <w:sz w:val="24"/>
                <w:highlight w:val="none"/>
              </w:rPr>
            </w:pPr>
          </w:p>
        </w:tc>
      </w:tr>
      <w:tr w14:paraId="437C0172">
        <w:tblPrEx>
          <w:tblCellMar>
            <w:top w:w="0" w:type="dxa"/>
            <w:left w:w="108" w:type="dxa"/>
            <w:bottom w:w="0" w:type="dxa"/>
            <w:right w:w="108" w:type="dxa"/>
          </w:tblCellMar>
        </w:tblPrEx>
        <w:trPr>
          <w:trHeight w:val="683" w:hRule="atLeast"/>
        </w:trPr>
        <w:tc>
          <w:tcPr>
            <w:tcW w:w="2910" w:type="dxa"/>
            <w:noWrap w:val="0"/>
            <w:vAlign w:val="top"/>
          </w:tcPr>
          <w:p w14:paraId="51CA4C4A">
            <w:pPr>
              <w:spacing w:line="440" w:lineRule="exact"/>
              <w:rPr>
                <w:rFonts w:hint="eastAsia" w:ascii="仿宋" w:hAnsi="仿宋" w:eastAsia="仿宋" w:cs="仿宋"/>
                <w:sz w:val="24"/>
                <w:highlight w:val="none"/>
              </w:rPr>
            </w:pPr>
            <w:r>
              <w:rPr>
                <w:rFonts w:hint="eastAsia" w:ascii="仿宋" w:hAnsi="仿宋" w:eastAsia="仿宋" w:cs="仿宋"/>
                <w:sz w:val="24"/>
                <w:highlight w:val="none"/>
              </w:rPr>
              <w:t>日 期：</w:t>
            </w:r>
          </w:p>
        </w:tc>
        <w:tc>
          <w:tcPr>
            <w:tcW w:w="2910" w:type="dxa"/>
            <w:noWrap w:val="0"/>
            <w:vAlign w:val="top"/>
          </w:tcPr>
          <w:p w14:paraId="0B6F3F98">
            <w:pPr>
              <w:pStyle w:val="39"/>
              <w:ind w:firstLine="480"/>
              <w:rPr>
                <w:rFonts w:hint="eastAsia" w:ascii="仿宋" w:hAnsi="仿宋" w:eastAsia="仿宋" w:cs="仿宋"/>
                <w:sz w:val="24"/>
                <w:highlight w:val="none"/>
              </w:rPr>
            </w:pPr>
          </w:p>
        </w:tc>
      </w:tr>
    </w:tbl>
    <w:p w14:paraId="09F4049A">
      <w:pPr>
        <w:spacing w:line="440" w:lineRule="exact"/>
        <w:ind w:firstLine="420"/>
        <w:rPr>
          <w:rFonts w:hint="eastAsia" w:ascii="仿宋" w:hAnsi="仿宋" w:eastAsia="仿宋" w:cs="仿宋"/>
          <w:szCs w:val="21"/>
          <w:highlight w:val="none"/>
        </w:rPr>
      </w:pPr>
    </w:p>
    <w:p w14:paraId="24359EFA">
      <w:pPr>
        <w:spacing w:line="440" w:lineRule="exact"/>
        <w:ind w:firstLine="420"/>
        <w:rPr>
          <w:rFonts w:hint="eastAsia" w:ascii="仿宋" w:hAnsi="仿宋" w:eastAsia="仿宋" w:cs="仿宋"/>
          <w:szCs w:val="21"/>
          <w:highlight w:val="none"/>
        </w:rPr>
      </w:pPr>
    </w:p>
    <w:p w14:paraId="1CA00119">
      <w:pPr>
        <w:spacing w:line="440" w:lineRule="exact"/>
        <w:ind w:firstLine="420"/>
        <w:rPr>
          <w:rFonts w:hint="eastAsia" w:ascii="仿宋" w:hAnsi="仿宋" w:eastAsia="仿宋" w:cs="仿宋"/>
          <w:szCs w:val="21"/>
          <w:highlight w:val="none"/>
        </w:rPr>
      </w:pPr>
    </w:p>
    <w:p w14:paraId="1DC94A6F">
      <w:pPr>
        <w:spacing w:line="440" w:lineRule="exact"/>
        <w:ind w:firstLine="420"/>
        <w:rPr>
          <w:rFonts w:hint="eastAsia" w:ascii="仿宋" w:hAnsi="仿宋" w:eastAsia="仿宋" w:cs="仿宋"/>
          <w:szCs w:val="21"/>
          <w:highlight w:val="none"/>
        </w:rPr>
      </w:pPr>
    </w:p>
    <w:p w14:paraId="15D49321">
      <w:pPr>
        <w:spacing w:line="440" w:lineRule="exact"/>
        <w:ind w:firstLine="420"/>
        <w:rPr>
          <w:rFonts w:hint="eastAsia" w:ascii="仿宋" w:hAnsi="仿宋" w:eastAsia="仿宋" w:cs="仿宋"/>
          <w:szCs w:val="21"/>
          <w:highlight w:val="none"/>
        </w:rPr>
      </w:pPr>
    </w:p>
    <w:p w14:paraId="084CF837">
      <w:pPr>
        <w:spacing w:line="440" w:lineRule="exact"/>
        <w:ind w:firstLine="420"/>
        <w:rPr>
          <w:rFonts w:hint="eastAsia" w:ascii="仿宋" w:hAnsi="仿宋" w:eastAsia="仿宋" w:cs="仿宋"/>
          <w:szCs w:val="21"/>
          <w:highlight w:val="none"/>
        </w:rPr>
      </w:pPr>
    </w:p>
    <w:p w14:paraId="1D5EDA45">
      <w:pPr>
        <w:spacing w:line="440" w:lineRule="exact"/>
        <w:ind w:firstLine="420"/>
        <w:rPr>
          <w:rFonts w:hint="eastAsia" w:ascii="仿宋" w:hAnsi="仿宋" w:eastAsia="仿宋" w:cs="仿宋"/>
          <w:szCs w:val="21"/>
          <w:highlight w:val="none"/>
        </w:rPr>
      </w:pPr>
    </w:p>
    <w:p w14:paraId="0D3B1C4A">
      <w:pPr>
        <w:spacing w:line="440" w:lineRule="exact"/>
        <w:ind w:firstLine="420"/>
        <w:rPr>
          <w:rFonts w:hint="eastAsia" w:ascii="仿宋" w:hAnsi="仿宋" w:eastAsia="仿宋" w:cs="仿宋"/>
          <w:szCs w:val="21"/>
          <w:highlight w:val="none"/>
        </w:rPr>
      </w:pPr>
    </w:p>
    <w:p w14:paraId="2A71282C">
      <w:pPr>
        <w:ind w:firstLine="420"/>
        <w:rPr>
          <w:rFonts w:hint="eastAsia" w:ascii="仿宋" w:hAnsi="仿宋" w:eastAsia="仿宋" w:cs="仿宋"/>
          <w:szCs w:val="21"/>
          <w:highlight w:val="none"/>
        </w:rPr>
      </w:pPr>
      <w:r>
        <w:rPr>
          <w:rFonts w:hint="eastAsia" w:ascii="仿宋" w:hAnsi="仿宋" w:eastAsia="仿宋" w:cs="仿宋"/>
          <w:szCs w:val="21"/>
          <w:highlight w:val="none"/>
        </w:rPr>
        <w:t>注：</w:t>
      </w:r>
    </w:p>
    <w:p w14:paraId="2449FDCE">
      <w:pPr>
        <w:ind w:firstLine="420"/>
        <w:rPr>
          <w:rFonts w:hint="eastAsia" w:ascii="仿宋" w:hAnsi="仿宋" w:eastAsia="仿宋" w:cs="仿宋"/>
          <w:szCs w:val="21"/>
          <w:highlight w:val="none"/>
        </w:rPr>
      </w:pPr>
      <w:r>
        <w:rPr>
          <w:rFonts w:hint="eastAsia" w:ascii="仿宋" w:hAnsi="仿宋" w:eastAsia="仿宋" w:cs="仿宋"/>
          <w:szCs w:val="21"/>
          <w:highlight w:val="none"/>
        </w:rPr>
        <w:t>1、从业人员、营业收入、资产总额填报上一年度数据，无上一年度数据的新成立企业可不填报。</w:t>
      </w:r>
    </w:p>
    <w:p w14:paraId="4217EADE">
      <w:pPr>
        <w:ind w:firstLine="420"/>
        <w:rPr>
          <w:rFonts w:hint="eastAsia" w:ascii="仿宋" w:hAnsi="仿宋" w:eastAsia="仿宋" w:cs="仿宋"/>
          <w:szCs w:val="21"/>
          <w:highlight w:val="none"/>
        </w:rPr>
      </w:pPr>
      <w:r>
        <w:rPr>
          <w:rFonts w:hint="eastAsia" w:ascii="仿宋" w:hAnsi="仿宋" w:eastAsia="仿宋" w:cs="仿宋"/>
          <w:szCs w:val="21"/>
          <w:highlight w:val="none"/>
        </w:rPr>
        <w:t>2、如未按上述要求提供、填写，评审时造成的资格审查不通过或价格评审时的价格扣除不予认定等后果，由供应商自行承担。</w:t>
      </w:r>
    </w:p>
    <w:p w14:paraId="0DEB13B7">
      <w:pPr>
        <w:tabs>
          <w:tab w:val="left" w:pos="3777"/>
          <w:tab w:val="center" w:pos="4819"/>
        </w:tabs>
        <w:spacing w:line="440" w:lineRule="exact"/>
        <w:jc w:val="left"/>
        <w:rPr>
          <w:rFonts w:hint="eastAsia" w:ascii="仿宋" w:hAnsi="仿宋" w:eastAsia="仿宋" w:cs="仿宋"/>
          <w:b/>
          <w:bCs/>
          <w:sz w:val="28"/>
          <w:szCs w:val="28"/>
          <w:highlight w:val="none"/>
        </w:rPr>
      </w:pPr>
      <w:r>
        <w:rPr>
          <w:rFonts w:hint="eastAsia" w:ascii="仿宋" w:hAnsi="仿宋" w:eastAsia="仿宋" w:cs="仿宋"/>
          <w:b/>
          <w:szCs w:val="21"/>
          <w:highlight w:val="none"/>
        </w:rPr>
        <w:br w:type="page"/>
      </w:r>
      <w:r>
        <w:rPr>
          <w:rFonts w:hint="eastAsia" w:ascii="仿宋" w:hAnsi="仿宋" w:eastAsia="仿宋" w:cs="仿宋"/>
          <w:b/>
          <w:bCs/>
          <w:sz w:val="28"/>
          <w:szCs w:val="28"/>
          <w:highlight w:val="none"/>
        </w:rPr>
        <w:t>附件13 监狱企业声明函</w:t>
      </w:r>
    </w:p>
    <w:p w14:paraId="4C068D11">
      <w:pPr>
        <w:pStyle w:val="37"/>
        <w:outlineLvl w:val="9"/>
        <w:rPr>
          <w:rFonts w:hint="eastAsia"/>
          <w:highlight w:val="none"/>
        </w:rPr>
      </w:pPr>
    </w:p>
    <w:p w14:paraId="7E8DCFBE">
      <w:pPr>
        <w:spacing w:line="440" w:lineRule="exact"/>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（监狱企业适用）</w:t>
      </w:r>
    </w:p>
    <w:p w14:paraId="245D51EB">
      <w:pPr>
        <w:spacing w:line="440" w:lineRule="exact"/>
        <w:ind w:firstLine="540" w:firstLineChars="225"/>
        <w:rPr>
          <w:rFonts w:hint="eastAsia" w:ascii="仿宋" w:hAnsi="仿宋" w:eastAsia="仿宋" w:cs="仿宋"/>
          <w:kern w:val="0"/>
          <w:sz w:val="24"/>
          <w:highlight w:val="none"/>
        </w:rPr>
      </w:pPr>
      <w:r>
        <w:rPr>
          <w:rFonts w:hint="eastAsia" w:ascii="仿宋" w:hAnsi="仿宋" w:eastAsia="仿宋" w:cs="仿宋"/>
          <w:kern w:val="0"/>
          <w:sz w:val="24"/>
          <w:highlight w:val="none"/>
        </w:rPr>
        <w:t>本公司郑重声明，根据《关于政府采购支持监狱企业发展有关问题的通知》（财库[2014]68号）的规定，本公司为监狱企业。</w:t>
      </w:r>
    </w:p>
    <w:p w14:paraId="4076B288">
      <w:pPr>
        <w:spacing w:line="440" w:lineRule="exact"/>
        <w:ind w:firstLine="540" w:firstLineChars="225"/>
        <w:rPr>
          <w:rFonts w:hint="eastAsia" w:ascii="仿宋" w:hAnsi="仿宋" w:eastAsia="仿宋" w:cs="仿宋"/>
          <w:kern w:val="0"/>
          <w:sz w:val="24"/>
          <w:highlight w:val="none"/>
        </w:rPr>
      </w:pPr>
      <w:r>
        <w:rPr>
          <w:rFonts w:hint="eastAsia" w:ascii="仿宋" w:hAnsi="仿宋" w:eastAsia="仿宋" w:cs="仿宋"/>
          <w:kern w:val="0"/>
          <w:sz w:val="24"/>
          <w:highlight w:val="none"/>
        </w:rPr>
        <w:t>本公司参加______单位的______项目采购活动，采购活动提供本企业（填写制造的货物，由本企业承担工程、提供服务）。</w:t>
      </w:r>
    </w:p>
    <w:p w14:paraId="1BD26D5C">
      <w:pPr>
        <w:spacing w:line="440" w:lineRule="exact"/>
        <w:ind w:firstLine="540" w:firstLineChars="225"/>
        <w:rPr>
          <w:rFonts w:hint="eastAsia" w:ascii="仿宋" w:hAnsi="仿宋" w:eastAsia="仿宋" w:cs="仿宋"/>
          <w:kern w:val="0"/>
          <w:sz w:val="24"/>
          <w:highlight w:val="none"/>
        </w:rPr>
      </w:pPr>
      <w:r>
        <w:rPr>
          <w:rFonts w:hint="eastAsia" w:ascii="仿宋" w:hAnsi="仿宋" w:eastAsia="仿宋" w:cs="仿宋"/>
          <w:kern w:val="0"/>
          <w:sz w:val="24"/>
          <w:highlight w:val="none"/>
        </w:rPr>
        <w:t>本条所称货物不包括使用大型企业注册商标的货物和服务。</w:t>
      </w:r>
    </w:p>
    <w:p w14:paraId="517552D4">
      <w:pPr>
        <w:spacing w:line="440" w:lineRule="exact"/>
        <w:ind w:firstLine="540" w:firstLineChars="225"/>
        <w:rPr>
          <w:rFonts w:hint="eastAsia" w:ascii="仿宋" w:hAnsi="仿宋" w:eastAsia="仿宋" w:cs="仿宋"/>
          <w:kern w:val="0"/>
          <w:sz w:val="24"/>
          <w:highlight w:val="none"/>
        </w:rPr>
      </w:pPr>
      <w:r>
        <w:rPr>
          <w:rFonts w:hint="eastAsia" w:ascii="仿宋" w:hAnsi="仿宋" w:eastAsia="仿宋" w:cs="仿宋"/>
          <w:kern w:val="0"/>
          <w:sz w:val="24"/>
          <w:highlight w:val="none"/>
        </w:rPr>
        <w:t>本公司对上述声明的真实性负责。如有虚假，将依法承担相应责任。</w:t>
      </w:r>
    </w:p>
    <w:p w14:paraId="7297EFEF">
      <w:pPr>
        <w:spacing w:line="440" w:lineRule="exact"/>
        <w:ind w:firstLine="4860" w:firstLineChars="2025"/>
        <w:rPr>
          <w:rFonts w:hint="eastAsia" w:ascii="仿宋" w:hAnsi="仿宋" w:eastAsia="仿宋" w:cs="仿宋"/>
          <w:kern w:val="0"/>
          <w:sz w:val="24"/>
          <w:highlight w:val="none"/>
        </w:rPr>
      </w:pPr>
    </w:p>
    <w:p w14:paraId="667BEAC8">
      <w:pPr>
        <w:adjustRightInd w:val="0"/>
        <w:snapToGrid w:val="0"/>
        <w:spacing w:line="600" w:lineRule="auto"/>
        <w:jc w:val="right"/>
        <w:rPr>
          <w:rFonts w:hint="eastAsia" w:ascii="仿宋" w:hAnsi="仿宋" w:eastAsia="仿宋" w:cs="仿宋"/>
          <w:sz w:val="24"/>
          <w:highlight w:val="none"/>
        </w:rPr>
      </w:pPr>
      <w:r>
        <w:rPr>
          <w:rFonts w:hint="eastAsia" w:ascii="仿宋" w:hAnsi="仿宋" w:eastAsia="仿宋" w:cs="仿宋"/>
          <w:sz w:val="24"/>
          <w:highlight w:val="none"/>
        </w:rPr>
        <w:t>投标人（盖单位章）：</w:t>
      </w:r>
    </w:p>
    <w:p w14:paraId="0C5C057E">
      <w:pPr>
        <w:adjustRightInd w:val="0"/>
        <w:snapToGrid w:val="0"/>
        <w:spacing w:line="600" w:lineRule="auto"/>
        <w:jc w:val="right"/>
        <w:rPr>
          <w:rFonts w:hint="eastAsia" w:ascii="仿宋" w:hAnsi="仿宋" w:eastAsia="仿宋" w:cs="仿宋"/>
          <w:sz w:val="24"/>
          <w:highlight w:val="none"/>
        </w:rPr>
      </w:pPr>
      <w:r>
        <w:rPr>
          <w:rFonts w:hint="eastAsia" w:ascii="仿宋" w:hAnsi="仿宋" w:eastAsia="仿宋" w:cs="仿宋"/>
          <w:sz w:val="24"/>
          <w:highlight w:val="none"/>
        </w:rPr>
        <w:t>法定代表人或其委托代理人签字：</w:t>
      </w:r>
      <w:r>
        <w:rPr>
          <w:rFonts w:hint="eastAsia" w:ascii="仿宋" w:hAnsi="仿宋" w:eastAsia="仿宋" w:cs="仿宋"/>
          <w:sz w:val="24"/>
          <w:highlight w:val="none"/>
          <w:u w:val="single"/>
        </w:rPr>
        <w:t xml:space="preserve">       </w:t>
      </w:r>
    </w:p>
    <w:p w14:paraId="141BF848">
      <w:pPr>
        <w:adjustRightInd w:val="0"/>
        <w:snapToGrid w:val="0"/>
        <w:spacing w:line="600" w:lineRule="auto"/>
        <w:jc w:val="right"/>
        <w:rPr>
          <w:rFonts w:hint="eastAsia" w:ascii="仿宋" w:hAnsi="仿宋" w:eastAsia="仿宋" w:cs="仿宋"/>
          <w:sz w:val="24"/>
          <w:highlight w:val="none"/>
        </w:rPr>
      </w:pPr>
      <w:r>
        <w:rPr>
          <w:rFonts w:hint="eastAsia" w:ascii="仿宋" w:hAnsi="仿宋" w:eastAsia="仿宋" w:cs="仿宋"/>
          <w:sz w:val="24"/>
          <w:highlight w:val="none"/>
        </w:rPr>
        <w:t>日期：</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0D1B1E0E">
      <w:pPr>
        <w:tabs>
          <w:tab w:val="left" w:pos="3600"/>
        </w:tabs>
        <w:adjustRightInd w:val="0"/>
        <w:snapToGrid w:val="0"/>
        <w:spacing w:line="440" w:lineRule="exact"/>
        <w:jc w:val="center"/>
        <w:rPr>
          <w:rFonts w:hint="eastAsia" w:ascii="仿宋" w:hAnsi="仿宋" w:eastAsia="仿宋" w:cs="仿宋"/>
          <w:sz w:val="24"/>
          <w:highlight w:val="none"/>
        </w:rPr>
      </w:pPr>
    </w:p>
    <w:p w14:paraId="42FE4744">
      <w:pPr>
        <w:tabs>
          <w:tab w:val="left" w:pos="3600"/>
        </w:tabs>
        <w:adjustRightInd w:val="0"/>
        <w:snapToGrid w:val="0"/>
        <w:spacing w:line="440" w:lineRule="exact"/>
        <w:jc w:val="left"/>
        <w:rPr>
          <w:rFonts w:hint="eastAsia" w:ascii="仿宋" w:hAnsi="仿宋" w:eastAsia="仿宋" w:cs="仿宋"/>
          <w:b/>
          <w:bCs/>
          <w:sz w:val="28"/>
          <w:szCs w:val="28"/>
          <w:highlight w:val="none"/>
        </w:rPr>
      </w:pPr>
      <w:r>
        <w:rPr>
          <w:rFonts w:hint="eastAsia" w:ascii="仿宋" w:hAnsi="仿宋" w:eastAsia="仿宋" w:cs="仿宋"/>
          <w:kern w:val="0"/>
          <w:szCs w:val="21"/>
          <w:highlight w:val="none"/>
        </w:rPr>
        <w:br w:type="page"/>
      </w:r>
      <w:r>
        <w:rPr>
          <w:rFonts w:hint="eastAsia" w:ascii="仿宋" w:hAnsi="仿宋" w:eastAsia="仿宋" w:cs="仿宋"/>
          <w:b/>
          <w:bCs/>
          <w:sz w:val="28"/>
          <w:szCs w:val="28"/>
          <w:highlight w:val="none"/>
        </w:rPr>
        <w:t>附件14 残疾人福利性单位声明函</w:t>
      </w:r>
    </w:p>
    <w:p w14:paraId="5524B03D">
      <w:pPr>
        <w:autoSpaceDE w:val="0"/>
        <w:autoSpaceDN w:val="0"/>
        <w:adjustRightInd w:val="0"/>
        <w:spacing w:line="440" w:lineRule="exact"/>
        <w:rPr>
          <w:rFonts w:hint="eastAsia" w:ascii="仿宋" w:hAnsi="仿宋" w:eastAsia="仿宋" w:cs="仿宋"/>
          <w:b/>
          <w:bCs/>
          <w:spacing w:val="6"/>
          <w:kern w:val="0"/>
          <w:sz w:val="24"/>
          <w:highlight w:val="none"/>
        </w:rPr>
      </w:pPr>
    </w:p>
    <w:p w14:paraId="1AD1C0D5">
      <w:pPr>
        <w:widowControl/>
        <w:adjustRightInd w:val="0"/>
        <w:snapToGrid w:val="0"/>
        <w:spacing w:line="440" w:lineRule="exact"/>
        <w:ind w:firstLine="504" w:firstLineChars="200"/>
        <w:jc w:val="left"/>
        <w:rPr>
          <w:rFonts w:hint="eastAsia" w:ascii="仿宋" w:hAnsi="仿宋" w:eastAsia="仿宋" w:cs="仿宋"/>
          <w:spacing w:val="6"/>
          <w:kern w:val="0"/>
          <w:sz w:val="24"/>
          <w:highlight w:val="none"/>
        </w:rPr>
      </w:pPr>
      <w:r>
        <w:rPr>
          <w:rFonts w:hint="eastAsia" w:ascii="仿宋" w:hAnsi="仿宋" w:eastAsia="仿宋" w:cs="仿宋"/>
          <w:spacing w:val="6"/>
          <w:kern w:val="0"/>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60FBD7F">
      <w:pPr>
        <w:widowControl/>
        <w:adjustRightInd w:val="0"/>
        <w:snapToGrid w:val="0"/>
        <w:spacing w:line="440" w:lineRule="exact"/>
        <w:ind w:firstLine="504" w:firstLineChars="200"/>
        <w:jc w:val="left"/>
        <w:rPr>
          <w:rFonts w:hint="eastAsia" w:ascii="仿宋" w:hAnsi="仿宋" w:eastAsia="仿宋" w:cs="仿宋"/>
          <w:spacing w:val="6"/>
          <w:kern w:val="0"/>
          <w:sz w:val="24"/>
          <w:highlight w:val="none"/>
        </w:rPr>
      </w:pPr>
      <w:r>
        <w:rPr>
          <w:rFonts w:hint="eastAsia" w:ascii="仿宋" w:hAnsi="仿宋" w:eastAsia="仿宋" w:cs="仿宋"/>
          <w:spacing w:val="6"/>
          <w:kern w:val="0"/>
          <w:sz w:val="24"/>
          <w:highlight w:val="none"/>
        </w:rPr>
        <w:t xml:space="preserve">本单位对上述声明的真实性负责。如有虚假，将依法承担相应责任。 </w:t>
      </w:r>
    </w:p>
    <w:p w14:paraId="01037D44">
      <w:pPr>
        <w:widowControl/>
        <w:adjustRightInd w:val="0"/>
        <w:snapToGrid w:val="0"/>
        <w:spacing w:line="440" w:lineRule="exact"/>
        <w:ind w:firstLine="504" w:firstLineChars="200"/>
        <w:jc w:val="left"/>
        <w:rPr>
          <w:rFonts w:hint="eastAsia" w:ascii="仿宋" w:hAnsi="仿宋" w:eastAsia="仿宋" w:cs="仿宋"/>
          <w:spacing w:val="6"/>
          <w:kern w:val="0"/>
          <w:sz w:val="24"/>
          <w:highlight w:val="none"/>
        </w:rPr>
      </w:pPr>
    </w:p>
    <w:p w14:paraId="1071F99A">
      <w:pPr>
        <w:widowControl/>
        <w:adjustRightInd w:val="0"/>
        <w:snapToGrid w:val="0"/>
        <w:spacing w:line="440" w:lineRule="exact"/>
        <w:ind w:firstLine="504" w:firstLineChars="200"/>
        <w:jc w:val="left"/>
        <w:rPr>
          <w:rFonts w:hint="eastAsia" w:ascii="仿宋" w:hAnsi="仿宋" w:eastAsia="仿宋" w:cs="仿宋"/>
          <w:spacing w:val="6"/>
          <w:kern w:val="0"/>
          <w:sz w:val="24"/>
          <w:highlight w:val="none"/>
        </w:rPr>
      </w:pPr>
    </w:p>
    <w:p w14:paraId="09338460">
      <w:pPr>
        <w:widowControl/>
        <w:adjustRightInd w:val="0"/>
        <w:snapToGrid w:val="0"/>
        <w:spacing w:line="440" w:lineRule="exact"/>
        <w:ind w:firstLine="504" w:firstLineChars="200"/>
        <w:jc w:val="left"/>
        <w:rPr>
          <w:rFonts w:hint="eastAsia" w:ascii="仿宋" w:hAnsi="仿宋" w:eastAsia="仿宋" w:cs="仿宋"/>
          <w:spacing w:val="6"/>
          <w:kern w:val="0"/>
          <w:sz w:val="24"/>
          <w:highlight w:val="none"/>
        </w:rPr>
      </w:pPr>
    </w:p>
    <w:p w14:paraId="689EAEB3">
      <w:pPr>
        <w:widowControl/>
        <w:adjustRightInd w:val="0"/>
        <w:snapToGrid w:val="0"/>
        <w:spacing w:line="440" w:lineRule="exact"/>
        <w:ind w:firstLine="504" w:firstLineChars="200"/>
        <w:jc w:val="left"/>
        <w:rPr>
          <w:rFonts w:hint="eastAsia" w:ascii="仿宋" w:hAnsi="仿宋" w:eastAsia="仿宋" w:cs="仿宋"/>
          <w:spacing w:val="6"/>
          <w:kern w:val="0"/>
          <w:sz w:val="24"/>
          <w:highlight w:val="none"/>
        </w:rPr>
      </w:pPr>
    </w:p>
    <w:p w14:paraId="6CAE5F2B">
      <w:pPr>
        <w:widowControl/>
        <w:adjustRightInd w:val="0"/>
        <w:snapToGrid w:val="0"/>
        <w:spacing w:line="440" w:lineRule="exact"/>
        <w:ind w:firstLine="504" w:firstLineChars="200"/>
        <w:jc w:val="left"/>
        <w:rPr>
          <w:rFonts w:hint="eastAsia" w:ascii="仿宋" w:hAnsi="仿宋" w:eastAsia="仿宋" w:cs="仿宋"/>
          <w:spacing w:val="6"/>
          <w:kern w:val="0"/>
          <w:sz w:val="24"/>
          <w:highlight w:val="none"/>
        </w:rPr>
      </w:pPr>
    </w:p>
    <w:p w14:paraId="3A0BC4EA">
      <w:pPr>
        <w:adjustRightInd w:val="0"/>
        <w:snapToGrid w:val="0"/>
        <w:spacing w:line="600" w:lineRule="auto"/>
        <w:jc w:val="right"/>
        <w:rPr>
          <w:rFonts w:hint="eastAsia" w:ascii="仿宋" w:hAnsi="仿宋" w:eastAsia="仿宋" w:cs="仿宋"/>
          <w:sz w:val="24"/>
          <w:highlight w:val="none"/>
        </w:rPr>
      </w:pPr>
      <w:r>
        <w:rPr>
          <w:rFonts w:hint="eastAsia" w:ascii="仿宋" w:hAnsi="仿宋" w:eastAsia="仿宋" w:cs="仿宋"/>
          <w:sz w:val="24"/>
          <w:highlight w:val="none"/>
        </w:rPr>
        <w:t>投标人（盖单位章）：</w:t>
      </w:r>
    </w:p>
    <w:p w14:paraId="7FD6007C">
      <w:pPr>
        <w:adjustRightInd w:val="0"/>
        <w:snapToGrid w:val="0"/>
        <w:spacing w:line="600" w:lineRule="auto"/>
        <w:jc w:val="right"/>
        <w:rPr>
          <w:rFonts w:hint="eastAsia" w:ascii="仿宋" w:hAnsi="仿宋" w:eastAsia="仿宋" w:cs="仿宋"/>
          <w:sz w:val="24"/>
          <w:highlight w:val="none"/>
        </w:rPr>
      </w:pPr>
      <w:r>
        <w:rPr>
          <w:rFonts w:hint="eastAsia" w:ascii="仿宋" w:hAnsi="仿宋" w:eastAsia="仿宋" w:cs="仿宋"/>
          <w:sz w:val="24"/>
          <w:highlight w:val="none"/>
        </w:rPr>
        <w:t>法定代表人或其委托代理人签字：</w:t>
      </w:r>
      <w:r>
        <w:rPr>
          <w:rFonts w:hint="eastAsia" w:ascii="仿宋" w:hAnsi="仿宋" w:eastAsia="仿宋" w:cs="仿宋"/>
          <w:sz w:val="24"/>
          <w:highlight w:val="none"/>
          <w:u w:val="single"/>
        </w:rPr>
        <w:t xml:space="preserve">       </w:t>
      </w:r>
    </w:p>
    <w:p w14:paraId="1FD0739C">
      <w:pPr>
        <w:adjustRightInd w:val="0"/>
        <w:snapToGrid w:val="0"/>
        <w:spacing w:line="600" w:lineRule="auto"/>
        <w:jc w:val="right"/>
        <w:rPr>
          <w:rFonts w:hint="eastAsia" w:ascii="仿宋" w:hAnsi="仿宋" w:eastAsia="仿宋" w:cs="仿宋"/>
          <w:sz w:val="24"/>
          <w:highlight w:val="none"/>
        </w:rPr>
      </w:pPr>
      <w:r>
        <w:rPr>
          <w:rFonts w:hint="eastAsia" w:ascii="仿宋" w:hAnsi="仿宋" w:eastAsia="仿宋" w:cs="仿宋"/>
          <w:sz w:val="24"/>
          <w:highlight w:val="none"/>
        </w:rPr>
        <w:t>日期：</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4D070B9A">
      <w:pPr>
        <w:widowControl/>
        <w:spacing w:line="440" w:lineRule="exact"/>
        <w:jc w:val="left"/>
        <w:rPr>
          <w:rFonts w:hint="eastAsia" w:ascii="仿宋" w:hAnsi="仿宋" w:eastAsia="仿宋" w:cs="仿宋"/>
          <w:b/>
          <w:szCs w:val="21"/>
          <w:highlight w:val="none"/>
        </w:rPr>
      </w:pPr>
    </w:p>
    <w:p w14:paraId="277CC8CC">
      <w:pPr>
        <w:spacing w:before="0" w:after="0" w:line="579" w:lineRule="auto"/>
        <w:jc w:val="left"/>
        <w:outlineLvl w:val="9"/>
        <w:rPr>
          <w:rStyle w:val="52"/>
          <w:rFonts w:hint="eastAsia" w:ascii="仿宋" w:hAnsi="仿宋" w:eastAsia="仿宋" w:cs="仿宋"/>
          <w:b/>
          <w:bCs/>
          <w:color w:val="auto"/>
          <w:highlight w:val="none"/>
        </w:rPr>
      </w:pPr>
    </w:p>
    <w:p w14:paraId="26647073">
      <w:pPr>
        <w:pStyle w:val="113"/>
        <w:ind w:firstLine="602"/>
        <w:rPr>
          <w:rStyle w:val="52"/>
          <w:rFonts w:hint="eastAsia" w:ascii="仿宋" w:hAnsi="仿宋" w:eastAsia="仿宋" w:cs="仿宋"/>
          <w:color w:val="auto"/>
          <w:highlight w:val="none"/>
        </w:rPr>
      </w:pPr>
    </w:p>
    <w:p w14:paraId="3F00141D">
      <w:pPr>
        <w:pStyle w:val="113"/>
        <w:ind w:firstLine="602"/>
        <w:rPr>
          <w:rStyle w:val="52"/>
          <w:rFonts w:hint="eastAsia" w:ascii="仿宋" w:hAnsi="仿宋" w:eastAsia="仿宋" w:cs="仿宋"/>
          <w:color w:val="auto"/>
          <w:highlight w:val="none"/>
        </w:rPr>
      </w:pPr>
    </w:p>
    <w:p w14:paraId="0C7B4B4D">
      <w:pPr>
        <w:pStyle w:val="113"/>
        <w:ind w:firstLine="602"/>
        <w:rPr>
          <w:rStyle w:val="52"/>
          <w:rFonts w:hint="eastAsia" w:ascii="仿宋" w:hAnsi="仿宋" w:eastAsia="仿宋" w:cs="仿宋"/>
          <w:color w:val="auto"/>
          <w:highlight w:val="none"/>
        </w:rPr>
      </w:pPr>
    </w:p>
    <w:p w14:paraId="6D11B4BB">
      <w:pPr>
        <w:pStyle w:val="113"/>
        <w:ind w:firstLine="602"/>
        <w:rPr>
          <w:rStyle w:val="52"/>
          <w:rFonts w:hint="eastAsia" w:ascii="仿宋" w:hAnsi="仿宋" w:eastAsia="仿宋" w:cs="仿宋"/>
          <w:color w:val="auto"/>
          <w:highlight w:val="none"/>
        </w:rPr>
      </w:pPr>
    </w:p>
    <w:p w14:paraId="73164648">
      <w:pPr>
        <w:pStyle w:val="113"/>
        <w:ind w:firstLine="602"/>
        <w:rPr>
          <w:rStyle w:val="52"/>
          <w:rFonts w:hint="eastAsia" w:ascii="仿宋" w:hAnsi="仿宋" w:eastAsia="仿宋" w:cs="仿宋"/>
          <w:color w:val="auto"/>
          <w:highlight w:val="none"/>
        </w:rPr>
      </w:pPr>
    </w:p>
    <w:p w14:paraId="7750D13C">
      <w:pPr>
        <w:tabs>
          <w:tab w:val="left" w:pos="3777"/>
          <w:tab w:val="center" w:pos="4819"/>
        </w:tabs>
        <w:spacing w:line="440" w:lineRule="exact"/>
        <w:jc w:val="left"/>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附件15 信用记录</w:t>
      </w:r>
    </w:p>
    <w:p w14:paraId="2FED00BB">
      <w:pPr>
        <w:widowControl/>
        <w:adjustRightInd w:val="0"/>
        <w:snapToGrid w:val="0"/>
        <w:spacing w:line="440" w:lineRule="exact"/>
        <w:ind w:firstLine="506" w:firstLineChars="200"/>
        <w:jc w:val="center"/>
        <w:rPr>
          <w:rFonts w:hint="eastAsia" w:ascii="仿宋" w:hAnsi="仿宋" w:eastAsia="仿宋" w:cs="仿宋"/>
          <w:b/>
          <w:bCs/>
          <w:spacing w:val="6"/>
          <w:kern w:val="0"/>
          <w:sz w:val="24"/>
          <w:highlight w:val="none"/>
        </w:rPr>
      </w:pPr>
    </w:p>
    <w:p w14:paraId="283F454B">
      <w:pPr>
        <w:widowControl/>
        <w:adjustRightInd w:val="0"/>
        <w:snapToGrid w:val="0"/>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依据财库[2016]125号文件规定，供应商须符合《关于在政府采购活动中查询及使用信用记录有关问题的通知》的相关要求，即具有良好的信用记录。</w:t>
      </w:r>
    </w:p>
    <w:p w14:paraId="418DA279">
      <w:pPr>
        <w:widowControl/>
        <w:adjustRightInd w:val="0"/>
        <w:snapToGrid w:val="0"/>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供应商须提供本单位近3年（自招标文件发售之日起至开标日前）“信用中国”网站（www.creditchina.gov.cn）、“中国执行信息公开网”（http://zxgk.court.gov.cn/）、中国政府采购网（www.ccgp.gov.cn）已公布的信息记录查询结果。</w:t>
      </w:r>
    </w:p>
    <w:p w14:paraId="224317FB">
      <w:pPr>
        <w:widowControl/>
        <w:adjustRightInd w:val="0"/>
        <w:snapToGrid w:val="0"/>
        <w:spacing w:line="360" w:lineRule="auto"/>
        <w:ind w:firstLine="504" w:firstLineChars="200"/>
        <w:jc w:val="left"/>
        <w:rPr>
          <w:rFonts w:hint="eastAsia" w:ascii="仿宋" w:hAnsi="仿宋" w:eastAsia="仿宋" w:cs="仿宋"/>
          <w:spacing w:val="6"/>
          <w:kern w:val="0"/>
          <w:sz w:val="24"/>
          <w:highlight w:val="none"/>
        </w:rPr>
      </w:pPr>
      <w:r>
        <w:rPr>
          <w:rFonts w:hint="eastAsia" w:ascii="仿宋" w:hAnsi="仿宋" w:eastAsia="仿宋" w:cs="仿宋"/>
          <w:spacing w:val="6"/>
          <w:kern w:val="0"/>
          <w:sz w:val="24"/>
          <w:highlight w:val="none"/>
        </w:rPr>
        <w:t>查询信息包含：</w:t>
      </w:r>
    </w:p>
    <w:p w14:paraId="2DADD3DD">
      <w:pPr>
        <w:widowControl/>
        <w:adjustRightInd w:val="0"/>
        <w:snapToGrid w:val="0"/>
        <w:spacing w:line="360" w:lineRule="auto"/>
        <w:ind w:firstLine="504" w:firstLineChars="200"/>
        <w:jc w:val="left"/>
        <w:rPr>
          <w:rFonts w:hint="eastAsia" w:ascii="仿宋" w:hAnsi="仿宋" w:eastAsia="仿宋" w:cs="仿宋"/>
          <w:spacing w:val="6"/>
          <w:kern w:val="0"/>
          <w:sz w:val="24"/>
          <w:highlight w:val="none"/>
        </w:rPr>
      </w:pPr>
      <w:r>
        <w:rPr>
          <w:rFonts w:hint="eastAsia" w:ascii="仿宋" w:hAnsi="仿宋" w:eastAsia="仿宋" w:cs="仿宋"/>
          <w:spacing w:val="6"/>
          <w:kern w:val="0"/>
          <w:sz w:val="24"/>
          <w:highlight w:val="none"/>
        </w:rPr>
        <w:t>1）被列入失信被执行人</w:t>
      </w:r>
    </w:p>
    <w:p w14:paraId="474915A7">
      <w:pPr>
        <w:widowControl/>
        <w:adjustRightInd w:val="0"/>
        <w:snapToGrid w:val="0"/>
        <w:spacing w:line="360" w:lineRule="auto"/>
        <w:ind w:firstLine="504" w:firstLineChars="200"/>
        <w:jc w:val="left"/>
        <w:rPr>
          <w:rFonts w:hint="eastAsia" w:ascii="仿宋" w:hAnsi="仿宋" w:eastAsia="仿宋" w:cs="仿宋"/>
          <w:spacing w:val="6"/>
          <w:kern w:val="0"/>
          <w:sz w:val="24"/>
          <w:highlight w:val="none"/>
        </w:rPr>
      </w:pPr>
      <w:r>
        <w:rPr>
          <w:rFonts w:hint="eastAsia" w:ascii="仿宋" w:hAnsi="仿宋" w:eastAsia="仿宋" w:cs="仿宋"/>
          <w:spacing w:val="6"/>
          <w:kern w:val="0"/>
          <w:sz w:val="24"/>
          <w:highlight w:val="none"/>
        </w:rPr>
        <w:t>2）</w:t>
      </w:r>
      <w:r>
        <w:rPr>
          <w:rFonts w:hint="eastAsia" w:ascii="仿宋" w:hAnsi="仿宋" w:eastAsia="仿宋" w:cs="仿宋"/>
          <w:spacing w:val="6"/>
          <w:kern w:val="0"/>
          <w:sz w:val="24"/>
          <w:highlight w:val="none"/>
          <w:lang w:eastAsia="zh-CN"/>
        </w:rPr>
        <w:t>重大税收违法失信主体</w:t>
      </w:r>
      <w:r>
        <w:rPr>
          <w:rFonts w:hint="eastAsia" w:ascii="仿宋" w:hAnsi="仿宋" w:eastAsia="仿宋" w:cs="仿宋"/>
          <w:spacing w:val="6"/>
          <w:kern w:val="0"/>
          <w:sz w:val="24"/>
          <w:highlight w:val="none"/>
        </w:rPr>
        <w:t>的供应商</w:t>
      </w:r>
    </w:p>
    <w:p w14:paraId="39D8450E">
      <w:pPr>
        <w:widowControl/>
        <w:adjustRightInd w:val="0"/>
        <w:snapToGrid w:val="0"/>
        <w:spacing w:line="360" w:lineRule="auto"/>
        <w:ind w:firstLine="504" w:firstLineChars="200"/>
        <w:jc w:val="left"/>
        <w:rPr>
          <w:rFonts w:hint="eastAsia" w:ascii="仿宋" w:hAnsi="仿宋" w:eastAsia="仿宋" w:cs="仿宋"/>
          <w:spacing w:val="6"/>
          <w:kern w:val="0"/>
          <w:sz w:val="24"/>
          <w:highlight w:val="none"/>
        </w:rPr>
      </w:pPr>
      <w:r>
        <w:rPr>
          <w:rFonts w:hint="eastAsia" w:ascii="仿宋" w:hAnsi="仿宋" w:eastAsia="仿宋" w:cs="仿宋"/>
          <w:spacing w:val="6"/>
          <w:kern w:val="0"/>
          <w:sz w:val="24"/>
          <w:highlight w:val="none"/>
        </w:rPr>
        <w:t>3）列入政府采购严重违法失信行为记录名单</w:t>
      </w:r>
    </w:p>
    <w:p w14:paraId="2F0251F6">
      <w:pPr>
        <w:pStyle w:val="31"/>
        <w:rPr>
          <w:rFonts w:hint="eastAsia" w:ascii="仿宋" w:hAnsi="仿宋" w:eastAsia="仿宋" w:cs="仿宋"/>
          <w:sz w:val="24"/>
          <w:highlight w:val="none"/>
        </w:rPr>
      </w:pPr>
    </w:p>
    <w:p w14:paraId="353E2FFA">
      <w:pPr>
        <w:widowControl/>
        <w:adjustRightInd w:val="0"/>
        <w:snapToGrid w:val="0"/>
        <w:spacing w:line="440" w:lineRule="exact"/>
        <w:ind w:firstLine="506" w:firstLineChars="200"/>
        <w:jc w:val="left"/>
        <w:rPr>
          <w:rFonts w:hint="eastAsia" w:ascii="仿宋" w:hAnsi="仿宋" w:eastAsia="仿宋" w:cs="仿宋"/>
          <w:b/>
          <w:bCs/>
          <w:spacing w:val="6"/>
          <w:kern w:val="0"/>
          <w:sz w:val="24"/>
          <w:highlight w:val="none"/>
        </w:rPr>
      </w:pPr>
      <w:r>
        <w:rPr>
          <w:rFonts w:hint="eastAsia" w:ascii="仿宋" w:hAnsi="仿宋" w:eastAsia="仿宋" w:cs="仿宋"/>
          <w:b/>
          <w:bCs/>
          <w:spacing w:val="6"/>
          <w:kern w:val="0"/>
          <w:sz w:val="24"/>
          <w:highlight w:val="none"/>
        </w:rPr>
        <w:t>注：网站搜索页输入供应商名称，查询相关信息，提供网页截图，需显示查询日期，并加盖供应商单位公章。</w:t>
      </w:r>
    </w:p>
    <w:p w14:paraId="264B87D3">
      <w:pPr>
        <w:widowControl/>
        <w:adjustRightInd w:val="0"/>
        <w:snapToGrid w:val="0"/>
        <w:spacing w:line="440" w:lineRule="exact"/>
        <w:jc w:val="left"/>
        <w:rPr>
          <w:rFonts w:ascii="仿宋" w:hAnsi="仿宋" w:eastAsia="仿宋" w:cs="仿宋"/>
          <w:b/>
          <w:bCs/>
          <w:sz w:val="28"/>
          <w:szCs w:val="28"/>
          <w:highlight w:val="none"/>
        </w:rPr>
      </w:pPr>
      <w:r>
        <w:rPr>
          <w:rFonts w:hint="eastAsia" w:ascii="仿宋" w:hAnsi="仿宋" w:eastAsia="仿宋" w:cs="仿宋"/>
          <w:b/>
          <w:bCs/>
          <w:spacing w:val="6"/>
          <w:kern w:val="0"/>
          <w:sz w:val="24"/>
          <w:highlight w:val="none"/>
        </w:rPr>
        <w:br w:type="page"/>
      </w:r>
    </w:p>
    <w:p w14:paraId="2D38FB94">
      <w:pPr>
        <w:widowControl/>
        <w:adjustRightInd w:val="0"/>
        <w:snapToGrid w:val="0"/>
        <w:spacing w:line="440" w:lineRule="exact"/>
        <w:jc w:val="center"/>
        <w:rPr>
          <w:rFonts w:hint="eastAsia"/>
          <w:color w:val="auto"/>
          <w:highlight w:val="none"/>
        </w:rPr>
      </w:pPr>
      <w:bookmarkStart w:id="65" w:name="_Toc8873"/>
      <w:bookmarkStart w:id="66" w:name="_Toc30446"/>
      <w:r>
        <w:rPr>
          <w:rStyle w:val="52"/>
          <w:rFonts w:hint="eastAsia" w:ascii="仿宋" w:hAnsi="仿宋" w:eastAsia="仿宋" w:cs="仿宋"/>
          <w:color w:val="auto"/>
          <w:highlight w:val="none"/>
          <w:lang w:val="en-US" w:eastAsia="zh-CN" w:bidi="ar-SA"/>
        </w:rPr>
        <w:t>第七部分 评分标准</w:t>
      </w:r>
      <w:bookmarkEnd w:id="65"/>
      <w:bookmarkEnd w:id="66"/>
    </w:p>
    <w:p w14:paraId="2D1E84E0">
      <w:pPr>
        <w:pStyle w:val="19"/>
        <w:ind w:firstLine="624"/>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技术、商务部分（占总分值的</w:t>
      </w:r>
      <w:r>
        <w:rPr>
          <w:rFonts w:hint="eastAsia" w:ascii="仿宋" w:hAnsi="仿宋" w:eastAsia="仿宋" w:cs="仿宋"/>
          <w:b/>
          <w:color w:val="auto"/>
          <w:sz w:val="28"/>
          <w:szCs w:val="28"/>
          <w:highlight w:val="none"/>
          <w:lang w:val="en-US" w:eastAsia="zh-CN"/>
        </w:rPr>
        <w:t>7</w:t>
      </w:r>
      <w:r>
        <w:rPr>
          <w:rFonts w:hint="eastAsia" w:ascii="仿宋" w:hAnsi="仿宋" w:eastAsia="仿宋" w:cs="仿宋"/>
          <w:b/>
          <w:color w:val="auto"/>
          <w:sz w:val="28"/>
          <w:szCs w:val="28"/>
          <w:highlight w:val="none"/>
        </w:rPr>
        <w:t>0%）</w:t>
      </w:r>
    </w:p>
    <w:tbl>
      <w:tblPr>
        <w:tblStyle w:val="41"/>
        <w:tblW w:w="9230"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126"/>
        <w:gridCol w:w="6479"/>
        <w:gridCol w:w="842"/>
      </w:tblGrid>
      <w:tr w14:paraId="2F038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tcBorders>
              <w:top w:val="single" w:color="auto" w:sz="4" w:space="0"/>
              <w:left w:val="single" w:color="auto" w:sz="4" w:space="0"/>
              <w:bottom w:val="single" w:color="auto" w:sz="4" w:space="0"/>
              <w:right w:val="single" w:color="auto" w:sz="4" w:space="0"/>
            </w:tcBorders>
            <w:noWrap w:val="0"/>
            <w:vAlign w:val="center"/>
          </w:tcPr>
          <w:p w14:paraId="369A81F8">
            <w:pPr>
              <w:pStyle w:val="16"/>
              <w:widowControl w:val="0"/>
              <w:spacing w:after="0" w:afterAutospacing="0" w:line="360" w:lineRule="exact"/>
              <w:jc w:val="center"/>
              <w:rPr>
                <w:rFonts w:hint="eastAsia" w:ascii="仿宋" w:hAnsi="仿宋" w:eastAsia="仿宋" w:cs="Times New Roman"/>
                <w:color w:val="auto"/>
                <w:kern w:val="2"/>
                <w:sz w:val="22"/>
                <w:szCs w:val="22"/>
                <w:highlight w:val="none"/>
              </w:rPr>
            </w:pPr>
            <w:r>
              <w:rPr>
                <w:rFonts w:hint="eastAsia" w:ascii="仿宋" w:hAnsi="仿宋" w:eastAsia="仿宋" w:cs="仿宋"/>
                <w:color w:val="auto"/>
                <w:kern w:val="2"/>
                <w:sz w:val="22"/>
                <w:szCs w:val="22"/>
                <w:highlight w:val="none"/>
                <w:lang w:bidi="ar"/>
              </w:rPr>
              <w:t>序号</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0F7903B">
            <w:pPr>
              <w:pStyle w:val="16"/>
              <w:widowControl w:val="0"/>
              <w:spacing w:after="0" w:afterAutospacing="0" w:line="360" w:lineRule="exact"/>
              <w:jc w:val="center"/>
              <w:rPr>
                <w:rFonts w:hint="eastAsia" w:ascii="仿宋" w:hAnsi="仿宋" w:eastAsia="仿宋" w:cs="Times New Roman"/>
                <w:color w:val="auto"/>
                <w:kern w:val="2"/>
                <w:sz w:val="22"/>
                <w:szCs w:val="22"/>
                <w:highlight w:val="none"/>
              </w:rPr>
            </w:pPr>
            <w:r>
              <w:rPr>
                <w:rFonts w:hint="eastAsia" w:ascii="仿宋" w:hAnsi="仿宋" w:eastAsia="仿宋" w:cs="仿宋"/>
                <w:color w:val="auto"/>
                <w:kern w:val="2"/>
                <w:sz w:val="22"/>
                <w:szCs w:val="22"/>
                <w:highlight w:val="none"/>
                <w:lang w:bidi="ar"/>
              </w:rPr>
              <w:t>评分因素</w:t>
            </w:r>
          </w:p>
        </w:tc>
        <w:tc>
          <w:tcPr>
            <w:tcW w:w="6479" w:type="dxa"/>
            <w:tcBorders>
              <w:top w:val="single" w:color="auto" w:sz="4" w:space="0"/>
              <w:left w:val="single" w:color="auto" w:sz="4" w:space="0"/>
              <w:bottom w:val="single" w:color="auto" w:sz="4" w:space="0"/>
              <w:right w:val="single" w:color="auto" w:sz="4" w:space="0"/>
            </w:tcBorders>
            <w:noWrap w:val="0"/>
            <w:vAlign w:val="center"/>
          </w:tcPr>
          <w:p w14:paraId="4FDA543A">
            <w:pPr>
              <w:pStyle w:val="16"/>
              <w:widowControl w:val="0"/>
              <w:spacing w:after="0" w:afterAutospacing="0" w:line="360" w:lineRule="exact"/>
              <w:jc w:val="center"/>
              <w:rPr>
                <w:rFonts w:hint="eastAsia" w:ascii="仿宋" w:hAnsi="仿宋" w:eastAsia="仿宋" w:cs="Times New Roman"/>
                <w:color w:val="auto"/>
                <w:kern w:val="2"/>
                <w:sz w:val="22"/>
                <w:szCs w:val="22"/>
                <w:highlight w:val="none"/>
              </w:rPr>
            </w:pPr>
            <w:r>
              <w:rPr>
                <w:rFonts w:hint="eastAsia" w:ascii="仿宋" w:hAnsi="仿宋" w:eastAsia="仿宋" w:cs="仿宋"/>
                <w:color w:val="auto"/>
                <w:kern w:val="2"/>
                <w:sz w:val="22"/>
                <w:szCs w:val="22"/>
                <w:highlight w:val="none"/>
                <w:lang w:bidi="ar"/>
              </w:rPr>
              <w:t>评审内容</w:t>
            </w:r>
          </w:p>
        </w:tc>
        <w:tc>
          <w:tcPr>
            <w:tcW w:w="842" w:type="dxa"/>
            <w:tcBorders>
              <w:top w:val="single" w:color="auto" w:sz="4" w:space="0"/>
              <w:left w:val="single" w:color="auto" w:sz="4" w:space="0"/>
              <w:bottom w:val="single" w:color="auto" w:sz="4" w:space="0"/>
              <w:right w:val="single" w:color="auto" w:sz="4" w:space="0"/>
            </w:tcBorders>
            <w:noWrap w:val="0"/>
            <w:vAlign w:val="center"/>
          </w:tcPr>
          <w:p w14:paraId="228A0104">
            <w:pPr>
              <w:pStyle w:val="16"/>
              <w:widowControl w:val="0"/>
              <w:spacing w:after="0" w:afterAutospacing="0" w:line="360" w:lineRule="exact"/>
              <w:jc w:val="center"/>
              <w:rPr>
                <w:rFonts w:hint="eastAsia" w:ascii="仿宋" w:hAnsi="仿宋" w:eastAsia="仿宋" w:cs="MingLiU_HKSCS"/>
                <w:color w:val="auto"/>
                <w:kern w:val="2"/>
                <w:sz w:val="22"/>
                <w:szCs w:val="22"/>
                <w:highlight w:val="none"/>
              </w:rPr>
            </w:pPr>
            <w:r>
              <w:rPr>
                <w:rFonts w:hint="eastAsia" w:ascii="仿宋" w:hAnsi="仿宋" w:eastAsia="仿宋" w:cs="仿宋"/>
                <w:color w:val="auto"/>
                <w:kern w:val="2"/>
                <w:sz w:val="22"/>
                <w:szCs w:val="22"/>
                <w:highlight w:val="none"/>
                <w:lang w:bidi="ar"/>
              </w:rPr>
              <w:t>分值</w:t>
            </w:r>
          </w:p>
        </w:tc>
      </w:tr>
      <w:tr w14:paraId="41685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trPr>
        <w:tc>
          <w:tcPr>
            <w:tcW w:w="783" w:type="dxa"/>
            <w:tcBorders>
              <w:top w:val="nil"/>
              <w:left w:val="single" w:color="auto" w:sz="4" w:space="0"/>
              <w:bottom w:val="single" w:color="auto" w:sz="4" w:space="0"/>
              <w:right w:val="single" w:color="auto" w:sz="4" w:space="0"/>
            </w:tcBorders>
            <w:noWrap w:val="0"/>
            <w:vAlign w:val="center"/>
          </w:tcPr>
          <w:p w14:paraId="603921F1">
            <w:pPr>
              <w:pStyle w:val="16"/>
              <w:widowControl w:val="0"/>
              <w:spacing w:after="0" w:afterAutospacing="0" w:line="360" w:lineRule="exact"/>
              <w:jc w:val="center"/>
              <w:rPr>
                <w:rFonts w:hint="eastAsia" w:ascii="仿宋" w:hAnsi="仿宋" w:eastAsia="仿宋" w:cs="Times New Roman"/>
                <w:color w:val="auto"/>
                <w:kern w:val="2"/>
                <w:highlight w:val="none"/>
                <w:lang w:eastAsia="zh-CN"/>
              </w:rPr>
            </w:pPr>
            <w:r>
              <w:rPr>
                <w:rFonts w:hint="eastAsia" w:ascii="仿宋" w:hAnsi="仿宋" w:eastAsia="仿宋" w:cs="仿宋"/>
                <w:color w:val="auto"/>
                <w:kern w:val="2"/>
                <w:highlight w:val="none"/>
                <w:lang w:val="en-US" w:eastAsia="zh-CN" w:bidi="ar"/>
              </w:rPr>
              <w:t>1</w:t>
            </w:r>
          </w:p>
        </w:tc>
        <w:tc>
          <w:tcPr>
            <w:tcW w:w="1126" w:type="dxa"/>
            <w:tcBorders>
              <w:top w:val="nil"/>
              <w:left w:val="single" w:color="auto" w:sz="4" w:space="0"/>
              <w:bottom w:val="single" w:color="auto" w:sz="4" w:space="0"/>
              <w:right w:val="single" w:color="auto" w:sz="4" w:space="0"/>
            </w:tcBorders>
            <w:noWrap w:val="0"/>
            <w:vAlign w:val="center"/>
          </w:tcPr>
          <w:p w14:paraId="7AB43785">
            <w:pPr>
              <w:widowControl/>
              <w:adjustRightInd w:val="0"/>
              <w:snapToGrid w:val="0"/>
              <w:spacing w:line="360" w:lineRule="exact"/>
              <w:jc w:val="left"/>
              <w:rPr>
                <w:rFonts w:hint="eastAsia" w:ascii="仿宋" w:hAnsi="仿宋" w:eastAsia="仿宋" w:cs="Times New Roman"/>
                <w:color w:val="auto"/>
                <w:kern w:val="2"/>
                <w:highlight w:val="none"/>
                <w:lang w:eastAsia="zh-CN"/>
              </w:rPr>
            </w:pPr>
            <w:r>
              <w:rPr>
                <w:rFonts w:hint="eastAsia" w:ascii="仿宋" w:hAnsi="仿宋" w:eastAsia="仿宋" w:cs="仿宋"/>
                <w:szCs w:val="21"/>
                <w:highlight w:val="none"/>
                <w:lang w:val="en-US" w:eastAsia="zh-CN"/>
              </w:rPr>
              <w:t>仓储情况</w:t>
            </w:r>
          </w:p>
        </w:tc>
        <w:tc>
          <w:tcPr>
            <w:tcW w:w="6479" w:type="dxa"/>
            <w:tcBorders>
              <w:top w:val="single" w:color="auto" w:sz="4" w:space="0"/>
              <w:left w:val="single" w:color="auto" w:sz="4" w:space="0"/>
              <w:bottom w:val="single" w:color="auto" w:sz="4" w:space="0"/>
              <w:right w:val="single" w:color="auto" w:sz="4" w:space="0"/>
            </w:tcBorders>
            <w:noWrap w:val="0"/>
            <w:vAlign w:val="center"/>
          </w:tcPr>
          <w:p w14:paraId="66295E2F">
            <w:pPr>
              <w:pStyle w:val="16"/>
              <w:widowControl w:val="0"/>
              <w:spacing w:after="0" w:afterAutospacing="0" w:line="360" w:lineRule="exact"/>
              <w:rPr>
                <w:rFonts w:hint="eastAsia" w:ascii="仿宋" w:hAnsi="仿宋" w:eastAsia="仿宋"/>
                <w:color w:val="auto"/>
                <w:sz w:val="24"/>
                <w:highlight w:val="none"/>
              </w:rPr>
            </w:pPr>
            <w:r>
              <w:rPr>
                <w:rFonts w:hint="eastAsia" w:ascii="仿宋" w:hAnsi="仿宋" w:eastAsia="仿宋" w:cs="仿宋"/>
                <w:kern w:val="2"/>
                <w:sz w:val="21"/>
                <w:szCs w:val="21"/>
                <w:highlight w:val="none"/>
                <w:lang w:val="en-US" w:eastAsia="zh-CN" w:bidi="ar-SA"/>
              </w:rPr>
              <w:t>对供应商自有或租赁的库房面积进行打分（投标文件中必须提供真实有效的产权证明原件扫描件、库房内部实景图片，如为租赁的还需提供租赁协议原件扫描件，否则不得分）。面积 300 平方米（含）以上的得3分； 面积 200 平方米（含）至300平方米得 2 分；面积200 平方米以内的得2分；没有库房的得 0 分。</w:t>
            </w:r>
          </w:p>
        </w:tc>
        <w:tc>
          <w:tcPr>
            <w:tcW w:w="842" w:type="dxa"/>
            <w:tcBorders>
              <w:top w:val="single" w:color="auto" w:sz="4" w:space="0"/>
              <w:left w:val="single" w:color="auto" w:sz="4" w:space="0"/>
              <w:bottom w:val="single" w:color="auto" w:sz="4" w:space="0"/>
              <w:right w:val="single" w:color="auto" w:sz="4" w:space="0"/>
            </w:tcBorders>
            <w:noWrap w:val="0"/>
            <w:vAlign w:val="center"/>
          </w:tcPr>
          <w:p w14:paraId="4EE65678">
            <w:pPr>
              <w:pStyle w:val="16"/>
              <w:widowControl w:val="0"/>
              <w:spacing w:after="0" w:afterAutospacing="0" w:line="360" w:lineRule="exact"/>
              <w:jc w:val="center"/>
              <w:rPr>
                <w:rFonts w:hint="eastAsia" w:ascii="仿宋" w:hAnsi="仿宋" w:eastAsia="仿宋" w:cs="Times New Roman"/>
                <w:color w:val="auto"/>
                <w:kern w:val="2"/>
                <w:highlight w:val="none"/>
              </w:rPr>
            </w:pPr>
          </w:p>
          <w:p w14:paraId="258B6D84">
            <w:pPr>
              <w:pStyle w:val="16"/>
              <w:widowControl w:val="0"/>
              <w:spacing w:after="0" w:afterAutospacing="0" w:line="360" w:lineRule="exact"/>
              <w:jc w:val="center"/>
              <w:rPr>
                <w:rFonts w:hint="default" w:ascii="仿宋" w:hAnsi="仿宋" w:eastAsia="仿宋" w:cs="Times New Roman"/>
                <w:color w:val="auto"/>
                <w:kern w:val="2"/>
                <w:highlight w:val="none"/>
                <w:lang w:val="en-US" w:eastAsia="zh-CN"/>
              </w:rPr>
            </w:pPr>
            <w:r>
              <w:rPr>
                <w:rFonts w:hint="eastAsia" w:ascii="仿宋" w:hAnsi="仿宋" w:eastAsia="仿宋" w:cs="仿宋"/>
                <w:color w:val="auto"/>
                <w:kern w:val="2"/>
                <w:highlight w:val="none"/>
                <w:lang w:val="en-US" w:eastAsia="zh-CN" w:bidi="ar"/>
              </w:rPr>
              <w:t>0-3</w:t>
            </w:r>
          </w:p>
        </w:tc>
      </w:tr>
      <w:tr w14:paraId="46B57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783" w:type="dxa"/>
            <w:tcBorders>
              <w:top w:val="single" w:color="auto" w:sz="4" w:space="0"/>
              <w:left w:val="single" w:color="auto" w:sz="4" w:space="0"/>
              <w:bottom w:val="single" w:color="auto" w:sz="4" w:space="0"/>
              <w:right w:val="single" w:color="auto" w:sz="4" w:space="0"/>
            </w:tcBorders>
            <w:noWrap w:val="0"/>
            <w:vAlign w:val="center"/>
          </w:tcPr>
          <w:p w14:paraId="2DF22ACE">
            <w:pPr>
              <w:pStyle w:val="16"/>
              <w:widowControl w:val="0"/>
              <w:spacing w:after="0" w:afterAutospacing="0" w:line="360" w:lineRule="exact"/>
              <w:jc w:val="center"/>
              <w:rPr>
                <w:rFonts w:hint="eastAsia" w:ascii="仿宋" w:hAnsi="仿宋" w:eastAsia="仿宋" w:cs="Times New Roman"/>
                <w:color w:val="auto"/>
                <w:kern w:val="2"/>
                <w:highlight w:val="none"/>
                <w:lang w:eastAsia="zh-CN"/>
              </w:rPr>
            </w:pPr>
            <w:r>
              <w:rPr>
                <w:rFonts w:hint="eastAsia" w:ascii="仿宋" w:hAnsi="仿宋" w:eastAsia="仿宋" w:cs="仿宋"/>
                <w:color w:val="auto"/>
                <w:kern w:val="2"/>
                <w:highlight w:val="none"/>
                <w:lang w:val="en-US" w:eastAsia="zh-CN" w:bidi="ar"/>
              </w:rPr>
              <w:t>2</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2AE7283">
            <w:pPr>
              <w:widowControl/>
              <w:adjustRightInd w:val="0"/>
              <w:snapToGrid w:val="0"/>
              <w:spacing w:line="360" w:lineRule="exact"/>
              <w:jc w:val="center"/>
              <w:rPr>
                <w:rFonts w:hint="eastAsia" w:ascii="仿宋" w:hAnsi="仿宋" w:eastAsia="仿宋" w:cs="Times New Roman"/>
                <w:color w:val="auto"/>
                <w:kern w:val="2"/>
                <w:highlight w:val="none"/>
              </w:rPr>
            </w:pPr>
            <w:r>
              <w:rPr>
                <w:rFonts w:hint="eastAsia" w:ascii="仿宋" w:hAnsi="仿宋" w:eastAsia="仿宋" w:cs="仿宋"/>
                <w:szCs w:val="21"/>
                <w:highlight w:val="none"/>
                <w:lang w:val="en-US" w:eastAsia="zh-CN"/>
              </w:rPr>
              <w:t>业绩</w:t>
            </w:r>
          </w:p>
        </w:tc>
        <w:tc>
          <w:tcPr>
            <w:tcW w:w="6479" w:type="dxa"/>
            <w:tcBorders>
              <w:top w:val="single" w:color="auto" w:sz="4" w:space="0"/>
              <w:left w:val="single" w:color="auto" w:sz="4" w:space="0"/>
              <w:bottom w:val="single" w:color="auto" w:sz="4" w:space="0"/>
              <w:right w:val="single" w:color="auto" w:sz="4" w:space="0"/>
            </w:tcBorders>
            <w:noWrap w:val="0"/>
            <w:vAlign w:val="center"/>
          </w:tcPr>
          <w:p w14:paraId="25A781A8">
            <w:pPr>
              <w:pStyle w:val="16"/>
              <w:widowControl w:val="0"/>
              <w:spacing w:after="0" w:afterAutospacing="0" w:line="360" w:lineRule="exact"/>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根据投标供应商所提供的投标供应商自身近三年内（合同签订日期或项目服务期处于2022年6月1日至今期间）同类项目（主要为蔬菜类业绩）经营业绩进行打分。每有1项同类业绩（资料齐全、符合要求）得1分，最多得5分</w:t>
            </w:r>
            <w:r>
              <w:rPr>
                <w:rFonts w:hint="eastAsia" w:ascii="仿宋" w:hAnsi="仿宋" w:eastAsia="仿宋" w:cs="Times New Roman"/>
                <w:color w:val="auto"/>
                <w:sz w:val="22"/>
                <w:szCs w:val="22"/>
                <w:highlight w:val="none"/>
                <w:lang w:val="en-US" w:eastAsia="zh-CN"/>
              </w:rPr>
              <w:t>。须在投标文件中提供</w:t>
            </w:r>
            <w:r>
              <w:rPr>
                <w:rFonts w:hint="eastAsia" w:ascii="仿宋" w:hAnsi="仿宋" w:eastAsia="仿宋" w:cs="仿宋"/>
                <w:kern w:val="2"/>
                <w:sz w:val="21"/>
                <w:szCs w:val="21"/>
                <w:highlight w:val="none"/>
                <w:lang w:val="en-US" w:eastAsia="zh-CN" w:bidi="ar-SA"/>
              </w:rPr>
              <w:t>有效业绩佐证材料。有效业绩佐证材料指：1.完整版合同或协议；2.结算发票（至少一份,且发票明细内容里须能体现对应类别产品）；3.货款支付凭证（银行转账单至少一笔）；4.合同履约评价为满意或优良的业主评价资料。以上4项佐证材料提供不全的，视为无效得分业绩。</w:t>
            </w:r>
          </w:p>
        </w:tc>
        <w:tc>
          <w:tcPr>
            <w:tcW w:w="842" w:type="dxa"/>
            <w:tcBorders>
              <w:top w:val="single" w:color="auto" w:sz="4" w:space="0"/>
              <w:left w:val="single" w:color="auto" w:sz="4" w:space="0"/>
              <w:bottom w:val="single" w:color="auto" w:sz="4" w:space="0"/>
              <w:right w:val="single" w:color="auto" w:sz="4" w:space="0"/>
            </w:tcBorders>
            <w:noWrap w:val="0"/>
            <w:vAlign w:val="center"/>
          </w:tcPr>
          <w:p w14:paraId="0963285B">
            <w:pPr>
              <w:pStyle w:val="16"/>
              <w:widowControl w:val="0"/>
              <w:spacing w:after="0" w:afterAutospacing="0" w:line="360" w:lineRule="exact"/>
              <w:jc w:val="center"/>
              <w:rPr>
                <w:rFonts w:hint="default" w:ascii="仿宋" w:hAnsi="仿宋" w:eastAsia="仿宋" w:cs="Times New Roman"/>
                <w:color w:val="auto"/>
                <w:kern w:val="2"/>
                <w:highlight w:val="none"/>
                <w:lang w:val="en-US" w:eastAsia="zh-CN"/>
              </w:rPr>
            </w:pPr>
            <w:r>
              <w:rPr>
                <w:rFonts w:hint="eastAsia" w:ascii="仿宋" w:hAnsi="仿宋" w:eastAsia="仿宋" w:cs="仿宋"/>
                <w:color w:val="auto"/>
                <w:kern w:val="2"/>
                <w:highlight w:val="none"/>
                <w:lang w:val="en-US" w:eastAsia="zh-CN" w:bidi="ar"/>
              </w:rPr>
              <w:t>0-5</w:t>
            </w:r>
          </w:p>
        </w:tc>
      </w:tr>
      <w:tr w14:paraId="0D333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783" w:type="dxa"/>
            <w:tcBorders>
              <w:top w:val="single" w:color="auto" w:sz="4" w:space="0"/>
              <w:left w:val="single" w:color="auto" w:sz="4" w:space="0"/>
              <w:bottom w:val="single" w:color="auto" w:sz="4" w:space="0"/>
              <w:right w:val="single" w:color="auto" w:sz="4" w:space="0"/>
            </w:tcBorders>
            <w:noWrap w:val="0"/>
            <w:vAlign w:val="center"/>
          </w:tcPr>
          <w:p w14:paraId="405F6775">
            <w:pPr>
              <w:pStyle w:val="16"/>
              <w:widowControl w:val="0"/>
              <w:spacing w:after="0" w:afterAutospacing="0" w:line="360" w:lineRule="exact"/>
              <w:jc w:val="center"/>
              <w:rPr>
                <w:rFonts w:hint="eastAsia" w:ascii="仿宋" w:hAnsi="仿宋" w:eastAsia="仿宋" w:cs="Times New Roman"/>
                <w:color w:val="auto"/>
                <w:kern w:val="2"/>
                <w:highlight w:val="none"/>
                <w:lang w:eastAsia="zh-CN"/>
              </w:rPr>
            </w:pPr>
            <w:r>
              <w:rPr>
                <w:rFonts w:hint="eastAsia" w:ascii="仿宋" w:hAnsi="仿宋" w:eastAsia="仿宋" w:cs="仿宋"/>
                <w:color w:val="auto"/>
                <w:kern w:val="2"/>
                <w:highlight w:val="none"/>
                <w:lang w:val="en-US" w:eastAsia="zh-CN" w:bidi="ar"/>
              </w:rPr>
              <w:t>3</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38F72E1">
            <w:pPr>
              <w:widowControl/>
              <w:adjustRightInd w:val="0"/>
              <w:snapToGrid w:val="0"/>
              <w:spacing w:line="360" w:lineRule="exact"/>
              <w:jc w:val="left"/>
              <w:rPr>
                <w:rFonts w:hint="eastAsia" w:ascii="仿宋" w:hAnsi="仿宋" w:eastAsia="仿宋"/>
                <w:color w:val="auto"/>
                <w:sz w:val="24"/>
                <w:highlight w:val="none"/>
                <w:lang w:eastAsia="zh-CN"/>
              </w:rPr>
            </w:pPr>
            <w:r>
              <w:rPr>
                <w:rFonts w:hint="eastAsia" w:ascii="仿宋" w:hAnsi="仿宋" w:eastAsia="仿宋" w:cs="仿宋"/>
                <w:szCs w:val="21"/>
                <w:highlight w:val="none"/>
                <w:lang w:val="en-US" w:eastAsia="zh-CN"/>
              </w:rPr>
              <w:t>配送车辆</w:t>
            </w:r>
          </w:p>
        </w:tc>
        <w:tc>
          <w:tcPr>
            <w:tcW w:w="6479" w:type="dxa"/>
            <w:tcBorders>
              <w:top w:val="single" w:color="auto" w:sz="4" w:space="0"/>
              <w:left w:val="single" w:color="auto" w:sz="4" w:space="0"/>
              <w:bottom w:val="single" w:color="auto" w:sz="4" w:space="0"/>
              <w:right w:val="single" w:color="auto" w:sz="4" w:space="0"/>
            </w:tcBorders>
            <w:noWrap w:val="0"/>
            <w:vAlign w:val="center"/>
          </w:tcPr>
          <w:p w14:paraId="03599679">
            <w:pPr>
              <w:widowControl/>
              <w:adjustRightInd w:val="0"/>
              <w:snapToGrid w:val="0"/>
              <w:spacing w:before="100" w:beforeAutospacing="1" w:line="360" w:lineRule="exact"/>
              <w:jc w:val="left"/>
              <w:rPr>
                <w:rFonts w:hint="eastAsia" w:ascii="仿宋" w:hAnsi="仿宋" w:eastAsia="仿宋"/>
                <w:color w:val="auto"/>
                <w:sz w:val="24"/>
                <w:highlight w:val="none"/>
              </w:rPr>
            </w:pPr>
            <w:r>
              <w:rPr>
                <w:rFonts w:hint="eastAsia" w:ascii="仿宋" w:hAnsi="仿宋" w:eastAsia="仿宋" w:cs="仿宋"/>
                <w:szCs w:val="21"/>
                <w:highlight w:val="none"/>
                <w:lang w:val="en-US" w:eastAsia="zh-CN"/>
              </w:rPr>
              <w:t>要求提供本项目的配送车辆均符合国家标准货运车辆且在交管部门备案、各类手续齐全。每配备1辆配送车辆的得1分，最多得3分。供应商须在投标文件中提供车辆清单统计表（统计表中须载明车辆名称、车型、车号、车辆出厂日期等信息）及其证明材料（包括：车辆照片、行驶证原件扫描件、车辆购买保险的保单），属于租赁车辆的，还须提供有效租赁合同协议。上述车辆资料须齐全、有效，否则不得分。</w:t>
            </w:r>
          </w:p>
        </w:tc>
        <w:tc>
          <w:tcPr>
            <w:tcW w:w="842" w:type="dxa"/>
            <w:tcBorders>
              <w:top w:val="single" w:color="auto" w:sz="4" w:space="0"/>
              <w:left w:val="single" w:color="auto" w:sz="4" w:space="0"/>
              <w:bottom w:val="single" w:color="auto" w:sz="4" w:space="0"/>
              <w:right w:val="single" w:color="auto" w:sz="4" w:space="0"/>
            </w:tcBorders>
            <w:noWrap w:val="0"/>
            <w:vAlign w:val="center"/>
          </w:tcPr>
          <w:p w14:paraId="6A156F08">
            <w:pPr>
              <w:pStyle w:val="16"/>
              <w:widowControl w:val="0"/>
              <w:spacing w:after="0" w:afterAutospacing="0" w:line="360" w:lineRule="exact"/>
              <w:jc w:val="center"/>
              <w:rPr>
                <w:rFonts w:hint="eastAsia" w:ascii="仿宋" w:hAnsi="仿宋" w:eastAsia="仿宋" w:cs="Times New Roman"/>
                <w:color w:val="auto"/>
                <w:kern w:val="2"/>
                <w:highlight w:val="none"/>
                <w:lang w:eastAsia="zh-CN"/>
              </w:rPr>
            </w:pPr>
            <w:r>
              <w:rPr>
                <w:rFonts w:hint="eastAsia" w:ascii="仿宋" w:hAnsi="仿宋" w:eastAsia="仿宋" w:cs="仿宋"/>
                <w:color w:val="auto"/>
                <w:kern w:val="2"/>
                <w:highlight w:val="none"/>
                <w:lang w:val="en-US" w:eastAsia="zh-CN" w:bidi="ar"/>
              </w:rPr>
              <w:t>0-3</w:t>
            </w:r>
          </w:p>
        </w:tc>
      </w:tr>
      <w:tr w14:paraId="45D50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83" w:type="dxa"/>
            <w:tcBorders>
              <w:top w:val="single" w:color="auto" w:sz="4" w:space="0"/>
              <w:left w:val="single" w:color="auto" w:sz="4" w:space="0"/>
              <w:bottom w:val="single" w:color="auto" w:sz="4" w:space="0"/>
              <w:right w:val="single" w:color="auto" w:sz="4" w:space="0"/>
            </w:tcBorders>
            <w:noWrap w:val="0"/>
            <w:vAlign w:val="center"/>
          </w:tcPr>
          <w:p w14:paraId="4C3999C9">
            <w:pPr>
              <w:pStyle w:val="16"/>
              <w:widowControl w:val="0"/>
              <w:spacing w:after="0" w:afterAutospacing="0" w:line="360" w:lineRule="exact"/>
              <w:jc w:val="center"/>
              <w:rPr>
                <w:rFonts w:hint="eastAsia" w:ascii="仿宋" w:hAnsi="仿宋" w:eastAsia="仿宋" w:cs="Times New Roman"/>
                <w:color w:val="auto"/>
                <w:kern w:val="2"/>
                <w:highlight w:val="none"/>
                <w:lang w:eastAsia="zh-CN"/>
              </w:rPr>
            </w:pPr>
            <w:r>
              <w:rPr>
                <w:rFonts w:hint="eastAsia" w:ascii="仿宋" w:hAnsi="仿宋" w:eastAsia="仿宋" w:cs="仿宋"/>
                <w:color w:val="auto"/>
                <w:kern w:val="2"/>
                <w:highlight w:val="none"/>
                <w:lang w:val="en-US" w:eastAsia="zh-CN" w:bidi="ar"/>
              </w:rPr>
              <w:t>4</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1997593">
            <w:pPr>
              <w:widowControl/>
              <w:adjustRightInd w:val="0"/>
              <w:snapToGrid w:val="0"/>
              <w:spacing w:line="360" w:lineRule="exact"/>
              <w:jc w:val="left"/>
              <w:rPr>
                <w:rFonts w:hint="eastAsia" w:ascii="仿宋" w:hAnsi="仿宋" w:eastAsia="仿宋"/>
                <w:color w:val="auto"/>
                <w:sz w:val="24"/>
                <w:highlight w:val="none"/>
              </w:rPr>
            </w:pPr>
            <w:r>
              <w:rPr>
                <w:rFonts w:hint="eastAsia" w:ascii="仿宋" w:hAnsi="仿宋" w:eastAsia="仿宋" w:cs="仿宋"/>
                <w:szCs w:val="21"/>
                <w:highlight w:val="none"/>
                <w:lang w:val="en-US" w:eastAsia="zh-CN"/>
              </w:rPr>
              <w:t>拟投入本项目人员</w:t>
            </w:r>
          </w:p>
        </w:tc>
        <w:tc>
          <w:tcPr>
            <w:tcW w:w="6479" w:type="dxa"/>
            <w:tcBorders>
              <w:top w:val="single" w:color="auto" w:sz="4" w:space="0"/>
              <w:left w:val="single" w:color="auto" w:sz="4" w:space="0"/>
              <w:bottom w:val="single" w:color="auto" w:sz="4" w:space="0"/>
              <w:right w:val="single" w:color="auto" w:sz="4" w:space="0"/>
            </w:tcBorders>
            <w:noWrap w:val="0"/>
            <w:vAlign w:val="center"/>
          </w:tcPr>
          <w:p w14:paraId="63B1A213">
            <w:pPr>
              <w:widowControl/>
              <w:adjustRightInd w:val="0"/>
              <w:snapToGrid w:val="0"/>
              <w:spacing w:before="100" w:line="360" w:lineRule="exact"/>
              <w:jc w:val="left"/>
              <w:rPr>
                <w:rFonts w:hint="default" w:ascii="仿宋" w:hAnsi="仿宋" w:eastAsia="仿宋"/>
                <w:color w:val="auto"/>
                <w:sz w:val="24"/>
                <w:highlight w:val="none"/>
                <w:lang w:val="en-US" w:eastAsia="zh-CN"/>
              </w:rPr>
            </w:pPr>
            <w:r>
              <w:rPr>
                <w:rFonts w:hint="eastAsia" w:ascii="仿宋" w:hAnsi="仿宋" w:eastAsia="仿宋" w:cs="仿宋"/>
                <w:szCs w:val="21"/>
                <w:highlight w:val="none"/>
                <w:lang w:val="en-US" w:eastAsia="zh-CN"/>
              </w:rPr>
              <w:t>投标供应商须在投标文件中提供拟投入本项目的项目负责人、食材采购员、车辆驾驶员、送货装卸员、食材品质验收员、分拣员、卫生安全管理员、仓库管理员、农残检测员、对账员、售后退换货专员相关资料。具体包括拟投入本项目人员清单统计表及其证明资料（所有人员均须提供身份证、健康证、近三个月投标单位为其缴纳的社保缴费证明材料或劳动合同、简历表；驾驶员还须提供驾驶证）。上述岗位按专人专岗进行配备，至少需配备12人。投标单位专人专岗配置到位且人员资料齐全有效的得12分，每少1人扣1分。</w:t>
            </w:r>
          </w:p>
        </w:tc>
        <w:tc>
          <w:tcPr>
            <w:tcW w:w="842" w:type="dxa"/>
            <w:tcBorders>
              <w:top w:val="single" w:color="auto" w:sz="4" w:space="0"/>
              <w:left w:val="single" w:color="auto" w:sz="4" w:space="0"/>
              <w:bottom w:val="single" w:color="auto" w:sz="4" w:space="0"/>
              <w:right w:val="single" w:color="auto" w:sz="4" w:space="0"/>
            </w:tcBorders>
            <w:noWrap w:val="0"/>
            <w:vAlign w:val="center"/>
          </w:tcPr>
          <w:p w14:paraId="55D9130B">
            <w:pPr>
              <w:pStyle w:val="16"/>
              <w:widowControl w:val="0"/>
              <w:spacing w:after="0" w:afterAutospacing="0" w:line="360" w:lineRule="exact"/>
              <w:jc w:val="center"/>
              <w:rPr>
                <w:rFonts w:hint="default" w:ascii="仿宋" w:hAnsi="仿宋" w:eastAsia="仿宋" w:cs="Times New Roman"/>
                <w:color w:val="auto"/>
                <w:kern w:val="2"/>
                <w:highlight w:val="none"/>
                <w:lang w:val="en-US" w:eastAsia="zh-CN"/>
              </w:rPr>
            </w:pPr>
            <w:r>
              <w:rPr>
                <w:rFonts w:hint="eastAsia" w:ascii="仿宋" w:hAnsi="仿宋" w:eastAsia="仿宋" w:cs="仿宋"/>
                <w:color w:val="auto"/>
                <w:kern w:val="2"/>
                <w:highlight w:val="none"/>
                <w:lang w:val="en-US" w:eastAsia="zh-CN" w:bidi="ar"/>
              </w:rPr>
              <w:t>0-12</w:t>
            </w:r>
          </w:p>
        </w:tc>
      </w:tr>
      <w:tr w14:paraId="11145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8" w:hRule="atLeast"/>
        </w:trPr>
        <w:tc>
          <w:tcPr>
            <w:tcW w:w="783" w:type="dxa"/>
            <w:tcBorders>
              <w:top w:val="single" w:color="auto" w:sz="4" w:space="0"/>
              <w:left w:val="single" w:color="auto" w:sz="4" w:space="0"/>
              <w:bottom w:val="single" w:color="auto" w:sz="4" w:space="0"/>
              <w:right w:val="single" w:color="auto" w:sz="4" w:space="0"/>
            </w:tcBorders>
            <w:noWrap w:val="0"/>
            <w:vAlign w:val="center"/>
          </w:tcPr>
          <w:p w14:paraId="5458E75F">
            <w:pPr>
              <w:pStyle w:val="16"/>
              <w:widowControl w:val="0"/>
              <w:spacing w:after="0" w:afterAutospacing="0" w:line="360" w:lineRule="exact"/>
              <w:jc w:val="center"/>
              <w:rPr>
                <w:rFonts w:hint="eastAsia" w:ascii="仿宋" w:hAnsi="仿宋" w:eastAsia="仿宋" w:cs="Times New Roman"/>
                <w:color w:val="auto"/>
                <w:kern w:val="2"/>
                <w:highlight w:val="none"/>
                <w:lang w:eastAsia="zh-CN"/>
              </w:rPr>
            </w:pPr>
            <w:r>
              <w:rPr>
                <w:rFonts w:hint="eastAsia" w:ascii="仿宋" w:hAnsi="仿宋" w:eastAsia="仿宋" w:cs="仿宋"/>
                <w:color w:val="auto"/>
                <w:kern w:val="2"/>
                <w:highlight w:val="none"/>
                <w:lang w:val="en-US" w:eastAsia="zh-CN" w:bidi="ar"/>
              </w:rPr>
              <w:t>5</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E8CB0B2">
            <w:pPr>
              <w:widowControl/>
              <w:adjustRightInd w:val="0"/>
              <w:snapToGrid w:val="0"/>
              <w:spacing w:line="360" w:lineRule="exact"/>
              <w:jc w:val="left"/>
              <w:rPr>
                <w:rFonts w:hint="eastAsia" w:ascii="仿宋" w:hAnsi="仿宋" w:eastAsia="仿宋"/>
                <w:color w:val="auto"/>
                <w:sz w:val="24"/>
                <w:highlight w:val="none"/>
              </w:rPr>
            </w:pPr>
            <w:r>
              <w:rPr>
                <w:rFonts w:hint="eastAsia" w:ascii="仿宋" w:hAnsi="仿宋" w:eastAsia="仿宋" w:cs="仿宋"/>
                <w:szCs w:val="21"/>
                <w:highlight w:val="none"/>
                <w:lang w:val="en-US" w:eastAsia="zh-CN"/>
              </w:rPr>
              <w:t>总体服务方案</w:t>
            </w:r>
          </w:p>
        </w:tc>
        <w:tc>
          <w:tcPr>
            <w:tcW w:w="6479" w:type="dxa"/>
            <w:tcBorders>
              <w:top w:val="single" w:color="auto" w:sz="4" w:space="0"/>
              <w:left w:val="single" w:color="auto" w:sz="4" w:space="0"/>
              <w:bottom w:val="single" w:color="auto" w:sz="4" w:space="0"/>
              <w:right w:val="single" w:color="auto" w:sz="4" w:space="0"/>
            </w:tcBorders>
            <w:noWrap w:val="0"/>
            <w:vAlign w:val="center"/>
          </w:tcPr>
          <w:p w14:paraId="06F4E03F">
            <w:pPr>
              <w:widowControl/>
              <w:adjustRightInd w:val="0"/>
              <w:snapToGrid w:val="0"/>
              <w:spacing w:line="360" w:lineRule="exact"/>
              <w:jc w:val="left"/>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供应商按本项目特点制定详细的、科学的、可操作性的服务方案，包括但不限于：1.符合实际情况的项目实施计划、实施措施、工作流程；2.食材采购方案；3.食材分拣及清洁处理方案；4.食材运输配送方案；5.健全有效的应急保障方案。方案须能保障拟投入本项目人员充足、分工合理、岗责明确、管理制度措施健全合理、工作流程顺畅高效，保证食材新鲜、送货及时、装卸规范、卫生疫情防疫有力等。</w:t>
            </w:r>
          </w:p>
          <w:p w14:paraId="5A93D59A">
            <w:pPr>
              <w:widowControl/>
              <w:adjustRightInd w:val="0"/>
              <w:snapToGrid w:val="0"/>
              <w:spacing w:line="360" w:lineRule="exact"/>
              <w:jc w:val="left"/>
              <w:rPr>
                <w:rFonts w:hint="eastAsia" w:ascii="仿宋" w:hAnsi="仿宋" w:eastAsia="仿宋"/>
                <w:color w:val="auto"/>
                <w:sz w:val="24"/>
                <w:highlight w:val="none"/>
              </w:rPr>
            </w:pPr>
            <w:r>
              <w:rPr>
                <w:rFonts w:hint="eastAsia" w:ascii="仿宋" w:hAnsi="仿宋" w:eastAsia="仿宋" w:cs="仿宋"/>
                <w:kern w:val="2"/>
                <w:sz w:val="21"/>
                <w:szCs w:val="21"/>
                <w:highlight w:val="none"/>
                <w:lang w:val="en-US" w:eastAsia="zh-CN" w:bidi="ar-SA"/>
              </w:rPr>
              <w:t>方案健全完善、科学合理、符合实际、可操作性强的得15分。方案中每缺项漏一项扣3 分，每发现一处不足（不够完善、不够合理、不够科学、结合实际不够紧密、操作性不够强以及其他瑕疵问题之一）扣1分，扣完为止。未提供方案的不得分。</w:t>
            </w:r>
          </w:p>
        </w:tc>
        <w:tc>
          <w:tcPr>
            <w:tcW w:w="842" w:type="dxa"/>
            <w:tcBorders>
              <w:top w:val="single" w:color="auto" w:sz="4" w:space="0"/>
              <w:left w:val="single" w:color="auto" w:sz="4" w:space="0"/>
              <w:bottom w:val="single" w:color="auto" w:sz="4" w:space="0"/>
              <w:right w:val="single" w:color="auto" w:sz="4" w:space="0"/>
            </w:tcBorders>
            <w:noWrap w:val="0"/>
            <w:vAlign w:val="center"/>
          </w:tcPr>
          <w:p w14:paraId="235C7D93">
            <w:pPr>
              <w:pStyle w:val="16"/>
              <w:widowControl w:val="0"/>
              <w:spacing w:after="0" w:afterAutospacing="0" w:line="360" w:lineRule="exact"/>
              <w:jc w:val="center"/>
              <w:rPr>
                <w:rFonts w:hint="default" w:ascii="仿宋" w:hAnsi="仿宋" w:eastAsia="仿宋" w:cs="Times New Roman"/>
                <w:color w:val="auto"/>
                <w:kern w:val="2"/>
                <w:highlight w:val="none"/>
                <w:lang w:val="en-US" w:eastAsia="zh-CN"/>
              </w:rPr>
            </w:pPr>
            <w:r>
              <w:rPr>
                <w:rFonts w:hint="eastAsia" w:ascii="仿宋" w:hAnsi="仿宋" w:eastAsia="仿宋" w:cs="仿宋"/>
                <w:color w:val="auto"/>
                <w:kern w:val="2"/>
                <w:highlight w:val="none"/>
                <w:lang w:val="en-US" w:eastAsia="zh-CN" w:bidi="ar"/>
              </w:rPr>
              <w:t>0-15</w:t>
            </w:r>
          </w:p>
        </w:tc>
      </w:tr>
      <w:tr w14:paraId="45BB0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0" w:hRule="atLeast"/>
        </w:trPr>
        <w:tc>
          <w:tcPr>
            <w:tcW w:w="783" w:type="dxa"/>
            <w:tcBorders>
              <w:top w:val="single" w:color="auto" w:sz="4" w:space="0"/>
              <w:left w:val="single" w:color="auto" w:sz="4" w:space="0"/>
              <w:bottom w:val="single" w:color="auto" w:sz="4" w:space="0"/>
              <w:right w:val="single" w:color="auto" w:sz="4" w:space="0"/>
            </w:tcBorders>
            <w:noWrap w:val="0"/>
            <w:vAlign w:val="center"/>
          </w:tcPr>
          <w:p w14:paraId="6B1A0229">
            <w:pPr>
              <w:pStyle w:val="16"/>
              <w:widowControl w:val="0"/>
              <w:spacing w:after="0" w:afterAutospacing="0" w:line="360" w:lineRule="exact"/>
              <w:jc w:val="center"/>
              <w:rPr>
                <w:rFonts w:hint="eastAsia" w:ascii="仿宋" w:hAnsi="仿宋" w:eastAsia="仿宋" w:cs="Times New Roman"/>
                <w:color w:val="auto"/>
                <w:kern w:val="2"/>
                <w:highlight w:val="none"/>
              </w:rPr>
            </w:pPr>
            <w:r>
              <w:rPr>
                <w:rFonts w:hint="eastAsia" w:ascii="仿宋" w:hAnsi="仿宋" w:eastAsia="仿宋" w:cs="仿宋"/>
                <w:color w:val="auto"/>
                <w:kern w:val="2"/>
                <w:highlight w:val="none"/>
                <w:lang w:bidi="ar"/>
              </w:rPr>
              <w:t>6</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1AFB5E6">
            <w:pPr>
              <w:widowControl/>
              <w:adjustRightInd w:val="0"/>
              <w:snapToGrid w:val="0"/>
              <w:spacing w:line="360" w:lineRule="exact"/>
              <w:jc w:val="lef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食品安全</w:t>
            </w:r>
          </w:p>
          <w:p w14:paraId="2A0D6944">
            <w:pPr>
              <w:widowControl/>
              <w:adjustRightInd w:val="0"/>
              <w:snapToGrid w:val="0"/>
              <w:spacing w:line="360" w:lineRule="exact"/>
              <w:jc w:val="lef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保障方案</w:t>
            </w:r>
          </w:p>
          <w:p w14:paraId="3D9ADD0C">
            <w:pPr>
              <w:widowControl/>
              <w:adjustRightInd w:val="0"/>
              <w:snapToGrid w:val="0"/>
              <w:spacing w:before="100" w:beforeAutospacing="1" w:line="360" w:lineRule="exact"/>
              <w:jc w:val="center"/>
              <w:rPr>
                <w:rFonts w:hint="eastAsia" w:ascii="仿宋" w:hAnsi="仿宋" w:eastAsia="仿宋"/>
                <w:color w:val="auto"/>
                <w:sz w:val="24"/>
                <w:highlight w:val="none"/>
              </w:rPr>
            </w:pPr>
          </w:p>
        </w:tc>
        <w:tc>
          <w:tcPr>
            <w:tcW w:w="6479" w:type="dxa"/>
            <w:tcBorders>
              <w:top w:val="single" w:color="auto" w:sz="4" w:space="0"/>
              <w:left w:val="single" w:color="auto" w:sz="4" w:space="0"/>
              <w:bottom w:val="single" w:color="auto" w:sz="4" w:space="0"/>
              <w:right w:val="single" w:color="auto" w:sz="4" w:space="0"/>
            </w:tcBorders>
            <w:noWrap w:val="0"/>
            <w:vAlign w:val="center"/>
          </w:tcPr>
          <w:p w14:paraId="3B4C45D4">
            <w:pPr>
              <w:widowControl/>
              <w:adjustRightInd w:val="0"/>
              <w:snapToGrid w:val="0"/>
              <w:spacing w:line="360" w:lineRule="exact"/>
              <w:jc w:val="left"/>
              <w:rPr>
                <w:rFonts w:hint="eastAsia" w:ascii="仿宋" w:hAnsi="仿宋" w:eastAsia="仿宋"/>
                <w:color w:val="auto"/>
                <w:sz w:val="24"/>
                <w:highlight w:val="none"/>
              </w:rPr>
            </w:pPr>
            <w:r>
              <w:rPr>
                <w:rFonts w:hint="eastAsia" w:ascii="仿宋" w:hAnsi="仿宋" w:eastAsia="仿宋" w:cs="仿宋"/>
                <w:szCs w:val="21"/>
                <w:highlight w:val="none"/>
                <w:lang w:val="en-US" w:eastAsia="zh-CN"/>
              </w:rPr>
              <w:t>投标供应商须提供食品安全保障方案，包括但不限于进货渠道规范化管理方案（须提供</w:t>
            </w:r>
            <w:r>
              <w:rPr>
                <w:rFonts w:hint="eastAsia" w:ascii="仿宋" w:hAnsi="仿宋" w:eastAsia="仿宋" w:cs="仿宋"/>
                <w:kern w:val="2"/>
                <w:sz w:val="21"/>
                <w:szCs w:val="21"/>
                <w:highlight w:val="none"/>
                <w:lang w:val="en-US" w:eastAsia="zh-CN" w:bidi="ar-SA"/>
              </w:rPr>
              <w:t>主要食材进货渠道证明材料</w:t>
            </w:r>
            <w:r>
              <w:rPr>
                <w:rFonts w:hint="eastAsia" w:ascii="仿宋" w:hAnsi="仿宋" w:eastAsia="仿宋" w:cs="仿宋"/>
                <w:szCs w:val="21"/>
                <w:highlight w:val="none"/>
                <w:lang w:val="en-US" w:eastAsia="zh-CN"/>
              </w:rPr>
              <w:t>）、食材安全卫生存储方案、食材运输质量控制措施、食材品质控制管理措施、检验检疫方案、食材质量追溯方案、加强从业人员食材安全培训与管理方案等内容。方案健全完善、科学合理、符合实际、可操作性强的得21分。方案中</w:t>
            </w:r>
            <w:r>
              <w:rPr>
                <w:rFonts w:hint="eastAsia" w:ascii="仿宋" w:hAnsi="仿宋" w:eastAsia="仿宋" w:cs="仿宋"/>
                <w:color w:val="000000"/>
                <w:sz w:val="22"/>
                <w:szCs w:val="22"/>
                <w:highlight w:val="none"/>
                <w:lang w:val="en-US" w:eastAsia="zh-CN"/>
              </w:rPr>
              <w:t>每缺项漏一项扣3 分，</w:t>
            </w:r>
            <w:r>
              <w:rPr>
                <w:rFonts w:hint="eastAsia" w:ascii="仿宋" w:hAnsi="仿宋" w:eastAsia="仿宋" w:cs="仿宋"/>
                <w:szCs w:val="21"/>
                <w:highlight w:val="none"/>
                <w:lang w:val="en-US" w:eastAsia="zh-CN"/>
              </w:rPr>
              <w:t>每发现一处不足（不够完善、不够合理、不够科学、结合实际不够紧密、操作性不够强以及其他瑕疵问题之一）扣1分，扣完为止。未提供方案的不得分。</w:t>
            </w:r>
          </w:p>
        </w:tc>
        <w:tc>
          <w:tcPr>
            <w:tcW w:w="842" w:type="dxa"/>
            <w:tcBorders>
              <w:top w:val="single" w:color="auto" w:sz="4" w:space="0"/>
              <w:left w:val="single" w:color="auto" w:sz="4" w:space="0"/>
              <w:bottom w:val="single" w:color="auto" w:sz="4" w:space="0"/>
              <w:right w:val="single" w:color="auto" w:sz="4" w:space="0"/>
            </w:tcBorders>
            <w:noWrap w:val="0"/>
            <w:vAlign w:val="center"/>
          </w:tcPr>
          <w:p w14:paraId="1F118225">
            <w:pPr>
              <w:pStyle w:val="16"/>
              <w:widowControl w:val="0"/>
              <w:spacing w:after="0" w:afterAutospacing="0" w:line="360" w:lineRule="exact"/>
              <w:jc w:val="center"/>
              <w:rPr>
                <w:rFonts w:hint="default" w:ascii="仿宋" w:hAnsi="仿宋" w:eastAsia="仿宋" w:cs="Times New Roman"/>
                <w:color w:val="auto"/>
                <w:kern w:val="2"/>
                <w:highlight w:val="none"/>
                <w:lang w:val="en-US" w:eastAsia="zh-CN"/>
              </w:rPr>
            </w:pPr>
            <w:r>
              <w:rPr>
                <w:rFonts w:hint="eastAsia" w:ascii="仿宋" w:hAnsi="仿宋" w:eastAsia="仿宋" w:cs="仿宋"/>
                <w:color w:val="auto"/>
                <w:kern w:val="2"/>
                <w:highlight w:val="none"/>
                <w:lang w:val="en-US" w:eastAsia="zh-CN" w:bidi="ar"/>
              </w:rPr>
              <w:t>0-21</w:t>
            </w:r>
          </w:p>
        </w:tc>
      </w:tr>
      <w:tr w14:paraId="1C80A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783" w:type="dxa"/>
            <w:tcBorders>
              <w:top w:val="single" w:color="auto" w:sz="4" w:space="0"/>
              <w:left w:val="single" w:color="auto" w:sz="4" w:space="0"/>
              <w:bottom w:val="single" w:color="auto" w:sz="4" w:space="0"/>
              <w:right w:val="single" w:color="auto" w:sz="4" w:space="0"/>
            </w:tcBorders>
            <w:noWrap w:val="0"/>
            <w:vAlign w:val="center"/>
          </w:tcPr>
          <w:p w14:paraId="5A60241C">
            <w:pPr>
              <w:pStyle w:val="16"/>
              <w:widowControl w:val="0"/>
              <w:spacing w:after="0" w:afterAutospacing="0" w:line="360" w:lineRule="exact"/>
              <w:jc w:val="center"/>
              <w:rPr>
                <w:rFonts w:hint="eastAsia" w:ascii="仿宋" w:hAnsi="仿宋" w:eastAsia="仿宋" w:cs="Times New Roman"/>
                <w:color w:val="auto"/>
                <w:kern w:val="2"/>
                <w:highlight w:val="none"/>
                <w:lang w:eastAsia="zh-CN"/>
              </w:rPr>
            </w:pPr>
            <w:r>
              <w:rPr>
                <w:rFonts w:hint="eastAsia" w:ascii="仿宋" w:hAnsi="仿宋" w:eastAsia="仿宋" w:cs="仿宋"/>
                <w:color w:val="auto"/>
                <w:kern w:val="2"/>
                <w:highlight w:val="none"/>
                <w:lang w:val="en-US" w:eastAsia="zh-CN" w:bidi="ar"/>
              </w:rPr>
              <w:t>7</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B304609">
            <w:pPr>
              <w:widowControl/>
              <w:adjustRightInd w:val="0"/>
              <w:snapToGrid w:val="0"/>
              <w:spacing w:line="360" w:lineRule="exact"/>
              <w:jc w:val="lef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售后服务方案</w:t>
            </w:r>
          </w:p>
          <w:p w14:paraId="7EE3AD13">
            <w:pPr>
              <w:widowControl/>
              <w:adjustRightInd w:val="0"/>
              <w:snapToGrid w:val="0"/>
              <w:spacing w:before="100" w:beforeAutospacing="1" w:line="360" w:lineRule="exact"/>
              <w:jc w:val="center"/>
              <w:rPr>
                <w:rFonts w:hint="eastAsia" w:ascii="仿宋" w:hAnsi="仿宋" w:eastAsia="仿宋"/>
                <w:color w:val="auto"/>
                <w:sz w:val="24"/>
                <w:highlight w:val="none"/>
              </w:rPr>
            </w:pPr>
          </w:p>
        </w:tc>
        <w:tc>
          <w:tcPr>
            <w:tcW w:w="6479" w:type="dxa"/>
            <w:tcBorders>
              <w:top w:val="single" w:color="auto" w:sz="4" w:space="0"/>
              <w:left w:val="single" w:color="auto" w:sz="4" w:space="0"/>
              <w:bottom w:val="single" w:color="auto" w:sz="4" w:space="0"/>
              <w:right w:val="single" w:color="auto" w:sz="4" w:space="0"/>
            </w:tcBorders>
            <w:noWrap w:val="0"/>
            <w:vAlign w:val="center"/>
          </w:tcPr>
          <w:p w14:paraId="661CC420">
            <w:pPr>
              <w:widowControl/>
              <w:adjustRightInd w:val="0"/>
              <w:snapToGrid w:val="0"/>
              <w:spacing w:before="100" w:line="360" w:lineRule="exact"/>
              <w:jc w:val="left"/>
              <w:rPr>
                <w:rFonts w:ascii="Tahoma" w:hAnsi="Tahoma"/>
                <w:color w:val="auto"/>
                <w:sz w:val="22"/>
                <w:szCs w:val="22"/>
                <w:highlight w:val="none"/>
              </w:rPr>
            </w:pPr>
            <w:r>
              <w:rPr>
                <w:rFonts w:hint="eastAsia" w:ascii="仿宋" w:hAnsi="仿宋" w:eastAsia="仿宋" w:cs="仿宋"/>
                <w:szCs w:val="21"/>
                <w:highlight w:val="none"/>
                <w:lang w:val="en-US" w:eastAsia="zh-CN"/>
              </w:rPr>
              <w:t>对售后服务方案（包括但不限于：退换货条件及时效、服务响应时限、对账核账方案、出现问题食材事件妥善处理方案）进行打分。方案健全完善、科学合理、符合实际、可操作性强的得8分。方案中</w:t>
            </w:r>
            <w:r>
              <w:rPr>
                <w:rFonts w:hint="eastAsia" w:ascii="仿宋" w:hAnsi="仿宋" w:eastAsia="仿宋" w:cs="仿宋"/>
                <w:color w:val="000000"/>
                <w:sz w:val="22"/>
                <w:szCs w:val="22"/>
                <w:highlight w:val="none"/>
                <w:lang w:val="en-US" w:eastAsia="zh-CN"/>
              </w:rPr>
              <w:t>每缺项漏一项扣2 分，</w:t>
            </w:r>
            <w:r>
              <w:rPr>
                <w:rFonts w:hint="eastAsia" w:ascii="仿宋" w:hAnsi="仿宋" w:eastAsia="仿宋" w:cs="仿宋"/>
                <w:szCs w:val="21"/>
                <w:highlight w:val="none"/>
                <w:lang w:val="en-US" w:eastAsia="zh-CN"/>
              </w:rPr>
              <w:t>每发现一处不足（不够完善、不够合理、不够科学、结合实际不够紧密、操作性不够强以及其他瑕疵问题之一）扣1分，扣完为止。未提供方案的不得分。</w:t>
            </w:r>
          </w:p>
        </w:tc>
        <w:tc>
          <w:tcPr>
            <w:tcW w:w="842" w:type="dxa"/>
            <w:tcBorders>
              <w:top w:val="single" w:color="auto" w:sz="4" w:space="0"/>
              <w:left w:val="single" w:color="auto" w:sz="4" w:space="0"/>
              <w:bottom w:val="single" w:color="auto" w:sz="4" w:space="0"/>
              <w:right w:val="single" w:color="auto" w:sz="4" w:space="0"/>
            </w:tcBorders>
            <w:noWrap w:val="0"/>
            <w:vAlign w:val="center"/>
          </w:tcPr>
          <w:p w14:paraId="2C8F1377">
            <w:pPr>
              <w:pStyle w:val="16"/>
              <w:widowControl w:val="0"/>
              <w:spacing w:after="0" w:afterAutospacing="0" w:line="360" w:lineRule="exact"/>
              <w:jc w:val="center"/>
              <w:rPr>
                <w:rFonts w:hint="default" w:ascii="仿宋" w:hAnsi="仿宋" w:eastAsia="仿宋" w:cs="Times New Roman"/>
                <w:color w:val="auto"/>
                <w:kern w:val="2"/>
                <w:highlight w:val="none"/>
                <w:lang w:val="en-US" w:eastAsia="zh-CN"/>
              </w:rPr>
            </w:pPr>
            <w:r>
              <w:rPr>
                <w:rFonts w:hint="eastAsia" w:ascii="仿宋" w:hAnsi="仿宋" w:eastAsia="仿宋" w:cs="仿宋"/>
                <w:color w:val="auto"/>
                <w:kern w:val="2"/>
                <w:highlight w:val="none"/>
                <w:lang w:val="en-US" w:eastAsia="zh-CN" w:bidi="ar"/>
              </w:rPr>
              <w:t>0-8</w:t>
            </w:r>
          </w:p>
        </w:tc>
      </w:tr>
      <w:tr w14:paraId="66ED6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783" w:type="dxa"/>
            <w:tcBorders>
              <w:top w:val="single" w:color="auto" w:sz="4" w:space="0"/>
              <w:left w:val="single" w:color="auto" w:sz="4" w:space="0"/>
              <w:bottom w:val="single" w:color="auto" w:sz="4" w:space="0"/>
              <w:right w:val="single" w:color="auto" w:sz="4" w:space="0"/>
            </w:tcBorders>
            <w:noWrap w:val="0"/>
            <w:vAlign w:val="center"/>
          </w:tcPr>
          <w:p w14:paraId="5313708C">
            <w:pPr>
              <w:pStyle w:val="16"/>
              <w:widowControl w:val="0"/>
              <w:spacing w:after="0" w:afterAutospacing="0" w:line="360" w:lineRule="exact"/>
              <w:jc w:val="center"/>
              <w:rPr>
                <w:rFonts w:hint="eastAsia" w:ascii="仿宋" w:hAnsi="仿宋" w:eastAsia="仿宋" w:cs="仿宋"/>
                <w:color w:val="auto"/>
                <w:kern w:val="2"/>
                <w:highlight w:val="none"/>
                <w:lang w:val="en-US" w:eastAsia="zh-CN" w:bidi="ar"/>
              </w:rPr>
            </w:pPr>
            <w:r>
              <w:rPr>
                <w:rFonts w:hint="eastAsia" w:ascii="仿宋" w:hAnsi="仿宋" w:eastAsia="仿宋" w:cs="仿宋"/>
                <w:color w:val="auto"/>
                <w:kern w:val="2"/>
                <w:highlight w:val="none"/>
                <w:lang w:val="en-US" w:eastAsia="zh-CN" w:bidi="ar"/>
              </w:rPr>
              <w:t>8</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EA9070E">
            <w:pPr>
              <w:widowControl/>
              <w:adjustRightInd w:val="0"/>
              <w:snapToGrid w:val="0"/>
              <w:spacing w:line="360" w:lineRule="exact"/>
              <w:jc w:val="left"/>
              <w:rPr>
                <w:rFonts w:hint="eastAsia" w:ascii="仿宋" w:hAnsi="仿宋" w:eastAsia="仿宋"/>
                <w:color w:val="auto"/>
                <w:sz w:val="24"/>
                <w:highlight w:val="none"/>
                <w:lang w:eastAsia="zh-CN"/>
              </w:rPr>
            </w:pPr>
            <w:r>
              <w:rPr>
                <w:rFonts w:hint="eastAsia" w:ascii="仿宋" w:hAnsi="仿宋" w:eastAsia="仿宋" w:cs="仿宋"/>
                <w:szCs w:val="21"/>
                <w:highlight w:val="none"/>
                <w:lang w:val="en-US" w:eastAsia="zh-CN"/>
              </w:rPr>
              <w:t>其他有利项目实施资料</w:t>
            </w:r>
          </w:p>
        </w:tc>
        <w:tc>
          <w:tcPr>
            <w:tcW w:w="6479" w:type="dxa"/>
            <w:tcBorders>
              <w:top w:val="single" w:color="auto" w:sz="4" w:space="0"/>
              <w:left w:val="single" w:color="auto" w:sz="4" w:space="0"/>
              <w:bottom w:val="single" w:color="auto" w:sz="4" w:space="0"/>
              <w:right w:val="single" w:color="auto" w:sz="4" w:space="0"/>
            </w:tcBorders>
            <w:noWrap w:val="0"/>
            <w:vAlign w:val="center"/>
          </w:tcPr>
          <w:p w14:paraId="6B6ECDEF">
            <w:pPr>
              <w:widowControl/>
              <w:adjustRightInd w:val="0"/>
              <w:snapToGrid w:val="0"/>
              <w:spacing w:line="360" w:lineRule="exact"/>
              <w:jc w:val="left"/>
              <w:rPr>
                <w:rFonts w:hint="default" w:ascii="仿宋" w:hAnsi="仿宋" w:eastAsia="仿宋" w:cs="仿宋"/>
                <w:color w:val="auto"/>
                <w:kern w:val="0"/>
                <w:sz w:val="24"/>
                <w:highlight w:val="none"/>
                <w:lang w:val="en-US" w:eastAsia="zh-CN" w:bidi="ar"/>
              </w:rPr>
            </w:pPr>
            <w:r>
              <w:rPr>
                <w:rFonts w:hint="eastAsia" w:ascii="仿宋" w:hAnsi="仿宋" w:eastAsia="仿宋" w:cs="仿宋"/>
                <w:kern w:val="2"/>
                <w:sz w:val="21"/>
                <w:szCs w:val="21"/>
                <w:highlight w:val="none"/>
                <w:lang w:val="en-US" w:eastAsia="zh-CN" w:bidi="ar-SA"/>
              </w:rPr>
              <w:t>根据各个投标供应商的具体情况给予综合评审。例如实实在在的额外增值服务等等。每有1条有利资料得1分，最多得3分。</w:t>
            </w:r>
          </w:p>
        </w:tc>
        <w:tc>
          <w:tcPr>
            <w:tcW w:w="842" w:type="dxa"/>
            <w:tcBorders>
              <w:top w:val="single" w:color="auto" w:sz="4" w:space="0"/>
              <w:left w:val="single" w:color="auto" w:sz="4" w:space="0"/>
              <w:bottom w:val="single" w:color="auto" w:sz="4" w:space="0"/>
              <w:right w:val="single" w:color="auto" w:sz="4" w:space="0"/>
            </w:tcBorders>
            <w:noWrap w:val="0"/>
            <w:vAlign w:val="center"/>
          </w:tcPr>
          <w:p w14:paraId="16DCD376">
            <w:pPr>
              <w:pStyle w:val="16"/>
              <w:widowControl w:val="0"/>
              <w:spacing w:after="0" w:afterAutospacing="0" w:line="360" w:lineRule="exact"/>
              <w:jc w:val="center"/>
              <w:rPr>
                <w:rFonts w:hint="eastAsia" w:ascii="仿宋" w:hAnsi="仿宋" w:eastAsia="仿宋" w:cs="仿宋"/>
                <w:color w:val="auto"/>
                <w:kern w:val="2"/>
                <w:highlight w:val="none"/>
                <w:lang w:val="en-US" w:eastAsia="zh-CN" w:bidi="ar"/>
              </w:rPr>
            </w:pPr>
            <w:r>
              <w:rPr>
                <w:rFonts w:hint="eastAsia" w:ascii="仿宋" w:hAnsi="仿宋" w:eastAsia="仿宋" w:cs="仿宋"/>
                <w:color w:val="auto"/>
                <w:kern w:val="2"/>
                <w:highlight w:val="none"/>
                <w:lang w:val="en-US" w:eastAsia="zh-CN" w:bidi="ar"/>
              </w:rPr>
              <w:t>0-3</w:t>
            </w:r>
          </w:p>
        </w:tc>
      </w:tr>
      <w:tr w14:paraId="1EFA4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9230" w:type="dxa"/>
            <w:gridSpan w:val="4"/>
            <w:tcBorders>
              <w:top w:val="single" w:color="auto" w:sz="4" w:space="0"/>
              <w:left w:val="single" w:color="auto" w:sz="4" w:space="0"/>
              <w:bottom w:val="single" w:color="auto" w:sz="4" w:space="0"/>
              <w:right w:val="single" w:color="auto" w:sz="4" w:space="0"/>
            </w:tcBorders>
            <w:noWrap w:val="0"/>
            <w:vAlign w:val="center"/>
          </w:tcPr>
          <w:p w14:paraId="2655794F">
            <w:pPr>
              <w:widowControl/>
              <w:adjustRightInd w:val="0"/>
              <w:snapToGrid w:val="0"/>
              <w:spacing w:before="100" w:line="360" w:lineRule="exact"/>
              <w:jc w:val="left"/>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备注1：瑕疵是指：项目信息内容错误、前后内容不一致、存在凭空编造、与实际情况不符、与实际情况结合程度低、针对性差、前后逻辑错误、涉及的规范及标准错误、相关内容简略粗泛或与本项目无关等任意一种情形。</w:t>
            </w:r>
          </w:p>
          <w:p w14:paraId="45DBC478">
            <w:pPr>
              <w:pStyle w:val="20"/>
              <w:numPr>
                <w:ilvl w:val="0"/>
                <w:numId w:val="0"/>
              </w:numPr>
              <w:jc w:val="left"/>
              <w:rPr>
                <w:rFonts w:hint="eastAsia" w:ascii="仿宋" w:hAnsi="仿宋" w:eastAsia="仿宋" w:cs="仿宋"/>
                <w:szCs w:val="21"/>
                <w:highlight w:val="none"/>
                <w:lang w:val="en-US" w:eastAsia="zh-CN"/>
              </w:rPr>
            </w:pPr>
            <w:r>
              <w:rPr>
                <w:rFonts w:hint="eastAsia" w:ascii="仿宋" w:hAnsi="仿宋" w:eastAsia="仿宋" w:cs="仿宋"/>
                <w:sz w:val="18"/>
                <w:szCs w:val="18"/>
                <w:highlight w:val="none"/>
                <w:lang w:val="en-US" w:eastAsia="zh-CN"/>
              </w:rPr>
              <w:t>备注2：</w:t>
            </w:r>
            <w:r>
              <w:rPr>
                <w:rFonts w:hint="eastAsia" w:ascii="宋体" w:hAnsi="宋体" w:cs="宋体"/>
                <w:b/>
                <w:bCs w:val="0"/>
                <w:color w:val="auto"/>
                <w:sz w:val="18"/>
                <w:szCs w:val="18"/>
                <w:highlight w:val="none"/>
                <w:lang w:eastAsia="zh-CN"/>
              </w:rPr>
              <w:t>请各投标单位慎重、严谨、负责的提供各项投标资料，且提供的投标材料必须真实，一经发现提供虚假材料（项目实施过程中将组织检查），如发现问题将承担严重的法律后果。</w:t>
            </w:r>
          </w:p>
        </w:tc>
      </w:tr>
    </w:tbl>
    <w:p w14:paraId="24AA6091">
      <w:pPr>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14:paraId="4FEA6D6C">
      <w:pPr>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经济部分（占总分值的</w:t>
      </w:r>
      <w:r>
        <w:rPr>
          <w:rFonts w:hint="eastAsia" w:ascii="仿宋" w:hAnsi="仿宋" w:eastAsia="仿宋" w:cs="仿宋"/>
          <w:b/>
          <w:color w:val="auto"/>
          <w:sz w:val="28"/>
          <w:szCs w:val="28"/>
          <w:highlight w:val="none"/>
          <w:lang w:val="en-US" w:eastAsia="zh-CN"/>
        </w:rPr>
        <w:t>3</w:t>
      </w:r>
      <w:r>
        <w:rPr>
          <w:rFonts w:hint="eastAsia" w:ascii="仿宋" w:hAnsi="仿宋" w:eastAsia="仿宋" w:cs="仿宋"/>
          <w:b/>
          <w:color w:val="auto"/>
          <w:sz w:val="28"/>
          <w:szCs w:val="28"/>
          <w:highlight w:val="none"/>
        </w:rPr>
        <w:t>0%）</w:t>
      </w:r>
    </w:p>
    <w:p w14:paraId="1868F949">
      <w:pPr>
        <w:pStyle w:val="8"/>
        <w:rPr>
          <w:rFonts w:hint="eastAsia"/>
          <w:color w:val="auto"/>
          <w:highlight w:val="none"/>
        </w:rPr>
      </w:pPr>
    </w:p>
    <w:tbl>
      <w:tblPr>
        <w:tblStyle w:val="4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2"/>
        <w:gridCol w:w="1515"/>
        <w:gridCol w:w="6727"/>
      </w:tblGrid>
      <w:tr w14:paraId="42C08A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7" w:hRule="atLeast"/>
          <w:tblHeader/>
        </w:trPr>
        <w:tc>
          <w:tcPr>
            <w:tcW w:w="772" w:type="dxa"/>
            <w:tcBorders>
              <w:top w:val="single" w:color="auto" w:sz="4" w:space="0"/>
              <w:left w:val="single" w:color="auto" w:sz="4" w:space="0"/>
              <w:bottom w:val="single" w:color="auto" w:sz="4" w:space="0"/>
              <w:right w:val="single" w:color="auto" w:sz="4" w:space="0"/>
            </w:tcBorders>
            <w:noWrap w:val="0"/>
            <w:vAlign w:val="center"/>
          </w:tcPr>
          <w:p w14:paraId="1BB515CE">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1515" w:type="dxa"/>
            <w:tcBorders>
              <w:top w:val="single" w:color="auto" w:sz="4" w:space="0"/>
              <w:left w:val="single" w:color="auto" w:sz="4" w:space="0"/>
              <w:bottom w:val="single" w:color="auto" w:sz="4" w:space="0"/>
              <w:right w:val="single" w:color="auto" w:sz="4" w:space="0"/>
            </w:tcBorders>
            <w:noWrap w:val="0"/>
            <w:vAlign w:val="center"/>
          </w:tcPr>
          <w:p w14:paraId="345AD01C">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分值</w:t>
            </w:r>
          </w:p>
        </w:tc>
        <w:tc>
          <w:tcPr>
            <w:tcW w:w="6727" w:type="dxa"/>
            <w:tcBorders>
              <w:top w:val="single" w:color="auto" w:sz="4" w:space="0"/>
              <w:left w:val="single" w:color="auto" w:sz="4" w:space="0"/>
              <w:bottom w:val="single" w:color="auto" w:sz="4" w:space="0"/>
              <w:right w:val="single" w:color="auto" w:sz="4" w:space="0"/>
            </w:tcBorders>
            <w:noWrap w:val="0"/>
            <w:vAlign w:val="center"/>
          </w:tcPr>
          <w:p w14:paraId="52D9FE6B">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评分标准</w:t>
            </w:r>
          </w:p>
        </w:tc>
      </w:tr>
      <w:tr w14:paraId="3F8220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52" w:hRule="atLeast"/>
        </w:trPr>
        <w:tc>
          <w:tcPr>
            <w:tcW w:w="772" w:type="dxa"/>
            <w:tcBorders>
              <w:top w:val="single" w:color="auto" w:sz="4" w:space="0"/>
              <w:left w:val="single" w:color="auto" w:sz="4" w:space="0"/>
              <w:bottom w:val="single" w:color="auto" w:sz="4" w:space="0"/>
              <w:right w:val="single" w:color="auto" w:sz="4" w:space="0"/>
            </w:tcBorders>
            <w:noWrap w:val="0"/>
            <w:vAlign w:val="center"/>
          </w:tcPr>
          <w:p w14:paraId="203CB8A8">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515" w:type="dxa"/>
            <w:tcBorders>
              <w:top w:val="single" w:color="auto" w:sz="4" w:space="0"/>
              <w:left w:val="single" w:color="auto" w:sz="4" w:space="0"/>
              <w:bottom w:val="single" w:color="auto" w:sz="4" w:space="0"/>
              <w:right w:val="single" w:color="auto" w:sz="4" w:space="0"/>
            </w:tcBorders>
            <w:noWrap w:val="0"/>
            <w:vAlign w:val="center"/>
          </w:tcPr>
          <w:p w14:paraId="75A2E1FD">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30分</w:t>
            </w:r>
          </w:p>
        </w:tc>
        <w:tc>
          <w:tcPr>
            <w:tcW w:w="6727" w:type="dxa"/>
            <w:tcBorders>
              <w:top w:val="single" w:color="auto" w:sz="4" w:space="0"/>
              <w:left w:val="single" w:color="auto" w:sz="4" w:space="0"/>
              <w:bottom w:val="single" w:color="auto" w:sz="4" w:space="0"/>
              <w:right w:val="single" w:color="auto" w:sz="4" w:space="0"/>
            </w:tcBorders>
            <w:noWrap w:val="0"/>
            <w:vAlign w:val="center"/>
          </w:tcPr>
          <w:p w14:paraId="7799C11E">
            <w:pPr>
              <w:widowControl/>
              <w:adjustRightInd w:val="0"/>
              <w:snapToGrid w:val="0"/>
              <w:spacing w:line="360" w:lineRule="exact"/>
              <w:jc w:val="left"/>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投标报价计算方式：</w:t>
            </w:r>
          </w:p>
          <w:p w14:paraId="358C8562">
            <w:pPr>
              <w:widowControl/>
              <w:adjustRightInd w:val="0"/>
              <w:snapToGrid w:val="0"/>
              <w:spacing w:line="360" w:lineRule="exact"/>
              <w:jc w:val="left"/>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价格分统一采用低价优先法计算，即满足采购文件要求且报价最低的（即：下浮率最大）供应商的价格为评标基准价，其价格分为满分。其他供应商的价格分统一按照下列公式计算：</w:t>
            </w:r>
          </w:p>
          <w:p w14:paraId="233EC97A">
            <w:pPr>
              <w:widowControl/>
              <w:adjustRightInd w:val="0"/>
              <w:snapToGrid w:val="0"/>
              <w:spacing w:line="360" w:lineRule="exact"/>
              <w:jc w:val="left"/>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报价得分={(1-评标基准价)/(1-投标下浮率)}×30；</w:t>
            </w:r>
          </w:p>
          <w:p w14:paraId="29C19A21">
            <w:pPr>
              <w:widowControl/>
              <w:adjustRightInd w:val="0"/>
              <w:snapToGrid w:val="0"/>
              <w:spacing w:line="360" w:lineRule="exact"/>
              <w:jc w:val="left"/>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计算分值时，百分比按四舍五入原则，保留小数点后二位数</w:t>
            </w:r>
          </w:p>
          <w:p w14:paraId="4A253E2D">
            <w:pPr>
              <w:ind w:firstLine="210" w:firstLineChars="100"/>
              <w:rPr>
                <w:rFonts w:hint="eastAsia" w:ascii="宋体" w:hAnsi="宋体" w:eastAsia="宋体" w:cs="宋体"/>
                <w:bCs/>
                <w:color w:val="auto"/>
                <w:sz w:val="21"/>
                <w:szCs w:val="21"/>
                <w:highlight w:val="none"/>
                <w:lang w:val="en-US" w:eastAsia="zh-CN"/>
              </w:rPr>
            </w:pPr>
          </w:p>
        </w:tc>
      </w:tr>
    </w:tbl>
    <w:p w14:paraId="6273FA8B">
      <w:pPr>
        <w:pStyle w:val="113"/>
        <w:rPr>
          <w:rFonts w:hint="eastAsia" w:ascii="仿宋" w:hAnsi="仿宋" w:eastAsia="仿宋" w:cs="仿宋"/>
          <w:color w:val="auto"/>
          <w:highlight w:val="none"/>
        </w:rPr>
      </w:pPr>
    </w:p>
    <w:p w14:paraId="505EDF37">
      <w:pPr>
        <w:pStyle w:val="141"/>
        <w:rPr>
          <w:rFonts w:hint="eastAsia" w:ascii="仿宋" w:hAnsi="仿宋" w:eastAsia="仿宋" w:cs="仿宋"/>
          <w:color w:val="auto"/>
          <w:highlight w:val="none"/>
        </w:rPr>
      </w:pPr>
    </w:p>
    <w:p w14:paraId="3A395B97">
      <w:pPr>
        <w:pStyle w:val="19"/>
        <w:ind w:right="63" w:firstLine="624"/>
        <w:jc w:val="center"/>
        <w:rPr>
          <w:rFonts w:hint="eastAsia" w:ascii="仿宋" w:hAnsi="仿宋" w:eastAsia="仿宋" w:cs="仿宋"/>
          <w:b/>
          <w:color w:val="auto"/>
          <w:sz w:val="28"/>
          <w:szCs w:val="28"/>
          <w:highlight w:val="none"/>
        </w:rPr>
      </w:pPr>
    </w:p>
    <w:p w14:paraId="06A5F739">
      <w:pPr>
        <w:pStyle w:val="19"/>
        <w:ind w:right="63"/>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综合得分=技术商务部分得分+经济部分得分。</w:t>
      </w:r>
    </w:p>
    <w:p w14:paraId="5F2FEC40">
      <w:pPr>
        <w:pStyle w:val="19"/>
        <w:ind w:right="63"/>
        <w:jc w:val="center"/>
        <w:rPr>
          <w:rFonts w:hint="eastAsia" w:ascii="仿宋" w:hAnsi="仿宋" w:eastAsia="仿宋" w:cs="仿宋"/>
          <w:b/>
          <w:color w:val="auto"/>
          <w:sz w:val="28"/>
          <w:szCs w:val="28"/>
          <w:highlight w:val="none"/>
        </w:rPr>
      </w:pPr>
    </w:p>
    <w:p w14:paraId="6B6D5FF0">
      <w:pPr>
        <w:pStyle w:val="19"/>
        <w:ind w:right="63"/>
        <w:jc w:val="center"/>
        <w:rPr>
          <w:rFonts w:hint="eastAsia" w:ascii="仿宋" w:hAnsi="仿宋" w:eastAsia="仿宋" w:cs="仿宋"/>
          <w:b/>
          <w:sz w:val="28"/>
          <w:szCs w:val="28"/>
          <w:highlight w:val="none"/>
        </w:rPr>
      </w:pPr>
    </w:p>
    <w:p w14:paraId="31D8BBFB">
      <w:pPr>
        <w:pStyle w:val="19"/>
        <w:ind w:right="63"/>
        <w:jc w:val="center"/>
        <w:rPr>
          <w:rFonts w:hint="eastAsia" w:ascii="仿宋" w:hAnsi="仿宋" w:eastAsia="仿宋" w:cs="仿宋"/>
          <w:b/>
          <w:sz w:val="28"/>
          <w:szCs w:val="28"/>
          <w:highlight w:val="none"/>
        </w:rPr>
      </w:pPr>
    </w:p>
    <w:p w14:paraId="0DA89F9D">
      <w:pPr>
        <w:pStyle w:val="19"/>
        <w:ind w:right="63"/>
        <w:jc w:val="center"/>
        <w:rPr>
          <w:rFonts w:hint="eastAsia" w:ascii="仿宋" w:hAnsi="仿宋" w:eastAsia="仿宋" w:cs="仿宋"/>
          <w:b/>
          <w:sz w:val="28"/>
          <w:szCs w:val="28"/>
          <w:highlight w:val="none"/>
        </w:rPr>
      </w:pPr>
    </w:p>
    <w:p w14:paraId="7761FD0F">
      <w:pPr>
        <w:pStyle w:val="19"/>
        <w:ind w:right="63"/>
        <w:jc w:val="center"/>
        <w:rPr>
          <w:rFonts w:hint="eastAsia" w:ascii="仿宋" w:hAnsi="仿宋" w:eastAsia="仿宋" w:cs="仿宋"/>
          <w:b/>
          <w:sz w:val="28"/>
          <w:szCs w:val="28"/>
          <w:highlight w:val="none"/>
        </w:rPr>
      </w:pPr>
    </w:p>
    <w:p w14:paraId="2A870F35">
      <w:pPr>
        <w:pStyle w:val="19"/>
        <w:ind w:right="63"/>
        <w:jc w:val="center"/>
        <w:rPr>
          <w:rFonts w:hint="eastAsia" w:ascii="仿宋" w:hAnsi="仿宋" w:eastAsia="仿宋" w:cs="仿宋"/>
          <w:b/>
          <w:sz w:val="28"/>
          <w:szCs w:val="28"/>
          <w:highlight w:val="none"/>
        </w:rPr>
      </w:pPr>
    </w:p>
    <w:p w14:paraId="0A2E1325">
      <w:pPr>
        <w:pStyle w:val="19"/>
        <w:ind w:right="63"/>
        <w:jc w:val="left"/>
        <w:rPr>
          <w:rFonts w:hint="eastAsia" w:ascii="仿宋" w:hAnsi="仿宋" w:eastAsia="仿宋" w:cs="仿宋"/>
          <w:b/>
          <w:sz w:val="28"/>
          <w:szCs w:val="28"/>
          <w:highlight w:val="none"/>
        </w:rPr>
      </w:pPr>
    </w:p>
    <w:sectPr>
      <w:pgSz w:w="11850" w:h="16783"/>
      <w:pgMar w:top="1417" w:right="1701" w:bottom="1417" w:left="1701" w:header="850" w:footer="567" w:gutter="0"/>
      <w:pgNumType w:fmt="decimal"/>
      <w:cols w:space="0" w:num="1"/>
      <w:rtlGutter w:val="0"/>
      <w:docGrid w:type="lines" w:linePitch="37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Black">
    <w:panose1 w:val="020B0A04020102020204"/>
    <w:charset w:val="00"/>
    <w:family w:val="swiss"/>
    <w:pitch w:val="default"/>
    <w:sig w:usb0="00000287" w:usb1="00000000" w:usb2="00000000" w:usb3="00000000" w:csb0="2000009F" w:csb1="DFD70000"/>
  </w:font>
  <w:font w:name="Cambria">
    <w:panose1 w:val="02040503050406030204"/>
    <w:charset w:val="00"/>
    <w:family w:val="roman"/>
    <w:pitch w:val="default"/>
    <w:sig w:usb0="E00002FF" w:usb1="400004FF" w:usb2="00000000" w:usb3="00000000" w:csb0="2000019F" w:csb1="00000000"/>
  </w:font>
  <w:font w:name="Book Antiqua">
    <w:panose1 w:val="02040602050305030304"/>
    <w:charset w:val="00"/>
    <w:family w:val="roman"/>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swiss"/>
    <w:pitch w:val="default"/>
    <w:sig w:usb0="A00002EF" w:usb1="4000207B" w:usb2="00000000" w:usb3="00000000" w:csb0="2000019F" w:csb1="00000000"/>
  </w:font>
  <w:font w:name="Helvetica">
    <w:altName w:val="Arial"/>
    <w:panose1 w:val="00000000000000000000"/>
    <w:charset w:val="00"/>
    <w:family w:val="auto"/>
    <w:pitch w:val="default"/>
    <w:sig w:usb0="00000000" w:usb1="00000000" w:usb2="00000000" w:usb3="00000000" w:csb0="00040001" w:csb1="00000000"/>
  </w:font>
  <w:font w:name="方正楷体_GBK">
    <w:altName w:val="微软雅黑"/>
    <w:panose1 w:val="03000509000000000000"/>
    <w:charset w:val="86"/>
    <w:family w:val="script"/>
    <w:pitch w:val="default"/>
    <w:sig w:usb0="00000000" w:usb1="00000000" w:usb2="00000000" w:usb3="00000000" w:csb0="00040000" w:csb1="00000000"/>
  </w:font>
  <w:font w:name="MingLiU_HKSCS">
    <w:panose1 w:val="02020500000000000000"/>
    <w:charset w:val="88"/>
    <w:family w:val="roman"/>
    <w:pitch w:val="default"/>
    <w:sig w:usb0="A00002FF" w:usb1="3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4EDBD">
    <w:pPr>
      <w:pStyle w:val="25"/>
      <w:ind w:right="360"/>
      <w:jc w:val="both"/>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C9E644">
                          <w:pPr>
                            <w:pStyle w:val="2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AC9E644">
                    <w:pPr>
                      <w:pStyle w:val="2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p w14:paraId="763B9A1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98C58">
    <w:pPr>
      <w:pStyle w:val="25"/>
      <w:tabs>
        <w:tab w:val="center" w:pos="4128"/>
        <w:tab w:val="clear" w:pos="4153"/>
      </w:tabs>
      <w:ind w:right="360"/>
      <w:jc w:val="both"/>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25F7F2">
                          <w:pPr>
                            <w:pStyle w:val="2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825F7F2">
                    <w:pPr>
                      <w:pStyle w:val="2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r>
      <w:rPr>
        <w:rFonts w:hint="eastAsia"/>
      </w:rPr>
      <w:tab/>
    </w:r>
  </w:p>
  <w:p w14:paraId="2B317E6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CD7CE">
    <w:pPr>
      <w:pStyle w:val="2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A745D7">
                          <w:pPr>
                            <w:pStyle w:val="25"/>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3A745D7">
                    <w:pPr>
                      <w:pStyle w:val="25"/>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BECB0">
    <w:pPr>
      <w:pStyle w:val="25"/>
      <w:ind w:right="360"/>
      <w:jc w:val="both"/>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A07C0A">
                          <w:pPr>
                            <w:pStyle w:val="25"/>
                          </w:pPr>
                          <w:r>
                            <w:t xml:space="preserve">第 </w:t>
                          </w:r>
                          <w:r>
                            <w:fldChar w:fldCharType="begin"/>
                          </w:r>
                          <w:r>
                            <w:instrText xml:space="preserve"> PAGE  \* MERGEFORMAT </w:instrText>
                          </w:r>
                          <w:r>
                            <w:fldChar w:fldCharType="separate"/>
                          </w:r>
                          <w:r>
                            <w:t>17</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5A07C0A">
                    <w:pPr>
                      <w:pStyle w:val="25"/>
                    </w:pPr>
                    <w:r>
                      <w:t xml:space="preserve">第 </w:t>
                    </w:r>
                    <w:r>
                      <w:fldChar w:fldCharType="begin"/>
                    </w:r>
                    <w:r>
                      <w:instrText xml:space="preserve"> PAGE  \* MERGEFORMAT </w:instrText>
                    </w:r>
                    <w:r>
                      <w:fldChar w:fldCharType="separate"/>
                    </w:r>
                    <w:r>
                      <w:t>17</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p w14:paraId="701932D4"/>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49F40">
    <w:pPr>
      <w:pStyle w:val="25"/>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1A10B3">
                          <w:pPr>
                            <w:pStyle w:val="25"/>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3B1A10B3">
                    <w:pPr>
                      <w:pStyle w:val="25"/>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p w14:paraId="6D6881AA">
    <w:pPr>
      <w:pStyle w:val="25"/>
      <w:ind w:right="360"/>
      <w:jc w:val="both"/>
      <w:rPr>
        <w:rFonts w:hint="eastAsia"/>
      </w:rPr>
    </w:pPr>
  </w:p>
  <w:p w14:paraId="2F4081F5"/>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F0A17">
    <w:pPr>
      <w:jc w:val="right"/>
      <w:rPr>
        <w:rFonts w:hint="eastAsia"/>
        <w:sz w:val="18"/>
        <w:szCs w:val="21"/>
      </w:rPr>
    </w:pPr>
    <w:r>
      <w:rPr>
        <w:rFonts w:hint="eastAsia" w:ascii="仿宋" w:hAnsi="仿宋" w:eastAsia="仿宋" w:cs="仿宋"/>
        <w:b/>
        <w:sz w:val="24"/>
        <w:szCs w:val="24"/>
        <w:highlight w:val="none"/>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8E4648"/>
    <w:multiLevelType w:val="singleLevel"/>
    <w:tmpl w:val="878E4648"/>
    <w:lvl w:ilvl="0" w:tentative="0">
      <w:start w:val="1"/>
      <w:numFmt w:val="decimal"/>
      <w:suff w:val="nothing"/>
      <w:lvlText w:val="%1、"/>
      <w:lvlJc w:val="left"/>
    </w:lvl>
  </w:abstractNum>
  <w:abstractNum w:abstractNumId="1">
    <w:nsid w:val="E36C9990"/>
    <w:multiLevelType w:val="singleLevel"/>
    <w:tmpl w:val="E36C9990"/>
    <w:lvl w:ilvl="0" w:tentative="0">
      <w:start w:val="1"/>
      <w:numFmt w:val="decimal"/>
      <w:pStyle w:val="20"/>
      <w:lvlText w:val="%1."/>
      <w:lvlJc w:val="left"/>
      <w:pPr>
        <w:tabs>
          <w:tab w:val="left" w:pos="2040"/>
        </w:tabs>
        <w:ind w:left="2040" w:hanging="360"/>
      </w:pPr>
    </w:lvl>
  </w:abstractNum>
  <w:abstractNum w:abstractNumId="2">
    <w:nsid w:val="E858F5F1"/>
    <w:multiLevelType w:val="singleLevel"/>
    <w:tmpl w:val="E858F5F1"/>
    <w:lvl w:ilvl="0" w:tentative="0">
      <w:start w:val="1"/>
      <w:numFmt w:val="decimal"/>
      <w:lvlText w:val="(%1)"/>
      <w:lvlJc w:val="left"/>
      <w:pPr>
        <w:ind w:left="425" w:hanging="425"/>
      </w:pPr>
      <w:rPr>
        <w:rFonts w:hint="default"/>
      </w:rPr>
    </w:lvl>
  </w:abstractNum>
  <w:abstractNum w:abstractNumId="3">
    <w:nsid w:val="00000016"/>
    <w:multiLevelType w:val="multilevel"/>
    <w:tmpl w:val="00000016"/>
    <w:lvl w:ilvl="0" w:tentative="0">
      <w:start w:val="1"/>
      <w:numFmt w:val="decimal"/>
      <w:lvlText w:val="表 3.%1"/>
      <w:lvlJc w:val="left"/>
      <w:pPr>
        <w:tabs>
          <w:tab w:val="left" w:pos="902"/>
        </w:tabs>
        <w:ind w:left="902" w:hanging="420"/>
      </w:pPr>
      <w:rPr>
        <w:rFonts w:hint="eastAsia"/>
      </w:rPr>
    </w:lvl>
    <w:lvl w:ilvl="1" w:tentative="0">
      <w:start w:val="1"/>
      <w:numFmt w:val="lowerLetter"/>
      <w:pStyle w:val="146"/>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E8701E2"/>
    <w:multiLevelType w:val="multilevel"/>
    <w:tmpl w:val="0E8701E2"/>
    <w:lvl w:ilvl="0" w:tentative="0">
      <w:start w:val="1"/>
      <w:numFmt w:val="bullet"/>
      <w:pStyle w:val="164"/>
      <w:lvlText w:val=""/>
      <w:lvlJc w:val="left"/>
      <w:pPr>
        <w:tabs>
          <w:tab w:val="left" w:pos="1985"/>
        </w:tabs>
        <w:ind w:left="1985" w:hanging="284"/>
      </w:pPr>
      <w:rPr>
        <w:rFonts w:hint="default" w:ascii="Wingdings" w:hAnsi="Wingdings"/>
        <w:color w:val="auto"/>
        <w:spacing w:val="0"/>
        <w:w w:val="100"/>
        <w:position w:val="1"/>
        <w:sz w:val="16"/>
        <w:szCs w:val="16"/>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0EDB2900"/>
    <w:multiLevelType w:val="multilevel"/>
    <w:tmpl w:val="0EDB2900"/>
    <w:lvl w:ilvl="0" w:tentative="0">
      <w:start w:val="1"/>
      <w:numFmt w:val="bullet"/>
      <w:pStyle w:val="75"/>
      <w:lvlText w:val="−"/>
      <w:lvlJc w:val="left"/>
      <w:pPr>
        <w:tabs>
          <w:tab w:val="left" w:pos="2551"/>
        </w:tabs>
        <w:ind w:left="2551" w:hanging="425"/>
      </w:pPr>
      <w:rPr>
        <w:rFonts w:hint="default" w:ascii="Times New Roman" w:hAnsi="Times New Roman" w:cs="Times New Roman"/>
        <w:sz w:val="16"/>
        <w:szCs w:val="16"/>
      </w:rPr>
    </w:lvl>
    <w:lvl w:ilvl="1" w:tentative="0">
      <w:start w:val="1"/>
      <w:numFmt w:val="ganada"/>
      <w:pStyle w:val="223"/>
      <w:lvlText w:val=""/>
      <w:lvlJc w:val="left"/>
      <w:pPr>
        <w:tabs>
          <w:tab w:val="left" w:pos="2976"/>
        </w:tabs>
        <w:ind w:left="2976" w:hanging="425"/>
      </w:pPr>
      <w:rPr>
        <w:rFonts w:hint="default" w:ascii="Wingdings" w:hAnsi="Wingdings" w:cs="Wingdings"/>
        <w:sz w:val="16"/>
        <w:szCs w:val="16"/>
      </w:rPr>
    </w:lvl>
    <w:lvl w:ilvl="2" w:tentative="0">
      <w:start w:val="1"/>
      <w:numFmt w:val="bullet"/>
      <w:pStyle w:val="132"/>
      <w:lvlText w:val="□"/>
      <w:lvlJc w:val="left"/>
      <w:pPr>
        <w:tabs>
          <w:tab w:val="left" w:pos="3401"/>
        </w:tabs>
        <w:ind w:left="3401" w:hanging="425"/>
      </w:pPr>
      <w:rPr>
        <w:rFonts w:hint="default" w:ascii="Wingdings" w:hAnsi="Wingdings" w:cs="Wingdings"/>
        <w:sz w:val="16"/>
        <w:szCs w:val="16"/>
      </w:rPr>
    </w:lvl>
    <w:lvl w:ilvl="3" w:tentative="0">
      <w:start w:val="1"/>
      <w:numFmt w:val="bullet"/>
      <w:lvlText w:val=""/>
      <w:lvlJc w:val="left"/>
      <w:pPr>
        <w:tabs>
          <w:tab w:val="left" w:pos="1680"/>
        </w:tabs>
        <w:ind w:left="1680" w:hanging="420"/>
      </w:pPr>
      <w:rPr>
        <w:rFonts w:hint="default" w:ascii="Wingdings" w:hAnsi="Wingdings" w:cs="Wingdings"/>
      </w:rPr>
    </w:lvl>
    <w:lvl w:ilvl="4" w:tentative="0">
      <w:start w:val="1"/>
      <w:numFmt w:val="bullet"/>
      <w:lvlText w:val=""/>
      <w:lvlJc w:val="left"/>
      <w:pPr>
        <w:tabs>
          <w:tab w:val="left" w:pos="2100"/>
        </w:tabs>
        <w:ind w:left="2100" w:hanging="420"/>
      </w:pPr>
      <w:rPr>
        <w:rFonts w:hint="default" w:ascii="Wingdings" w:hAnsi="Wingdings" w:cs="Wingdings"/>
      </w:rPr>
    </w:lvl>
    <w:lvl w:ilvl="5" w:tentative="0">
      <w:start w:val="1"/>
      <w:numFmt w:val="bullet"/>
      <w:lvlText w:val=""/>
      <w:lvlJc w:val="left"/>
      <w:pPr>
        <w:tabs>
          <w:tab w:val="left" w:pos="2520"/>
        </w:tabs>
        <w:ind w:left="2520" w:hanging="420"/>
      </w:pPr>
      <w:rPr>
        <w:rFonts w:hint="default" w:ascii="Wingdings" w:hAnsi="Wingdings" w:cs="Wingdings"/>
      </w:rPr>
    </w:lvl>
    <w:lvl w:ilvl="6" w:tentative="0">
      <w:start w:val="1"/>
      <w:numFmt w:val="bullet"/>
      <w:lvlText w:val=""/>
      <w:lvlJc w:val="left"/>
      <w:pPr>
        <w:tabs>
          <w:tab w:val="left" w:pos="2940"/>
        </w:tabs>
        <w:ind w:left="2940" w:hanging="420"/>
      </w:pPr>
      <w:rPr>
        <w:rFonts w:hint="default" w:ascii="Wingdings" w:hAnsi="Wingdings" w:cs="Wingdings"/>
      </w:rPr>
    </w:lvl>
    <w:lvl w:ilvl="7" w:tentative="0">
      <w:start w:val="1"/>
      <w:numFmt w:val="bullet"/>
      <w:lvlText w:val=""/>
      <w:lvlJc w:val="left"/>
      <w:pPr>
        <w:tabs>
          <w:tab w:val="left" w:pos="3360"/>
        </w:tabs>
        <w:ind w:left="3360" w:hanging="420"/>
      </w:pPr>
      <w:rPr>
        <w:rFonts w:hint="default" w:ascii="Wingdings" w:hAnsi="Wingdings" w:cs="Wingdings"/>
      </w:rPr>
    </w:lvl>
    <w:lvl w:ilvl="8" w:tentative="0">
      <w:start w:val="1"/>
      <w:numFmt w:val="bullet"/>
      <w:lvlText w:val=""/>
      <w:lvlJc w:val="left"/>
      <w:pPr>
        <w:tabs>
          <w:tab w:val="left" w:pos="3780"/>
        </w:tabs>
        <w:ind w:left="3780" w:hanging="420"/>
      </w:pPr>
      <w:rPr>
        <w:rFonts w:hint="default" w:ascii="Wingdings" w:hAnsi="Wingdings" w:cs="Wingdings"/>
      </w:rPr>
    </w:lvl>
  </w:abstractNum>
  <w:abstractNum w:abstractNumId="6">
    <w:nsid w:val="1C92D8A2"/>
    <w:multiLevelType w:val="singleLevel"/>
    <w:tmpl w:val="1C92D8A2"/>
    <w:lvl w:ilvl="0" w:tentative="0">
      <w:start w:val="1"/>
      <w:numFmt w:val="decimalEnclosedCircleChinese"/>
      <w:suff w:val="nothing"/>
      <w:lvlText w:val="%1　"/>
      <w:lvlJc w:val="left"/>
      <w:pPr>
        <w:ind w:left="0" w:firstLine="400"/>
      </w:pPr>
      <w:rPr>
        <w:rFonts w:hint="eastAsia"/>
      </w:rPr>
    </w:lvl>
  </w:abstractNum>
  <w:abstractNum w:abstractNumId="7">
    <w:nsid w:val="1D5755D3"/>
    <w:multiLevelType w:val="multilevel"/>
    <w:tmpl w:val="1D5755D3"/>
    <w:lvl w:ilvl="0" w:tentative="0">
      <w:start w:val="1"/>
      <w:numFmt w:val="bullet"/>
      <w:pStyle w:val="83"/>
      <w:lvlText w:val=""/>
      <w:lvlJc w:val="left"/>
      <w:pPr>
        <w:tabs>
          <w:tab w:val="left" w:pos="850"/>
        </w:tabs>
        <w:ind w:left="850" w:hanging="425"/>
      </w:pPr>
      <w:rPr>
        <w:rFonts w:hint="default" w:ascii="Wingdings" w:hAnsi="Wingdings" w:cs="Wingdings"/>
        <w:b w:val="0"/>
        <w:bCs w:val="0"/>
        <w:i w:val="0"/>
        <w:iCs w:val="0"/>
        <w:caps w:val="0"/>
        <w:strike w:val="0"/>
        <w:dstrike w:val="0"/>
        <w:vanish w:val="0"/>
        <w:color w:val="000000"/>
        <w:spacing w:val="0"/>
        <w:w w:val="100"/>
        <w:position w:val="2"/>
        <w:sz w:val="16"/>
        <w:szCs w:val="16"/>
        <w:vertAlign w:val="baseli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26F707B4"/>
    <w:multiLevelType w:val="multilevel"/>
    <w:tmpl w:val="26F707B4"/>
    <w:lvl w:ilvl="0" w:tentative="0">
      <w:start w:val="1"/>
      <w:numFmt w:val="decimal"/>
      <w:lvlText w:val="（%1）"/>
      <w:lvlJc w:val="left"/>
      <w:pPr>
        <w:tabs>
          <w:tab w:val="left" w:pos="1260"/>
        </w:tabs>
        <w:ind w:left="1260" w:hanging="720"/>
      </w:pPr>
      <w:rPr>
        <w:rFonts w:hint="default" w:cs="Times New Roman"/>
      </w:rPr>
    </w:lvl>
    <w:lvl w:ilvl="1" w:tentative="0">
      <w:start w:val="1"/>
      <w:numFmt w:val="lowerLetter"/>
      <w:lvlText w:val="%2)"/>
      <w:lvlJc w:val="left"/>
      <w:pPr>
        <w:tabs>
          <w:tab w:val="left" w:pos="900"/>
        </w:tabs>
        <w:ind w:left="900" w:hanging="420"/>
      </w:pPr>
      <w:rPr>
        <w:rFonts w:cs="Times New Roman"/>
      </w:rPr>
    </w:lvl>
    <w:lvl w:ilvl="2" w:tentative="0">
      <w:start w:val="1"/>
      <w:numFmt w:val="lowerRoman"/>
      <w:lvlText w:val="%3."/>
      <w:lvlJc w:val="right"/>
      <w:pPr>
        <w:tabs>
          <w:tab w:val="left" w:pos="1320"/>
        </w:tabs>
        <w:ind w:left="1320" w:hanging="420"/>
      </w:pPr>
      <w:rPr>
        <w:rFonts w:cs="Times New Roman"/>
      </w:rPr>
    </w:lvl>
    <w:lvl w:ilvl="3" w:tentative="0">
      <w:start w:val="1"/>
      <w:numFmt w:val="decimal"/>
      <w:lvlText w:val="%4."/>
      <w:lvlJc w:val="left"/>
      <w:pPr>
        <w:tabs>
          <w:tab w:val="left" w:pos="1740"/>
        </w:tabs>
        <w:ind w:left="1740" w:hanging="420"/>
      </w:pPr>
      <w:rPr>
        <w:rFonts w:cs="Times New Roman"/>
      </w:rPr>
    </w:lvl>
    <w:lvl w:ilvl="4" w:tentative="0">
      <w:start w:val="1"/>
      <w:numFmt w:val="lowerLetter"/>
      <w:lvlText w:val="%5)"/>
      <w:lvlJc w:val="left"/>
      <w:pPr>
        <w:tabs>
          <w:tab w:val="left" w:pos="2160"/>
        </w:tabs>
        <w:ind w:left="2160" w:hanging="420"/>
      </w:pPr>
      <w:rPr>
        <w:rFonts w:cs="Times New Roman"/>
      </w:rPr>
    </w:lvl>
    <w:lvl w:ilvl="5" w:tentative="0">
      <w:start w:val="1"/>
      <w:numFmt w:val="lowerRoman"/>
      <w:lvlText w:val="%6."/>
      <w:lvlJc w:val="right"/>
      <w:pPr>
        <w:tabs>
          <w:tab w:val="left" w:pos="2580"/>
        </w:tabs>
        <w:ind w:left="2580" w:hanging="420"/>
      </w:pPr>
      <w:rPr>
        <w:rFonts w:cs="Times New Roman"/>
      </w:rPr>
    </w:lvl>
    <w:lvl w:ilvl="6" w:tentative="0">
      <w:start w:val="1"/>
      <w:numFmt w:val="decimal"/>
      <w:lvlText w:val="%7."/>
      <w:lvlJc w:val="left"/>
      <w:pPr>
        <w:tabs>
          <w:tab w:val="left" w:pos="3000"/>
        </w:tabs>
        <w:ind w:left="3000" w:hanging="420"/>
      </w:pPr>
      <w:rPr>
        <w:rFonts w:cs="Times New Roman"/>
      </w:rPr>
    </w:lvl>
    <w:lvl w:ilvl="7" w:tentative="0">
      <w:start w:val="1"/>
      <w:numFmt w:val="lowerLetter"/>
      <w:lvlText w:val="%8)"/>
      <w:lvlJc w:val="left"/>
      <w:pPr>
        <w:tabs>
          <w:tab w:val="left" w:pos="3420"/>
        </w:tabs>
        <w:ind w:left="3420" w:hanging="420"/>
      </w:pPr>
      <w:rPr>
        <w:rFonts w:cs="Times New Roman"/>
      </w:rPr>
    </w:lvl>
    <w:lvl w:ilvl="8" w:tentative="0">
      <w:start w:val="1"/>
      <w:numFmt w:val="lowerRoman"/>
      <w:lvlText w:val="%9."/>
      <w:lvlJc w:val="right"/>
      <w:pPr>
        <w:tabs>
          <w:tab w:val="left" w:pos="3840"/>
        </w:tabs>
        <w:ind w:left="3840" w:hanging="420"/>
      </w:pPr>
      <w:rPr>
        <w:rFonts w:cs="Times New Roman"/>
      </w:rPr>
    </w:lvl>
  </w:abstractNum>
  <w:abstractNum w:abstractNumId="9">
    <w:nsid w:val="38111679"/>
    <w:multiLevelType w:val="multilevel"/>
    <w:tmpl w:val="38111679"/>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B8F68CF"/>
    <w:multiLevelType w:val="multilevel"/>
    <w:tmpl w:val="4B8F68CF"/>
    <w:lvl w:ilvl="0" w:tentative="0">
      <w:start w:val="1"/>
      <w:numFmt w:val="decimal"/>
      <w:lvlText w:val="（%1）"/>
      <w:lvlJc w:val="left"/>
      <w:pPr>
        <w:tabs>
          <w:tab w:val="left" w:pos="1200"/>
        </w:tabs>
        <w:ind w:left="120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1">
    <w:nsid w:val="4BE8A785"/>
    <w:multiLevelType w:val="singleLevel"/>
    <w:tmpl w:val="4BE8A785"/>
    <w:lvl w:ilvl="0" w:tentative="0">
      <w:start w:val="1"/>
      <w:numFmt w:val="decimalEnclosedCircleChinese"/>
      <w:suff w:val="nothing"/>
      <w:lvlText w:val="%1　"/>
      <w:lvlJc w:val="left"/>
      <w:pPr>
        <w:ind w:left="0" w:firstLine="400"/>
      </w:pPr>
      <w:rPr>
        <w:rFonts w:hint="eastAsia"/>
      </w:rPr>
    </w:lvl>
  </w:abstractNum>
  <w:abstractNum w:abstractNumId="12">
    <w:nsid w:val="4DDA66D1"/>
    <w:multiLevelType w:val="multilevel"/>
    <w:tmpl w:val="4DDA66D1"/>
    <w:lvl w:ilvl="0" w:tentative="0">
      <w:start w:val="1"/>
      <w:numFmt w:val="upperLetter"/>
      <w:pStyle w:val="153"/>
      <w:suff w:val="nothing"/>
      <w:lvlText w:val="%1 "/>
      <w:lvlJc w:val="left"/>
      <w:pPr>
        <w:ind w:left="0" w:firstLine="0"/>
      </w:pPr>
      <w:rPr>
        <w:rFonts w:hint="default" w:ascii="Book Antiqua" w:hAnsi="Book Antiqua" w:eastAsia="黑体" w:cs="Book Antiqua"/>
        <w:b/>
        <w:bCs/>
        <w:i w:val="0"/>
        <w:iCs w:val="0"/>
        <w:caps w:val="0"/>
        <w:strike w:val="0"/>
        <w:dstrike w:val="0"/>
        <w:outline w:val="0"/>
        <w:shadow w:val="0"/>
        <w:emboss w:val="0"/>
        <w:imprint w:val="0"/>
        <w:vanish w:val="0"/>
        <w:color w:val="000000"/>
        <w:sz w:val="144"/>
        <w:szCs w:val="144"/>
        <w:vertAlign w:val="baseline"/>
      </w:rPr>
    </w:lvl>
    <w:lvl w:ilvl="1" w:tentative="0">
      <w:start w:val="1"/>
      <w:numFmt w:val="decimal"/>
      <w:pStyle w:val="154"/>
      <w:suff w:val="nothing"/>
      <w:lvlText w:val="%1.%2 "/>
      <w:lvlJc w:val="left"/>
      <w:pPr>
        <w:ind w:left="0" w:firstLine="0"/>
      </w:pPr>
      <w:rPr>
        <w:rFonts w:hint="default" w:ascii="Book Antiqua" w:hAnsi="Book Antiqua" w:eastAsia="黑体" w:cs="Book Antiqua"/>
        <w:b w:val="0"/>
        <w:bCs/>
        <w:i w:val="0"/>
        <w:iCs w:val="0"/>
        <w:caps w:val="0"/>
        <w:strike w:val="0"/>
        <w:dstrike w:val="0"/>
        <w:outline w:val="0"/>
        <w:shadow w:val="0"/>
        <w:emboss w:val="0"/>
        <w:imprint w:val="0"/>
        <w:snapToGrid w:val="0"/>
        <w:vanish w:val="0"/>
        <w:spacing w:val="0"/>
        <w:kern w:val="0"/>
        <w:sz w:val="36"/>
        <w:szCs w:val="36"/>
        <w:vertAlign w:val="baseline"/>
      </w:rPr>
    </w:lvl>
    <w:lvl w:ilvl="2" w:tentative="0">
      <w:start w:val="1"/>
      <w:numFmt w:val="decimal"/>
      <w:pStyle w:val="155"/>
      <w:suff w:val="nothing"/>
      <w:lvlText w:val="%1.%2.%3 "/>
      <w:lvlJc w:val="left"/>
      <w:pPr>
        <w:ind w:left="0" w:firstLine="0"/>
      </w:pPr>
      <w:rPr>
        <w:rFonts w:hint="default" w:ascii="Book Antiqua" w:hAnsi="Book Antiqua" w:eastAsia="黑体" w:cs="Book Antiqua"/>
        <w:b w:val="0"/>
        <w:bCs/>
        <w:i w:val="0"/>
        <w:iCs w:val="0"/>
        <w:caps w:val="0"/>
        <w:strike w:val="0"/>
        <w:dstrike w:val="0"/>
        <w:outline w:val="0"/>
        <w:shadow w:val="0"/>
        <w:emboss w:val="0"/>
        <w:imprint w:val="0"/>
        <w:snapToGrid w:val="0"/>
        <w:vanish w:val="0"/>
        <w:kern w:val="0"/>
        <w:sz w:val="32"/>
        <w:szCs w:val="32"/>
        <w:vertAlign w:val="baseline"/>
      </w:rPr>
    </w:lvl>
    <w:lvl w:ilvl="3" w:tentative="0">
      <w:start w:val="1"/>
      <w:numFmt w:val="decimal"/>
      <w:pStyle w:val="130"/>
      <w:suff w:val="nothing"/>
      <w:lvlText w:val="%1.%2.%3.%4 "/>
      <w:lvlJc w:val="left"/>
      <w:pPr>
        <w:ind w:left="0" w:firstLine="0"/>
      </w:pPr>
      <w:rPr>
        <w:rFonts w:hint="default" w:ascii="Book Antiqua" w:hAnsi="Book Antiqua" w:eastAsia="黑体" w:cs="Book Antiqua"/>
        <w:b w:val="0"/>
        <w:bCs/>
        <w:i w:val="0"/>
        <w:iCs w:val="0"/>
        <w:caps w:val="0"/>
        <w:strike w:val="0"/>
        <w:dstrike w:val="0"/>
        <w:outline w:val="0"/>
        <w:shadow w:val="0"/>
        <w:emboss w:val="0"/>
        <w:imprint w:val="0"/>
        <w:snapToGrid w:val="0"/>
        <w:vanish w:val="0"/>
        <w:kern w:val="0"/>
        <w:sz w:val="28"/>
        <w:szCs w:val="28"/>
        <w:vertAlign w:val="baseline"/>
      </w:rPr>
    </w:lvl>
    <w:lvl w:ilvl="4" w:tentative="0">
      <w:start w:val="1"/>
      <w:numFmt w:val="decimal"/>
      <w:pStyle w:val="131"/>
      <w:suff w:val="nothing"/>
      <w:lvlText w:val="%1.%2.%3.%4.%5 "/>
      <w:lvlJc w:val="left"/>
      <w:pPr>
        <w:ind w:left="0" w:firstLine="0"/>
      </w:pPr>
      <w:rPr>
        <w:rFonts w:hint="default" w:ascii="Book Antiqua" w:hAnsi="Book Antiqua" w:eastAsia="黑体" w:cs="Book Antiqua"/>
        <w:b w:val="0"/>
        <w:bCs/>
        <w:i w:val="0"/>
        <w:iCs w:val="0"/>
        <w:caps w:val="0"/>
        <w:strike w:val="0"/>
        <w:dstrike w:val="0"/>
        <w:outline w:val="0"/>
        <w:shadow w:val="0"/>
        <w:emboss w:val="0"/>
        <w:imprint w:val="0"/>
        <w:snapToGrid w:val="0"/>
        <w:vanish w:val="0"/>
        <w:kern w:val="0"/>
        <w:sz w:val="24"/>
        <w:szCs w:val="24"/>
        <w:vertAlign w:val="baseline"/>
      </w:rPr>
    </w:lvl>
    <w:lvl w:ilvl="5" w:tentative="0">
      <w:start w:val="1"/>
      <w:numFmt w:val="decimal"/>
      <w:pStyle w:val="175"/>
      <w:lvlText w:val="步骤 %6"/>
      <w:lvlJc w:val="right"/>
      <w:pPr>
        <w:tabs>
          <w:tab w:val="left" w:pos="1701"/>
        </w:tabs>
        <w:ind w:left="1701" w:hanging="159"/>
      </w:pPr>
      <w:rPr>
        <w:rFonts w:hint="default" w:ascii="Book Antiqua" w:hAnsi="Book Antiqua" w:eastAsia="黑体" w:cs="Times New Roman"/>
        <w:b w:val="0"/>
        <w:bCs/>
        <w:i w:val="0"/>
        <w:iCs w:val="0"/>
        <w:sz w:val="21"/>
        <w:szCs w:val="21"/>
        <w:u w:val="none"/>
      </w:rPr>
    </w:lvl>
    <w:lvl w:ilvl="6" w:tentative="0">
      <w:start w:val="1"/>
      <w:numFmt w:val="decimal"/>
      <w:pStyle w:val="182"/>
      <w:lvlText w:val="%7."/>
      <w:lvlJc w:val="left"/>
      <w:pPr>
        <w:tabs>
          <w:tab w:val="left" w:pos="2126"/>
        </w:tabs>
        <w:ind w:left="2126" w:hanging="425"/>
      </w:pPr>
      <w:rPr>
        <w:rFonts w:hint="default" w:ascii="Times New Roman" w:hAnsi="Times New Roman" w:cs="Times New Roman"/>
        <w:b w:val="0"/>
        <w:bCs/>
        <w:i w:val="0"/>
        <w:iCs w:val="0"/>
        <w:color w:val="auto"/>
        <w:sz w:val="21"/>
        <w:szCs w:val="21"/>
      </w:rPr>
    </w:lvl>
    <w:lvl w:ilvl="7" w:tentative="0">
      <w:start w:val="1"/>
      <w:numFmt w:val="decimal"/>
      <w:lvlRestart w:val="1"/>
      <w:pStyle w:val="173"/>
      <w:suff w:val="space"/>
      <w:lvlText w:val="图%1-%8"/>
      <w:lvlJc w:val="left"/>
      <w:pPr>
        <w:ind w:left="1701" w:firstLine="0"/>
      </w:pPr>
      <w:rPr>
        <w:rFonts w:hint="default" w:ascii="Times New Roman" w:hAnsi="Times New Roman" w:eastAsia="黑体" w:cs="Book Antiqua"/>
        <w:b w:val="0"/>
        <w:bCs/>
        <w:i w:val="0"/>
        <w:iCs w:val="0"/>
        <w:sz w:val="21"/>
        <w:szCs w:val="21"/>
        <w:u w:val="none"/>
      </w:rPr>
    </w:lvl>
    <w:lvl w:ilvl="8" w:tentative="0">
      <w:start w:val="1"/>
      <w:numFmt w:val="decimal"/>
      <w:lvlRestart w:val="1"/>
      <w:pStyle w:val="187"/>
      <w:suff w:val="space"/>
      <w:lvlText w:val="表%1-%9"/>
      <w:lvlJc w:val="left"/>
      <w:pPr>
        <w:ind w:left="1701" w:firstLine="0"/>
      </w:pPr>
      <w:rPr>
        <w:rFonts w:hint="default" w:ascii="Times New Roman" w:hAnsi="Times New Roman" w:eastAsia="黑体" w:cs="Book Antiqua"/>
        <w:b w:val="0"/>
        <w:bCs/>
        <w:i w:val="0"/>
        <w:iCs w:val="0"/>
        <w:strike w:val="0"/>
        <w:dstrike w:val="0"/>
        <w:outline w:val="0"/>
        <w:shadow w:val="0"/>
        <w:emboss w:val="0"/>
        <w:imprint w:val="0"/>
        <w:color w:val="auto"/>
        <w:sz w:val="21"/>
        <w:szCs w:val="21"/>
        <w:vertAlign w:val="baseline"/>
      </w:rPr>
    </w:lvl>
  </w:abstractNum>
  <w:abstractNum w:abstractNumId="13">
    <w:nsid w:val="51D0352C"/>
    <w:multiLevelType w:val="singleLevel"/>
    <w:tmpl w:val="51D0352C"/>
    <w:lvl w:ilvl="0" w:tentative="0">
      <w:start w:val="1"/>
      <w:numFmt w:val="decimal"/>
      <w:lvlText w:val="%1"/>
      <w:lvlJc w:val="left"/>
      <w:pPr>
        <w:tabs>
          <w:tab w:val="left" w:pos="420"/>
        </w:tabs>
        <w:ind w:left="635" w:hanging="425"/>
      </w:pPr>
      <w:rPr>
        <w:rFonts w:hint="default" w:ascii="宋体" w:hAnsi="宋体" w:eastAsia="宋体" w:cs="宋体"/>
      </w:rPr>
    </w:lvl>
  </w:abstractNum>
  <w:abstractNum w:abstractNumId="14">
    <w:nsid w:val="5B4D7920"/>
    <w:multiLevelType w:val="singleLevel"/>
    <w:tmpl w:val="5B4D7920"/>
    <w:lvl w:ilvl="0" w:tentative="0">
      <w:start w:val="1"/>
      <w:numFmt w:val="chineseCounting"/>
      <w:suff w:val="space"/>
      <w:lvlText w:val="第%1部分"/>
      <w:lvlJc w:val="left"/>
      <w:rPr>
        <w:rFonts w:hint="eastAsia"/>
      </w:rPr>
    </w:lvl>
  </w:abstractNum>
  <w:abstractNum w:abstractNumId="15">
    <w:nsid w:val="5D194D29"/>
    <w:multiLevelType w:val="multilevel"/>
    <w:tmpl w:val="5D194D29"/>
    <w:lvl w:ilvl="0" w:tentative="0">
      <w:start w:val="3"/>
      <w:numFmt w:val="japaneseCounting"/>
      <w:pStyle w:val="4"/>
      <w:lvlText w:val="第%1章"/>
      <w:lvlJc w:val="left"/>
      <w:pPr>
        <w:tabs>
          <w:tab w:val="left" w:pos="1080"/>
        </w:tabs>
        <w:ind w:left="1080" w:hanging="1080"/>
      </w:pPr>
      <w:rPr>
        <w:rFonts w:hint="eastAsia"/>
        <w:b w:val="0"/>
        <w:sz w:val="2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667437AC"/>
    <w:multiLevelType w:val="multilevel"/>
    <w:tmpl w:val="667437AC"/>
    <w:lvl w:ilvl="0" w:tentative="0">
      <w:start w:val="1"/>
      <w:numFmt w:val="bullet"/>
      <w:pStyle w:val="163"/>
      <w:lvlText w:val=""/>
      <w:lvlJc w:val="left"/>
      <w:pPr>
        <w:tabs>
          <w:tab w:val="left" w:pos="2359"/>
        </w:tabs>
        <w:ind w:left="2359" w:hanging="284"/>
      </w:pPr>
      <w:rPr>
        <w:rFonts w:hint="default" w:ascii="Wingdings" w:hAnsi="Wingdings" w:cs="Wingdings"/>
        <w:position w:val="1"/>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7">
    <w:nsid w:val="6E230785"/>
    <w:multiLevelType w:val="multilevel"/>
    <w:tmpl w:val="6E230785"/>
    <w:lvl w:ilvl="0" w:tentative="0">
      <w:start w:val="1"/>
      <w:numFmt w:val="bullet"/>
      <w:pStyle w:val="139"/>
      <w:lvlText w:val=""/>
      <w:lvlJc w:val="left"/>
      <w:pPr>
        <w:tabs>
          <w:tab w:val="left" w:pos="170"/>
        </w:tabs>
        <w:ind w:left="170" w:hanging="170"/>
      </w:pPr>
      <w:rPr>
        <w:rFonts w:hint="default" w:ascii="Wingdings" w:hAnsi="Wingdings" w:eastAsia="宋体"/>
        <w:b w:val="0"/>
        <w:i w:val="0"/>
        <w:color w:val="auto"/>
        <w:position w:val="3"/>
        <w:sz w:val="13"/>
        <w:szCs w:val="13"/>
      </w:rPr>
    </w:lvl>
    <w:lvl w:ilvl="1" w:tentative="0">
      <w:start w:val="1"/>
      <w:numFmt w:val="lowerLetter"/>
      <w:lvlText w:val="%2."/>
      <w:lvlJc w:val="left"/>
      <w:pPr>
        <w:tabs>
          <w:tab w:val="left" w:pos="284"/>
        </w:tabs>
        <w:ind w:left="568" w:hanging="284"/>
      </w:pPr>
      <w:rPr>
        <w:rFonts w:hint="default" w:ascii="Times New Roman" w:hAnsi="Times New Roman" w:cs="Book Antiqua"/>
        <w:b w:val="0"/>
        <w:bCs/>
        <w:i w:val="0"/>
        <w:iCs w:val="0"/>
        <w:sz w:val="21"/>
        <w:szCs w:val="21"/>
        <w:u w:val="none"/>
      </w:rPr>
    </w:lvl>
    <w:lvl w:ilvl="2" w:tentative="0">
      <w:start w:val="1"/>
      <w:numFmt w:val="bullet"/>
      <w:pStyle w:val="193"/>
      <w:lvlText w:val="−"/>
      <w:lvlJc w:val="left"/>
      <w:pPr>
        <w:tabs>
          <w:tab w:val="left" w:pos="568"/>
        </w:tabs>
        <w:ind w:left="568" w:hanging="284"/>
      </w:pPr>
      <w:rPr>
        <w:rFonts w:hint="default" w:ascii="Times New Roman" w:hAnsi="Times New Roman" w:cs="Times New Roman"/>
        <w:sz w:val="16"/>
        <w:szCs w:val="16"/>
      </w:rPr>
    </w:lvl>
    <w:lvl w:ilvl="3" w:tentative="0">
      <w:start w:val="1"/>
      <w:numFmt w:val="decimal"/>
      <w:lvlText w:val="%4."/>
      <w:lvlJc w:val="left"/>
      <w:pPr>
        <w:tabs>
          <w:tab w:val="left" w:pos="284"/>
        </w:tabs>
        <w:ind w:left="568" w:hanging="284"/>
      </w:pPr>
      <w:rPr>
        <w:rFonts w:hint="default" w:ascii="Times New Roman" w:hAnsi="Times New Roman" w:cs="Book Antiqua"/>
        <w:b w:val="0"/>
        <w:bCs/>
        <w:i w:val="0"/>
        <w:iCs w:val="0"/>
        <w:sz w:val="21"/>
        <w:szCs w:val="21"/>
        <w:u w:val="none"/>
      </w:rPr>
    </w:lvl>
    <w:lvl w:ilvl="4" w:tentative="0">
      <w:start w:val="1"/>
      <w:numFmt w:val="bullet"/>
      <w:lvlText w:val=""/>
      <w:lvlJc w:val="left"/>
      <w:pPr>
        <w:tabs>
          <w:tab w:val="left" w:pos="568"/>
        </w:tabs>
        <w:ind w:left="568" w:hanging="284"/>
      </w:pPr>
      <w:rPr>
        <w:rFonts w:hint="default" w:ascii="Wingdings" w:hAnsi="Wingdings" w:eastAsia="宋体"/>
        <w:b w:val="0"/>
        <w:i w:val="0"/>
        <w:color w:val="auto"/>
        <w:position w:val="3"/>
        <w:sz w:val="13"/>
        <w:szCs w:val="13"/>
      </w:rPr>
    </w:lvl>
    <w:lvl w:ilvl="5" w:tentative="0">
      <w:start w:val="1"/>
      <w:numFmt w:val="decimal"/>
      <w:lvlText w:val="%6."/>
      <w:lvlJc w:val="left"/>
      <w:pPr>
        <w:tabs>
          <w:tab w:val="left" w:pos="1985"/>
        </w:tabs>
        <w:ind w:left="1985" w:hanging="284"/>
      </w:pPr>
      <w:rPr>
        <w:rFonts w:hint="default" w:ascii="Times New Roman" w:hAnsi="Times New Roman" w:cs="Book Antiqua"/>
        <w:color w:val="auto"/>
        <w:spacing w:val="0"/>
        <w:w w:val="100"/>
        <w:position w:val="1"/>
        <w:sz w:val="21"/>
        <w:szCs w:val="21"/>
      </w:rPr>
    </w:lvl>
    <w:lvl w:ilvl="6" w:tentative="0">
      <w:start w:val="1"/>
      <w:numFmt w:val="decimal"/>
      <w:lvlText w:val="%7."/>
      <w:lvlJc w:val="left"/>
      <w:pPr>
        <w:tabs>
          <w:tab w:val="left" w:pos="2359"/>
        </w:tabs>
        <w:ind w:left="2359" w:hanging="284"/>
      </w:pPr>
      <w:rPr>
        <w:rFonts w:hint="default" w:ascii="Times New Roman" w:hAnsi="Times New Roman" w:cs="Book Antiqua"/>
        <w:color w:val="auto"/>
        <w:spacing w:val="0"/>
        <w:w w:val="100"/>
        <w:position w:val="1"/>
        <w:sz w:val="18"/>
        <w:szCs w:val="18"/>
      </w:rPr>
    </w:lvl>
    <w:lvl w:ilvl="7" w:tentative="0">
      <w:start w:val="1"/>
      <w:numFmt w:val="decimal"/>
      <w:pStyle w:val="118"/>
      <w:lvlText w:val="%8."/>
      <w:lvlJc w:val="left"/>
      <w:pPr>
        <w:tabs>
          <w:tab w:val="left" w:pos="454"/>
        </w:tabs>
        <w:ind w:left="454" w:hanging="284"/>
      </w:pPr>
      <w:rPr>
        <w:rFonts w:hint="default" w:ascii="Times New Roman" w:hAnsi="Times New Roman" w:cs="Book Antiqua"/>
        <w:color w:val="auto"/>
        <w:spacing w:val="0"/>
        <w:w w:val="100"/>
        <w:position w:val="1"/>
        <w:sz w:val="18"/>
        <w:szCs w:val="18"/>
      </w:rPr>
    </w:lvl>
    <w:lvl w:ilvl="8" w:tentative="0">
      <w:start w:val="1"/>
      <w:numFmt w:val="bullet"/>
      <w:lvlText w:val=""/>
      <w:lvlJc w:val="left"/>
      <w:pPr>
        <w:tabs>
          <w:tab w:val="left" w:pos="3780"/>
        </w:tabs>
        <w:ind w:left="3780" w:hanging="420"/>
      </w:pPr>
      <w:rPr>
        <w:rFonts w:hint="default" w:ascii="Wingdings" w:hAnsi="Wingdings"/>
      </w:rPr>
    </w:lvl>
  </w:abstractNum>
  <w:abstractNum w:abstractNumId="18">
    <w:nsid w:val="77F533B5"/>
    <w:multiLevelType w:val="multilevel"/>
    <w:tmpl w:val="77F533B5"/>
    <w:lvl w:ilvl="0" w:tentative="0">
      <w:start w:val="1"/>
      <w:numFmt w:val="decimal"/>
      <w:pStyle w:val="136"/>
      <w:lvlText w:val="%1."/>
      <w:lvlJc w:val="left"/>
      <w:pPr>
        <w:ind w:left="420" w:hanging="420"/>
      </w:pPr>
      <w:rPr>
        <w:rFonts w:hint="eastAsia" w:ascii="Times New Roman" w:hAnsi="Times New Roman"/>
        <w:b/>
        <w:i w:val="0"/>
        <w:color w:val="000000"/>
      </w:rPr>
    </w:lvl>
    <w:lvl w:ilvl="1" w:tentative="0">
      <w:start w:val="1"/>
      <w:numFmt w:val="decimal"/>
      <w:pStyle w:val="159"/>
      <w:lvlText w:val="%1.%2."/>
      <w:lvlJc w:val="left"/>
      <w:pPr>
        <w:ind w:left="284" w:hanging="284"/>
      </w:pPr>
      <w:rPr>
        <w:rFonts w:hint="default" w:ascii="Times New Roman" w:hAnsi="Times New Roman" w:eastAsia="黑体" w:cs="Times New Roman"/>
        <w:b/>
        <w:i w:val="0"/>
        <w:color w:val="000000"/>
      </w:rPr>
    </w:lvl>
    <w:lvl w:ilvl="2" w:tentative="0">
      <w:start w:val="1"/>
      <w:numFmt w:val="decimal"/>
      <w:pStyle w:val="221"/>
      <w:lvlText w:val="%1.%2.%3."/>
      <w:lvlJc w:val="left"/>
      <w:pPr>
        <w:ind w:left="993" w:hanging="284"/>
      </w:pPr>
      <w:rPr>
        <w:rFonts w:hint="default" w:ascii="Times New Roman" w:hAnsi="Times New Roman" w:eastAsia="宋体" w:cs="Times New Roman"/>
        <w:b/>
        <w:bCs w:val="0"/>
        <w:i w:val="0"/>
        <w:iCs w:val="0"/>
        <w:caps w:val="0"/>
        <w:smallCaps w:val="0"/>
        <w:strike w:val="0"/>
        <w:dstrike w:val="0"/>
        <w:vanish w:val="0"/>
        <w:color w:val="000000"/>
        <w:spacing w:val="0"/>
        <w:position w:val="0"/>
        <w:u w:val="none"/>
        <w:vertAlign w:val="baseline"/>
      </w:rPr>
    </w:lvl>
    <w:lvl w:ilvl="3" w:tentative="0">
      <w:start w:val="1"/>
      <w:numFmt w:val="decimal"/>
      <w:pStyle w:val="170"/>
      <w:lvlText w:val="%1.%2.%3.%4."/>
      <w:lvlJc w:val="left"/>
      <w:pPr>
        <w:ind w:left="284" w:hanging="284"/>
      </w:pPr>
      <w:rPr>
        <w:rFonts w:hint="default" w:ascii="Times New Roman" w:hAnsi="Times New Roman" w:eastAsia="黑体" w:cs="Times New Roman"/>
        <w:b/>
        <w:i w:val="0"/>
        <w:color w:val="000000"/>
      </w:rPr>
    </w:lvl>
    <w:lvl w:ilvl="4" w:tentative="0">
      <w:start w:val="1"/>
      <w:numFmt w:val="decimal"/>
      <w:pStyle w:val="210"/>
      <w:lvlText w:val="%1.%2.%3.%4.%5."/>
      <w:lvlJc w:val="left"/>
      <w:pPr>
        <w:tabs>
          <w:tab w:val="left" w:pos="426"/>
        </w:tabs>
        <w:ind w:left="426" w:hanging="284"/>
      </w:pPr>
      <w:rPr>
        <w:rFonts w:hint="default" w:ascii="Times New Roman" w:hAnsi="Times New Roman" w:eastAsia="黑体"/>
        <w:b/>
        <w:i w:val="0"/>
        <w:color w:val="auto"/>
      </w:rPr>
    </w:lvl>
    <w:lvl w:ilvl="5" w:tentative="0">
      <w:start w:val="1"/>
      <w:numFmt w:val="decimal"/>
      <w:lvlText w:val="%1.%2.%3.%4.%5.%6."/>
      <w:lvlJc w:val="left"/>
      <w:pPr>
        <w:tabs>
          <w:tab w:val="left" w:pos="284"/>
        </w:tabs>
        <w:ind w:left="284" w:hanging="284"/>
      </w:pPr>
      <w:rPr>
        <w:rFonts w:hint="default" w:ascii="Times New Roman" w:hAnsi="Times New Roman" w:eastAsia="黑体"/>
        <w:b/>
        <w:i w:val="0"/>
        <w:color w:val="auto"/>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9">
    <w:nsid w:val="7F773C35"/>
    <w:multiLevelType w:val="multilevel"/>
    <w:tmpl w:val="7F773C35"/>
    <w:lvl w:ilvl="0" w:tentative="0">
      <w:start w:val="1"/>
      <w:numFmt w:val="decimal"/>
      <w:pStyle w:val="112"/>
      <w:lvlText w:val="%1."/>
      <w:lvlJc w:val="left"/>
      <w:pPr>
        <w:tabs>
          <w:tab w:val="left" w:pos="2126"/>
        </w:tabs>
        <w:ind w:left="2126" w:hanging="425"/>
      </w:pPr>
      <w:rPr>
        <w:rFonts w:hint="default" w:ascii="Times New Roman" w:hAnsi="Times New Roman" w:cs="Book Antiqua"/>
        <w:b w:val="0"/>
        <w:bCs/>
        <w:i w:val="0"/>
        <w:iCs w:val="0"/>
        <w:sz w:val="21"/>
        <w:szCs w:val="21"/>
        <w:u w:val="none"/>
      </w:rPr>
    </w:lvl>
    <w:lvl w:ilvl="1" w:tentative="0">
      <w:start w:val="1"/>
      <w:numFmt w:val="lowerLetter"/>
      <w:pStyle w:val="129"/>
      <w:lvlText w:val="%2."/>
      <w:lvlJc w:val="left"/>
      <w:pPr>
        <w:tabs>
          <w:tab w:val="left" w:pos="2551"/>
        </w:tabs>
        <w:ind w:left="2551" w:hanging="425"/>
      </w:pPr>
      <w:rPr>
        <w:rFonts w:hint="default" w:ascii="Times New Roman" w:hAnsi="Times New Roman" w:cs="Book Antiqua"/>
        <w:b w:val="0"/>
        <w:bCs/>
        <w:i w:val="0"/>
        <w:iCs w:val="0"/>
        <w:sz w:val="21"/>
        <w:szCs w:val="21"/>
        <w:u w:val="none"/>
      </w:rPr>
    </w:lvl>
    <w:lvl w:ilvl="2" w:tentative="0">
      <w:start w:val="1"/>
      <w:numFmt w:val="lowerRoman"/>
      <w:pStyle w:val="137"/>
      <w:lvlText w:val="%3."/>
      <w:lvlJc w:val="left"/>
      <w:pPr>
        <w:tabs>
          <w:tab w:val="left" w:pos="2976"/>
        </w:tabs>
        <w:ind w:left="2976" w:hanging="425"/>
      </w:pPr>
      <w:rPr>
        <w:rFonts w:hint="default" w:ascii="Times New Roman" w:hAnsi="Times New Roman" w:cs="Book Antiqua"/>
        <w:b w:val="0"/>
        <w:bCs/>
        <w:i w:val="0"/>
        <w:iCs w:val="0"/>
        <w:sz w:val="21"/>
        <w:szCs w:val="21"/>
        <w:u w:val="none"/>
      </w:rPr>
    </w:lvl>
    <w:lvl w:ilvl="3" w:tentative="0">
      <w:start w:val="1"/>
      <w:numFmt w:val="decimal"/>
      <w:pStyle w:val="201"/>
      <w:lvlText w:val="%4)"/>
      <w:lvlJc w:val="left"/>
      <w:pPr>
        <w:tabs>
          <w:tab w:val="left" w:pos="3401"/>
        </w:tabs>
        <w:ind w:left="3401" w:hanging="425"/>
      </w:pPr>
      <w:rPr>
        <w:rFonts w:hint="default" w:ascii="Times New Roman" w:hAnsi="Times New Roman" w:cs="Book Antiqua"/>
        <w:b w:val="0"/>
        <w:bCs/>
        <w:i w:val="0"/>
        <w:iCs w:val="0"/>
        <w:sz w:val="21"/>
        <w:szCs w:val="21"/>
        <w:u w:val="none"/>
      </w:rPr>
    </w:lvl>
    <w:lvl w:ilvl="4" w:tentative="0">
      <w:start w:val="1"/>
      <w:numFmt w:val="bullet"/>
      <w:lvlText w:val=""/>
      <w:lvlJc w:val="left"/>
      <w:pPr>
        <w:tabs>
          <w:tab w:val="left" w:pos="1260"/>
        </w:tabs>
        <w:ind w:left="1260" w:hanging="420"/>
      </w:pPr>
      <w:rPr>
        <w:rFonts w:hint="default" w:ascii="Wingdings" w:hAnsi="Wingdings"/>
      </w:rPr>
    </w:lvl>
    <w:lvl w:ilvl="5" w:tentative="0">
      <w:start w:val="1"/>
      <w:numFmt w:val="bullet"/>
      <w:lvlText w:val=""/>
      <w:lvlJc w:val="left"/>
      <w:pPr>
        <w:tabs>
          <w:tab w:val="left" w:pos="1680"/>
        </w:tabs>
        <w:ind w:left="1680" w:hanging="420"/>
      </w:pPr>
      <w:rPr>
        <w:rFonts w:hint="default" w:ascii="Wingdings" w:hAnsi="Wingdings"/>
      </w:rPr>
    </w:lvl>
    <w:lvl w:ilvl="6" w:tentative="0">
      <w:start w:val="1"/>
      <w:numFmt w:val="bullet"/>
      <w:lvlText w:val=""/>
      <w:lvlJc w:val="left"/>
      <w:pPr>
        <w:tabs>
          <w:tab w:val="left" w:pos="2100"/>
        </w:tabs>
        <w:ind w:left="2100" w:hanging="420"/>
      </w:pPr>
      <w:rPr>
        <w:rFonts w:hint="default" w:ascii="Wingdings" w:hAnsi="Wingdings"/>
      </w:rPr>
    </w:lvl>
    <w:lvl w:ilvl="7" w:tentative="0">
      <w:start w:val="1"/>
      <w:numFmt w:val="bullet"/>
      <w:lvlText w:val=""/>
      <w:lvlJc w:val="left"/>
      <w:pPr>
        <w:tabs>
          <w:tab w:val="left" w:pos="2520"/>
        </w:tabs>
        <w:ind w:left="2520" w:hanging="420"/>
      </w:pPr>
      <w:rPr>
        <w:rFonts w:hint="default" w:ascii="Wingdings" w:hAnsi="Wingdings"/>
      </w:rPr>
    </w:lvl>
    <w:lvl w:ilvl="8" w:tentative="0">
      <w:start w:val="1"/>
      <w:numFmt w:val="decimal"/>
      <w:lvlRestart w:val="0"/>
      <w:lvlText w:val="%9."/>
      <w:lvlJc w:val="left"/>
      <w:pPr>
        <w:tabs>
          <w:tab w:val="left" w:pos="284"/>
        </w:tabs>
        <w:ind w:left="284" w:hanging="284"/>
      </w:pPr>
      <w:rPr>
        <w:rFonts w:hint="eastAsia"/>
      </w:rPr>
    </w:lvl>
  </w:abstractNum>
  <w:num w:numId="1">
    <w:abstractNumId w:val="15"/>
  </w:num>
  <w:num w:numId="2">
    <w:abstractNumId w:val="1"/>
  </w:num>
  <w:num w:numId="3">
    <w:abstractNumId w:val="5"/>
  </w:num>
  <w:num w:numId="4">
    <w:abstractNumId w:val="7"/>
  </w:num>
  <w:num w:numId="5">
    <w:abstractNumId w:val="19"/>
  </w:num>
  <w:num w:numId="6">
    <w:abstractNumId w:val="17"/>
  </w:num>
  <w:num w:numId="7">
    <w:abstractNumId w:val="12"/>
  </w:num>
  <w:num w:numId="8">
    <w:abstractNumId w:val="18"/>
  </w:num>
  <w:num w:numId="9">
    <w:abstractNumId w:val="3"/>
  </w:num>
  <w:num w:numId="10">
    <w:abstractNumId w:val="16"/>
  </w:num>
  <w:num w:numId="11">
    <w:abstractNumId w:val="4"/>
  </w:num>
  <w:num w:numId="12">
    <w:abstractNumId w:val="14"/>
  </w:num>
  <w:num w:numId="13">
    <w:abstractNumId w:val="11"/>
  </w:num>
  <w:num w:numId="14">
    <w:abstractNumId w:val="2"/>
  </w:num>
  <w:num w:numId="15">
    <w:abstractNumId w:val="13"/>
  </w:num>
  <w:num w:numId="16">
    <w:abstractNumId w:val="6"/>
  </w:num>
  <w:num w:numId="17">
    <w:abstractNumId w:val="0"/>
  </w:num>
  <w:num w:numId="18">
    <w:abstractNumId w:val="9"/>
  </w:num>
  <w:num w:numId="19">
    <w:abstractNumId w:val="8"/>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420"/>
  <w:hyphenationZone w:val="360"/>
  <w:drawingGridHorizontalSpacing w:val="105"/>
  <w:drawingGridVerticalSpacing w:val="189"/>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5633EE"/>
    <w:rsid w:val="00000414"/>
    <w:rsid w:val="000019BF"/>
    <w:rsid w:val="0000253D"/>
    <w:rsid w:val="00002958"/>
    <w:rsid w:val="000035EC"/>
    <w:rsid w:val="000039FC"/>
    <w:rsid w:val="00003C75"/>
    <w:rsid w:val="00003FA3"/>
    <w:rsid w:val="00004D14"/>
    <w:rsid w:val="0000553A"/>
    <w:rsid w:val="00005706"/>
    <w:rsid w:val="0000592C"/>
    <w:rsid w:val="0000726F"/>
    <w:rsid w:val="000072B6"/>
    <w:rsid w:val="000073D8"/>
    <w:rsid w:val="00007F7B"/>
    <w:rsid w:val="00010218"/>
    <w:rsid w:val="000109B5"/>
    <w:rsid w:val="00011E4C"/>
    <w:rsid w:val="00012651"/>
    <w:rsid w:val="00013228"/>
    <w:rsid w:val="000134CB"/>
    <w:rsid w:val="000134F3"/>
    <w:rsid w:val="00013521"/>
    <w:rsid w:val="00013EE5"/>
    <w:rsid w:val="00013F7D"/>
    <w:rsid w:val="000144CB"/>
    <w:rsid w:val="000158C8"/>
    <w:rsid w:val="000158F5"/>
    <w:rsid w:val="00016A51"/>
    <w:rsid w:val="00016C4C"/>
    <w:rsid w:val="00017668"/>
    <w:rsid w:val="000176FE"/>
    <w:rsid w:val="000177F1"/>
    <w:rsid w:val="00017A0F"/>
    <w:rsid w:val="00020055"/>
    <w:rsid w:val="0002032E"/>
    <w:rsid w:val="0002110E"/>
    <w:rsid w:val="00021330"/>
    <w:rsid w:val="00022A4E"/>
    <w:rsid w:val="00022FD6"/>
    <w:rsid w:val="00023467"/>
    <w:rsid w:val="000234F8"/>
    <w:rsid w:val="000238D6"/>
    <w:rsid w:val="00024916"/>
    <w:rsid w:val="000249D0"/>
    <w:rsid w:val="0002533F"/>
    <w:rsid w:val="00025480"/>
    <w:rsid w:val="000257AA"/>
    <w:rsid w:val="00025C52"/>
    <w:rsid w:val="000268AB"/>
    <w:rsid w:val="00026E22"/>
    <w:rsid w:val="00027955"/>
    <w:rsid w:val="00027983"/>
    <w:rsid w:val="00030E8F"/>
    <w:rsid w:val="00030FA7"/>
    <w:rsid w:val="00032222"/>
    <w:rsid w:val="00032311"/>
    <w:rsid w:val="00032FBA"/>
    <w:rsid w:val="000341B7"/>
    <w:rsid w:val="000348A5"/>
    <w:rsid w:val="00035836"/>
    <w:rsid w:val="00035971"/>
    <w:rsid w:val="00035CE6"/>
    <w:rsid w:val="00035E2B"/>
    <w:rsid w:val="00035E54"/>
    <w:rsid w:val="00036717"/>
    <w:rsid w:val="00036916"/>
    <w:rsid w:val="0003764C"/>
    <w:rsid w:val="0003794F"/>
    <w:rsid w:val="0004071A"/>
    <w:rsid w:val="000410FA"/>
    <w:rsid w:val="0004190A"/>
    <w:rsid w:val="000420B0"/>
    <w:rsid w:val="0004261F"/>
    <w:rsid w:val="00042AB4"/>
    <w:rsid w:val="00042FF8"/>
    <w:rsid w:val="000432B4"/>
    <w:rsid w:val="00043772"/>
    <w:rsid w:val="00043986"/>
    <w:rsid w:val="00043C0E"/>
    <w:rsid w:val="000446D4"/>
    <w:rsid w:val="0004481C"/>
    <w:rsid w:val="00044A72"/>
    <w:rsid w:val="00044F25"/>
    <w:rsid w:val="00044FB0"/>
    <w:rsid w:val="00047FFE"/>
    <w:rsid w:val="00050EE1"/>
    <w:rsid w:val="0005102B"/>
    <w:rsid w:val="00051EE0"/>
    <w:rsid w:val="00052679"/>
    <w:rsid w:val="000529DC"/>
    <w:rsid w:val="00052CD4"/>
    <w:rsid w:val="00052D9D"/>
    <w:rsid w:val="0005309D"/>
    <w:rsid w:val="00053872"/>
    <w:rsid w:val="00053896"/>
    <w:rsid w:val="00053C6A"/>
    <w:rsid w:val="00055F1B"/>
    <w:rsid w:val="0005625F"/>
    <w:rsid w:val="000605C6"/>
    <w:rsid w:val="00061124"/>
    <w:rsid w:val="000614AC"/>
    <w:rsid w:val="00061539"/>
    <w:rsid w:val="00064589"/>
    <w:rsid w:val="0006468D"/>
    <w:rsid w:val="00064C87"/>
    <w:rsid w:val="00065EE9"/>
    <w:rsid w:val="00065FDC"/>
    <w:rsid w:val="00066B24"/>
    <w:rsid w:val="0006711A"/>
    <w:rsid w:val="000703AA"/>
    <w:rsid w:val="00071483"/>
    <w:rsid w:val="00071680"/>
    <w:rsid w:val="00071EB4"/>
    <w:rsid w:val="00071FFE"/>
    <w:rsid w:val="0007319E"/>
    <w:rsid w:val="00073220"/>
    <w:rsid w:val="00073A23"/>
    <w:rsid w:val="00073B74"/>
    <w:rsid w:val="00073C1B"/>
    <w:rsid w:val="00073F6A"/>
    <w:rsid w:val="0007509E"/>
    <w:rsid w:val="00077339"/>
    <w:rsid w:val="00077991"/>
    <w:rsid w:val="00080CD1"/>
    <w:rsid w:val="000817E0"/>
    <w:rsid w:val="00081B53"/>
    <w:rsid w:val="00081D36"/>
    <w:rsid w:val="000828D9"/>
    <w:rsid w:val="0008311F"/>
    <w:rsid w:val="00083273"/>
    <w:rsid w:val="000832C9"/>
    <w:rsid w:val="0008333B"/>
    <w:rsid w:val="00083683"/>
    <w:rsid w:val="00084956"/>
    <w:rsid w:val="00085622"/>
    <w:rsid w:val="00086F6C"/>
    <w:rsid w:val="00087AF8"/>
    <w:rsid w:val="00087FEA"/>
    <w:rsid w:val="0009089F"/>
    <w:rsid w:val="00090BC5"/>
    <w:rsid w:val="00090C07"/>
    <w:rsid w:val="00090D47"/>
    <w:rsid w:val="0009256B"/>
    <w:rsid w:val="00093488"/>
    <w:rsid w:val="00094923"/>
    <w:rsid w:val="00095861"/>
    <w:rsid w:val="00095878"/>
    <w:rsid w:val="00095B5A"/>
    <w:rsid w:val="00096696"/>
    <w:rsid w:val="00096803"/>
    <w:rsid w:val="00097142"/>
    <w:rsid w:val="000976C1"/>
    <w:rsid w:val="000A0069"/>
    <w:rsid w:val="000A274E"/>
    <w:rsid w:val="000A2DF6"/>
    <w:rsid w:val="000A30C4"/>
    <w:rsid w:val="000A334B"/>
    <w:rsid w:val="000A4AFA"/>
    <w:rsid w:val="000A4C2E"/>
    <w:rsid w:val="000A4C3D"/>
    <w:rsid w:val="000A5B93"/>
    <w:rsid w:val="000A6ACE"/>
    <w:rsid w:val="000A6E3A"/>
    <w:rsid w:val="000A7BC4"/>
    <w:rsid w:val="000B033E"/>
    <w:rsid w:val="000B1B6C"/>
    <w:rsid w:val="000B24FA"/>
    <w:rsid w:val="000B2831"/>
    <w:rsid w:val="000B42F6"/>
    <w:rsid w:val="000B51A3"/>
    <w:rsid w:val="000B55EB"/>
    <w:rsid w:val="000B5733"/>
    <w:rsid w:val="000B6132"/>
    <w:rsid w:val="000B691F"/>
    <w:rsid w:val="000B6E96"/>
    <w:rsid w:val="000B7473"/>
    <w:rsid w:val="000C029D"/>
    <w:rsid w:val="000C08E7"/>
    <w:rsid w:val="000C0FFC"/>
    <w:rsid w:val="000C11D5"/>
    <w:rsid w:val="000C2048"/>
    <w:rsid w:val="000C4102"/>
    <w:rsid w:val="000C4B65"/>
    <w:rsid w:val="000C4B7F"/>
    <w:rsid w:val="000C4DC1"/>
    <w:rsid w:val="000C6B72"/>
    <w:rsid w:val="000C6F1D"/>
    <w:rsid w:val="000C7C89"/>
    <w:rsid w:val="000D006F"/>
    <w:rsid w:val="000D0979"/>
    <w:rsid w:val="000D0B9D"/>
    <w:rsid w:val="000D0CB7"/>
    <w:rsid w:val="000D0D90"/>
    <w:rsid w:val="000D11A9"/>
    <w:rsid w:val="000D25B1"/>
    <w:rsid w:val="000D27AE"/>
    <w:rsid w:val="000D37D0"/>
    <w:rsid w:val="000D44ED"/>
    <w:rsid w:val="000D4C7F"/>
    <w:rsid w:val="000D541D"/>
    <w:rsid w:val="000D658D"/>
    <w:rsid w:val="000D6C90"/>
    <w:rsid w:val="000D7228"/>
    <w:rsid w:val="000D72AD"/>
    <w:rsid w:val="000D7FE7"/>
    <w:rsid w:val="000E0E9C"/>
    <w:rsid w:val="000E1236"/>
    <w:rsid w:val="000E1EAF"/>
    <w:rsid w:val="000E236C"/>
    <w:rsid w:val="000E4341"/>
    <w:rsid w:val="000E4889"/>
    <w:rsid w:val="000E5244"/>
    <w:rsid w:val="000E5901"/>
    <w:rsid w:val="000E597B"/>
    <w:rsid w:val="000E5A7D"/>
    <w:rsid w:val="000E5B39"/>
    <w:rsid w:val="000E6F73"/>
    <w:rsid w:val="000E7982"/>
    <w:rsid w:val="000F0938"/>
    <w:rsid w:val="000F0C57"/>
    <w:rsid w:val="000F0FB0"/>
    <w:rsid w:val="000F120B"/>
    <w:rsid w:val="000F1578"/>
    <w:rsid w:val="000F19B4"/>
    <w:rsid w:val="000F24D3"/>
    <w:rsid w:val="000F322A"/>
    <w:rsid w:val="000F34BB"/>
    <w:rsid w:val="000F4B48"/>
    <w:rsid w:val="000F657A"/>
    <w:rsid w:val="000F6E6A"/>
    <w:rsid w:val="00102902"/>
    <w:rsid w:val="00103158"/>
    <w:rsid w:val="001032F1"/>
    <w:rsid w:val="00103D80"/>
    <w:rsid w:val="001040D5"/>
    <w:rsid w:val="00104314"/>
    <w:rsid w:val="0010484B"/>
    <w:rsid w:val="00104853"/>
    <w:rsid w:val="00104CB4"/>
    <w:rsid w:val="00106046"/>
    <w:rsid w:val="00107565"/>
    <w:rsid w:val="0011002F"/>
    <w:rsid w:val="00110E26"/>
    <w:rsid w:val="001110AC"/>
    <w:rsid w:val="00111C95"/>
    <w:rsid w:val="00111F0E"/>
    <w:rsid w:val="0011222B"/>
    <w:rsid w:val="00112573"/>
    <w:rsid w:val="00112BFF"/>
    <w:rsid w:val="00113E83"/>
    <w:rsid w:val="001155AE"/>
    <w:rsid w:val="00116CEB"/>
    <w:rsid w:val="00120359"/>
    <w:rsid w:val="001212BB"/>
    <w:rsid w:val="00122103"/>
    <w:rsid w:val="0012231A"/>
    <w:rsid w:val="00122C65"/>
    <w:rsid w:val="00123BCE"/>
    <w:rsid w:val="001240BD"/>
    <w:rsid w:val="00124FF0"/>
    <w:rsid w:val="00125280"/>
    <w:rsid w:val="00125877"/>
    <w:rsid w:val="00125B95"/>
    <w:rsid w:val="00126282"/>
    <w:rsid w:val="00130214"/>
    <w:rsid w:val="00130676"/>
    <w:rsid w:val="00131545"/>
    <w:rsid w:val="00131D37"/>
    <w:rsid w:val="00132EC8"/>
    <w:rsid w:val="00132F19"/>
    <w:rsid w:val="00133008"/>
    <w:rsid w:val="00133210"/>
    <w:rsid w:val="001337D0"/>
    <w:rsid w:val="00133A47"/>
    <w:rsid w:val="001344B0"/>
    <w:rsid w:val="00134CF8"/>
    <w:rsid w:val="00135547"/>
    <w:rsid w:val="00135BA8"/>
    <w:rsid w:val="001374E3"/>
    <w:rsid w:val="001378F2"/>
    <w:rsid w:val="0013793D"/>
    <w:rsid w:val="00137BE3"/>
    <w:rsid w:val="00137C50"/>
    <w:rsid w:val="00141EB0"/>
    <w:rsid w:val="0014210B"/>
    <w:rsid w:val="00142D47"/>
    <w:rsid w:val="00143250"/>
    <w:rsid w:val="00143992"/>
    <w:rsid w:val="00143E8B"/>
    <w:rsid w:val="00144076"/>
    <w:rsid w:val="001447A8"/>
    <w:rsid w:val="00145F02"/>
    <w:rsid w:val="00146CC5"/>
    <w:rsid w:val="00146E20"/>
    <w:rsid w:val="00147B73"/>
    <w:rsid w:val="00150152"/>
    <w:rsid w:val="001501D2"/>
    <w:rsid w:val="00150362"/>
    <w:rsid w:val="00150B75"/>
    <w:rsid w:val="001515B5"/>
    <w:rsid w:val="00151795"/>
    <w:rsid w:val="0015298F"/>
    <w:rsid w:val="00152F44"/>
    <w:rsid w:val="001530DD"/>
    <w:rsid w:val="00153465"/>
    <w:rsid w:val="00154FF7"/>
    <w:rsid w:val="00155E29"/>
    <w:rsid w:val="00161C93"/>
    <w:rsid w:val="00162023"/>
    <w:rsid w:val="001628FC"/>
    <w:rsid w:val="00162ED1"/>
    <w:rsid w:val="00163039"/>
    <w:rsid w:val="0016348A"/>
    <w:rsid w:val="00163F69"/>
    <w:rsid w:val="00164053"/>
    <w:rsid w:val="0016450A"/>
    <w:rsid w:val="00165568"/>
    <w:rsid w:val="001655F3"/>
    <w:rsid w:val="00165FBE"/>
    <w:rsid w:val="00166196"/>
    <w:rsid w:val="00167207"/>
    <w:rsid w:val="00167E1D"/>
    <w:rsid w:val="001702BB"/>
    <w:rsid w:val="0017085C"/>
    <w:rsid w:val="001718CD"/>
    <w:rsid w:val="00171D09"/>
    <w:rsid w:val="00172044"/>
    <w:rsid w:val="00172122"/>
    <w:rsid w:val="001725B6"/>
    <w:rsid w:val="00172986"/>
    <w:rsid w:val="00172AB8"/>
    <w:rsid w:val="00173093"/>
    <w:rsid w:val="001738FE"/>
    <w:rsid w:val="00173AD9"/>
    <w:rsid w:val="00174F6E"/>
    <w:rsid w:val="00175F53"/>
    <w:rsid w:val="00176571"/>
    <w:rsid w:val="0017662A"/>
    <w:rsid w:val="00176D32"/>
    <w:rsid w:val="00177468"/>
    <w:rsid w:val="00177674"/>
    <w:rsid w:val="0017793E"/>
    <w:rsid w:val="00181703"/>
    <w:rsid w:val="00181D6A"/>
    <w:rsid w:val="00181F5C"/>
    <w:rsid w:val="001830F6"/>
    <w:rsid w:val="0018384E"/>
    <w:rsid w:val="00183F84"/>
    <w:rsid w:val="0018400D"/>
    <w:rsid w:val="00184C18"/>
    <w:rsid w:val="00184C40"/>
    <w:rsid w:val="001850B3"/>
    <w:rsid w:val="00185241"/>
    <w:rsid w:val="001857FF"/>
    <w:rsid w:val="00186B8D"/>
    <w:rsid w:val="00186C3D"/>
    <w:rsid w:val="00186DF2"/>
    <w:rsid w:val="00186E98"/>
    <w:rsid w:val="001873C9"/>
    <w:rsid w:val="001901D6"/>
    <w:rsid w:val="00190FFC"/>
    <w:rsid w:val="001910E2"/>
    <w:rsid w:val="00191DE9"/>
    <w:rsid w:val="0019219E"/>
    <w:rsid w:val="00192274"/>
    <w:rsid w:val="001923F2"/>
    <w:rsid w:val="00192762"/>
    <w:rsid w:val="00192D86"/>
    <w:rsid w:val="00193274"/>
    <w:rsid w:val="00193603"/>
    <w:rsid w:val="001943B8"/>
    <w:rsid w:val="00195ED3"/>
    <w:rsid w:val="0019644D"/>
    <w:rsid w:val="00196730"/>
    <w:rsid w:val="00196764"/>
    <w:rsid w:val="00197B3F"/>
    <w:rsid w:val="001A0498"/>
    <w:rsid w:val="001A0772"/>
    <w:rsid w:val="001A12E4"/>
    <w:rsid w:val="001A1769"/>
    <w:rsid w:val="001A21E2"/>
    <w:rsid w:val="001A240D"/>
    <w:rsid w:val="001A263E"/>
    <w:rsid w:val="001A3659"/>
    <w:rsid w:val="001A40E7"/>
    <w:rsid w:val="001A42F5"/>
    <w:rsid w:val="001A5038"/>
    <w:rsid w:val="001A62C1"/>
    <w:rsid w:val="001A684B"/>
    <w:rsid w:val="001A691D"/>
    <w:rsid w:val="001A702D"/>
    <w:rsid w:val="001A7AE2"/>
    <w:rsid w:val="001A7BCA"/>
    <w:rsid w:val="001B0C06"/>
    <w:rsid w:val="001B15E8"/>
    <w:rsid w:val="001B2648"/>
    <w:rsid w:val="001B2859"/>
    <w:rsid w:val="001B297B"/>
    <w:rsid w:val="001B3726"/>
    <w:rsid w:val="001B38D8"/>
    <w:rsid w:val="001B38F5"/>
    <w:rsid w:val="001B4782"/>
    <w:rsid w:val="001B4A76"/>
    <w:rsid w:val="001B5051"/>
    <w:rsid w:val="001B675F"/>
    <w:rsid w:val="001B6C51"/>
    <w:rsid w:val="001B7950"/>
    <w:rsid w:val="001C0289"/>
    <w:rsid w:val="001C02AF"/>
    <w:rsid w:val="001C0EE5"/>
    <w:rsid w:val="001C1542"/>
    <w:rsid w:val="001C226E"/>
    <w:rsid w:val="001C2911"/>
    <w:rsid w:val="001C36AA"/>
    <w:rsid w:val="001C371D"/>
    <w:rsid w:val="001C3A3E"/>
    <w:rsid w:val="001C4607"/>
    <w:rsid w:val="001C5C12"/>
    <w:rsid w:val="001C6318"/>
    <w:rsid w:val="001C6A09"/>
    <w:rsid w:val="001C6AC0"/>
    <w:rsid w:val="001C7487"/>
    <w:rsid w:val="001C7EF3"/>
    <w:rsid w:val="001D052F"/>
    <w:rsid w:val="001D0534"/>
    <w:rsid w:val="001D111C"/>
    <w:rsid w:val="001D4215"/>
    <w:rsid w:val="001D438A"/>
    <w:rsid w:val="001D6301"/>
    <w:rsid w:val="001D75FE"/>
    <w:rsid w:val="001D7DED"/>
    <w:rsid w:val="001E02C0"/>
    <w:rsid w:val="001E07C9"/>
    <w:rsid w:val="001E0B61"/>
    <w:rsid w:val="001E0CC8"/>
    <w:rsid w:val="001E10EF"/>
    <w:rsid w:val="001E1319"/>
    <w:rsid w:val="001E1710"/>
    <w:rsid w:val="001E22F0"/>
    <w:rsid w:val="001E38EC"/>
    <w:rsid w:val="001E3C12"/>
    <w:rsid w:val="001E55AE"/>
    <w:rsid w:val="001E5D92"/>
    <w:rsid w:val="001E6213"/>
    <w:rsid w:val="001E7747"/>
    <w:rsid w:val="001F0E2B"/>
    <w:rsid w:val="001F1315"/>
    <w:rsid w:val="001F1EC5"/>
    <w:rsid w:val="001F1F5E"/>
    <w:rsid w:val="001F229D"/>
    <w:rsid w:val="001F2B43"/>
    <w:rsid w:val="001F2CBC"/>
    <w:rsid w:val="001F42F9"/>
    <w:rsid w:val="001F4A2C"/>
    <w:rsid w:val="001F4AFF"/>
    <w:rsid w:val="001F4C9E"/>
    <w:rsid w:val="001F511C"/>
    <w:rsid w:val="001F535E"/>
    <w:rsid w:val="001F5568"/>
    <w:rsid w:val="001F5A1B"/>
    <w:rsid w:val="001F6292"/>
    <w:rsid w:val="001F67C6"/>
    <w:rsid w:val="001F7CE9"/>
    <w:rsid w:val="001F7F7E"/>
    <w:rsid w:val="00201410"/>
    <w:rsid w:val="00201ABE"/>
    <w:rsid w:val="002025E4"/>
    <w:rsid w:val="00203B67"/>
    <w:rsid w:val="00203CDD"/>
    <w:rsid w:val="00203D31"/>
    <w:rsid w:val="0020470F"/>
    <w:rsid w:val="00204A4C"/>
    <w:rsid w:val="00204CDE"/>
    <w:rsid w:val="00204FE9"/>
    <w:rsid w:val="002050A7"/>
    <w:rsid w:val="00205287"/>
    <w:rsid w:val="00206C69"/>
    <w:rsid w:val="00206F6E"/>
    <w:rsid w:val="002112F8"/>
    <w:rsid w:val="0021315F"/>
    <w:rsid w:val="0021387D"/>
    <w:rsid w:val="0021404E"/>
    <w:rsid w:val="00214559"/>
    <w:rsid w:val="002157EB"/>
    <w:rsid w:val="00215994"/>
    <w:rsid w:val="00215B05"/>
    <w:rsid w:val="00216400"/>
    <w:rsid w:val="00216C20"/>
    <w:rsid w:val="00216DDA"/>
    <w:rsid w:val="00217427"/>
    <w:rsid w:val="00217BFD"/>
    <w:rsid w:val="002202F2"/>
    <w:rsid w:val="00220418"/>
    <w:rsid w:val="002206B8"/>
    <w:rsid w:val="002207CB"/>
    <w:rsid w:val="00220CFF"/>
    <w:rsid w:val="00221D25"/>
    <w:rsid w:val="002224C9"/>
    <w:rsid w:val="00223F30"/>
    <w:rsid w:val="00224AEC"/>
    <w:rsid w:val="0022501A"/>
    <w:rsid w:val="00226B88"/>
    <w:rsid w:val="00227A8E"/>
    <w:rsid w:val="00230B8A"/>
    <w:rsid w:val="0023154D"/>
    <w:rsid w:val="0023231F"/>
    <w:rsid w:val="002332F0"/>
    <w:rsid w:val="00233F68"/>
    <w:rsid w:val="00235625"/>
    <w:rsid w:val="00235765"/>
    <w:rsid w:val="002362D9"/>
    <w:rsid w:val="002363E5"/>
    <w:rsid w:val="0023698C"/>
    <w:rsid w:val="00240368"/>
    <w:rsid w:val="002406FD"/>
    <w:rsid w:val="00241859"/>
    <w:rsid w:val="00241B10"/>
    <w:rsid w:val="00241B46"/>
    <w:rsid w:val="00242A4A"/>
    <w:rsid w:val="00242CCA"/>
    <w:rsid w:val="00242E2F"/>
    <w:rsid w:val="002446BC"/>
    <w:rsid w:val="002450FB"/>
    <w:rsid w:val="00245102"/>
    <w:rsid w:val="00245926"/>
    <w:rsid w:val="00246263"/>
    <w:rsid w:val="0024630D"/>
    <w:rsid w:val="0025000A"/>
    <w:rsid w:val="002501E0"/>
    <w:rsid w:val="00250362"/>
    <w:rsid w:val="00250528"/>
    <w:rsid w:val="00250BF7"/>
    <w:rsid w:val="00250CD4"/>
    <w:rsid w:val="0025125F"/>
    <w:rsid w:val="0025145E"/>
    <w:rsid w:val="002517EC"/>
    <w:rsid w:val="00251E00"/>
    <w:rsid w:val="00252079"/>
    <w:rsid w:val="00253197"/>
    <w:rsid w:val="00253DBB"/>
    <w:rsid w:val="00254392"/>
    <w:rsid w:val="00256CCD"/>
    <w:rsid w:val="00256D80"/>
    <w:rsid w:val="00256E4F"/>
    <w:rsid w:val="00257721"/>
    <w:rsid w:val="00257F5B"/>
    <w:rsid w:val="00260372"/>
    <w:rsid w:val="00260683"/>
    <w:rsid w:val="00260A0B"/>
    <w:rsid w:val="00260CCB"/>
    <w:rsid w:val="00260F20"/>
    <w:rsid w:val="00261100"/>
    <w:rsid w:val="00261B47"/>
    <w:rsid w:val="00262BA5"/>
    <w:rsid w:val="002632EB"/>
    <w:rsid w:val="00263316"/>
    <w:rsid w:val="0026333E"/>
    <w:rsid w:val="00264282"/>
    <w:rsid w:val="0026448E"/>
    <w:rsid w:val="00265A15"/>
    <w:rsid w:val="00265D46"/>
    <w:rsid w:val="002664CA"/>
    <w:rsid w:val="002668F5"/>
    <w:rsid w:val="002677EA"/>
    <w:rsid w:val="00270401"/>
    <w:rsid w:val="00270DD4"/>
    <w:rsid w:val="002720C2"/>
    <w:rsid w:val="00272248"/>
    <w:rsid w:val="002725EB"/>
    <w:rsid w:val="00273962"/>
    <w:rsid w:val="002747AE"/>
    <w:rsid w:val="002747C6"/>
    <w:rsid w:val="00274A8C"/>
    <w:rsid w:val="00276061"/>
    <w:rsid w:val="00277436"/>
    <w:rsid w:val="0027773A"/>
    <w:rsid w:val="002801F2"/>
    <w:rsid w:val="002813C4"/>
    <w:rsid w:val="00281740"/>
    <w:rsid w:val="002832A1"/>
    <w:rsid w:val="002835B3"/>
    <w:rsid w:val="00285435"/>
    <w:rsid w:val="00285D3F"/>
    <w:rsid w:val="00285EA9"/>
    <w:rsid w:val="00286CA8"/>
    <w:rsid w:val="002902C4"/>
    <w:rsid w:val="00290459"/>
    <w:rsid w:val="0029046C"/>
    <w:rsid w:val="00291605"/>
    <w:rsid w:val="0029233D"/>
    <w:rsid w:val="002929DC"/>
    <w:rsid w:val="00293354"/>
    <w:rsid w:val="00293BC9"/>
    <w:rsid w:val="002941BD"/>
    <w:rsid w:val="00294B1B"/>
    <w:rsid w:val="00295126"/>
    <w:rsid w:val="00295925"/>
    <w:rsid w:val="00295B1E"/>
    <w:rsid w:val="002960D0"/>
    <w:rsid w:val="0029664C"/>
    <w:rsid w:val="00297012"/>
    <w:rsid w:val="00297DC8"/>
    <w:rsid w:val="002A0C65"/>
    <w:rsid w:val="002A16CF"/>
    <w:rsid w:val="002A1B9A"/>
    <w:rsid w:val="002A1D91"/>
    <w:rsid w:val="002A2A57"/>
    <w:rsid w:val="002A3F50"/>
    <w:rsid w:val="002B0059"/>
    <w:rsid w:val="002B0223"/>
    <w:rsid w:val="002B093D"/>
    <w:rsid w:val="002B22ED"/>
    <w:rsid w:val="002B2A81"/>
    <w:rsid w:val="002B3464"/>
    <w:rsid w:val="002B4F7F"/>
    <w:rsid w:val="002B5D43"/>
    <w:rsid w:val="002B6F9B"/>
    <w:rsid w:val="002B73DE"/>
    <w:rsid w:val="002B7AAB"/>
    <w:rsid w:val="002B7D59"/>
    <w:rsid w:val="002C068C"/>
    <w:rsid w:val="002C09FE"/>
    <w:rsid w:val="002C13C1"/>
    <w:rsid w:val="002C3F21"/>
    <w:rsid w:val="002C513F"/>
    <w:rsid w:val="002C52C8"/>
    <w:rsid w:val="002C54BD"/>
    <w:rsid w:val="002C5953"/>
    <w:rsid w:val="002C5C84"/>
    <w:rsid w:val="002C64EB"/>
    <w:rsid w:val="002C66BB"/>
    <w:rsid w:val="002C76D3"/>
    <w:rsid w:val="002D1808"/>
    <w:rsid w:val="002D1987"/>
    <w:rsid w:val="002D1CC6"/>
    <w:rsid w:val="002D22FA"/>
    <w:rsid w:val="002D2DE3"/>
    <w:rsid w:val="002D35E9"/>
    <w:rsid w:val="002D4412"/>
    <w:rsid w:val="002D49AA"/>
    <w:rsid w:val="002D49E2"/>
    <w:rsid w:val="002D59A2"/>
    <w:rsid w:val="002D69C9"/>
    <w:rsid w:val="002E0190"/>
    <w:rsid w:val="002E05D7"/>
    <w:rsid w:val="002E1A35"/>
    <w:rsid w:val="002E2095"/>
    <w:rsid w:val="002E2542"/>
    <w:rsid w:val="002E3133"/>
    <w:rsid w:val="002E335C"/>
    <w:rsid w:val="002E3615"/>
    <w:rsid w:val="002E4122"/>
    <w:rsid w:val="002E4979"/>
    <w:rsid w:val="002E5850"/>
    <w:rsid w:val="002E5D3E"/>
    <w:rsid w:val="002E674B"/>
    <w:rsid w:val="002E735E"/>
    <w:rsid w:val="002F0619"/>
    <w:rsid w:val="002F0830"/>
    <w:rsid w:val="002F0C20"/>
    <w:rsid w:val="002F0E21"/>
    <w:rsid w:val="002F13F9"/>
    <w:rsid w:val="002F16BA"/>
    <w:rsid w:val="002F1BB2"/>
    <w:rsid w:val="002F2425"/>
    <w:rsid w:val="002F25EE"/>
    <w:rsid w:val="002F2BC3"/>
    <w:rsid w:val="002F4A3C"/>
    <w:rsid w:val="002F4D58"/>
    <w:rsid w:val="002F4D5B"/>
    <w:rsid w:val="002F5449"/>
    <w:rsid w:val="002F707E"/>
    <w:rsid w:val="002F775A"/>
    <w:rsid w:val="0030017E"/>
    <w:rsid w:val="00300276"/>
    <w:rsid w:val="00300AAC"/>
    <w:rsid w:val="00301C29"/>
    <w:rsid w:val="00304927"/>
    <w:rsid w:val="00304ABE"/>
    <w:rsid w:val="00304FF0"/>
    <w:rsid w:val="003050BC"/>
    <w:rsid w:val="003062F1"/>
    <w:rsid w:val="0030735D"/>
    <w:rsid w:val="00307D85"/>
    <w:rsid w:val="003101ED"/>
    <w:rsid w:val="0031027C"/>
    <w:rsid w:val="0031036F"/>
    <w:rsid w:val="00311F15"/>
    <w:rsid w:val="00312549"/>
    <w:rsid w:val="00312AA6"/>
    <w:rsid w:val="00313A67"/>
    <w:rsid w:val="00314227"/>
    <w:rsid w:val="00314C30"/>
    <w:rsid w:val="00315769"/>
    <w:rsid w:val="0031586B"/>
    <w:rsid w:val="00316F53"/>
    <w:rsid w:val="00317014"/>
    <w:rsid w:val="0031706C"/>
    <w:rsid w:val="0031793A"/>
    <w:rsid w:val="003179F4"/>
    <w:rsid w:val="0032139A"/>
    <w:rsid w:val="00322560"/>
    <w:rsid w:val="0032305E"/>
    <w:rsid w:val="00323074"/>
    <w:rsid w:val="003245E8"/>
    <w:rsid w:val="0032460B"/>
    <w:rsid w:val="00325715"/>
    <w:rsid w:val="00325CBB"/>
    <w:rsid w:val="00325D09"/>
    <w:rsid w:val="00326BA6"/>
    <w:rsid w:val="00326F50"/>
    <w:rsid w:val="00327C90"/>
    <w:rsid w:val="00330411"/>
    <w:rsid w:val="003314CD"/>
    <w:rsid w:val="00332FCA"/>
    <w:rsid w:val="003332A7"/>
    <w:rsid w:val="00333B01"/>
    <w:rsid w:val="00333E17"/>
    <w:rsid w:val="003354C0"/>
    <w:rsid w:val="00335A10"/>
    <w:rsid w:val="00336D01"/>
    <w:rsid w:val="00337895"/>
    <w:rsid w:val="00337C17"/>
    <w:rsid w:val="00337EB6"/>
    <w:rsid w:val="00340C93"/>
    <w:rsid w:val="00340FE5"/>
    <w:rsid w:val="0034221E"/>
    <w:rsid w:val="003426CD"/>
    <w:rsid w:val="003428B4"/>
    <w:rsid w:val="003428C0"/>
    <w:rsid w:val="00343523"/>
    <w:rsid w:val="00343FB9"/>
    <w:rsid w:val="003442E8"/>
    <w:rsid w:val="003448FA"/>
    <w:rsid w:val="00344B9B"/>
    <w:rsid w:val="0034510B"/>
    <w:rsid w:val="0034527B"/>
    <w:rsid w:val="00345AD6"/>
    <w:rsid w:val="00345AE7"/>
    <w:rsid w:val="00345DFE"/>
    <w:rsid w:val="00346710"/>
    <w:rsid w:val="003467D9"/>
    <w:rsid w:val="00346916"/>
    <w:rsid w:val="00347165"/>
    <w:rsid w:val="00347268"/>
    <w:rsid w:val="00347543"/>
    <w:rsid w:val="0034767A"/>
    <w:rsid w:val="00347835"/>
    <w:rsid w:val="00350896"/>
    <w:rsid w:val="00350ECB"/>
    <w:rsid w:val="00351932"/>
    <w:rsid w:val="00351BD1"/>
    <w:rsid w:val="00351EAB"/>
    <w:rsid w:val="00352730"/>
    <w:rsid w:val="00352CE3"/>
    <w:rsid w:val="003530BF"/>
    <w:rsid w:val="003534BA"/>
    <w:rsid w:val="00353508"/>
    <w:rsid w:val="003539A4"/>
    <w:rsid w:val="00353D2A"/>
    <w:rsid w:val="003550C3"/>
    <w:rsid w:val="003552F6"/>
    <w:rsid w:val="00356127"/>
    <w:rsid w:val="003577A9"/>
    <w:rsid w:val="0036137E"/>
    <w:rsid w:val="00361C3B"/>
    <w:rsid w:val="003625C6"/>
    <w:rsid w:val="00363C8B"/>
    <w:rsid w:val="00366F63"/>
    <w:rsid w:val="00367137"/>
    <w:rsid w:val="003707C6"/>
    <w:rsid w:val="00370C45"/>
    <w:rsid w:val="00371AF8"/>
    <w:rsid w:val="00371DC2"/>
    <w:rsid w:val="00372921"/>
    <w:rsid w:val="0037304D"/>
    <w:rsid w:val="00373ADE"/>
    <w:rsid w:val="003744EF"/>
    <w:rsid w:val="00374A47"/>
    <w:rsid w:val="00374AD5"/>
    <w:rsid w:val="00374C20"/>
    <w:rsid w:val="00374DCD"/>
    <w:rsid w:val="00375085"/>
    <w:rsid w:val="00375260"/>
    <w:rsid w:val="0037674F"/>
    <w:rsid w:val="00376870"/>
    <w:rsid w:val="003779D9"/>
    <w:rsid w:val="00377EF1"/>
    <w:rsid w:val="00377F56"/>
    <w:rsid w:val="003815ED"/>
    <w:rsid w:val="003816EF"/>
    <w:rsid w:val="00381C7F"/>
    <w:rsid w:val="00382911"/>
    <w:rsid w:val="00382980"/>
    <w:rsid w:val="00382A78"/>
    <w:rsid w:val="00382C2E"/>
    <w:rsid w:val="003833EF"/>
    <w:rsid w:val="0038508D"/>
    <w:rsid w:val="003864BA"/>
    <w:rsid w:val="003866FE"/>
    <w:rsid w:val="00387131"/>
    <w:rsid w:val="00387F08"/>
    <w:rsid w:val="00390556"/>
    <w:rsid w:val="0039141E"/>
    <w:rsid w:val="003918B6"/>
    <w:rsid w:val="00392D78"/>
    <w:rsid w:val="003941EF"/>
    <w:rsid w:val="00395285"/>
    <w:rsid w:val="00395734"/>
    <w:rsid w:val="003961C2"/>
    <w:rsid w:val="00396585"/>
    <w:rsid w:val="00397D61"/>
    <w:rsid w:val="003A10B0"/>
    <w:rsid w:val="003A1141"/>
    <w:rsid w:val="003A1A70"/>
    <w:rsid w:val="003A1E93"/>
    <w:rsid w:val="003A2139"/>
    <w:rsid w:val="003A2B6E"/>
    <w:rsid w:val="003A3D81"/>
    <w:rsid w:val="003A40EE"/>
    <w:rsid w:val="003A60C6"/>
    <w:rsid w:val="003A6792"/>
    <w:rsid w:val="003A67C6"/>
    <w:rsid w:val="003A6BC1"/>
    <w:rsid w:val="003B00A0"/>
    <w:rsid w:val="003B0983"/>
    <w:rsid w:val="003B0A70"/>
    <w:rsid w:val="003B0FC7"/>
    <w:rsid w:val="003B155C"/>
    <w:rsid w:val="003B24A1"/>
    <w:rsid w:val="003B24A9"/>
    <w:rsid w:val="003B3F55"/>
    <w:rsid w:val="003B433D"/>
    <w:rsid w:val="003B4487"/>
    <w:rsid w:val="003B5462"/>
    <w:rsid w:val="003B5CFF"/>
    <w:rsid w:val="003B61A0"/>
    <w:rsid w:val="003B633D"/>
    <w:rsid w:val="003B6599"/>
    <w:rsid w:val="003B661F"/>
    <w:rsid w:val="003B7161"/>
    <w:rsid w:val="003B745F"/>
    <w:rsid w:val="003B7B3A"/>
    <w:rsid w:val="003C0457"/>
    <w:rsid w:val="003C1016"/>
    <w:rsid w:val="003C1159"/>
    <w:rsid w:val="003C18E2"/>
    <w:rsid w:val="003C1924"/>
    <w:rsid w:val="003C2BA6"/>
    <w:rsid w:val="003C2D76"/>
    <w:rsid w:val="003C2F5B"/>
    <w:rsid w:val="003C3235"/>
    <w:rsid w:val="003C362F"/>
    <w:rsid w:val="003C3697"/>
    <w:rsid w:val="003C3F15"/>
    <w:rsid w:val="003C41F8"/>
    <w:rsid w:val="003C596B"/>
    <w:rsid w:val="003C59A7"/>
    <w:rsid w:val="003C613F"/>
    <w:rsid w:val="003C64D1"/>
    <w:rsid w:val="003C706F"/>
    <w:rsid w:val="003C71F4"/>
    <w:rsid w:val="003D0605"/>
    <w:rsid w:val="003D0E96"/>
    <w:rsid w:val="003D127D"/>
    <w:rsid w:val="003D1489"/>
    <w:rsid w:val="003D26A7"/>
    <w:rsid w:val="003D28DA"/>
    <w:rsid w:val="003D343B"/>
    <w:rsid w:val="003D362F"/>
    <w:rsid w:val="003D39C7"/>
    <w:rsid w:val="003D4122"/>
    <w:rsid w:val="003D4FD5"/>
    <w:rsid w:val="003D5768"/>
    <w:rsid w:val="003D59C5"/>
    <w:rsid w:val="003D7D62"/>
    <w:rsid w:val="003E0452"/>
    <w:rsid w:val="003E0602"/>
    <w:rsid w:val="003E09DC"/>
    <w:rsid w:val="003E1194"/>
    <w:rsid w:val="003E2503"/>
    <w:rsid w:val="003E326D"/>
    <w:rsid w:val="003E467F"/>
    <w:rsid w:val="003E5102"/>
    <w:rsid w:val="003E5E17"/>
    <w:rsid w:val="003E5FDC"/>
    <w:rsid w:val="003E60C5"/>
    <w:rsid w:val="003E69BB"/>
    <w:rsid w:val="003E7BF0"/>
    <w:rsid w:val="003F0DCF"/>
    <w:rsid w:val="003F1685"/>
    <w:rsid w:val="003F1FFC"/>
    <w:rsid w:val="003F2BCE"/>
    <w:rsid w:val="003F2F5F"/>
    <w:rsid w:val="003F36F4"/>
    <w:rsid w:val="003F3A13"/>
    <w:rsid w:val="003F3F7D"/>
    <w:rsid w:val="003F4D00"/>
    <w:rsid w:val="003F5E4A"/>
    <w:rsid w:val="003F5FF1"/>
    <w:rsid w:val="003F6607"/>
    <w:rsid w:val="003F6777"/>
    <w:rsid w:val="003F74EE"/>
    <w:rsid w:val="003F7629"/>
    <w:rsid w:val="003F7D60"/>
    <w:rsid w:val="00400E50"/>
    <w:rsid w:val="00400F4E"/>
    <w:rsid w:val="00401C89"/>
    <w:rsid w:val="00401D2B"/>
    <w:rsid w:val="00402F90"/>
    <w:rsid w:val="00403060"/>
    <w:rsid w:val="00403AB4"/>
    <w:rsid w:val="00403DFE"/>
    <w:rsid w:val="0040405F"/>
    <w:rsid w:val="00404315"/>
    <w:rsid w:val="00404886"/>
    <w:rsid w:val="00404948"/>
    <w:rsid w:val="00404D00"/>
    <w:rsid w:val="004050F0"/>
    <w:rsid w:val="00405A1D"/>
    <w:rsid w:val="00405CD7"/>
    <w:rsid w:val="00407423"/>
    <w:rsid w:val="00407712"/>
    <w:rsid w:val="00407E3B"/>
    <w:rsid w:val="00407F32"/>
    <w:rsid w:val="00410397"/>
    <w:rsid w:val="004106D6"/>
    <w:rsid w:val="00410DB1"/>
    <w:rsid w:val="00411300"/>
    <w:rsid w:val="0041184F"/>
    <w:rsid w:val="00411ACC"/>
    <w:rsid w:val="00411BB4"/>
    <w:rsid w:val="00413A5C"/>
    <w:rsid w:val="004148D6"/>
    <w:rsid w:val="00417568"/>
    <w:rsid w:val="00417E08"/>
    <w:rsid w:val="00417ED8"/>
    <w:rsid w:val="004200DD"/>
    <w:rsid w:val="00420334"/>
    <w:rsid w:val="00421B2D"/>
    <w:rsid w:val="00422A9D"/>
    <w:rsid w:val="00422BF0"/>
    <w:rsid w:val="00422CF2"/>
    <w:rsid w:val="0042434F"/>
    <w:rsid w:val="00425229"/>
    <w:rsid w:val="00425529"/>
    <w:rsid w:val="0042566D"/>
    <w:rsid w:val="00426ED0"/>
    <w:rsid w:val="00427145"/>
    <w:rsid w:val="00427AC9"/>
    <w:rsid w:val="00427CB5"/>
    <w:rsid w:val="004300B5"/>
    <w:rsid w:val="00430389"/>
    <w:rsid w:val="004308BC"/>
    <w:rsid w:val="00431542"/>
    <w:rsid w:val="00431803"/>
    <w:rsid w:val="00431B67"/>
    <w:rsid w:val="00432BA9"/>
    <w:rsid w:val="0043306B"/>
    <w:rsid w:val="00433E44"/>
    <w:rsid w:val="004342A5"/>
    <w:rsid w:val="0043462D"/>
    <w:rsid w:val="0043663F"/>
    <w:rsid w:val="00436B81"/>
    <w:rsid w:val="0043731E"/>
    <w:rsid w:val="0044092E"/>
    <w:rsid w:val="00441369"/>
    <w:rsid w:val="004416A0"/>
    <w:rsid w:val="0044264E"/>
    <w:rsid w:val="00443982"/>
    <w:rsid w:val="004439DF"/>
    <w:rsid w:val="00443A7E"/>
    <w:rsid w:val="00443D9B"/>
    <w:rsid w:val="004441EA"/>
    <w:rsid w:val="0044522F"/>
    <w:rsid w:val="00445AC9"/>
    <w:rsid w:val="0044618E"/>
    <w:rsid w:val="004462F4"/>
    <w:rsid w:val="00446C05"/>
    <w:rsid w:val="00446C74"/>
    <w:rsid w:val="00450550"/>
    <w:rsid w:val="004506CA"/>
    <w:rsid w:val="00450BB9"/>
    <w:rsid w:val="004519F3"/>
    <w:rsid w:val="00451E67"/>
    <w:rsid w:val="00452471"/>
    <w:rsid w:val="0045383B"/>
    <w:rsid w:val="00453E18"/>
    <w:rsid w:val="0045438F"/>
    <w:rsid w:val="004547B4"/>
    <w:rsid w:val="004548CD"/>
    <w:rsid w:val="00454CAF"/>
    <w:rsid w:val="00455EB2"/>
    <w:rsid w:val="00456182"/>
    <w:rsid w:val="004571AB"/>
    <w:rsid w:val="004571B4"/>
    <w:rsid w:val="004579F0"/>
    <w:rsid w:val="004601CF"/>
    <w:rsid w:val="004605A8"/>
    <w:rsid w:val="00461243"/>
    <w:rsid w:val="00461708"/>
    <w:rsid w:val="00461B38"/>
    <w:rsid w:val="00461DEC"/>
    <w:rsid w:val="00462E29"/>
    <w:rsid w:val="00463864"/>
    <w:rsid w:val="0046495B"/>
    <w:rsid w:val="00464C4F"/>
    <w:rsid w:val="00464CB9"/>
    <w:rsid w:val="00465F33"/>
    <w:rsid w:val="00466040"/>
    <w:rsid w:val="004663A3"/>
    <w:rsid w:val="0046647B"/>
    <w:rsid w:val="0047081F"/>
    <w:rsid w:val="0047088E"/>
    <w:rsid w:val="0047284F"/>
    <w:rsid w:val="004728EF"/>
    <w:rsid w:val="00472C05"/>
    <w:rsid w:val="00472D65"/>
    <w:rsid w:val="00473564"/>
    <w:rsid w:val="00474CDC"/>
    <w:rsid w:val="00474F4D"/>
    <w:rsid w:val="00475B31"/>
    <w:rsid w:val="00476AE8"/>
    <w:rsid w:val="00477DC1"/>
    <w:rsid w:val="004800C0"/>
    <w:rsid w:val="004803FC"/>
    <w:rsid w:val="00480E23"/>
    <w:rsid w:val="00481D05"/>
    <w:rsid w:val="004830B7"/>
    <w:rsid w:val="004834C2"/>
    <w:rsid w:val="00483501"/>
    <w:rsid w:val="00483881"/>
    <w:rsid w:val="004838AA"/>
    <w:rsid w:val="0048611A"/>
    <w:rsid w:val="0048613F"/>
    <w:rsid w:val="00486EE1"/>
    <w:rsid w:val="00487259"/>
    <w:rsid w:val="00487390"/>
    <w:rsid w:val="00487A17"/>
    <w:rsid w:val="00487BB5"/>
    <w:rsid w:val="004906EA"/>
    <w:rsid w:val="004912CD"/>
    <w:rsid w:val="00491A46"/>
    <w:rsid w:val="00491AD4"/>
    <w:rsid w:val="00491CFC"/>
    <w:rsid w:val="00491ECA"/>
    <w:rsid w:val="0049537C"/>
    <w:rsid w:val="004961EF"/>
    <w:rsid w:val="004964C7"/>
    <w:rsid w:val="004A007E"/>
    <w:rsid w:val="004A0243"/>
    <w:rsid w:val="004A04A3"/>
    <w:rsid w:val="004A084F"/>
    <w:rsid w:val="004A0D3B"/>
    <w:rsid w:val="004A1357"/>
    <w:rsid w:val="004A21E4"/>
    <w:rsid w:val="004A2A7A"/>
    <w:rsid w:val="004A4849"/>
    <w:rsid w:val="004A56AC"/>
    <w:rsid w:val="004A60DB"/>
    <w:rsid w:val="004A6D71"/>
    <w:rsid w:val="004A74DB"/>
    <w:rsid w:val="004A758D"/>
    <w:rsid w:val="004A7911"/>
    <w:rsid w:val="004A7FA3"/>
    <w:rsid w:val="004B04AB"/>
    <w:rsid w:val="004B0862"/>
    <w:rsid w:val="004B28E1"/>
    <w:rsid w:val="004B3978"/>
    <w:rsid w:val="004B3A21"/>
    <w:rsid w:val="004B48D6"/>
    <w:rsid w:val="004B4CAC"/>
    <w:rsid w:val="004B5C02"/>
    <w:rsid w:val="004B6A6E"/>
    <w:rsid w:val="004B6AC5"/>
    <w:rsid w:val="004B6B83"/>
    <w:rsid w:val="004B6E0C"/>
    <w:rsid w:val="004B780E"/>
    <w:rsid w:val="004C0FF6"/>
    <w:rsid w:val="004C1282"/>
    <w:rsid w:val="004C2E44"/>
    <w:rsid w:val="004C3812"/>
    <w:rsid w:val="004C44A2"/>
    <w:rsid w:val="004C482C"/>
    <w:rsid w:val="004C6433"/>
    <w:rsid w:val="004C66D5"/>
    <w:rsid w:val="004C7689"/>
    <w:rsid w:val="004C7C2B"/>
    <w:rsid w:val="004D1076"/>
    <w:rsid w:val="004D1161"/>
    <w:rsid w:val="004D2133"/>
    <w:rsid w:val="004D468C"/>
    <w:rsid w:val="004D4AEB"/>
    <w:rsid w:val="004D508C"/>
    <w:rsid w:val="004D58A8"/>
    <w:rsid w:val="004D6203"/>
    <w:rsid w:val="004D66B0"/>
    <w:rsid w:val="004D7097"/>
    <w:rsid w:val="004D7C47"/>
    <w:rsid w:val="004E0599"/>
    <w:rsid w:val="004E06E0"/>
    <w:rsid w:val="004E10E4"/>
    <w:rsid w:val="004E1386"/>
    <w:rsid w:val="004E1989"/>
    <w:rsid w:val="004E25CD"/>
    <w:rsid w:val="004E33A3"/>
    <w:rsid w:val="004E34E5"/>
    <w:rsid w:val="004E4256"/>
    <w:rsid w:val="004E43DF"/>
    <w:rsid w:val="004E45CB"/>
    <w:rsid w:val="004E46EA"/>
    <w:rsid w:val="004E5A46"/>
    <w:rsid w:val="004E6AA7"/>
    <w:rsid w:val="004E72EB"/>
    <w:rsid w:val="004F0130"/>
    <w:rsid w:val="004F0749"/>
    <w:rsid w:val="004F099F"/>
    <w:rsid w:val="004F0D69"/>
    <w:rsid w:val="004F1677"/>
    <w:rsid w:val="004F1B7A"/>
    <w:rsid w:val="004F1E0A"/>
    <w:rsid w:val="004F29CF"/>
    <w:rsid w:val="004F31B9"/>
    <w:rsid w:val="004F3415"/>
    <w:rsid w:val="004F405E"/>
    <w:rsid w:val="004F43F9"/>
    <w:rsid w:val="004F4BD1"/>
    <w:rsid w:val="004F4E53"/>
    <w:rsid w:val="004F54DF"/>
    <w:rsid w:val="004F5AB0"/>
    <w:rsid w:val="00500441"/>
    <w:rsid w:val="005005E0"/>
    <w:rsid w:val="00500BC0"/>
    <w:rsid w:val="0050215E"/>
    <w:rsid w:val="00504B2B"/>
    <w:rsid w:val="00504F9B"/>
    <w:rsid w:val="00505ADF"/>
    <w:rsid w:val="00506283"/>
    <w:rsid w:val="00507419"/>
    <w:rsid w:val="00510223"/>
    <w:rsid w:val="00510E4F"/>
    <w:rsid w:val="00511B17"/>
    <w:rsid w:val="00511EAA"/>
    <w:rsid w:val="0051223D"/>
    <w:rsid w:val="00513F22"/>
    <w:rsid w:val="005140D1"/>
    <w:rsid w:val="00514793"/>
    <w:rsid w:val="005148C6"/>
    <w:rsid w:val="00514F16"/>
    <w:rsid w:val="005150E0"/>
    <w:rsid w:val="00515A81"/>
    <w:rsid w:val="00515DAB"/>
    <w:rsid w:val="00515E3B"/>
    <w:rsid w:val="005160C6"/>
    <w:rsid w:val="0051694A"/>
    <w:rsid w:val="00516CE2"/>
    <w:rsid w:val="00516F59"/>
    <w:rsid w:val="0051757A"/>
    <w:rsid w:val="005176A0"/>
    <w:rsid w:val="00520570"/>
    <w:rsid w:val="00521C3E"/>
    <w:rsid w:val="00521E06"/>
    <w:rsid w:val="005230F1"/>
    <w:rsid w:val="0052320E"/>
    <w:rsid w:val="0052339C"/>
    <w:rsid w:val="00523695"/>
    <w:rsid w:val="00524303"/>
    <w:rsid w:val="00524B22"/>
    <w:rsid w:val="00524BCB"/>
    <w:rsid w:val="00525B21"/>
    <w:rsid w:val="00525E2A"/>
    <w:rsid w:val="00526DCE"/>
    <w:rsid w:val="00527CC5"/>
    <w:rsid w:val="00530D67"/>
    <w:rsid w:val="005311A4"/>
    <w:rsid w:val="00531810"/>
    <w:rsid w:val="0053228D"/>
    <w:rsid w:val="00532826"/>
    <w:rsid w:val="00532FC4"/>
    <w:rsid w:val="0053338B"/>
    <w:rsid w:val="00533556"/>
    <w:rsid w:val="005339B5"/>
    <w:rsid w:val="005344BF"/>
    <w:rsid w:val="00535F91"/>
    <w:rsid w:val="0053709E"/>
    <w:rsid w:val="00537BA4"/>
    <w:rsid w:val="00537DF9"/>
    <w:rsid w:val="005400B3"/>
    <w:rsid w:val="0054095C"/>
    <w:rsid w:val="00541AC0"/>
    <w:rsid w:val="00542D70"/>
    <w:rsid w:val="00543384"/>
    <w:rsid w:val="00543574"/>
    <w:rsid w:val="0054376B"/>
    <w:rsid w:val="00543D6D"/>
    <w:rsid w:val="00544523"/>
    <w:rsid w:val="00544818"/>
    <w:rsid w:val="00546044"/>
    <w:rsid w:val="00546292"/>
    <w:rsid w:val="00547C10"/>
    <w:rsid w:val="00547C49"/>
    <w:rsid w:val="00550487"/>
    <w:rsid w:val="00551090"/>
    <w:rsid w:val="00551CBE"/>
    <w:rsid w:val="005529E6"/>
    <w:rsid w:val="00554003"/>
    <w:rsid w:val="005540CA"/>
    <w:rsid w:val="005543BD"/>
    <w:rsid w:val="00554A7F"/>
    <w:rsid w:val="00554CC6"/>
    <w:rsid w:val="00554E37"/>
    <w:rsid w:val="00555A51"/>
    <w:rsid w:val="00555F11"/>
    <w:rsid w:val="0055605F"/>
    <w:rsid w:val="00557430"/>
    <w:rsid w:val="005602A5"/>
    <w:rsid w:val="005607B3"/>
    <w:rsid w:val="005609B8"/>
    <w:rsid w:val="00560BE0"/>
    <w:rsid w:val="0056134A"/>
    <w:rsid w:val="005618C6"/>
    <w:rsid w:val="00561EA4"/>
    <w:rsid w:val="005630AF"/>
    <w:rsid w:val="005632F5"/>
    <w:rsid w:val="005633EE"/>
    <w:rsid w:val="00564315"/>
    <w:rsid w:val="00564444"/>
    <w:rsid w:val="00564F3A"/>
    <w:rsid w:val="00565D27"/>
    <w:rsid w:val="005665B3"/>
    <w:rsid w:val="00566650"/>
    <w:rsid w:val="005667DD"/>
    <w:rsid w:val="00566A33"/>
    <w:rsid w:val="00566ADE"/>
    <w:rsid w:val="00566F00"/>
    <w:rsid w:val="005675F2"/>
    <w:rsid w:val="0056772E"/>
    <w:rsid w:val="00567B38"/>
    <w:rsid w:val="005717EE"/>
    <w:rsid w:val="00571869"/>
    <w:rsid w:val="00571B2E"/>
    <w:rsid w:val="00571E58"/>
    <w:rsid w:val="00572259"/>
    <w:rsid w:val="00572590"/>
    <w:rsid w:val="00573504"/>
    <w:rsid w:val="00574EAF"/>
    <w:rsid w:val="00574EF4"/>
    <w:rsid w:val="00576116"/>
    <w:rsid w:val="00576569"/>
    <w:rsid w:val="00576A9C"/>
    <w:rsid w:val="00576CC4"/>
    <w:rsid w:val="00577A11"/>
    <w:rsid w:val="00577B1F"/>
    <w:rsid w:val="0058049F"/>
    <w:rsid w:val="00580A5C"/>
    <w:rsid w:val="00580A81"/>
    <w:rsid w:val="005812EE"/>
    <w:rsid w:val="0058267D"/>
    <w:rsid w:val="00582E77"/>
    <w:rsid w:val="00583AE8"/>
    <w:rsid w:val="00583C02"/>
    <w:rsid w:val="005844FF"/>
    <w:rsid w:val="00584FB0"/>
    <w:rsid w:val="00585094"/>
    <w:rsid w:val="005859EC"/>
    <w:rsid w:val="00585B45"/>
    <w:rsid w:val="005861D7"/>
    <w:rsid w:val="005874D6"/>
    <w:rsid w:val="00587ADE"/>
    <w:rsid w:val="00587F6B"/>
    <w:rsid w:val="00587FBF"/>
    <w:rsid w:val="005906B3"/>
    <w:rsid w:val="0059070C"/>
    <w:rsid w:val="00591136"/>
    <w:rsid w:val="00592011"/>
    <w:rsid w:val="0059210E"/>
    <w:rsid w:val="005923D7"/>
    <w:rsid w:val="0059328E"/>
    <w:rsid w:val="00595610"/>
    <w:rsid w:val="00595981"/>
    <w:rsid w:val="00595E03"/>
    <w:rsid w:val="00596031"/>
    <w:rsid w:val="005975AE"/>
    <w:rsid w:val="00597C6A"/>
    <w:rsid w:val="005A02B6"/>
    <w:rsid w:val="005A077F"/>
    <w:rsid w:val="005A0F9C"/>
    <w:rsid w:val="005A13CF"/>
    <w:rsid w:val="005A183F"/>
    <w:rsid w:val="005A1D00"/>
    <w:rsid w:val="005A2160"/>
    <w:rsid w:val="005A246C"/>
    <w:rsid w:val="005A293C"/>
    <w:rsid w:val="005A2D4D"/>
    <w:rsid w:val="005A2E83"/>
    <w:rsid w:val="005A386A"/>
    <w:rsid w:val="005A39AA"/>
    <w:rsid w:val="005A3DD3"/>
    <w:rsid w:val="005A404D"/>
    <w:rsid w:val="005A5389"/>
    <w:rsid w:val="005A5D50"/>
    <w:rsid w:val="005A6056"/>
    <w:rsid w:val="005A6582"/>
    <w:rsid w:val="005A65C1"/>
    <w:rsid w:val="005A6C36"/>
    <w:rsid w:val="005B14FD"/>
    <w:rsid w:val="005B2A6A"/>
    <w:rsid w:val="005B35CC"/>
    <w:rsid w:val="005B39AB"/>
    <w:rsid w:val="005B5332"/>
    <w:rsid w:val="005B74A0"/>
    <w:rsid w:val="005B7BAC"/>
    <w:rsid w:val="005B7EE5"/>
    <w:rsid w:val="005C0B9E"/>
    <w:rsid w:val="005C0C42"/>
    <w:rsid w:val="005C33A5"/>
    <w:rsid w:val="005C3857"/>
    <w:rsid w:val="005C39B8"/>
    <w:rsid w:val="005C4C80"/>
    <w:rsid w:val="005D024F"/>
    <w:rsid w:val="005D0715"/>
    <w:rsid w:val="005D0D23"/>
    <w:rsid w:val="005D28BE"/>
    <w:rsid w:val="005D2CBF"/>
    <w:rsid w:val="005D44F8"/>
    <w:rsid w:val="005D458D"/>
    <w:rsid w:val="005D4CD5"/>
    <w:rsid w:val="005D4E18"/>
    <w:rsid w:val="005D6291"/>
    <w:rsid w:val="005D62B2"/>
    <w:rsid w:val="005D70D5"/>
    <w:rsid w:val="005D73C4"/>
    <w:rsid w:val="005E04D0"/>
    <w:rsid w:val="005E0BF8"/>
    <w:rsid w:val="005E0DA7"/>
    <w:rsid w:val="005E0E36"/>
    <w:rsid w:val="005E0E9D"/>
    <w:rsid w:val="005E0F9D"/>
    <w:rsid w:val="005E16E6"/>
    <w:rsid w:val="005E1DF0"/>
    <w:rsid w:val="005E2292"/>
    <w:rsid w:val="005E25E5"/>
    <w:rsid w:val="005E2FD5"/>
    <w:rsid w:val="005E302A"/>
    <w:rsid w:val="005E3516"/>
    <w:rsid w:val="005E3664"/>
    <w:rsid w:val="005E485B"/>
    <w:rsid w:val="005E4903"/>
    <w:rsid w:val="005E49D3"/>
    <w:rsid w:val="005E49E6"/>
    <w:rsid w:val="005E5CCA"/>
    <w:rsid w:val="005E63E3"/>
    <w:rsid w:val="005E6C0A"/>
    <w:rsid w:val="005E7537"/>
    <w:rsid w:val="005F0250"/>
    <w:rsid w:val="005F08D8"/>
    <w:rsid w:val="005F0FEF"/>
    <w:rsid w:val="005F10E6"/>
    <w:rsid w:val="005F11AE"/>
    <w:rsid w:val="005F1470"/>
    <w:rsid w:val="005F1D10"/>
    <w:rsid w:val="005F25B8"/>
    <w:rsid w:val="005F2959"/>
    <w:rsid w:val="005F2D02"/>
    <w:rsid w:val="005F38AE"/>
    <w:rsid w:val="005F39E8"/>
    <w:rsid w:val="005F3B21"/>
    <w:rsid w:val="005F4132"/>
    <w:rsid w:val="005F45EB"/>
    <w:rsid w:val="005F4A35"/>
    <w:rsid w:val="005F5E19"/>
    <w:rsid w:val="005F74A5"/>
    <w:rsid w:val="00600160"/>
    <w:rsid w:val="00600279"/>
    <w:rsid w:val="006003CC"/>
    <w:rsid w:val="006026DF"/>
    <w:rsid w:val="0060302B"/>
    <w:rsid w:val="00603B2A"/>
    <w:rsid w:val="006060AD"/>
    <w:rsid w:val="006062CD"/>
    <w:rsid w:val="00606651"/>
    <w:rsid w:val="0060694D"/>
    <w:rsid w:val="00606FCC"/>
    <w:rsid w:val="00607D98"/>
    <w:rsid w:val="006107F6"/>
    <w:rsid w:val="00610A9D"/>
    <w:rsid w:val="0061111A"/>
    <w:rsid w:val="00611506"/>
    <w:rsid w:val="00611CD2"/>
    <w:rsid w:val="00612798"/>
    <w:rsid w:val="00612D67"/>
    <w:rsid w:val="006133B2"/>
    <w:rsid w:val="00613B17"/>
    <w:rsid w:val="00614157"/>
    <w:rsid w:val="00615016"/>
    <w:rsid w:val="00615019"/>
    <w:rsid w:val="0061692B"/>
    <w:rsid w:val="006176DB"/>
    <w:rsid w:val="006179DF"/>
    <w:rsid w:val="006205AF"/>
    <w:rsid w:val="0062091D"/>
    <w:rsid w:val="00620BB5"/>
    <w:rsid w:val="006218D2"/>
    <w:rsid w:val="00621B1F"/>
    <w:rsid w:val="00621BA6"/>
    <w:rsid w:val="00622722"/>
    <w:rsid w:val="00622B55"/>
    <w:rsid w:val="006234AC"/>
    <w:rsid w:val="00623BFD"/>
    <w:rsid w:val="006248D4"/>
    <w:rsid w:val="00626349"/>
    <w:rsid w:val="0062693D"/>
    <w:rsid w:val="00627E2E"/>
    <w:rsid w:val="00627E30"/>
    <w:rsid w:val="00631261"/>
    <w:rsid w:val="00631933"/>
    <w:rsid w:val="00632260"/>
    <w:rsid w:val="006328A5"/>
    <w:rsid w:val="006333CB"/>
    <w:rsid w:val="0063366A"/>
    <w:rsid w:val="00634176"/>
    <w:rsid w:val="00634BE2"/>
    <w:rsid w:val="0063532D"/>
    <w:rsid w:val="0063587C"/>
    <w:rsid w:val="00635D29"/>
    <w:rsid w:val="00636ABD"/>
    <w:rsid w:val="00636D6A"/>
    <w:rsid w:val="00636ECD"/>
    <w:rsid w:val="006375F9"/>
    <w:rsid w:val="00637803"/>
    <w:rsid w:val="00641081"/>
    <w:rsid w:val="00642905"/>
    <w:rsid w:val="006434F1"/>
    <w:rsid w:val="0064446C"/>
    <w:rsid w:val="0064552E"/>
    <w:rsid w:val="0064581F"/>
    <w:rsid w:val="00645AB7"/>
    <w:rsid w:val="00646620"/>
    <w:rsid w:val="00646E20"/>
    <w:rsid w:val="0064734E"/>
    <w:rsid w:val="00650489"/>
    <w:rsid w:val="00652AD0"/>
    <w:rsid w:val="00652FED"/>
    <w:rsid w:val="00653AF3"/>
    <w:rsid w:val="00653E5E"/>
    <w:rsid w:val="00654B81"/>
    <w:rsid w:val="0065564D"/>
    <w:rsid w:val="006559D0"/>
    <w:rsid w:val="00655D9E"/>
    <w:rsid w:val="00657370"/>
    <w:rsid w:val="00657A57"/>
    <w:rsid w:val="00661B44"/>
    <w:rsid w:val="00661F02"/>
    <w:rsid w:val="00662564"/>
    <w:rsid w:val="00662885"/>
    <w:rsid w:val="006632CE"/>
    <w:rsid w:val="00663A76"/>
    <w:rsid w:val="00664776"/>
    <w:rsid w:val="006647EA"/>
    <w:rsid w:val="00664A32"/>
    <w:rsid w:val="00665A31"/>
    <w:rsid w:val="00665B65"/>
    <w:rsid w:val="00665EAD"/>
    <w:rsid w:val="006661C6"/>
    <w:rsid w:val="0066663F"/>
    <w:rsid w:val="00667675"/>
    <w:rsid w:val="006706A0"/>
    <w:rsid w:val="00670CCD"/>
    <w:rsid w:val="006723BD"/>
    <w:rsid w:val="00672428"/>
    <w:rsid w:val="00672686"/>
    <w:rsid w:val="00672782"/>
    <w:rsid w:val="00672871"/>
    <w:rsid w:val="006731D3"/>
    <w:rsid w:val="00673EA5"/>
    <w:rsid w:val="006745F5"/>
    <w:rsid w:val="00675826"/>
    <w:rsid w:val="0067618B"/>
    <w:rsid w:val="00676301"/>
    <w:rsid w:val="006767C4"/>
    <w:rsid w:val="0067690E"/>
    <w:rsid w:val="00680C86"/>
    <w:rsid w:val="006815B7"/>
    <w:rsid w:val="006818AC"/>
    <w:rsid w:val="00683337"/>
    <w:rsid w:val="006846C1"/>
    <w:rsid w:val="006848C0"/>
    <w:rsid w:val="0068515C"/>
    <w:rsid w:val="00685CFA"/>
    <w:rsid w:val="006867F1"/>
    <w:rsid w:val="00686EE9"/>
    <w:rsid w:val="00687438"/>
    <w:rsid w:val="00687850"/>
    <w:rsid w:val="00687EF1"/>
    <w:rsid w:val="00690818"/>
    <w:rsid w:val="00690A40"/>
    <w:rsid w:val="00690B69"/>
    <w:rsid w:val="006910FD"/>
    <w:rsid w:val="006912DC"/>
    <w:rsid w:val="006921ED"/>
    <w:rsid w:val="006922C1"/>
    <w:rsid w:val="0069260D"/>
    <w:rsid w:val="006928BB"/>
    <w:rsid w:val="00694742"/>
    <w:rsid w:val="00695690"/>
    <w:rsid w:val="00695A19"/>
    <w:rsid w:val="00696061"/>
    <w:rsid w:val="006966BB"/>
    <w:rsid w:val="00696953"/>
    <w:rsid w:val="006979E2"/>
    <w:rsid w:val="006A068C"/>
    <w:rsid w:val="006A227B"/>
    <w:rsid w:val="006A3100"/>
    <w:rsid w:val="006A3CAA"/>
    <w:rsid w:val="006A4865"/>
    <w:rsid w:val="006A4EC2"/>
    <w:rsid w:val="006A5E75"/>
    <w:rsid w:val="006A6C69"/>
    <w:rsid w:val="006B0435"/>
    <w:rsid w:val="006B0865"/>
    <w:rsid w:val="006B0D4B"/>
    <w:rsid w:val="006B13FF"/>
    <w:rsid w:val="006B1AB7"/>
    <w:rsid w:val="006B1D13"/>
    <w:rsid w:val="006B228C"/>
    <w:rsid w:val="006B267B"/>
    <w:rsid w:val="006B3E9A"/>
    <w:rsid w:val="006B6315"/>
    <w:rsid w:val="006B6721"/>
    <w:rsid w:val="006B685A"/>
    <w:rsid w:val="006B7DBC"/>
    <w:rsid w:val="006B7FF9"/>
    <w:rsid w:val="006C0909"/>
    <w:rsid w:val="006C0949"/>
    <w:rsid w:val="006C2CF7"/>
    <w:rsid w:val="006C2D86"/>
    <w:rsid w:val="006C2E27"/>
    <w:rsid w:val="006C3B10"/>
    <w:rsid w:val="006C4066"/>
    <w:rsid w:val="006C4817"/>
    <w:rsid w:val="006C5411"/>
    <w:rsid w:val="006C569B"/>
    <w:rsid w:val="006C5CAE"/>
    <w:rsid w:val="006C5F01"/>
    <w:rsid w:val="006C5F78"/>
    <w:rsid w:val="006C625A"/>
    <w:rsid w:val="006C6425"/>
    <w:rsid w:val="006C686B"/>
    <w:rsid w:val="006C6C52"/>
    <w:rsid w:val="006C6FDC"/>
    <w:rsid w:val="006C6FE6"/>
    <w:rsid w:val="006C7CE0"/>
    <w:rsid w:val="006D02F2"/>
    <w:rsid w:val="006D03D5"/>
    <w:rsid w:val="006D0BF1"/>
    <w:rsid w:val="006D0BF3"/>
    <w:rsid w:val="006D1202"/>
    <w:rsid w:val="006D27B5"/>
    <w:rsid w:val="006D29ED"/>
    <w:rsid w:val="006D4FEC"/>
    <w:rsid w:val="006D57DE"/>
    <w:rsid w:val="006D5A9D"/>
    <w:rsid w:val="006D5E33"/>
    <w:rsid w:val="006D68E6"/>
    <w:rsid w:val="006D7021"/>
    <w:rsid w:val="006D737C"/>
    <w:rsid w:val="006D7AD2"/>
    <w:rsid w:val="006D7BBB"/>
    <w:rsid w:val="006E06DA"/>
    <w:rsid w:val="006E119E"/>
    <w:rsid w:val="006E1A13"/>
    <w:rsid w:val="006E1E55"/>
    <w:rsid w:val="006E2237"/>
    <w:rsid w:val="006E2B58"/>
    <w:rsid w:val="006E2E15"/>
    <w:rsid w:val="006E3A4C"/>
    <w:rsid w:val="006E3B5A"/>
    <w:rsid w:val="006E3D47"/>
    <w:rsid w:val="006E4A7E"/>
    <w:rsid w:val="006E4DA4"/>
    <w:rsid w:val="006E528D"/>
    <w:rsid w:val="006E6810"/>
    <w:rsid w:val="006E7580"/>
    <w:rsid w:val="006E7753"/>
    <w:rsid w:val="006E7BA3"/>
    <w:rsid w:val="006F0ED3"/>
    <w:rsid w:val="006F147F"/>
    <w:rsid w:val="006F2F5A"/>
    <w:rsid w:val="006F38BE"/>
    <w:rsid w:val="006F3931"/>
    <w:rsid w:val="006F42F1"/>
    <w:rsid w:val="006F44BA"/>
    <w:rsid w:val="006F476C"/>
    <w:rsid w:val="006F48F2"/>
    <w:rsid w:val="006F4B8D"/>
    <w:rsid w:val="006F56F2"/>
    <w:rsid w:val="006F5D74"/>
    <w:rsid w:val="006F6005"/>
    <w:rsid w:val="006F61DE"/>
    <w:rsid w:val="006F72D2"/>
    <w:rsid w:val="006F74DC"/>
    <w:rsid w:val="007019CD"/>
    <w:rsid w:val="007021BD"/>
    <w:rsid w:val="007025E4"/>
    <w:rsid w:val="007026A5"/>
    <w:rsid w:val="007035A3"/>
    <w:rsid w:val="00703906"/>
    <w:rsid w:val="00703C03"/>
    <w:rsid w:val="00703EDC"/>
    <w:rsid w:val="00704ABF"/>
    <w:rsid w:val="00704ECF"/>
    <w:rsid w:val="00705977"/>
    <w:rsid w:val="00705B3E"/>
    <w:rsid w:val="00705C55"/>
    <w:rsid w:val="0070606A"/>
    <w:rsid w:val="007068A3"/>
    <w:rsid w:val="00707898"/>
    <w:rsid w:val="00707E91"/>
    <w:rsid w:val="007117C5"/>
    <w:rsid w:val="0071192E"/>
    <w:rsid w:val="00711C77"/>
    <w:rsid w:val="0071333A"/>
    <w:rsid w:val="007142D4"/>
    <w:rsid w:val="00714B30"/>
    <w:rsid w:val="00714BA1"/>
    <w:rsid w:val="007165C4"/>
    <w:rsid w:val="00716893"/>
    <w:rsid w:val="00716F9D"/>
    <w:rsid w:val="00720AA0"/>
    <w:rsid w:val="007216E9"/>
    <w:rsid w:val="00721A39"/>
    <w:rsid w:val="00722120"/>
    <w:rsid w:val="00723019"/>
    <w:rsid w:val="007234AA"/>
    <w:rsid w:val="00723729"/>
    <w:rsid w:val="00723A59"/>
    <w:rsid w:val="00725BA3"/>
    <w:rsid w:val="007270AC"/>
    <w:rsid w:val="00727A7D"/>
    <w:rsid w:val="007310DF"/>
    <w:rsid w:val="0073249C"/>
    <w:rsid w:val="0073260F"/>
    <w:rsid w:val="00732941"/>
    <w:rsid w:val="00732FC8"/>
    <w:rsid w:val="0073364A"/>
    <w:rsid w:val="007342CE"/>
    <w:rsid w:val="00734F76"/>
    <w:rsid w:val="00735EE4"/>
    <w:rsid w:val="00735F4E"/>
    <w:rsid w:val="007372FC"/>
    <w:rsid w:val="00737472"/>
    <w:rsid w:val="0073785A"/>
    <w:rsid w:val="00737CA0"/>
    <w:rsid w:val="00737D8E"/>
    <w:rsid w:val="00740259"/>
    <w:rsid w:val="00740F3A"/>
    <w:rsid w:val="00742174"/>
    <w:rsid w:val="007429E8"/>
    <w:rsid w:val="00743105"/>
    <w:rsid w:val="0074359F"/>
    <w:rsid w:val="00744783"/>
    <w:rsid w:val="007451D7"/>
    <w:rsid w:val="00745E9B"/>
    <w:rsid w:val="007460F5"/>
    <w:rsid w:val="00746620"/>
    <w:rsid w:val="007469AF"/>
    <w:rsid w:val="00746A8B"/>
    <w:rsid w:val="00746BB9"/>
    <w:rsid w:val="00746EFC"/>
    <w:rsid w:val="007472F0"/>
    <w:rsid w:val="00747468"/>
    <w:rsid w:val="007475AC"/>
    <w:rsid w:val="00747A18"/>
    <w:rsid w:val="007502F1"/>
    <w:rsid w:val="0075030C"/>
    <w:rsid w:val="00750DB4"/>
    <w:rsid w:val="00751282"/>
    <w:rsid w:val="00751B41"/>
    <w:rsid w:val="00752293"/>
    <w:rsid w:val="007534FA"/>
    <w:rsid w:val="0075416E"/>
    <w:rsid w:val="00754CB8"/>
    <w:rsid w:val="00754E04"/>
    <w:rsid w:val="00754E0C"/>
    <w:rsid w:val="0075690E"/>
    <w:rsid w:val="00760446"/>
    <w:rsid w:val="00760584"/>
    <w:rsid w:val="00760D1D"/>
    <w:rsid w:val="00761409"/>
    <w:rsid w:val="00761AFB"/>
    <w:rsid w:val="00762106"/>
    <w:rsid w:val="00762284"/>
    <w:rsid w:val="00762573"/>
    <w:rsid w:val="00762EBA"/>
    <w:rsid w:val="00763890"/>
    <w:rsid w:val="0076396A"/>
    <w:rsid w:val="00764DC5"/>
    <w:rsid w:val="00764F7F"/>
    <w:rsid w:val="0076575D"/>
    <w:rsid w:val="0076577F"/>
    <w:rsid w:val="007657E7"/>
    <w:rsid w:val="007664DD"/>
    <w:rsid w:val="0076699D"/>
    <w:rsid w:val="007673C5"/>
    <w:rsid w:val="0076757A"/>
    <w:rsid w:val="00770CD2"/>
    <w:rsid w:val="007713E5"/>
    <w:rsid w:val="0077159E"/>
    <w:rsid w:val="00771DF1"/>
    <w:rsid w:val="00771F82"/>
    <w:rsid w:val="007720B0"/>
    <w:rsid w:val="00773012"/>
    <w:rsid w:val="00773196"/>
    <w:rsid w:val="00773F94"/>
    <w:rsid w:val="00774EB2"/>
    <w:rsid w:val="0077535B"/>
    <w:rsid w:val="00776392"/>
    <w:rsid w:val="007769C6"/>
    <w:rsid w:val="00776C36"/>
    <w:rsid w:val="007771D5"/>
    <w:rsid w:val="00777441"/>
    <w:rsid w:val="00777809"/>
    <w:rsid w:val="007778DB"/>
    <w:rsid w:val="00780263"/>
    <w:rsid w:val="0078174E"/>
    <w:rsid w:val="00781A9C"/>
    <w:rsid w:val="00781AC6"/>
    <w:rsid w:val="00781B98"/>
    <w:rsid w:val="00783764"/>
    <w:rsid w:val="007842B6"/>
    <w:rsid w:val="00784B96"/>
    <w:rsid w:val="0078594A"/>
    <w:rsid w:val="00785DF6"/>
    <w:rsid w:val="0078622A"/>
    <w:rsid w:val="0078647C"/>
    <w:rsid w:val="0078690E"/>
    <w:rsid w:val="0078732E"/>
    <w:rsid w:val="00787FA2"/>
    <w:rsid w:val="00790D79"/>
    <w:rsid w:val="0079268D"/>
    <w:rsid w:val="00793A6A"/>
    <w:rsid w:val="00794549"/>
    <w:rsid w:val="00794841"/>
    <w:rsid w:val="00795C3E"/>
    <w:rsid w:val="007960BA"/>
    <w:rsid w:val="0079672A"/>
    <w:rsid w:val="007969B4"/>
    <w:rsid w:val="007A17D3"/>
    <w:rsid w:val="007A2C76"/>
    <w:rsid w:val="007A3026"/>
    <w:rsid w:val="007A3FE0"/>
    <w:rsid w:val="007A5159"/>
    <w:rsid w:val="007A5342"/>
    <w:rsid w:val="007A7021"/>
    <w:rsid w:val="007A7CA9"/>
    <w:rsid w:val="007A7D15"/>
    <w:rsid w:val="007B0594"/>
    <w:rsid w:val="007B1762"/>
    <w:rsid w:val="007B2F38"/>
    <w:rsid w:val="007B3EF9"/>
    <w:rsid w:val="007B3FC9"/>
    <w:rsid w:val="007B4904"/>
    <w:rsid w:val="007B4A71"/>
    <w:rsid w:val="007B555F"/>
    <w:rsid w:val="007B565C"/>
    <w:rsid w:val="007B569E"/>
    <w:rsid w:val="007B6226"/>
    <w:rsid w:val="007B6B4D"/>
    <w:rsid w:val="007B6CD0"/>
    <w:rsid w:val="007B7099"/>
    <w:rsid w:val="007C0751"/>
    <w:rsid w:val="007C1205"/>
    <w:rsid w:val="007C125E"/>
    <w:rsid w:val="007C2237"/>
    <w:rsid w:val="007C2FBB"/>
    <w:rsid w:val="007C4A35"/>
    <w:rsid w:val="007C4D8A"/>
    <w:rsid w:val="007C5304"/>
    <w:rsid w:val="007C65EA"/>
    <w:rsid w:val="007D057C"/>
    <w:rsid w:val="007D06A6"/>
    <w:rsid w:val="007D185E"/>
    <w:rsid w:val="007D2344"/>
    <w:rsid w:val="007D3C84"/>
    <w:rsid w:val="007D4CB2"/>
    <w:rsid w:val="007D5562"/>
    <w:rsid w:val="007D556A"/>
    <w:rsid w:val="007D67E5"/>
    <w:rsid w:val="007D6A1A"/>
    <w:rsid w:val="007D73D3"/>
    <w:rsid w:val="007D7B47"/>
    <w:rsid w:val="007E0515"/>
    <w:rsid w:val="007E0AC7"/>
    <w:rsid w:val="007E0C76"/>
    <w:rsid w:val="007E0D7E"/>
    <w:rsid w:val="007E0F98"/>
    <w:rsid w:val="007E1081"/>
    <w:rsid w:val="007E12F8"/>
    <w:rsid w:val="007E1A12"/>
    <w:rsid w:val="007E1C43"/>
    <w:rsid w:val="007E214C"/>
    <w:rsid w:val="007E28A8"/>
    <w:rsid w:val="007E2B59"/>
    <w:rsid w:val="007E2F57"/>
    <w:rsid w:val="007E344A"/>
    <w:rsid w:val="007E3665"/>
    <w:rsid w:val="007E39E4"/>
    <w:rsid w:val="007E3F3F"/>
    <w:rsid w:val="007E43FF"/>
    <w:rsid w:val="007E461E"/>
    <w:rsid w:val="007E5BC0"/>
    <w:rsid w:val="007E5F2B"/>
    <w:rsid w:val="007E680C"/>
    <w:rsid w:val="007E73B6"/>
    <w:rsid w:val="007E73DE"/>
    <w:rsid w:val="007E77A4"/>
    <w:rsid w:val="007E7CBF"/>
    <w:rsid w:val="007F0DE4"/>
    <w:rsid w:val="007F17C9"/>
    <w:rsid w:val="007F20B6"/>
    <w:rsid w:val="007F2162"/>
    <w:rsid w:val="007F466A"/>
    <w:rsid w:val="007F4E31"/>
    <w:rsid w:val="007F5359"/>
    <w:rsid w:val="007F589E"/>
    <w:rsid w:val="007F5B87"/>
    <w:rsid w:val="007F5C86"/>
    <w:rsid w:val="007F602F"/>
    <w:rsid w:val="007F78EE"/>
    <w:rsid w:val="008005D3"/>
    <w:rsid w:val="008010B0"/>
    <w:rsid w:val="0080112F"/>
    <w:rsid w:val="0080116E"/>
    <w:rsid w:val="00802342"/>
    <w:rsid w:val="008026F3"/>
    <w:rsid w:val="0080272C"/>
    <w:rsid w:val="00802980"/>
    <w:rsid w:val="00802B6D"/>
    <w:rsid w:val="00803293"/>
    <w:rsid w:val="00803889"/>
    <w:rsid w:val="008043A3"/>
    <w:rsid w:val="00804950"/>
    <w:rsid w:val="00805E2D"/>
    <w:rsid w:val="00805F17"/>
    <w:rsid w:val="00807A2D"/>
    <w:rsid w:val="00810CC8"/>
    <w:rsid w:val="0081161D"/>
    <w:rsid w:val="008116DA"/>
    <w:rsid w:val="008119AC"/>
    <w:rsid w:val="00811FA8"/>
    <w:rsid w:val="008122C7"/>
    <w:rsid w:val="00813006"/>
    <w:rsid w:val="008131CC"/>
    <w:rsid w:val="008134F2"/>
    <w:rsid w:val="0081364D"/>
    <w:rsid w:val="00813708"/>
    <w:rsid w:val="008140A8"/>
    <w:rsid w:val="0081437A"/>
    <w:rsid w:val="00814DC4"/>
    <w:rsid w:val="0081523E"/>
    <w:rsid w:val="008153EF"/>
    <w:rsid w:val="00815567"/>
    <w:rsid w:val="0081640E"/>
    <w:rsid w:val="00816C00"/>
    <w:rsid w:val="00817172"/>
    <w:rsid w:val="00817351"/>
    <w:rsid w:val="00817AFD"/>
    <w:rsid w:val="0082031A"/>
    <w:rsid w:val="00820E87"/>
    <w:rsid w:val="0082178A"/>
    <w:rsid w:val="0082236B"/>
    <w:rsid w:val="00822876"/>
    <w:rsid w:val="00823826"/>
    <w:rsid w:val="008242E3"/>
    <w:rsid w:val="008253B8"/>
    <w:rsid w:val="008266A5"/>
    <w:rsid w:val="00826882"/>
    <w:rsid w:val="00826CBF"/>
    <w:rsid w:val="00827A75"/>
    <w:rsid w:val="00827DFF"/>
    <w:rsid w:val="00827ED9"/>
    <w:rsid w:val="008306BA"/>
    <w:rsid w:val="0083110F"/>
    <w:rsid w:val="008316B4"/>
    <w:rsid w:val="008318B5"/>
    <w:rsid w:val="00831B77"/>
    <w:rsid w:val="008332A8"/>
    <w:rsid w:val="00834498"/>
    <w:rsid w:val="008345A0"/>
    <w:rsid w:val="00834883"/>
    <w:rsid w:val="00834D84"/>
    <w:rsid w:val="00835410"/>
    <w:rsid w:val="00835BC8"/>
    <w:rsid w:val="00836E00"/>
    <w:rsid w:val="008404CC"/>
    <w:rsid w:val="0084097B"/>
    <w:rsid w:val="008416BC"/>
    <w:rsid w:val="008418EC"/>
    <w:rsid w:val="00842639"/>
    <w:rsid w:val="00842F79"/>
    <w:rsid w:val="00843E59"/>
    <w:rsid w:val="00844902"/>
    <w:rsid w:val="00844A57"/>
    <w:rsid w:val="00844CAE"/>
    <w:rsid w:val="00845E8B"/>
    <w:rsid w:val="0084643E"/>
    <w:rsid w:val="008501DF"/>
    <w:rsid w:val="008507DD"/>
    <w:rsid w:val="00852951"/>
    <w:rsid w:val="00852E54"/>
    <w:rsid w:val="0085414A"/>
    <w:rsid w:val="0085439C"/>
    <w:rsid w:val="008544D0"/>
    <w:rsid w:val="00854617"/>
    <w:rsid w:val="00854E1D"/>
    <w:rsid w:val="00854EA1"/>
    <w:rsid w:val="00855E62"/>
    <w:rsid w:val="008568CB"/>
    <w:rsid w:val="0085729A"/>
    <w:rsid w:val="0085798D"/>
    <w:rsid w:val="00857D87"/>
    <w:rsid w:val="00860583"/>
    <w:rsid w:val="00860E50"/>
    <w:rsid w:val="008635E4"/>
    <w:rsid w:val="00863B85"/>
    <w:rsid w:val="0086447D"/>
    <w:rsid w:val="00865050"/>
    <w:rsid w:val="00865A8C"/>
    <w:rsid w:val="008673BA"/>
    <w:rsid w:val="008673E0"/>
    <w:rsid w:val="00867CA5"/>
    <w:rsid w:val="008702FB"/>
    <w:rsid w:val="0087194B"/>
    <w:rsid w:val="00871E9B"/>
    <w:rsid w:val="00872ED8"/>
    <w:rsid w:val="008733B8"/>
    <w:rsid w:val="00873A94"/>
    <w:rsid w:val="00873D39"/>
    <w:rsid w:val="0087589B"/>
    <w:rsid w:val="00876164"/>
    <w:rsid w:val="0088050A"/>
    <w:rsid w:val="00880758"/>
    <w:rsid w:val="00880ADB"/>
    <w:rsid w:val="00881069"/>
    <w:rsid w:val="00881B82"/>
    <w:rsid w:val="00883509"/>
    <w:rsid w:val="0088430D"/>
    <w:rsid w:val="00885501"/>
    <w:rsid w:val="008855B4"/>
    <w:rsid w:val="008856C8"/>
    <w:rsid w:val="00885A75"/>
    <w:rsid w:val="00886CA0"/>
    <w:rsid w:val="008875E8"/>
    <w:rsid w:val="00887624"/>
    <w:rsid w:val="0089119E"/>
    <w:rsid w:val="00891793"/>
    <w:rsid w:val="00891A5B"/>
    <w:rsid w:val="008926C0"/>
    <w:rsid w:val="008926FA"/>
    <w:rsid w:val="008933FB"/>
    <w:rsid w:val="00893D30"/>
    <w:rsid w:val="008940B6"/>
    <w:rsid w:val="008942FE"/>
    <w:rsid w:val="008947EC"/>
    <w:rsid w:val="00895126"/>
    <w:rsid w:val="00896700"/>
    <w:rsid w:val="008967D0"/>
    <w:rsid w:val="00896D10"/>
    <w:rsid w:val="008973B9"/>
    <w:rsid w:val="0089769D"/>
    <w:rsid w:val="008A09C3"/>
    <w:rsid w:val="008A185B"/>
    <w:rsid w:val="008A1F19"/>
    <w:rsid w:val="008A273D"/>
    <w:rsid w:val="008A2DE1"/>
    <w:rsid w:val="008A39D6"/>
    <w:rsid w:val="008A4DC4"/>
    <w:rsid w:val="008A546B"/>
    <w:rsid w:val="008A5C4F"/>
    <w:rsid w:val="008A6C3F"/>
    <w:rsid w:val="008A6E4E"/>
    <w:rsid w:val="008A7336"/>
    <w:rsid w:val="008B1485"/>
    <w:rsid w:val="008B285A"/>
    <w:rsid w:val="008B2BD3"/>
    <w:rsid w:val="008B3C09"/>
    <w:rsid w:val="008B46FF"/>
    <w:rsid w:val="008B5629"/>
    <w:rsid w:val="008B5EB9"/>
    <w:rsid w:val="008B633B"/>
    <w:rsid w:val="008B732D"/>
    <w:rsid w:val="008C149C"/>
    <w:rsid w:val="008C1707"/>
    <w:rsid w:val="008C1E13"/>
    <w:rsid w:val="008C2218"/>
    <w:rsid w:val="008C221B"/>
    <w:rsid w:val="008C2437"/>
    <w:rsid w:val="008C277C"/>
    <w:rsid w:val="008C29DE"/>
    <w:rsid w:val="008C408C"/>
    <w:rsid w:val="008C43AE"/>
    <w:rsid w:val="008C4403"/>
    <w:rsid w:val="008C63E8"/>
    <w:rsid w:val="008C667F"/>
    <w:rsid w:val="008C68FF"/>
    <w:rsid w:val="008C6EEF"/>
    <w:rsid w:val="008C735B"/>
    <w:rsid w:val="008C7C7E"/>
    <w:rsid w:val="008D07F9"/>
    <w:rsid w:val="008D0903"/>
    <w:rsid w:val="008D0B44"/>
    <w:rsid w:val="008D10AF"/>
    <w:rsid w:val="008D111A"/>
    <w:rsid w:val="008D134D"/>
    <w:rsid w:val="008D13F9"/>
    <w:rsid w:val="008D1882"/>
    <w:rsid w:val="008D19EA"/>
    <w:rsid w:val="008D2014"/>
    <w:rsid w:val="008D2D72"/>
    <w:rsid w:val="008D2F23"/>
    <w:rsid w:val="008D33E7"/>
    <w:rsid w:val="008D355F"/>
    <w:rsid w:val="008D38E0"/>
    <w:rsid w:val="008D3F03"/>
    <w:rsid w:val="008D47EF"/>
    <w:rsid w:val="008D5062"/>
    <w:rsid w:val="008D55C7"/>
    <w:rsid w:val="008D5FB9"/>
    <w:rsid w:val="008D6348"/>
    <w:rsid w:val="008D64D9"/>
    <w:rsid w:val="008D6C96"/>
    <w:rsid w:val="008E21B7"/>
    <w:rsid w:val="008E26A1"/>
    <w:rsid w:val="008E287E"/>
    <w:rsid w:val="008E3BDB"/>
    <w:rsid w:val="008E4C95"/>
    <w:rsid w:val="008E5D22"/>
    <w:rsid w:val="008E6044"/>
    <w:rsid w:val="008E6B95"/>
    <w:rsid w:val="008E7247"/>
    <w:rsid w:val="008E7705"/>
    <w:rsid w:val="008E7FF0"/>
    <w:rsid w:val="008F0581"/>
    <w:rsid w:val="008F2E76"/>
    <w:rsid w:val="008F3145"/>
    <w:rsid w:val="008F3CA0"/>
    <w:rsid w:val="008F4606"/>
    <w:rsid w:val="008F5A34"/>
    <w:rsid w:val="008F6EB7"/>
    <w:rsid w:val="008F7B56"/>
    <w:rsid w:val="009003BE"/>
    <w:rsid w:val="009004DF"/>
    <w:rsid w:val="009024C6"/>
    <w:rsid w:val="009035E1"/>
    <w:rsid w:val="00903D90"/>
    <w:rsid w:val="00904385"/>
    <w:rsid w:val="009047AF"/>
    <w:rsid w:val="00904884"/>
    <w:rsid w:val="0090499A"/>
    <w:rsid w:val="00904EB8"/>
    <w:rsid w:val="00904EF0"/>
    <w:rsid w:val="00904F43"/>
    <w:rsid w:val="00904F9B"/>
    <w:rsid w:val="00904FB4"/>
    <w:rsid w:val="0090659C"/>
    <w:rsid w:val="00906B6C"/>
    <w:rsid w:val="00906BFB"/>
    <w:rsid w:val="0090768A"/>
    <w:rsid w:val="0091016F"/>
    <w:rsid w:val="0091071F"/>
    <w:rsid w:val="0091250E"/>
    <w:rsid w:val="009125CE"/>
    <w:rsid w:val="009125D6"/>
    <w:rsid w:val="00912781"/>
    <w:rsid w:val="00912CB1"/>
    <w:rsid w:val="00914547"/>
    <w:rsid w:val="009145B9"/>
    <w:rsid w:val="00914D32"/>
    <w:rsid w:val="00914E6C"/>
    <w:rsid w:val="00915FFA"/>
    <w:rsid w:val="00916827"/>
    <w:rsid w:val="0091687C"/>
    <w:rsid w:val="009168C9"/>
    <w:rsid w:val="00916E13"/>
    <w:rsid w:val="00917997"/>
    <w:rsid w:val="00920750"/>
    <w:rsid w:val="009216F6"/>
    <w:rsid w:val="00923066"/>
    <w:rsid w:val="00923B19"/>
    <w:rsid w:val="00923B5E"/>
    <w:rsid w:val="00924F26"/>
    <w:rsid w:val="00924F5D"/>
    <w:rsid w:val="00925155"/>
    <w:rsid w:val="009258C7"/>
    <w:rsid w:val="00925A91"/>
    <w:rsid w:val="00925F7F"/>
    <w:rsid w:val="00926115"/>
    <w:rsid w:val="0092677D"/>
    <w:rsid w:val="009267D0"/>
    <w:rsid w:val="009270A8"/>
    <w:rsid w:val="00927AB1"/>
    <w:rsid w:val="00931F52"/>
    <w:rsid w:val="009327B8"/>
    <w:rsid w:val="00932A56"/>
    <w:rsid w:val="00932BD2"/>
    <w:rsid w:val="00932EDD"/>
    <w:rsid w:val="009336FC"/>
    <w:rsid w:val="00933D75"/>
    <w:rsid w:val="00934CB9"/>
    <w:rsid w:val="009355A8"/>
    <w:rsid w:val="0093585C"/>
    <w:rsid w:val="009358F8"/>
    <w:rsid w:val="00936A47"/>
    <w:rsid w:val="0093725E"/>
    <w:rsid w:val="0094077E"/>
    <w:rsid w:val="00940CCF"/>
    <w:rsid w:val="00940DDF"/>
    <w:rsid w:val="00940F63"/>
    <w:rsid w:val="00941189"/>
    <w:rsid w:val="00941602"/>
    <w:rsid w:val="00941759"/>
    <w:rsid w:val="00941D74"/>
    <w:rsid w:val="009421F7"/>
    <w:rsid w:val="00942267"/>
    <w:rsid w:val="00942B24"/>
    <w:rsid w:val="00942DA1"/>
    <w:rsid w:val="00943937"/>
    <w:rsid w:val="009440F1"/>
    <w:rsid w:val="00945792"/>
    <w:rsid w:val="009459CC"/>
    <w:rsid w:val="0094601C"/>
    <w:rsid w:val="009471B8"/>
    <w:rsid w:val="0094734E"/>
    <w:rsid w:val="00947729"/>
    <w:rsid w:val="00947779"/>
    <w:rsid w:val="00950569"/>
    <w:rsid w:val="00950C2A"/>
    <w:rsid w:val="0095105F"/>
    <w:rsid w:val="00951E78"/>
    <w:rsid w:val="009521BD"/>
    <w:rsid w:val="00952672"/>
    <w:rsid w:val="00952AC2"/>
    <w:rsid w:val="009548E8"/>
    <w:rsid w:val="00954CB8"/>
    <w:rsid w:val="00954F28"/>
    <w:rsid w:val="00957B2C"/>
    <w:rsid w:val="00957EF8"/>
    <w:rsid w:val="00960653"/>
    <w:rsid w:val="00960D09"/>
    <w:rsid w:val="009615B6"/>
    <w:rsid w:val="00962CAC"/>
    <w:rsid w:val="00963703"/>
    <w:rsid w:val="009640DE"/>
    <w:rsid w:val="009642AB"/>
    <w:rsid w:val="009643C0"/>
    <w:rsid w:val="00964E56"/>
    <w:rsid w:val="0096587B"/>
    <w:rsid w:val="00966086"/>
    <w:rsid w:val="009663CA"/>
    <w:rsid w:val="00966F81"/>
    <w:rsid w:val="009678E8"/>
    <w:rsid w:val="009701B5"/>
    <w:rsid w:val="009711B6"/>
    <w:rsid w:val="009717D1"/>
    <w:rsid w:val="00971D67"/>
    <w:rsid w:val="00972782"/>
    <w:rsid w:val="00972BFF"/>
    <w:rsid w:val="00972F85"/>
    <w:rsid w:val="00972FC1"/>
    <w:rsid w:val="00973402"/>
    <w:rsid w:val="009735DA"/>
    <w:rsid w:val="009745B0"/>
    <w:rsid w:val="00974BA6"/>
    <w:rsid w:val="00974C22"/>
    <w:rsid w:val="009752D9"/>
    <w:rsid w:val="009754DF"/>
    <w:rsid w:val="0097571C"/>
    <w:rsid w:val="00975866"/>
    <w:rsid w:val="0097689C"/>
    <w:rsid w:val="00976939"/>
    <w:rsid w:val="00977E5D"/>
    <w:rsid w:val="009804C4"/>
    <w:rsid w:val="00981A84"/>
    <w:rsid w:val="00981D5B"/>
    <w:rsid w:val="00981DF2"/>
    <w:rsid w:val="00981FAF"/>
    <w:rsid w:val="00982DF8"/>
    <w:rsid w:val="00982E33"/>
    <w:rsid w:val="00982FEE"/>
    <w:rsid w:val="0098382F"/>
    <w:rsid w:val="00984010"/>
    <w:rsid w:val="0098418E"/>
    <w:rsid w:val="009844F6"/>
    <w:rsid w:val="0098479C"/>
    <w:rsid w:val="0098489D"/>
    <w:rsid w:val="009848B2"/>
    <w:rsid w:val="00984B7D"/>
    <w:rsid w:val="00984D59"/>
    <w:rsid w:val="00984E16"/>
    <w:rsid w:val="00985F75"/>
    <w:rsid w:val="00986A5E"/>
    <w:rsid w:val="00986B71"/>
    <w:rsid w:val="00987A3C"/>
    <w:rsid w:val="00987AE7"/>
    <w:rsid w:val="00987F4A"/>
    <w:rsid w:val="0099030F"/>
    <w:rsid w:val="0099072F"/>
    <w:rsid w:val="009914F7"/>
    <w:rsid w:val="00991F88"/>
    <w:rsid w:val="009920AB"/>
    <w:rsid w:val="00992C96"/>
    <w:rsid w:val="009932E0"/>
    <w:rsid w:val="009945A3"/>
    <w:rsid w:val="00995F75"/>
    <w:rsid w:val="00996C04"/>
    <w:rsid w:val="009979BB"/>
    <w:rsid w:val="00997C57"/>
    <w:rsid w:val="00997EFE"/>
    <w:rsid w:val="009A0CC3"/>
    <w:rsid w:val="009A131D"/>
    <w:rsid w:val="009A1B72"/>
    <w:rsid w:val="009A2745"/>
    <w:rsid w:val="009A27A8"/>
    <w:rsid w:val="009A30B7"/>
    <w:rsid w:val="009A33CE"/>
    <w:rsid w:val="009A3A77"/>
    <w:rsid w:val="009A3AD7"/>
    <w:rsid w:val="009A3F42"/>
    <w:rsid w:val="009A424B"/>
    <w:rsid w:val="009A463B"/>
    <w:rsid w:val="009A5659"/>
    <w:rsid w:val="009A5BF3"/>
    <w:rsid w:val="009A6687"/>
    <w:rsid w:val="009A678F"/>
    <w:rsid w:val="009A75AE"/>
    <w:rsid w:val="009A79A9"/>
    <w:rsid w:val="009B0304"/>
    <w:rsid w:val="009B0DC6"/>
    <w:rsid w:val="009B0F5F"/>
    <w:rsid w:val="009B14E5"/>
    <w:rsid w:val="009B24F0"/>
    <w:rsid w:val="009B27D5"/>
    <w:rsid w:val="009B2A7F"/>
    <w:rsid w:val="009B4386"/>
    <w:rsid w:val="009B4E34"/>
    <w:rsid w:val="009B57C9"/>
    <w:rsid w:val="009B5BB4"/>
    <w:rsid w:val="009B614F"/>
    <w:rsid w:val="009B636B"/>
    <w:rsid w:val="009B6422"/>
    <w:rsid w:val="009B644A"/>
    <w:rsid w:val="009B67F3"/>
    <w:rsid w:val="009B6C31"/>
    <w:rsid w:val="009B7A8E"/>
    <w:rsid w:val="009C0AF2"/>
    <w:rsid w:val="009C15E9"/>
    <w:rsid w:val="009C1FB5"/>
    <w:rsid w:val="009C2548"/>
    <w:rsid w:val="009C3FCF"/>
    <w:rsid w:val="009C45F9"/>
    <w:rsid w:val="009C551E"/>
    <w:rsid w:val="009C5B7E"/>
    <w:rsid w:val="009C5F5F"/>
    <w:rsid w:val="009C6A04"/>
    <w:rsid w:val="009C747A"/>
    <w:rsid w:val="009D00BA"/>
    <w:rsid w:val="009D069E"/>
    <w:rsid w:val="009D07C2"/>
    <w:rsid w:val="009D108F"/>
    <w:rsid w:val="009D1BE7"/>
    <w:rsid w:val="009D1E60"/>
    <w:rsid w:val="009D1EAB"/>
    <w:rsid w:val="009D22BC"/>
    <w:rsid w:val="009D2BF8"/>
    <w:rsid w:val="009D2F10"/>
    <w:rsid w:val="009D3B38"/>
    <w:rsid w:val="009D402C"/>
    <w:rsid w:val="009D4AC3"/>
    <w:rsid w:val="009D4FB5"/>
    <w:rsid w:val="009D5044"/>
    <w:rsid w:val="009D5A96"/>
    <w:rsid w:val="009D5CF0"/>
    <w:rsid w:val="009D77EE"/>
    <w:rsid w:val="009E0331"/>
    <w:rsid w:val="009E050A"/>
    <w:rsid w:val="009E088E"/>
    <w:rsid w:val="009E1005"/>
    <w:rsid w:val="009E12F3"/>
    <w:rsid w:val="009E28B5"/>
    <w:rsid w:val="009E2932"/>
    <w:rsid w:val="009E2ADB"/>
    <w:rsid w:val="009E3721"/>
    <w:rsid w:val="009E4218"/>
    <w:rsid w:val="009E473D"/>
    <w:rsid w:val="009E497B"/>
    <w:rsid w:val="009E4B5A"/>
    <w:rsid w:val="009E52D8"/>
    <w:rsid w:val="009E5325"/>
    <w:rsid w:val="009E5389"/>
    <w:rsid w:val="009E7CCB"/>
    <w:rsid w:val="009F0B76"/>
    <w:rsid w:val="009F123D"/>
    <w:rsid w:val="009F239C"/>
    <w:rsid w:val="009F33CA"/>
    <w:rsid w:val="009F4E2B"/>
    <w:rsid w:val="009F57F6"/>
    <w:rsid w:val="009F5BDD"/>
    <w:rsid w:val="009F7FCA"/>
    <w:rsid w:val="00A00581"/>
    <w:rsid w:val="00A0136A"/>
    <w:rsid w:val="00A02944"/>
    <w:rsid w:val="00A03251"/>
    <w:rsid w:val="00A03AE2"/>
    <w:rsid w:val="00A03B11"/>
    <w:rsid w:val="00A0507E"/>
    <w:rsid w:val="00A0521C"/>
    <w:rsid w:val="00A054D8"/>
    <w:rsid w:val="00A0576A"/>
    <w:rsid w:val="00A05837"/>
    <w:rsid w:val="00A06548"/>
    <w:rsid w:val="00A067E1"/>
    <w:rsid w:val="00A075D3"/>
    <w:rsid w:val="00A07ED7"/>
    <w:rsid w:val="00A122A6"/>
    <w:rsid w:val="00A122BA"/>
    <w:rsid w:val="00A1272C"/>
    <w:rsid w:val="00A138F8"/>
    <w:rsid w:val="00A13E04"/>
    <w:rsid w:val="00A14774"/>
    <w:rsid w:val="00A148E9"/>
    <w:rsid w:val="00A14BF6"/>
    <w:rsid w:val="00A159B4"/>
    <w:rsid w:val="00A15C69"/>
    <w:rsid w:val="00A16F8D"/>
    <w:rsid w:val="00A20278"/>
    <w:rsid w:val="00A20F91"/>
    <w:rsid w:val="00A2141D"/>
    <w:rsid w:val="00A2217E"/>
    <w:rsid w:val="00A22F03"/>
    <w:rsid w:val="00A238DC"/>
    <w:rsid w:val="00A2459E"/>
    <w:rsid w:val="00A24930"/>
    <w:rsid w:val="00A25FFE"/>
    <w:rsid w:val="00A26001"/>
    <w:rsid w:val="00A2621E"/>
    <w:rsid w:val="00A26967"/>
    <w:rsid w:val="00A26C96"/>
    <w:rsid w:val="00A26CC4"/>
    <w:rsid w:val="00A27A30"/>
    <w:rsid w:val="00A30926"/>
    <w:rsid w:val="00A30A87"/>
    <w:rsid w:val="00A32339"/>
    <w:rsid w:val="00A33206"/>
    <w:rsid w:val="00A34561"/>
    <w:rsid w:val="00A34FA9"/>
    <w:rsid w:val="00A35820"/>
    <w:rsid w:val="00A35C60"/>
    <w:rsid w:val="00A36011"/>
    <w:rsid w:val="00A36C0B"/>
    <w:rsid w:val="00A371A9"/>
    <w:rsid w:val="00A374D8"/>
    <w:rsid w:val="00A37E7B"/>
    <w:rsid w:val="00A40984"/>
    <w:rsid w:val="00A40CD4"/>
    <w:rsid w:val="00A40CF3"/>
    <w:rsid w:val="00A4178B"/>
    <w:rsid w:val="00A421A5"/>
    <w:rsid w:val="00A42334"/>
    <w:rsid w:val="00A428B0"/>
    <w:rsid w:val="00A42DEE"/>
    <w:rsid w:val="00A435ED"/>
    <w:rsid w:val="00A456E7"/>
    <w:rsid w:val="00A45EC4"/>
    <w:rsid w:val="00A46691"/>
    <w:rsid w:val="00A46B6E"/>
    <w:rsid w:val="00A46B87"/>
    <w:rsid w:val="00A5019B"/>
    <w:rsid w:val="00A50352"/>
    <w:rsid w:val="00A50845"/>
    <w:rsid w:val="00A509BC"/>
    <w:rsid w:val="00A50AB1"/>
    <w:rsid w:val="00A5170C"/>
    <w:rsid w:val="00A524A7"/>
    <w:rsid w:val="00A52F21"/>
    <w:rsid w:val="00A53ED6"/>
    <w:rsid w:val="00A541DE"/>
    <w:rsid w:val="00A54923"/>
    <w:rsid w:val="00A549D1"/>
    <w:rsid w:val="00A54EBC"/>
    <w:rsid w:val="00A550BE"/>
    <w:rsid w:val="00A554A1"/>
    <w:rsid w:val="00A5622F"/>
    <w:rsid w:val="00A569E6"/>
    <w:rsid w:val="00A56FD5"/>
    <w:rsid w:val="00A57833"/>
    <w:rsid w:val="00A57AAB"/>
    <w:rsid w:val="00A57D10"/>
    <w:rsid w:val="00A6016D"/>
    <w:rsid w:val="00A60C49"/>
    <w:rsid w:val="00A60E87"/>
    <w:rsid w:val="00A6161E"/>
    <w:rsid w:val="00A6163E"/>
    <w:rsid w:val="00A622B6"/>
    <w:rsid w:val="00A62366"/>
    <w:rsid w:val="00A62EAE"/>
    <w:rsid w:val="00A6421E"/>
    <w:rsid w:val="00A644B2"/>
    <w:rsid w:val="00A64826"/>
    <w:rsid w:val="00A64AFF"/>
    <w:rsid w:val="00A6693A"/>
    <w:rsid w:val="00A6707B"/>
    <w:rsid w:val="00A67292"/>
    <w:rsid w:val="00A67D6A"/>
    <w:rsid w:val="00A708BF"/>
    <w:rsid w:val="00A71812"/>
    <w:rsid w:val="00A71C1D"/>
    <w:rsid w:val="00A721F4"/>
    <w:rsid w:val="00A72CB0"/>
    <w:rsid w:val="00A731C8"/>
    <w:rsid w:val="00A73385"/>
    <w:rsid w:val="00A73D8C"/>
    <w:rsid w:val="00A73E61"/>
    <w:rsid w:val="00A7457F"/>
    <w:rsid w:val="00A74D7C"/>
    <w:rsid w:val="00A77163"/>
    <w:rsid w:val="00A77966"/>
    <w:rsid w:val="00A77F14"/>
    <w:rsid w:val="00A80222"/>
    <w:rsid w:val="00A80B54"/>
    <w:rsid w:val="00A80D8C"/>
    <w:rsid w:val="00A811B3"/>
    <w:rsid w:val="00A81352"/>
    <w:rsid w:val="00A81946"/>
    <w:rsid w:val="00A81C01"/>
    <w:rsid w:val="00A8306B"/>
    <w:rsid w:val="00A831AF"/>
    <w:rsid w:val="00A83203"/>
    <w:rsid w:val="00A83271"/>
    <w:rsid w:val="00A8477D"/>
    <w:rsid w:val="00A85143"/>
    <w:rsid w:val="00A856AB"/>
    <w:rsid w:val="00A86F52"/>
    <w:rsid w:val="00A874FB"/>
    <w:rsid w:val="00A87652"/>
    <w:rsid w:val="00A90051"/>
    <w:rsid w:val="00A90184"/>
    <w:rsid w:val="00A905FA"/>
    <w:rsid w:val="00A90A70"/>
    <w:rsid w:val="00A910D4"/>
    <w:rsid w:val="00A910E5"/>
    <w:rsid w:val="00A91644"/>
    <w:rsid w:val="00A918E2"/>
    <w:rsid w:val="00A91A82"/>
    <w:rsid w:val="00A91AB0"/>
    <w:rsid w:val="00A9280C"/>
    <w:rsid w:val="00A92A3C"/>
    <w:rsid w:val="00A92F5E"/>
    <w:rsid w:val="00A9331D"/>
    <w:rsid w:val="00A935BF"/>
    <w:rsid w:val="00A93D36"/>
    <w:rsid w:val="00A95A73"/>
    <w:rsid w:val="00A95DFC"/>
    <w:rsid w:val="00A963B4"/>
    <w:rsid w:val="00A96497"/>
    <w:rsid w:val="00A96C26"/>
    <w:rsid w:val="00A979F5"/>
    <w:rsid w:val="00A97B50"/>
    <w:rsid w:val="00A97C4F"/>
    <w:rsid w:val="00AA0AE5"/>
    <w:rsid w:val="00AA12DF"/>
    <w:rsid w:val="00AA3E38"/>
    <w:rsid w:val="00AA44CE"/>
    <w:rsid w:val="00AA51F5"/>
    <w:rsid w:val="00AA52EE"/>
    <w:rsid w:val="00AA58E2"/>
    <w:rsid w:val="00AA5AC4"/>
    <w:rsid w:val="00AA6CF6"/>
    <w:rsid w:val="00AB0F92"/>
    <w:rsid w:val="00AB1043"/>
    <w:rsid w:val="00AB1490"/>
    <w:rsid w:val="00AB19F7"/>
    <w:rsid w:val="00AB3294"/>
    <w:rsid w:val="00AB3649"/>
    <w:rsid w:val="00AB3D24"/>
    <w:rsid w:val="00AB6CBB"/>
    <w:rsid w:val="00AB76B4"/>
    <w:rsid w:val="00AC0698"/>
    <w:rsid w:val="00AC0EA9"/>
    <w:rsid w:val="00AC1AE5"/>
    <w:rsid w:val="00AC2F10"/>
    <w:rsid w:val="00AC2F3A"/>
    <w:rsid w:val="00AC31BB"/>
    <w:rsid w:val="00AC47C2"/>
    <w:rsid w:val="00AC4B13"/>
    <w:rsid w:val="00AC4D8B"/>
    <w:rsid w:val="00AC57F3"/>
    <w:rsid w:val="00AC5983"/>
    <w:rsid w:val="00AC62B4"/>
    <w:rsid w:val="00AC63F5"/>
    <w:rsid w:val="00AC6A38"/>
    <w:rsid w:val="00AC7304"/>
    <w:rsid w:val="00AC75D0"/>
    <w:rsid w:val="00AC75E6"/>
    <w:rsid w:val="00AC7954"/>
    <w:rsid w:val="00AD0B96"/>
    <w:rsid w:val="00AD0C98"/>
    <w:rsid w:val="00AD1277"/>
    <w:rsid w:val="00AD16FC"/>
    <w:rsid w:val="00AD1E66"/>
    <w:rsid w:val="00AD2495"/>
    <w:rsid w:val="00AD2C2F"/>
    <w:rsid w:val="00AD2FA3"/>
    <w:rsid w:val="00AD3B0C"/>
    <w:rsid w:val="00AD44B3"/>
    <w:rsid w:val="00AD4DDF"/>
    <w:rsid w:val="00AD4E44"/>
    <w:rsid w:val="00AD5B32"/>
    <w:rsid w:val="00AD6338"/>
    <w:rsid w:val="00AD66C4"/>
    <w:rsid w:val="00AD6A8C"/>
    <w:rsid w:val="00AE0E36"/>
    <w:rsid w:val="00AE173E"/>
    <w:rsid w:val="00AE2B77"/>
    <w:rsid w:val="00AE3396"/>
    <w:rsid w:val="00AE3C3B"/>
    <w:rsid w:val="00AE42BE"/>
    <w:rsid w:val="00AE522C"/>
    <w:rsid w:val="00AF26E7"/>
    <w:rsid w:val="00AF29FB"/>
    <w:rsid w:val="00AF4027"/>
    <w:rsid w:val="00AF426E"/>
    <w:rsid w:val="00AF4621"/>
    <w:rsid w:val="00AF51A9"/>
    <w:rsid w:val="00AF5F5A"/>
    <w:rsid w:val="00AF6669"/>
    <w:rsid w:val="00AF6834"/>
    <w:rsid w:val="00AF6C26"/>
    <w:rsid w:val="00AF71AD"/>
    <w:rsid w:val="00AF7947"/>
    <w:rsid w:val="00AF7F40"/>
    <w:rsid w:val="00B000F9"/>
    <w:rsid w:val="00B0070D"/>
    <w:rsid w:val="00B02388"/>
    <w:rsid w:val="00B02553"/>
    <w:rsid w:val="00B033E0"/>
    <w:rsid w:val="00B03795"/>
    <w:rsid w:val="00B046FC"/>
    <w:rsid w:val="00B048F0"/>
    <w:rsid w:val="00B05541"/>
    <w:rsid w:val="00B05804"/>
    <w:rsid w:val="00B05860"/>
    <w:rsid w:val="00B05E35"/>
    <w:rsid w:val="00B05EBE"/>
    <w:rsid w:val="00B0759C"/>
    <w:rsid w:val="00B07EB9"/>
    <w:rsid w:val="00B11171"/>
    <w:rsid w:val="00B12A80"/>
    <w:rsid w:val="00B1379E"/>
    <w:rsid w:val="00B14B33"/>
    <w:rsid w:val="00B14F9E"/>
    <w:rsid w:val="00B15102"/>
    <w:rsid w:val="00B16464"/>
    <w:rsid w:val="00B16606"/>
    <w:rsid w:val="00B16CF8"/>
    <w:rsid w:val="00B171F8"/>
    <w:rsid w:val="00B17519"/>
    <w:rsid w:val="00B17E36"/>
    <w:rsid w:val="00B21886"/>
    <w:rsid w:val="00B22DFB"/>
    <w:rsid w:val="00B236B2"/>
    <w:rsid w:val="00B246C2"/>
    <w:rsid w:val="00B24E82"/>
    <w:rsid w:val="00B24E9E"/>
    <w:rsid w:val="00B24FF3"/>
    <w:rsid w:val="00B2560A"/>
    <w:rsid w:val="00B2560C"/>
    <w:rsid w:val="00B26458"/>
    <w:rsid w:val="00B26500"/>
    <w:rsid w:val="00B26B23"/>
    <w:rsid w:val="00B26C02"/>
    <w:rsid w:val="00B30973"/>
    <w:rsid w:val="00B30A3A"/>
    <w:rsid w:val="00B30E2D"/>
    <w:rsid w:val="00B31F7B"/>
    <w:rsid w:val="00B320B2"/>
    <w:rsid w:val="00B32B47"/>
    <w:rsid w:val="00B32E9E"/>
    <w:rsid w:val="00B34D1B"/>
    <w:rsid w:val="00B35651"/>
    <w:rsid w:val="00B356F9"/>
    <w:rsid w:val="00B361DB"/>
    <w:rsid w:val="00B36206"/>
    <w:rsid w:val="00B36DD1"/>
    <w:rsid w:val="00B3727D"/>
    <w:rsid w:val="00B37642"/>
    <w:rsid w:val="00B37BAF"/>
    <w:rsid w:val="00B37E72"/>
    <w:rsid w:val="00B40590"/>
    <w:rsid w:val="00B40EDC"/>
    <w:rsid w:val="00B40EF2"/>
    <w:rsid w:val="00B41565"/>
    <w:rsid w:val="00B42DE8"/>
    <w:rsid w:val="00B43A29"/>
    <w:rsid w:val="00B442EA"/>
    <w:rsid w:val="00B44AF5"/>
    <w:rsid w:val="00B44D4A"/>
    <w:rsid w:val="00B45A65"/>
    <w:rsid w:val="00B461CC"/>
    <w:rsid w:val="00B462FD"/>
    <w:rsid w:val="00B463D4"/>
    <w:rsid w:val="00B46A59"/>
    <w:rsid w:val="00B46DB0"/>
    <w:rsid w:val="00B471F1"/>
    <w:rsid w:val="00B47A29"/>
    <w:rsid w:val="00B50DE2"/>
    <w:rsid w:val="00B51B34"/>
    <w:rsid w:val="00B52929"/>
    <w:rsid w:val="00B52BDC"/>
    <w:rsid w:val="00B543FF"/>
    <w:rsid w:val="00B5663E"/>
    <w:rsid w:val="00B57754"/>
    <w:rsid w:val="00B57E43"/>
    <w:rsid w:val="00B60D9C"/>
    <w:rsid w:val="00B6176D"/>
    <w:rsid w:val="00B61E4E"/>
    <w:rsid w:val="00B61EDA"/>
    <w:rsid w:val="00B620F3"/>
    <w:rsid w:val="00B62DFA"/>
    <w:rsid w:val="00B6319F"/>
    <w:rsid w:val="00B6374E"/>
    <w:rsid w:val="00B63A49"/>
    <w:rsid w:val="00B64428"/>
    <w:rsid w:val="00B64601"/>
    <w:rsid w:val="00B64B24"/>
    <w:rsid w:val="00B64C3E"/>
    <w:rsid w:val="00B650BB"/>
    <w:rsid w:val="00B658DF"/>
    <w:rsid w:val="00B65AD7"/>
    <w:rsid w:val="00B66DEE"/>
    <w:rsid w:val="00B7012A"/>
    <w:rsid w:val="00B7048A"/>
    <w:rsid w:val="00B70A6A"/>
    <w:rsid w:val="00B71C93"/>
    <w:rsid w:val="00B738F0"/>
    <w:rsid w:val="00B74229"/>
    <w:rsid w:val="00B74305"/>
    <w:rsid w:val="00B7478D"/>
    <w:rsid w:val="00B74815"/>
    <w:rsid w:val="00B74874"/>
    <w:rsid w:val="00B75469"/>
    <w:rsid w:val="00B755FE"/>
    <w:rsid w:val="00B7610B"/>
    <w:rsid w:val="00B767ED"/>
    <w:rsid w:val="00B80384"/>
    <w:rsid w:val="00B81C51"/>
    <w:rsid w:val="00B82350"/>
    <w:rsid w:val="00B828DA"/>
    <w:rsid w:val="00B82F58"/>
    <w:rsid w:val="00B83709"/>
    <w:rsid w:val="00B83762"/>
    <w:rsid w:val="00B83D90"/>
    <w:rsid w:val="00B83FAB"/>
    <w:rsid w:val="00B8421F"/>
    <w:rsid w:val="00B848D9"/>
    <w:rsid w:val="00B8496D"/>
    <w:rsid w:val="00B85CE7"/>
    <w:rsid w:val="00B85ECB"/>
    <w:rsid w:val="00B90911"/>
    <w:rsid w:val="00B90FBA"/>
    <w:rsid w:val="00B93A12"/>
    <w:rsid w:val="00B94ECE"/>
    <w:rsid w:val="00B9508F"/>
    <w:rsid w:val="00B96D41"/>
    <w:rsid w:val="00BA015F"/>
    <w:rsid w:val="00BA0D96"/>
    <w:rsid w:val="00BA2192"/>
    <w:rsid w:val="00BA3321"/>
    <w:rsid w:val="00BA33DF"/>
    <w:rsid w:val="00BA416B"/>
    <w:rsid w:val="00BA46C2"/>
    <w:rsid w:val="00BA60AF"/>
    <w:rsid w:val="00BA697E"/>
    <w:rsid w:val="00BA7DFA"/>
    <w:rsid w:val="00BB0121"/>
    <w:rsid w:val="00BB07E6"/>
    <w:rsid w:val="00BB0E11"/>
    <w:rsid w:val="00BB131E"/>
    <w:rsid w:val="00BB138C"/>
    <w:rsid w:val="00BB211F"/>
    <w:rsid w:val="00BB325A"/>
    <w:rsid w:val="00BB3A5A"/>
    <w:rsid w:val="00BB3B5C"/>
    <w:rsid w:val="00BB4378"/>
    <w:rsid w:val="00BB4579"/>
    <w:rsid w:val="00BB532A"/>
    <w:rsid w:val="00BB5495"/>
    <w:rsid w:val="00BB58A9"/>
    <w:rsid w:val="00BB5A6E"/>
    <w:rsid w:val="00BB5DB4"/>
    <w:rsid w:val="00BB5DC5"/>
    <w:rsid w:val="00BB6337"/>
    <w:rsid w:val="00BB69E1"/>
    <w:rsid w:val="00BB703E"/>
    <w:rsid w:val="00BC218A"/>
    <w:rsid w:val="00BC26A1"/>
    <w:rsid w:val="00BC3A6C"/>
    <w:rsid w:val="00BC418D"/>
    <w:rsid w:val="00BC463C"/>
    <w:rsid w:val="00BC490E"/>
    <w:rsid w:val="00BC5EE4"/>
    <w:rsid w:val="00BC6A30"/>
    <w:rsid w:val="00BC6D97"/>
    <w:rsid w:val="00BC757B"/>
    <w:rsid w:val="00BC7D0D"/>
    <w:rsid w:val="00BD046D"/>
    <w:rsid w:val="00BD0667"/>
    <w:rsid w:val="00BD0998"/>
    <w:rsid w:val="00BD0C3E"/>
    <w:rsid w:val="00BD0FC3"/>
    <w:rsid w:val="00BD1023"/>
    <w:rsid w:val="00BD12A1"/>
    <w:rsid w:val="00BD152D"/>
    <w:rsid w:val="00BD20FD"/>
    <w:rsid w:val="00BD24DF"/>
    <w:rsid w:val="00BD2E05"/>
    <w:rsid w:val="00BD30F7"/>
    <w:rsid w:val="00BD36C0"/>
    <w:rsid w:val="00BD5386"/>
    <w:rsid w:val="00BD54BB"/>
    <w:rsid w:val="00BD58E9"/>
    <w:rsid w:val="00BD6B16"/>
    <w:rsid w:val="00BD6B36"/>
    <w:rsid w:val="00BD6B8B"/>
    <w:rsid w:val="00BD75AC"/>
    <w:rsid w:val="00BD76A7"/>
    <w:rsid w:val="00BD78BF"/>
    <w:rsid w:val="00BE0186"/>
    <w:rsid w:val="00BE0242"/>
    <w:rsid w:val="00BE0536"/>
    <w:rsid w:val="00BE0C0C"/>
    <w:rsid w:val="00BE1A39"/>
    <w:rsid w:val="00BE22F8"/>
    <w:rsid w:val="00BE2A33"/>
    <w:rsid w:val="00BE4676"/>
    <w:rsid w:val="00BE58A4"/>
    <w:rsid w:val="00BE5ED5"/>
    <w:rsid w:val="00BE6709"/>
    <w:rsid w:val="00BE68C3"/>
    <w:rsid w:val="00BF0836"/>
    <w:rsid w:val="00BF0F76"/>
    <w:rsid w:val="00BF18F1"/>
    <w:rsid w:val="00BF2BC5"/>
    <w:rsid w:val="00BF3285"/>
    <w:rsid w:val="00BF3FCD"/>
    <w:rsid w:val="00BF44EB"/>
    <w:rsid w:val="00BF47B6"/>
    <w:rsid w:val="00BF485D"/>
    <w:rsid w:val="00BF4886"/>
    <w:rsid w:val="00BF5918"/>
    <w:rsid w:val="00BF5C1D"/>
    <w:rsid w:val="00BF5C2F"/>
    <w:rsid w:val="00BF5E8E"/>
    <w:rsid w:val="00BF68CD"/>
    <w:rsid w:val="00BF743A"/>
    <w:rsid w:val="00BF7CF1"/>
    <w:rsid w:val="00C006EA"/>
    <w:rsid w:val="00C00FF1"/>
    <w:rsid w:val="00C01CEE"/>
    <w:rsid w:val="00C04D0F"/>
    <w:rsid w:val="00C05E11"/>
    <w:rsid w:val="00C06371"/>
    <w:rsid w:val="00C063A2"/>
    <w:rsid w:val="00C06EDF"/>
    <w:rsid w:val="00C078B3"/>
    <w:rsid w:val="00C10C69"/>
    <w:rsid w:val="00C11BF4"/>
    <w:rsid w:val="00C1271F"/>
    <w:rsid w:val="00C135C7"/>
    <w:rsid w:val="00C13698"/>
    <w:rsid w:val="00C14979"/>
    <w:rsid w:val="00C14D82"/>
    <w:rsid w:val="00C1588A"/>
    <w:rsid w:val="00C176FE"/>
    <w:rsid w:val="00C2054C"/>
    <w:rsid w:val="00C205AF"/>
    <w:rsid w:val="00C20C00"/>
    <w:rsid w:val="00C211E7"/>
    <w:rsid w:val="00C21468"/>
    <w:rsid w:val="00C214AE"/>
    <w:rsid w:val="00C2191E"/>
    <w:rsid w:val="00C229B6"/>
    <w:rsid w:val="00C23B75"/>
    <w:rsid w:val="00C248F7"/>
    <w:rsid w:val="00C249B7"/>
    <w:rsid w:val="00C249D6"/>
    <w:rsid w:val="00C24B65"/>
    <w:rsid w:val="00C25063"/>
    <w:rsid w:val="00C2564E"/>
    <w:rsid w:val="00C256D3"/>
    <w:rsid w:val="00C268F6"/>
    <w:rsid w:val="00C26B55"/>
    <w:rsid w:val="00C26D40"/>
    <w:rsid w:val="00C26E2D"/>
    <w:rsid w:val="00C27D74"/>
    <w:rsid w:val="00C30F2F"/>
    <w:rsid w:val="00C31F19"/>
    <w:rsid w:val="00C34301"/>
    <w:rsid w:val="00C34E9D"/>
    <w:rsid w:val="00C35368"/>
    <w:rsid w:val="00C35370"/>
    <w:rsid w:val="00C35E0A"/>
    <w:rsid w:val="00C36317"/>
    <w:rsid w:val="00C367B8"/>
    <w:rsid w:val="00C36B5D"/>
    <w:rsid w:val="00C377E5"/>
    <w:rsid w:val="00C37C78"/>
    <w:rsid w:val="00C40441"/>
    <w:rsid w:val="00C404CE"/>
    <w:rsid w:val="00C40F02"/>
    <w:rsid w:val="00C422F8"/>
    <w:rsid w:val="00C43471"/>
    <w:rsid w:val="00C43C2B"/>
    <w:rsid w:val="00C444DB"/>
    <w:rsid w:val="00C44998"/>
    <w:rsid w:val="00C4542F"/>
    <w:rsid w:val="00C45F64"/>
    <w:rsid w:val="00C46203"/>
    <w:rsid w:val="00C476D5"/>
    <w:rsid w:val="00C47EDB"/>
    <w:rsid w:val="00C5038C"/>
    <w:rsid w:val="00C50E76"/>
    <w:rsid w:val="00C51BC9"/>
    <w:rsid w:val="00C51D54"/>
    <w:rsid w:val="00C53904"/>
    <w:rsid w:val="00C53CB7"/>
    <w:rsid w:val="00C53E68"/>
    <w:rsid w:val="00C53EA2"/>
    <w:rsid w:val="00C549CB"/>
    <w:rsid w:val="00C56538"/>
    <w:rsid w:val="00C5657F"/>
    <w:rsid w:val="00C569D1"/>
    <w:rsid w:val="00C56FC0"/>
    <w:rsid w:val="00C5767B"/>
    <w:rsid w:val="00C609B8"/>
    <w:rsid w:val="00C60DDE"/>
    <w:rsid w:val="00C6233E"/>
    <w:rsid w:val="00C6247A"/>
    <w:rsid w:val="00C62772"/>
    <w:rsid w:val="00C63820"/>
    <w:rsid w:val="00C649A7"/>
    <w:rsid w:val="00C65137"/>
    <w:rsid w:val="00C65741"/>
    <w:rsid w:val="00C660D7"/>
    <w:rsid w:val="00C66AF7"/>
    <w:rsid w:val="00C6702C"/>
    <w:rsid w:val="00C671EB"/>
    <w:rsid w:val="00C67230"/>
    <w:rsid w:val="00C673C7"/>
    <w:rsid w:val="00C6755F"/>
    <w:rsid w:val="00C67F35"/>
    <w:rsid w:val="00C70791"/>
    <w:rsid w:val="00C70932"/>
    <w:rsid w:val="00C70998"/>
    <w:rsid w:val="00C70AF7"/>
    <w:rsid w:val="00C71586"/>
    <w:rsid w:val="00C71A52"/>
    <w:rsid w:val="00C71D4E"/>
    <w:rsid w:val="00C72110"/>
    <w:rsid w:val="00C7361B"/>
    <w:rsid w:val="00C750D1"/>
    <w:rsid w:val="00C75180"/>
    <w:rsid w:val="00C76557"/>
    <w:rsid w:val="00C77A08"/>
    <w:rsid w:val="00C77F49"/>
    <w:rsid w:val="00C80903"/>
    <w:rsid w:val="00C811EC"/>
    <w:rsid w:val="00C81A40"/>
    <w:rsid w:val="00C82376"/>
    <w:rsid w:val="00C8258B"/>
    <w:rsid w:val="00C84276"/>
    <w:rsid w:val="00C853A3"/>
    <w:rsid w:val="00C856D5"/>
    <w:rsid w:val="00C86300"/>
    <w:rsid w:val="00C86BF4"/>
    <w:rsid w:val="00C86DE9"/>
    <w:rsid w:val="00C86FD7"/>
    <w:rsid w:val="00C8708E"/>
    <w:rsid w:val="00C87107"/>
    <w:rsid w:val="00C90C54"/>
    <w:rsid w:val="00C9255A"/>
    <w:rsid w:val="00C933A9"/>
    <w:rsid w:val="00C93690"/>
    <w:rsid w:val="00C9427F"/>
    <w:rsid w:val="00C947AA"/>
    <w:rsid w:val="00C94906"/>
    <w:rsid w:val="00C95AFE"/>
    <w:rsid w:val="00C96C40"/>
    <w:rsid w:val="00C975DF"/>
    <w:rsid w:val="00C97B16"/>
    <w:rsid w:val="00CA084E"/>
    <w:rsid w:val="00CA17B7"/>
    <w:rsid w:val="00CA18BF"/>
    <w:rsid w:val="00CA2392"/>
    <w:rsid w:val="00CA2A34"/>
    <w:rsid w:val="00CA323A"/>
    <w:rsid w:val="00CA399A"/>
    <w:rsid w:val="00CA3A99"/>
    <w:rsid w:val="00CA49E3"/>
    <w:rsid w:val="00CA6404"/>
    <w:rsid w:val="00CA64B1"/>
    <w:rsid w:val="00CA685A"/>
    <w:rsid w:val="00CA70CD"/>
    <w:rsid w:val="00CA72B4"/>
    <w:rsid w:val="00CA737C"/>
    <w:rsid w:val="00CA7EA2"/>
    <w:rsid w:val="00CB016B"/>
    <w:rsid w:val="00CB13BA"/>
    <w:rsid w:val="00CB1928"/>
    <w:rsid w:val="00CB2395"/>
    <w:rsid w:val="00CB2E92"/>
    <w:rsid w:val="00CB2FF0"/>
    <w:rsid w:val="00CB3168"/>
    <w:rsid w:val="00CB31CC"/>
    <w:rsid w:val="00CB48E3"/>
    <w:rsid w:val="00CB4CF8"/>
    <w:rsid w:val="00CB585F"/>
    <w:rsid w:val="00CB65FD"/>
    <w:rsid w:val="00CB6A34"/>
    <w:rsid w:val="00CB791B"/>
    <w:rsid w:val="00CC059F"/>
    <w:rsid w:val="00CC2A20"/>
    <w:rsid w:val="00CC399A"/>
    <w:rsid w:val="00CC556F"/>
    <w:rsid w:val="00CC5B86"/>
    <w:rsid w:val="00CC6043"/>
    <w:rsid w:val="00CC6544"/>
    <w:rsid w:val="00CC70AA"/>
    <w:rsid w:val="00CD01A7"/>
    <w:rsid w:val="00CD070B"/>
    <w:rsid w:val="00CD087A"/>
    <w:rsid w:val="00CD1804"/>
    <w:rsid w:val="00CD30ED"/>
    <w:rsid w:val="00CD4374"/>
    <w:rsid w:val="00CD4835"/>
    <w:rsid w:val="00CD487C"/>
    <w:rsid w:val="00CD4DDF"/>
    <w:rsid w:val="00CD4F4A"/>
    <w:rsid w:val="00CD5190"/>
    <w:rsid w:val="00CD6AC6"/>
    <w:rsid w:val="00CD6B14"/>
    <w:rsid w:val="00CD777A"/>
    <w:rsid w:val="00CE0682"/>
    <w:rsid w:val="00CE0782"/>
    <w:rsid w:val="00CE0D88"/>
    <w:rsid w:val="00CE1728"/>
    <w:rsid w:val="00CE1932"/>
    <w:rsid w:val="00CE2026"/>
    <w:rsid w:val="00CE2188"/>
    <w:rsid w:val="00CE2BBF"/>
    <w:rsid w:val="00CE41E8"/>
    <w:rsid w:val="00CE5DD4"/>
    <w:rsid w:val="00CE6575"/>
    <w:rsid w:val="00CE7FC6"/>
    <w:rsid w:val="00CE7FD6"/>
    <w:rsid w:val="00CE7FEB"/>
    <w:rsid w:val="00CF0127"/>
    <w:rsid w:val="00CF03D9"/>
    <w:rsid w:val="00CF0A99"/>
    <w:rsid w:val="00CF22FC"/>
    <w:rsid w:val="00CF28C6"/>
    <w:rsid w:val="00CF2D7D"/>
    <w:rsid w:val="00CF5785"/>
    <w:rsid w:val="00CF6112"/>
    <w:rsid w:val="00CF62B2"/>
    <w:rsid w:val="00CF6707"/>
    <w:rsid w:val="00CF675A"/>
    <w:rsid w:val="00CF6A3A"/>
    <w:rsid w:val="00D003DB"/>
    <w:rsid w:val="00D00C73"/>
    <w:rsid w:val="00D02B61"/>
    <w:rsid w:val="00D03534"/>
    <w:rsid w:val="00D04848"/>
    <w:rsid w:val="00D05324"/>
    <w:rsid w:val="00D05652"/>
    <w:rsid w:val="00D057F1"/>
    <w:rsid w:val="00D06B90"/>
    <w:rsid w:val="00D06EFF"/>
    <w:rsid w:val="00D074A9"/>
    <w:rsid w:val="00D07F36"/>
    <w:rsid w:val="00D10A07"/>
    <w:rsid w:val="00D10C8F"/>
    <w:rsid w:val="00D11797"/>
    <w:rsid w:val="00D119D8"/>
    <w:rsid w:val="00D11ACC"/>
    <w:rsid w:val="00D1216E"/>
    <w:rsid w:val="00D124DE"/>
    <w:rsid w:val="00D12B49"/>
    <w:rsid w:val="00D13408"/>
    <w:rsid w:val="00D13A2F"/>
    <w:rsid w:val="00D13CCB"/>
    <w:rsid w:val="00D156AB"/>
    <w:rsid w:val="00D15803"/>
    <w:rsid w:val="00D164C4"/>
    <w:rsid w:val="00D16554"/>
    <w:rsid w:val="00D17F40"/>
    <w:rsid w:val="00D20620"/>
    <w:rsid w:val="00D206FD"/>
    <w:rsid w:val="00D20889"/>
    <w:rsid w:val="00D20C60"/>
    <w:rsid w:val="00D21384"/>
    <w:rsid w:val="00D224F8"/>
    <w:rsid w:val="00D22B28"/>
    <w:rsid w:val="00D22E76"/>
    <w:rsid w:val="00D23896"/>
    <w:rsid w:val="00D2412E"/>
    <w:rsid w:val="00D24829"/>
    <w:rsid w:val="00D24EA7"/>
    <w:rsid w:val="00D24F88"/>
    <w:rsid w:val="00D250AB"/>
    <w:rsid w:val="00D26838"/>
    <w:rsid w:val="00D30316"/>
    <w:rsid w:val="00D304E9"/>
    <w:rsid w:val="00D339EA"/>
    <w:rsid w:val="00D34798"/>
    <w:rsid w:val="00D34EE6"/>
    <w:rsid w:val="00D35F63"/>
    <w:rsid w:val="00D36146"/>
    <w:rsid w:val="00D36D4F"/>
    <w:rsid w:val="00D37B45"/>
    <w:rsid w:val="00D37E0F"/>
    <w:rsid w:val="00D40885"/>
    <w:rsid w:val="00D40960"/>
    <w:rsid w:val="00D40AA6"/>
    <w:rsid w:val="00D40E3B"/>
    <w:rsid w:val="00D415BF"/>
    <w:rsid w:val="00D41686"/>
    <w:rsid w:val="00D41BBD"/>
    <w:rsid w:val="00D421A4"/>
    <w:rsid w:val="00D42F56"/>
    <w:rsid w:val="00D43607"/>
    <w:rsid w:val="00D43C38"/>
    <w:rsid w:val="00D447E1"/>
    <w:rsid w:val="00D450F5"/>
    <w:rsid w:val="00D45292"/>
    <w:rsid w:val="00D4619A"/>
    <w:rsid w:val="00D47AA0"/>
    <w:rsid w:val="00D47E16"/>
    <w:rsid w:val="00D501B2"/>
    <w:rsid w:val="00D506EA"/>
    <w:rsid w:val="00D51DB6"/>
    <w:rsid w:val="00D52338"/>
    <w:rsid w:val="00D52DE2"/>
    <w:rsid w:val="00D53A95"/>
    <w:rsid w:val="00D54A91"/>
    <w:rsid w:val="00D54D27"/>
    <w:rsid w:val="00D55146"/>
    <w:rsid w:val="00D560D8"/>
    <w:rsid w:val="00D56855"/>
    <w:rsid w:val="00D56A8A"/>
    <w:rsid w:val="00D57262"/>
    <w:rsid w:val="00D57E85"/>
    <w:rsid w:val="00D60073"/>
    <w:rsid w:val="00D60723"/>
    <w:rsid w:val="00D60765"/>
    <w:rsid w:val="00D60F96"/>
    <w:rsid w:val="00D61164"/>
    <w:rsid w:val="00D61196"/>
    <w:rsid w:val="00D61422"/>
    <w:rsid w:val="00D63730"/>
    <w:rsid w:val="00D65B04"/>
    <w:rsid w:val="00D65DBF"/>
    <w:rsid w:val="00D66546"/>
    <w:rsid w:val="00D66EE2"/>
    <w:rsid w:val="00D67734"/>
    <w:rsid w:val="00D707AE"/>
    <w:rsid w:val="00D70948"/>
    <w:rsid w:val="00D727C2"/>
    <w:rsid w:val="00D72F8F"/>
    <w:rsid w:val="00D7307A"/>
    <w:rsid w:val="00D74C0D"/>
    <w:rsid w:val="00D75C9C"/>
    <w:rsid w:val="00D76015"/>
    <w:rsid w:val="00D762F7"/>
    <w:rsid w:val="00D77696"/>
    <w:rsid w:val="00D8044A"/>
    <w:rsid w:val="00D804DB"/>
    <w:rsid w:val="00D81FDF"/>
    <w:rsid w:val="00D82041"/>
    <w:rsid w:val="00D82ABF"/>
    <w:rsid w:val="00D8320D"/>
    <w:rsid w:val="00D83C26"/>
    <w:rsid w:val="00D84972"/>
    <w:rsid w:val="00D856E6"/>
    <w:rsid w:val="00D863A8"/>
    <w:rsid w:val="00D86C6A"/>
    <w:rsid w:val="00D879C1"/>
    <w:rsid w:val="00D87D62"/>
    <w:rsid w:val="00D87F7A"/>
    <w:rsid w:val="00D900C4"/>
    <w:rsid w:val="00D90D68"/>
    <w:rsid w:val="00D90FDC"/>
    <w:rsid w:val="00D91346"/>
    <w:rsid w:val="00D92477"/>
    <w:rsid w:val="00D93369"/>
    <w:rsid w:val="00D936EA"/>
    <w:rsid w:val="00D93A64"/>
    <w:rsid w:val="00D94A3D"/>
    <w:rsid w:val="00D950FD"/>
    <w:rsid w:val="00D95682"/>
    <w:rsid w:val="00D95792"/>
    <w:rsid w:val="00D95FE9"/>
    <w:rsid w:val="00D9658A"/>
    <w:rsid w:val="00D96713"/>
    <w:rsid w:val="00D968F4"/>
    <w:rsid w:val="00D96959"/>
    <w:rsid w:val="00D9726E"/>
    <w:rsid w:val="00D9772F"/>
    <w:rsid w:val="00DA0C2E"/>
    <w:rsid w:val="00DA28E5"/>
    <w:rsid w:val="00DA321D"/>
    <w:rsid w:val="00DA375F"/>
    <w:rsid w:val="00DA459E"/>
    <w:rsid w:val="00DA4A94"/>
    <w:rsid w:val="00DA4B9D"/>
    <w:rsid w:val="00DA4DAA"/>
    <w:rsid w:val="00DA4DC4"/>
    <w:rsid w:val="00DA5245"/>
    <w:rsid w:val="00DA5E12"/>
    <w:rsid w:val="00DA616B"/>
    <w:rsid w:val="00DA6FFB"/>
    <w:rsid w:val="00DA70E8"/>
    <w:rsid w:val="00DA737C"/>
    <w:rsid w:val="00DB00EA"/>
    <w:rsid w:val="00DB0BFD"/>
    <w:rsid w:val="00DB0E58"/>
    <w:rsid w:val="00DB0F53"/>
    <w:rsid w:val="00DB11F2"/>
    <w:rsid w:val="00DB23B9"/>
    <w:rsid w:val="00DB2434"/>
    <w:rsid w:val="00DB406F"/>
    <w:rsid w:val="00DB4C2E"/>
    <w:rsid w:val="00DB539F"/>
    <w:rsid w:val="00DB558D"/>
    <w:rsid w:val="00DB6401"/>
    <w:rsid w:val="00DB6DEF"/>
    <w:rsid w:val="00DB71C6"/>
    <w:rsid w:val="00DB78CA"/>
    <w:rsid w:val="00DB7E9D"/>
    <w:rsid w:val="00DC089A"/>
    <w:rsid w:val="00DC09C3"/>
    <w:rsid w:val="00DC1E4C"/>
    <w:rsid w:val="00DC243E"/>
    <w:rsid w:val="00DC246F"/>
    <w:rsid w:val="00DC2D48"/>
    <w:rsid w:val="00DC3104"/>
    <w:rsid w:val="00DC3C4D"/>
    <w:rsid w:val="00DC403F"/>
    <w:rsid w:val="00DC5883"/>
    <w:rsid w:val="00DC5981"/>
    <w:rsid w:val="00DC703A"/>
    <w:rsid w:val="00DC7EB7"/>
    <w:rsid w:val="00DC7F6C"/>
    <w:rsid w:val="00DD055A"/>
    <w:rsid w:val="00DD15A6"/>
    <w:rsid w:val="00DD29A5"/>
    <w:rsid w:val="00DD2E13"/>
    <w:rsid w:val="00DD305B"/>
    <w:rsid w:val="00DD3821"/>
    <w:rsid w:val="00DD3C0D"/>
    <w:rsid w:val="00DD5012"/>
    <w:rsid w:val="00DD5D97"/>
    <w:rsid w:val="00DD6D34"/>
    <w:rsid w:val="00DD6E57"/>
    <w:rsid w:val="00DD79DE"/>
    <w:rsid w:val="00DE075B"/>
    <w:rsid w:val="00DE1EBB"/>
    <w:rsid w:val="00DE262D"/>
    <w:rsid w:val="00DE2AAE"/>
    <w:rsid w:val="00DE2C11"/>
    <w:rsid w:val="00DE3272"/>
    <w:rsid w:val="00DE350A"/>
    <w:rsid w:val="00DE5B0C"/>
    <w:rsid w:val="00DE5E6A"/>
    <w:rsid w:val="00DE7775"/>
    <w:rsid w:val="00DE78EB"/>
    <w:rsid w:val="00DE7A44"/>
    <w:rsid w:val="00DE7B9C"/>
    <w:rsid w:val="00DF0F88"/>
    <w:rsid w:val="00DF14BE"/>
    <w:rsid w:val="00DF1FBA"/>
    <w:rsid w:val="00DF23BA"/>
    <w:rsid w:val="00DF2BCF"/>
    <w:rsid w:val="00DF3657"/>
    <w:rsid w:val="00DF3CCD"/>
    <w:rsid w:val="00DF3EA3"/>
    <w:rsid w:val="00DF42F9"/>
    <w:rsid w:val="00DF5704"/>
    <w:rsid w:val="00DF5F14"/>
    <w:rsid w:val="00DF6473"/>
    <w:rsid w:val="00DF66F3"/>
    <w:rsid w:val="00DF6C92"/>
    <w:rsid w:val="00DF74DE"/>
    <w:rsid w:val="00E01063"/>
    <w:rsid w:val="00E011C3"/>
    <w:rsid w:val="00E020D3"/>
    <w:rsid w:val="00E03138"/>
    <w:rsid w:val="00E033EF"/>
    <w:rsid w:val="00E04B47"/>
    <w:rsid w:val="00E04C99"/>
    <w:rsid w:val="00E051F0"/>
    <w:rsid w:val="00E06651"/>
    <w:rsid w:val="00E07373"/>
    <w:rsid w:val="00E1047A"/>
    <w:rsid w:val="00E1104D"/>
    <w:rsid w:val="00E12877"/>
    <w:rsid w:val="00E12D25"/>
    <w:rsid w:val="00E12F83"/>
    <w:rsid w:val="00E16001"/>
    <w:rsid w:val="00E17239"/>
    <w:rsid w:val="00E17939"/>
    <w:rsid w:val="00E17F11"/>
    <w:rsid w:val="00E22C9B"/>
    <w:rsid w:val="00E2358A"/>
    <w:rsid w:val="00E2382F"/>
    <w:rsid w:val="00E23B2B"/>
    <w:rsid w:val="00E245B0"/>
    <w:rsid w:val="00E2462D"/>
    <w:rsid w:val="00E24844"/>
    <w:rsid w:val="00E24C36"/>
    <w:rsid w:val="00E24EAF"/>
    <w:rsid w:val="00E24FBA"/>
    <w:rsid w:val="00E253D1"/>
    <w:rsid w:val="00E25AA7"/>
    <w:rsid w:val="00E26560"/>
    <w:rsid w:val="00E26B55"/>
    <w:rsid w:val="00E26D29"/>
    <w:rsid w:val="00E26F46"/>
    <w:rsid w:val="00E3013B"/>
    <w:rsid w:val="00E31168"/>
    <w:rsid w:val="00E3128C"/>
    <w:rsid w:val="00E31758"/>
    <w:rsid w:val="00E31F3E"/>
    <w:rsid w:val="00E3204C"/>
    <w:rsid w:val="00E32508"/>
    <w:rsid w:val="00E32AA7"/>
    <w:rsid w:val="00E33366"/>
    <w:rsid w:val="00E33545"/>
    <w:rsid w:val="00E33686"/>
    <w:rsid w:val="00E343D9"/>
    <w:rsid w:val="00E35A20"/>
    <w:rsid w:val="00E36AB2"/>
    <w:rsid w:val="00E372D4"/>
    <w:rsid w:val="00E376A2"/>
    <w:rsid w:val="00E37BA2"/>
    <w:rsid w:val="00E406E4"/>
    <w:rsid w:val="00E40880"/>
    <w:rsid w:val="00E41F8B"/>
    <w:rsid w:val="00E42A05"/>
    <w:rsid w:val="00E42CFD"/>
    <w:rsid w:val="00E42EBA"/>
    <w:rsid w:val="00E4305F"/>
    <w:rsid w:val="00E4332E"/>
    <w:rsid w:val="00E43E46"/>
    <w:rsid w:val="00E4523E"/>
    <w:rsid w:val="00E45C71"/>
    <w:rsid w:val="00E46055"/>
    <w:rsid w:val="00E5260F"/>
    <w:rsid w:val="00E52C5B"/>
    <w:rsid w:val="00E52F5D"/>
    <w:rsid w:val="00E53077"/>
    <w:rsid w:val="00E537AF"/>
    <w:rsid w:val="00E54889"/>
    <w:rsid w:val="00E54D49"/>
    <w:rsid w:val="00E55270"/>
    <w:rsid w:val="00E55806"/>
    <w:rsid w:val="00E55AAC"/>
    <w:rsid w:val="00E55B39"/>
    <w:rsid w:val="00E57B59"/>
    <w:rsid w:val="00E57C83"/>
    <w:rsid w:val="00E600BD"/>
    <w:rsid w:val="00E60142"/>
    <w:rsid w:val="00E63193"/>
    <w:rsid w:val="00E632A1"/>
    <w:rsid w:val="00E641BF"/>
    <w:rsid w:val="00E64364"/>
    <w:rsid w:val="00E65836"/>
    <w:rsid w:val="00E65D9C"/>
    <w:rsid w:val="00E664C8"/>
    <w:rsid w:val="00E6684E"/>
    <w:rsid w:val="00E670C4"/>
    <w:rsid w:val="00E67BCA"/>
    <w:rsid w:val="00E67C32"/>
    <w:rsid w:val="00E70519"/>
    <w:rsid w:val="00E70CCC"/>
    <w:rsid w:val="00E7151E"/>
    <w:rsid w:val="00E7207A"/>
    <w:rsid w:val="00E721F2"/>
    <w:rsid w:val="00E72AF2"/>
    <w:rsid w:val="00E72C27"/>
    <w:rsid w:val="00E72FA3"/>
    <w:rsid w:val="00E736BC"/>
    <w:rsid w:val="00E74A3E"/>
    <w:rsid w:val="00E74C0D"/>
    <w:rsid w:val="00E74E3B"/>
    <w:rsid w:val="00E75379"/>
    <w:rsid w:val="00E753D0"/>
    <w:rsid w:val="00E75D0F"/>
    <w:rsid w:val="00E7784E"/>
    <w:rsid w:val="00E778AB"/>
    <w:rsid w:val="00E80335"/>
    <w:rsid w:val="00E8149F"/>
    <w:rsid w:val="00E81700"/>
    <w:rsid w:val="00E81C6D"/>
    <w:rsid w:val="00E829C2"/>
    <w:rsid w:val="00E846D8"/>
    <w:rsid w:val="00E84AA6"/>
    <w:rsid w:val="00E86161"/>
    <w:rsid w:val="00E862EF"/>
    <w:rsid w:val="00E87C07"/>
    <w:rsid w:val="00E90505"/>
    <w:rsid w:val="00E90716"/>
    <w:rsid w:val="00E915CF"/>
    <w:rsid w:val="00E9200A"/>
    <w:rsid w:val="00E9278D"/>
    <w:rsid w:val="00E92FF4"/>
    <w:rsid w:val="00E94544"/>
    <w:rsid w:val="00E94A50"/>
    <w:rsid w:val="00E94AAE"/>
    <w:rsid w:val="00E94EF4"/>
    <w:rsid w:val="00E95427"/>
    <w:rsid w:val="00E96D9F"/>
    <w:rsid w:val="00E970D7"/>
    <w:rsid w:val="00EA18D0"/>
    <w:rsid w:val="00EA1F44"/>
    <w:rsid w:val="00EA35AB"/>
    <w:rsid w:val="00EA5EDC"/>
    <w:rsid w:val="00EA6246"/>
    <w:rsid w:val="00EA6C57"/>
    <w:rsid w:val="00EA6D82"/>
    <w:rsid w:val="00EA7DA4"/>
    <w:rsid w:val="00EB0813"/>
    <w:rsid w:val="00EB0FFD"/>
    <w:rsid w:val="00EB1B9B"/>
    <w:rsid w:val="00EB223A"/>
    <w:rsid w:val="00EB2C04"/>
    <w:rsid w:val="00EB306B"/>
    <w:rsid w:val="00EB34BB"/>
    <w:rsid w:val="00EB5A50"/>
    <w:rsid w:val="00EB60AD"/>
    <w:rsid w:val="00EB6718"/>
    <w:rsid w:val="00EB6CBE"/>
    <w:rsid w:val="00EB7230"/>
    <w:rsid w:val="00EC0183"/>
    <w:rsid w:val="00EC08EE"/>
    <w:rsid w:val="00EC134B"/>
    <w:rsid w:val="00EC1489"/>
    <w:rsid w:val="00EC48DB"/>
    <w:rsid w:val="00EC4FC9"/>
    <w:rsid w:val="00EC5407"/>
    <w:rsid w:val="00EC590B"/>
    <w:rsid w:val="00EC59B1"/>
    <w:rsid w:val="00EC61CA"/>
    <w:rsid w:val="00EC63AC"/>
    <w:rsid w:val="00EC67F2"/>
    <w:rsid w:val="00EC68EA"/>
    <w:rsid w:val="00EC6B70"/>
    <w:rsid w:val="00EC6E93"/>
    <w:rsid w:val="00EC7157"/>
    <w:rsid w:val="00EC780D"/>
    <w:rsid w:val="00EC7A12"/>
    <w:rsid w:val="00EC7FE7"/>
    <w:rsid w:val="00ED059A"/>
    <w:rsid w:val="00ED07BD"/>
    <w:rsid w:val="00ED07D6"/>
    <w:rsid w:val="00ED1C6B"/>
    <w:rsid w:val="00ED20D3"/>
    <w:rsid w:val="00ED2837"/>
    <w:rsid w:val="00ED2B78"/>
    <w:rsid w:val="00ED3684"/>
    <w:rsid w:val="00ED4150"/>
    <w:rsid w:val="00ED4A3F"/>
    <w:rsid w:val="00ED53C0"/>
    <w:rsid w:val="00ED5E2B"/>
    <w:rsid w:val="00ED5E59"/>
    <w:rsid w:val="00ED5FC0"/>
    <w:rsid w:val="00ED60CA"/>
    <w:rsid w:val="00ED636D"/>
    <w:rsid w:val="00ED6930"/>
    <w:rsid w:val="00EE00B0"/>
    <w:rsid w:val="00EE0321"/>
    <w:rsid w:val="00EE0346"/>
    <w:rsid w:val="00EE1534"/>
    <w:rsid w:val="00EE1828"/>
    <w:rsid w:val="00EE1A6D"/>
    <w:rsid w:val="00EE22A6"/>
    <w:rsid w:val="00EE2B21"/>
    <w:rsid w:val="00EE2BA4"/>
    <w:rsid w:val="00EE35F0"/>
    <w:rsid w:val="00EE3D6A"/>
    <w:rsid w:val="00EE5DCD"/>
    <w:rsid w:val="00EE6520"/>
    <w:rsid w:val="00EE6727"/>
    <w:rsid w:val="00EE7F60"/>
    <w:rsid w:val="00EF017D"/>
    <w:rsid w:val="00EF10BE"/>
    <w:rsid w:val="00EF2ADD"/>
    <w:rsid w:val="00EF2B31"/>
    <w:rsid w:val="00EF369D"/>
    <w:rsid w:val="00EF41D2"/>
    <w:rsid w:val="00EF41E0"/>
    <w:rsid w:val="00EF45C6"/>
    <w:rsid w:val="00EF49E8"/>
    <w:rsid w:val="00EF5361"/>
    <w:rsid w:val="00EF5BA5"/>
    <w:rsid w:val="00EF688A"/>
    <w:rsid w:val="00EF782B"/>
    <w:rsid w:val="00F0026D"/>
    <w:rsid w:val="00F0061E"/>
    <w:rsid w:val="00F00EAF"/>
    <w:rsid w:val="00F0129F"/>
    <w:rsid w:val="00F012F1"/>
    <w:rsid w:val="00F01368"/>
    <w:rsid w:val="00F01A3D"/>
    <w:rsid w:val="00F02461"/>
    <w:rsid w:val="00F030A9"/>
    <w:rsid w:val="00F0322E"/>
    <w:rsid w:val="00F037C7"/>
    <w:rsid w:val="00F03B37"/>
    <w:rsid w:val="00F042D9"/>
    <w:rsid w:val="00F056D4"/>
    <w:rsid w:val="00F0599B"/>
    <w:rsid w:val="00F063CB"/>
    <w:rsid w:val="00F06415"/>
    <w:rsid w:val="00F06F0C"/>
    <w:rsid w:val="00F070CE"/>
    <w:rsid w:val="00F07424"/>
    <w:rsid w:val="00F07B38"/>
    <w:rsid w:val="00F07C8C"/>
    <w:rsid w:val="00F106FD"/>
    <w:rsid w:val="00F11E72"/>
    <w:rsid w:val="00F122A4"/>
    <w:rsid w:val="00F12CB8"/>
    <w:rsid w:val="00F13A76"/>
    <w:rsid w:val="00F14141"/>
    <w:rsid w:val="00F149B8"/>
    <w:rsid w:val="00F14DAD"/>
    <w:rsid w:val="00F159D5"/>
    <w:rsid w:val="00F16F6C"/>
    <w:rsid w:val="00F1710F"/>
    <w:rsid w:val="00F17BE6"/>
    <w:rsid w:val="00F20E58"/>
    <w:rsid w:val="00F227B7"/>
    <w:rsid w:val="00F22A10"/>
    <w:rsid w:val="00F233E9"/>
    <w:rsid w:val="00F23618"/>
    <w:rsid w:val="00F23B18"/>
    <w:rsid w:val="00F24228"/>
    <w:rsid w:val="00F24378"/>
    <w:rsid w:val="00F2504F"/>
    <w:rsid w:val="00F2532A"/>
    <w:rsid w:val="00F255AE"/>
    <w:rsid w:val="00F258CD"/>
    <w:rsid w:val="00F26185"/>
    <w:rsid w:val="00F273D2"/>
    <w:rsid w:val="00F27C7F"/>
    <w:rsid w:val="00F27D47"/>
    <w:rsid w:val="00F27F77"/>
    <w:rsid w:val="00F30066"/>
    <w:rsid w:val="00F30274"/>
    <w:rsid w:val="00F30A85"/>
    <w:rsid w:val="00F3228F"/>
    <w:rsid w:val="00F3334D"/>
    <w:rsid w:val="00F338F5"/>
    <w:rsid w:val="00F33964"/>
    <w:rsid w:val="00F35564"/>
    <w:rsid w:val="00F359D7"/>
    <w:rsid w:val="00F36C3A"/>
    <w:rsid w:val="00F370CA"/>
    <w:rsid w:val="00F37959"/>
    <w:rsid w:val="00F41186"/>
    <w:rsid w:val="00F411A7"/>
    <w:rsid w:val="00F42BB1"/>
    <w:rsid w:val="00F43243"/>
    <w:rsid w:val="00F435C7"/>
    <w:rsid w:val="00F443CC"/>
    <w:rsid w:val="00F4472A"/>
    <w:rsid w:val="00F44AF9"/>
    <w:rsid w:val="00F46024"/>
    <w:rsid w:val="00F466F9"/>
    <w:rsid w:val="00F4696A"/>
    <w:rsid w:val="00F50246"/>
    <w:rsid w:val="00F50387"/>
    <w:rsid w:val="00F50582"/>
    <w:rsid w:val="00F50612"/>
    <w:rsid w:val="00F514E5"/>
    <w:rsid w:val="00F51550"/>
    <w:rsid w:val="00F525CD"/>
    <w:rsid w:val="00F5332A"/>
    <w:rsid w:val="00F54A95"/>
    <w:rsid w:val="00F54C50"/>
    <w:rsid w:val="00F55D44"/>
    <w:rsid w:val="00F561E0"/>
    <w:rsid w:val="00F56413"/>
    <w:rsid w:val="00F56A42"/>
    <w:rsid w:val="00F57B8D"/>
    <w:rsid w:val="00F60C32"/>
    <w:rsid w:val="00F62688"/>
    <w:rsid w:val="00F6284C"/>
    <w:rsid w:val="00F63AE6"/>
    <w:rsid w:val="00F64007"/>
    <w:rsid w:val="00F65139"/>
    <w:rsid w:val="00F66D26"/>
    <w:rsid w:val="00F66ED3"/>
    <w:rsid w:val="00F6720E"/>
    <w:rsid w:val="00F67B2F"/>
    <w:rsid w:val="00F67BCD"/>
    <w:rsid w:val="00F67ED4"/>
    <w:rsid w:val="00F700DB"/>
    <w:rsid w:val="00F71BD3"/>
    <w:rsid w:val="00F72AE8"/>
    <w:rsid w:val="00F73CA5"/>
    <w:rsid w:val="00F75CF3"/>
    <w:rsid w:val="00F75E00"/>
    <w:rsid w:val="00F76B79"/>
    <w:rsid w:val="00F7732B"/>
    <w:rsid w:val="00F77637"/>
    <w:rsid w:val="00F777A9"/>
    <w:rsid w:val="00F77869"/>
    <w:rsid w:val="00F8017A"/>
    <w:rsid w:val="00F801A1"/>
    <w:rsid w:val="00F8043F"/>
    <w:rsid w:val="00F81638"/>
    <w:rsid w:val="00F8201F"/>
    <w:rsid w:val="00F82F90"/>
    <w:rsid w:val="00F83FCE"/>
    <w:rsid w:val="00F840C6"/>
    <w:rsid w:val="00F8414B"/>
    <w:rsid w:val="00F84438"/>
    <w:rsid w:val="00F84B6A"/>
    <w:rsid w:val="00F84BC9"/>
    <w:rsid w:val="00F85B3C"/>
    <w:rsid w:val="00F86D63"/>
    <w:rsid w:val="00F87431"/>
    <w:rsid w:val="00F878F1"/>
    <w:rsid w:val="00F87EF0"/>
    <w:rsid w:val="00F90171"/>
    <w:rsid w:val="00F906BA"/>
    <w:rsid w:val="00F90B86"/>
    <w:rsid w:val="00F90BD2"/>
    <w:rsid w:val="00F90E20"/>
    <w:rsid w:val="00F913A4"/>
    <w:rsid w:val="00F9439A"/>
    <w:rsid w:val="00F95077"/>
    <w:rsid w:val="00F9536A"/>
    <w:rsid w:val="00F95DC7"/>
    <w:rsid w:val="00F96ABD"/>
    <w:rsid w:val="00F972F1"/>
    <w:rsid w:val="00F97593"/>
    <w:rsid w:val="00F9782D"/>
    <w:rsid w:val="00F97D46"/>
    <w:rsid w:val="00FA0044"/>
    <w:rsid w:val="00FA2B8A"/>
    <w:rsid w:val="00FA3566"/>
    <w:rsid w:val="00FA413B"/>
    <w:rsid w:val="00FA4327"/>
    <w:rsid w:val="00FA4388"/>
    <w:rsid w:val="00FA4BE7"/>
    <w:rsid w:val="00FA509C"/>
    <w:rsid w:val="00FA54BD"/>
    <w:rsid w:val="00FA5738"/>
    <w:rsid w:val="00FA5C11"/>
    <w:rsid w:val="00FA65D6"/>
    <w:rsid w:val="00FA667C"/>
    <w:rsid w:val="00FA6F10"/>
    <w:rsid w:val="00FA7E3C"/>
    <w:rsid w:val="00FB0166"/>
    <w:rsid w:val="00FB109B"/>
    <w:rsid w:val="00FB11E4"/>
    <w:rsid w:val="00FB14AC"/>
    <w:rsid w:val="00FB19D4"/>
    <w:rsid w:val="00FB1FEF"/>
    <w:rsid w:val="00FB2354"/>
    <w:rsid w:val="00FB2679"/>
    <w:rsid w:val="00FB2790"/>
    <w:rsid w:val="00FB417F"/>
    <w:rsid w:val="00FB41A9"/>
    <w:rsid w:val="00FB41DD"/>
    <w:rsid w:val="00FB4961"/>
    <w:rsid w:val="00FB49C4"/>
    <w:rsid w:val="00FB59F4"/>
    <w:rsid w:val="00FB7812"/>
    <w:rsid w:val="00FB7A6C"/>
    <w:rsid w:val="00FC0131"/>
    <w:rsid w:val="00FC0B52"/>
    <w:rsid w:val="00FC0E7B"/>
    <w:rsid w:val="00FC1601"/>
    <w:rsid w:val="00FC16ED"/>
    <w:rsid w:val="00FC21BF"/>
    <w:rsid w:val="00FC330D"/>
    <w:rsid w:val="00FC4AB4"/>
    <w:rsid w:val="00FC55A7"/>
    <w:rsid w:val="00FC5987"/>
    <w:rsid w:val="00FC699B"/>
    <w:rsid w:val="00FD03DF"/>
    <w:rsid w:val="00FD0DEE"/>
    <w:rsid w:val="00FD1222"/>
    <w:rsid w:val="00FD25B0"/>
    <w:rsid w:val="00FD2B0E"/>
    <w:rsid w:val="00FD2C9C"/>
    <w:rsid w:val="00FD3625"/>
    <w:rsid w:val="00FD4026"/>
    <w:rsid w:val="00FD64C2"/>
    <w:rsid w:val="00FD7441"/>
    <w:rsid w:val="00FD74E4"/>
    <w:rsid w:val="00FD78B4"/>
    <w:rsid w:val="00FD7DE4"/>
    <w:rsid w:val="00FD7E59"/>
    <w:rsid w:val="00FE0AB6"/>
    <w:rsid w:val="00FE2E33"/>
    <w:rsid w:val="00FE3534"/>
    <w:rsid w:val="00FE6385"/>
    <w:rsid w:val="00FE7A6F"/>
    <w:rsid w:val="00FF0068"/>
    <w:rsid w:val="00FF134D"/>
    <w:rsid w:val="00FF1EA6"/>
    <w:rsid w:val="00FF25A8"/>
    <w:rsid w:val="00FF2E40"/>
    <w:rsid w:val="00FF3D07"/>
    <w:rsid w:val="00FF421F"/>
    <w:rsid w:val="00FF4222"/>
    <w:rsid w:val="00FF4735"/>
    <w:rsid w:val="00FF5343"/>
    <w:rsid w:val="00FF62B7"/>
    <w:rsid w:val="010D3379"/>
    <w:rsid w:val="01197C54"/>
    <w:rsid w:val="01213882"/>
    <w:rsid w:val="01283B5B"/>
    <w:rsid w:val="014C6B51"/>
    <w:rsid w:val="01584377"/>
    <w:rsid w:val="016177B4"/>
    <w:rsid w:val="01646AB0"/>
    <w:rsid w:val="016519C1"/>
    <w:rsid w:val="0179628C"/>
    <w:rsid w:val="01852063"/>
    <w:rsid w:val="01877B89"/>
    <w:rsid w:val="01B4456F"/>
    <w:rsid w:val="01C62F7E"/>
    <w:rsid w:val="01D95F0B"/>
    <w:rsid w:val="02050771"/>
    <w:rsid w:val="02356B4B"/>
    <w:rsid w:val="024025C8"/>
    <w:rsid w:val="02527AC3"/>
    <w:rsid w:val="025407D7"/>
    <w:rsid w:val="02572E93"/>
    <w:rsid w:val="0273010D"/>
    <w:rsid w:val="02881E0B"/>
    <w:rsid w:val="02B435AE"/>
    <w:rsid w:val="02CD1F13"/>
    <w:rsid w:val="02D84414"/>
    <w:rsid w:val="02D86093"/>
    <w:rsid w:val="02E3416A"/>
    <w:rsid w:val="030D41CD"/>
    <w:rsid w:val="03101E00"/>
    <w:rsid w:val="031F2043"/>
    <w:rsid w:val="031F42C9"/>
    <w:rsid w:val="03305FFE"/>
    <w:rsid w:val="033E5D33"/>
    <w:rsid w:val="034D4E02"/>
    <w:rsid w:val="035E0DBD"/>
    <w:rsid w:val="036F4D79"/>
    <w:rsid w:val="03717FE6"/>
    <w:rsid w:val="03800D34"/>
    <w:rsid w:val="039C3694"/>
    <w:rsid w:val="03A34A22"/>
    <w:rsid w:val="03CC5D27"/>
    <w:rsid w:val="03ED4513"/>
    <w:rsid w:val="03ED6533"/>
    <w:rsid w:val="03EE6BA3"/>
    <w:rsid w:val="03EF3168"/>
    <w:rsid w:val="04062854"/>
    <w:rsid w:val="0413476C"/>
    <w:rsid w:val="042C10E4"/>
    <w:rsid w:val="04330826"/>
    <w:rsid w:val="04531FA4"/>
    <w:rsid w:val="047A4051"/>
    <w:rsid w:val="049960C9"/>
    <w:rsid w:val="04BB31FA"/>
    <w:rsid w:val="04CF29A0"/>
    <w:rsid w:val="04D31337"/>
    <w:rsid w:val="04DC59DC"/>
    <w:rsid w:val="04E56DE7"/>
    <w:rsid w:val="05143E2A"/>
    <w:rsid w:val="05235E1B"/>
    <w:rsid w:val="053718C6"/>
    <w:rsid w:val="053E4A03"/>
    <w:rsid w:val="056F1060"/>
    <w:rsid w:val="0580326D"/>
    <w:rsid w:val="059F35B0"/>
    <w:rsid w:val="05BA67F9"/>
    <w:rsid w:val="05DD7848"/>
    <w:rsid w:val="06052F24"/>
    <w:rsid w:val="060A2ACA"/>
    <w:rsid w:val="060D34D3"/>
    <w:rsid w:val="06151E8D"/>
    <w:rsid w:val="066B418C"/>
    <w:rsid w:val="06896151"/>
    <w:rsid w:val="06BF4168"/>
    <w:rsid w:val="06D746EC"/>
    <w:rsid w:val="06D867B3"/>
    <w:rsid w:val="06DC7634"/>
    <w:rsid w:val="06EB2968"/>
    <w:rsid w:val="06F04D61"/>
    <w:rsid w:val="06F2019A"/>
    <w:rsid w:val="06F61CFB"/>
    <w:rsid w:val="070103DE"/>
    <w:rsid w:val="07320597"/>
    <w:rsid w:val="07BC619C"/>
    <w:rsid w:val="07C02047"/>
    <w:rsid w:val="07CE6099"/>
    <w:rsid w:val="07D00964"/>
    <w:rsid w:val="07E86EA8"/>
    <w:rsid w:val="08071A24"/>
    <w:rsid w:val="081E4FBF"/>
    <w:rsid w:val="08226DE9"/>
    <w:rsid w:val="084A5DB4"/>
    <w:rsid w:val="0869755C"/>
    <w:rsid w:val="087C30FA"/>
    <w:rsid w:val="088562F7"/>
    <w:rsid w:val="08931509"/>
    <w:rsid w:val="089C564D"/>
    <w:rsid w:val="08A76D63"/>
    <w:rsid w:val="08CA2103"/>
    <w:rsid w:val="08CB4946"/>
    <w:rsid w:val="08FD57B5"/>
    <w:rsid w:val="09067F2D"/>
    <w:rsid w:val="091B52F7"/>
    <w:rsid w:val="091D2594"/>
    <w:rsid w:val="093F0D49"/>
    <w:rsid w:val="094659D3"/>
    <w:rsid w:val="094B5940"/>
    <w:rsid w:val="09713DA2"/>
    <w:rsid w:val="097F2C69"/>
    <w:rsid w:val="09BA22E4"/>
    <w:rsid w:val="09F75AC8"/>
    <w:rsid w:val="0A083831"/>
    <w:rsid w:val="0A0C3321"/>
    <w:rsid w:val="0A116B8A"/>
    <w:rsid w:val="0A40746F"/>
    <w:rsid w:val="0A6873D8"/>
    <w:rsid w:val="0A69429F"/>
    <w:rsid w:val="0A6C0264"/>
    <w:rsid w:val="0A6E5D8A"/>
    <w:rsid w:val="0A795CBE"/>
    <w:rsid w:val="0A832E5D"/>
    <w:rsid w:val="0A9A2415"/>
    <w:rsid w:val="0AAA2B3A"/>
    <w:rsid w:val="0AD007F3"/>
    <w:rsid w:val="0AE2027D"/>
    <w:rsid w:val="0AF838A6"/>
    <w:rsid w:val="0AFB1F4A"/>
    <w:rsid w:val="0B0A0744"/>
    <w:rsid w:val="0B187AA4"/>
    <w:rsid w:val="0B2B3C7B"/>
    <w:rsid w:val="0B32065B"/>
    <w:rsid w:val="0B441165"/>
    <w:rsid w:val="0B912675"/>
    <w:rsid w:val="0B9245E8"/>
    <w:rsid w:val="0BB762C8"/>
    <w:rsid w:val="0BD36947"/>
    <w:rsid w:val="0BDA3733"/>
    <w:rsid w:val="0BE1433A"/>
    <w:rsid w:val="0BED3778"/>
    <w:rsid w:val="0BF4406D"/>
    <w:rsid w:val="0BFF2429"/>
    <w:rsid w:val="0C2A7A8F"/>
    <w:rsid w:val="0C300E1D"/>
    <w:rsid w:val="0C364685"/>
    <w:rsid w:val="0C555C0D"/>
    <w:rsid w:val="0C5B40EC"/>
    <w:rsid w:val="0C88787D"/>
    <w:rsid w:val="0C8A49D1"/>
    <w:rsid w:val="0C9F66CF"/>
    <w:rsid w:val="0CA61512"/>
    <w:rsid w:val="0CAF4438"/>
    <w:rsid w:val="0CB97065"/>
    <w:rsid w:val="0CC571D8"/>
    <w:rsid w:val="0CC82D0A"/>
    <w:rsid w:val="0CCC0374"/>
    <w:rsid w:val="0CD92398"/>
    <w:rsid w:val="0CDA7707"/>
    <w:rsid w:val="0CDF2F6F"/>
    <w:rsid w:val="0CF70FE8"/>
    <w:rsid w:val="0D07769A"/>
    <w:rsid w:val="0D0E73B0"/>
    <w:rsid w:val="0D202F8E"/>
    <w:rsid w:val="0D2D623B"/>
    <w:rsid w:val="0D350DE1"/>
    <w:rsid w:val="0D44526F"/>
    <w:rsid w:val="0D6A5921"/>
    <w:rsid w:val="0D6D057B"/>
    <w:rsid w:val="0D766D04"/>
    <w:rsid w:val="0DB8556E"/>
    <w:rsid w:val="0DF0732F"/>
    <w:rsid w:val="0DF30354"/>
    <w:rsid w:val="0E156774"/>
    <w:rsid w:val="0E2329AC"/>
    <w:rsid w:val="0E494C9C"/>
    <w:rsid w:val="0E6D1621"/>
    <w:rsid w:val="0E8A231F"/>
    <w:rsid w:val="0E8F62CF"/>
    <w:rsid w:val="0E927B6D"/>
    <w:rsid w:val="0E9C1147"/>
    <w:rsid w:val="0EC266A4"/>
    <w:rsid w:val="0EC929C5"/>
    <w:rsid w:val="0ED73EEA"/>
    <w:rsid w:val="0EDA5C73"/>
    <w:rsid w:val="0EFD76DC"/>
    <w:rsid w:val="0F136866"/>
    <w:rsid w:val="0F19203C"/>
    <w:rsid w:val="0F296723"/>
    <w:rsid w:val="0F3B655C"/>
    <w:rsid w:val="0F4160DE"/>
    <w:rsid w:val="0F4342A3"/>
    <w:rsid w:val="0F4D466D"/>
    <w:rsid w:val="0F642978"/>
    <w:rsid w:val="0F786D63"/>
    <w:rsid w:val="0F8B7F0D"/>
    <w:rsid w:val="0F9E5360"/>
    <w:rsid w:val="0FAB49D7"/>
    <w:rsid w:val="0FAB538A"/>
    <w:rsid w:val="0FBF66B5"/>
    <w:rsid w:val="0FED3390"/>
    <w:rsid w:val="10054094"/>
    <w:rsid w:val="10413657"/>
    <w:rsid w:val="104D6E2F"/>
    <w:rsid w:val="106135C0"/>
    <w:rsid w:val="107514F4"/>
    <w:rsid w:val="10857989"/>
    <w:rsid w:val="10CF6E57"/>
    <w:rsid w:val="10EF56A0"/>
    <w:rsid w:val="11360C84"/>
    <w:rsid w:val="113D2012"/>
    <w:rsid w:val="1145036B"/>
    <w:rsid w:val="11642ABB"/>
    <w:rsid w:val="117710FF"/>
    <w:rsid w:val="118C4DBF"/>
    <w:rsid w:val="11AA3420"/>
    <w:rsid w:val="11B45297"/>
    <w:rsid w:val="11BD13A5"/>
    <w:rsid w:val="11C5058A"/>
    <w:rsid w:val="11C97D4A"/>
    <w:rsid w:val="11CB5870"/>
    <w:rsid w:val="122B4561"/>
    <w:rsid w:val="123C45F6"/>
    <w:rsid w:val="12594BBE"/>
    <w:rsid w:val="125D628B"/>
    <w:rsid w:val="12691F5C"/>
    <w:rsid w:val="128D6FC9"/>
    <w:rsid w:val="12907381"/>
    <w:rsid w:val="129739A4"/>
    <w:rsid w:val="12A71834"/>
    <w:rsid w:val="12ED1816"/>
    <w:rsid w:val="12F812AB"/>
    <w:rsid w:val="13086D11"/>
    <w:rsid w:val="130E34D1"/>
    <w:rsid w:val="13180F89"/>
    <w:rsid w:val="13465C7A"/>
    <w:rsid w:val="13620754"/>
    <w:rsid w:val="137038C5"/>
    <w:rsid w:val="137A57A0"/>
    <w:rsid w:val="138C54D3"/>
    <w:rsid w:val="13A04ADA"/>
    <w:rsid w:val="13B567D8"/>
    <w:rsid w:val="13D769B8"/>
    <w:rsid w:val="13D824C6"/>
    <w:rsid w:val="13DB5B12"/>
    <w:rsid w:val="14171240"/>
    <w:rsid w:val="144638D4"/>
    <w:rsid w:val="146C13FC"/>
    <w:rsid w:val="1473252B"/>
    <w:rsid w:val="148A1AF0"/>
    <w:rsid w:val="14C30A80"/>
    <w:rsid w:val="14C52802"/>
    <w:rsid w:val="14F56C84"/>
    <w:rsid w:val="15203B6E"/>
    <w:rsid w:val="1525173B"/>
    <w:rsid w:val="15421A35"/>
    <w:rsid w:val="155362A8"/>
    <w:rsid w:val="15544A27"/>
    <w:rsid w:val="15583471"/>
    <w:rsid w:val="155C5D45"/>
    <w:rsid w:val="156A35F2"/>
    <w:rsid w:val="1571672E"/>
    <w:rsid w:val="15757B89"/>
    <w:rsid w:val="157C5293"/>
    <w:rsid w:val="15882F8B"/>
    <w:rsid w:val="158D108E"/>
    <w:rsid w:val="15B7500A"/>
    <w:rsid w:val="15D27367"/>
    <w:rsid w:val="15E95384"/>
    <w:rsid w:val="15F1156B"/>
    <w:rsid w:val="15F1786F"/>
    <w:rsid w:val="15FC6940"/>
    <w:rsid w:val="16074135"/>
    <w:rsid w:val="161953A3"/>
    <w:rsid w:val="16227A29"/>
    <w:rsid w:val="164A7ADC"/>
    <w:rsid w:val="164E194E"/>
    <w:rsid w:val="164E2418"/>
    <w:rsid w:val="165C118C"/>
    <w:rsid w:val="165D7BA2"/>
    <w:rsid w:val="16691AFB"/>
    <w:rsid w:val="16734728"/>
    <w:rsid w:val="167F430B"/>
    <w:rsid w:val="1680421D"/>
    <w:rsid w:val="169B7F11"/>
    <w:rsid w:val="169E17A5"/>
    <w:rsid w:val="16D348CB"/>
    <w:rsid w:val="16DE7DF3"/>
    <w:rsid w:val="16FC64CC"/>
    <w:rsid w:val="171001C9"/>
    <w:rsid w:val="171B5F61"/>
    <w:rsid w:val="171E4694"/>
    <w:rsid w:val="17284659"/>
    <w:rsid w:val="17304875"/>
    <w:rsid w:val="17345C65"/>
    <w:rsid w:val="174E4DD6"/>
    <w:rsid w:val="174E7B26"/>
    <w:rsid w:val="1752258F"/>
    <w:rsid w:val="175855FF"/>
    <w:rsid w:val="175E0D1F"/>
    <w:rsid w:val="17A903C1"/>
    <w:rsid w:val="17AE32C6"/>
    <w:rsid w:val="17AF79E2"/>
    <w:rsid w:val="17B36795"/>
    <w:rsid w:val="17EA0A1A"/>
    <w:rsid w:val="17F07C78"/>
    <w:rsid w:val="180A4C18"/>
    <w:rsid w:val="18130776"/>
    <w:rsid w:val="181B5F45"/>
    <w:rsid w:val="1833016F"/>
    <w:rsid w:val="183323C1"/>
    <w:rsid w:val="18463EA2"/>
    <w:rsid w:val="18477C1A"/>
    <w:rsid w:val="18510A99"/>
    <w:rsid w:val="185B20C5"/>
    <w:rsid w:val="187D1248"/>
    <w:rsid w:val="18A07906"/>
    <w:rsid w:val="18A44EFD"/>
    <w:rsid w:val="18B60416"/>
    <w:rsid w:val="18C15C1F"/>
    <w:rsid w:val="18CD3530"/>
    <w:rsid w:val="18FC6C57"/>
    <w:rsid w:val="19053D5D"/>
    <w:rsid w:val="1912647A"/>
    <w:rsid w:val="19145B32"/>
    <w:rsid w:val="191E683E"/>
    <w:rsid w:val="19410B0E"/>
    <w:rsid w:val="194652A7"/>
    <w:rsid w:val="19562AB7"/>
    <w:rsid w:val="1977008B"/>
    <w:rsid w:val="19792532"/>
    <w:rsid w:val="198A4263"/>
    <w:rsid w:val="198F1879"/>
    <w:rsid w:val="19932D32"/>
    <w:rsid w:val="199649B5"/>
    <w:rsid w:val="19BD28E3"/>
    <w:rsid w:val="19C31F4B"/>
    <w:rsid w:val="19C534ED"/>
    <w:rsid w:val="19CC6629"/>
    <w:rsid w:val="19D63004"/>
    <w:rsid w:val="19F76158"/>
    <w:rsid w:val="1A47688F"/>
    <w:rsid w:val="1A9C7232"/>
    <w:rsid w:val="1AE6196C"/>
    <w:rsid w:val="1AEB6A0C"/>
    <w:rsid w:val="1AEB6F83"/>
    <w:rsid w:val="1AFA34E0"/>
    <w:rsid w:val="1B214753"/>
    <w:rsid w:val="1B553AD0"/>
    <w:rsid w:val="1B823595"/>
    <w:rsid w:val="1B99253B"/>
    <w:rsid w:val="1BB363A9"/>
    <w:rsid w:val="1BBF2AB8"/>
    <w:rsid w:val="1BD03B68"/>
    <w:rsid w:val="1C057BD0"/>
    <w:rsid w:val="1C100AE3"/>
    <w:rsid w:val="1C114684"/>
    <w:rsid w:val="1C137879"/>
    <w:rsid w:val="1C5A616E"/>
    <w:rsid w:val="1C80194D"/>
    <w:rsid w:val="1CCD0BFF"/>
    <w:rsid w:val="1D064DCA"/>
    <w:rsid w:val="1D526963"/>
    <w:rsid w:val="1D526E45"/>
    <w:rsid w:val="1D7A639C"/>
    <w:rsid w:val="1DAF016B"/>
    <w:rsid w:val="1DE76162"/>
    <w:rsid w:val="1DFB572F"/>
    <w:rsid w:val="1E07094E"/>
    <w:rsid w:val="1E220F0E"/>
    <w:rsid w:val="1E410DA2"/>
    <w:rsid w:val="1E4622F3"/>
    <w:rsid w:val="1E5126E0"/>
    <w:rsid w:val="1E592455"/>
    <w:rsid w:val="1E6D784B"/>
    <w:rsid w:val="1EA91761"/>
    <w:rsid w:val="1EBC398C"/>
    <w:rsid w:val="1EC15644"/>
    <w:rsid w:val="1EC45B21"/>
    <w:rsid w:val="1ED33FB6"/>
    <w:rsid w:val="1EDC30E4"/>
    <w:rsid w:val="1EEE7042"/>
    <w:rsid w:val="1EF74148"/>
    <w:rsid w:val="1F3E62D7"/>
    <w:rsid w:val="1F51312D"/>
    <w:rsid w:val="1F576995"/>
    <w:rsid w:val="1F643D0D"/>
    <w:rsid w:val="1F917CD8"/>
    <w:rsid w:val="1F9224DA"/>
    <w:rsid w:val="1FA53636"/>
    <w:rsid w:val="1FAE33F2"/>
    <w:rsid w:val="1FAF4E03"/>
    <w:rsid w:val="1FB42607"/>
    <w:rsid w:val="1FBC71BD"/>
    <w:rsid w:val="1FDB166C"/>
    <w:rsid w:val="1FDC333E"/>
    <w:rsid w:val="20026E29"/>
    <w:rsid w:val="202C5F85"/>
    <w:rsid w:val="20360CA0"/>
    <w:rsid w:val="204D7D98"/>
    <w:rsid w:val="205B6824"/>
    <w:rsid w:val="20686980"/>
    <w:rsid w:val="20C22534"/>
    <w:rsid w:val="20C4005A"/>
    <w:rsid w:val="20C534FC"/>
    <w:rsid w:val="20D364EF"/>
    <w:rsid w:val="20D73AE4"/>
    <w:rsid w:val="210A57BD"/>
    <w:rsid w:val="21117017"/>
    <w:rsid w:val="211803A6"/>
    <w:rsid w:val="21182154"/>
    <w:rsid w:val="2122680A"/>
    <w:rsid w:val="214468D1"/>
    <w:rsid w:val="214B077B"/>
    <w:rsid w:val="216E22A4"/>
    <w:rsid w:val="217750CC"/>
    <w:rsid w:val="218711B5"/>
    <w:rsid w:val="218B28A5"/>
    <w:rsid w:val="218D16DD"/>
    <w:rsid w:val="21A405AF"/>
    <w:rsid w:val="21BF0821"/>
    <w:rsid w:val="21DC7625"/>
    <w:rsid w:val="21E13532"/>
    <w:rsid w:val="21FA1989"/>
    <w:rsid w:val="22043CD5"/>
    <w:rsid w:val="220855E6"/>
    <w:rsid w:val="220E31F7"/>
    <w:rsid w:val="22223E78"/>
    <w:rsid w:val="22230DB0"/>
    <w:rsid w:val="222A5D6C"/>
    <w:rsid w:val="222F1E4B"/>
    <w:rsid w:val="222F59A7"/>
    <w:rsid w:val="22362F9A"/>
    <w:rsid w:val="22364F87"/>
    <w:rsid w:val="223905D4"/>
    <w:rsid w:val="22431362"/>
    <w:rsid w:val="22431452"/>
    <w:rsid w:val="225F69C5"/>
    <w:rsid w:val="226C4038"/>
    <w:rsid w:val="22A80CBB"/>
    <w:rsid w:val="22CB6652"/>
    <w:rsid w:val="22CF0F38"/>
    <w:rsid w:val="22D16A5E"/>
    <w:rsid w:val="22EB3EA5"/>
    <w:rsid w:val="22F866E1"/>
    <w:rsid w:val="22FC0CEC"/>
    <w:rsid w:val="2302796C"/>
    <w:rsid w:val="230747BE"/>
    <w:rsid w:val="23104389"/>
    <w:rsid w:val="23214B81"/>
    <w:rsid w:val="23311A3B"/>
    <w:rsid w:val="2345150D"/>
    <w:rsid w:val="23504FCF"/>
    <w:rsid w:val="2355143D"/>
    <w:rsid w:val="23566F63"/>
    <w:rsid w:val="2362071C"/>
    <w:rsid w:val="238E6363"/>
    <w:rsid w:val="23B3526B"/>
    <w:rsid w:val="23CF0442"/>
    <w:rsid w:val="23EA0692"/>
    <w:rsid w:val="241B1751"/>
    <w:rsid w:val="24347C44"/>
    <w:rsid w:val="24377B2F"/>
    <w:rsid w:val="244016C1"/>
    <w:rsid w:val="244B0C98"/>
    <w:rsid w:val="247766B7"/>
    <w:rsid w:val="248213F1"/>
    <w:rsid w:val="248C5333"/>
    <w:rsid w:val="249602DB"/>
    <w:rsid w:val="24A323C5"/>
    <w:rsid w:val="24AA57B9"/>
    <w:rsid w:val="24AC6135"/>
    <w:rsid w:val="24B86128"/>
    <w:rsid w:val="24D46CDA"/>
    <w:rsid w:val="25012854"/>
    <w:rsid w:val="250846A5"/>
    <w:rsid w:val="25105EF7"/>
    <w:rsid w:val="252609C9"/>
    <w:rsid w:val="25496666"/>
    <w:rsid w:val="256F7C42"/>
    <w:rsid w:val="257B63A4"/>
    <w:rsid w:val="257F4157"/>
    <w:rsid w:val="258C1362"/>
    <w:rsid w:val="25965D3D"/>
    <w:rsid w:val="259721E1"/>
    <w:rsid w:val="25AE752B"/>
    <w:rsid w:val="25B20925"/>
    <w:rsid w:val="25C7239A"/>
    <w:rsid w:val="25DD15C5"/>
    <w:rsid w:val="25E17C72"/>
    <w:rsid w:val="25E243CF"/>
    <w:rsid w:val="25E62821"/>
    <w:rsid w:val="25E92C11"/>
    <w:rsid w:val="25F608ED"/>
    <w:rsid w:val="25F81110"/>
    <w:rsid w:val="260D4251"/>
    <w:rsid w:val="260E38B6"/>
    <w:rsid w:val="26177075"/>
    <w:rsid w:val="26265313"/>
    <w:rsid w:val="262F61DF"/>
    <w:rsid w:val="26802CE6"/>
    <w:rsid w:val="268B161A"/>
    <w:rsid w:val="268F110A"/>
    <w:rsid w:val="26AA50D5"/>
    <w:rsid w:val="26AC455D"/>
    <w:rsid w:val="26B84E0C"/>
    <w:rsid w:val="26DF19C7"/>
    <w:rsid w:val="27290D55"/>
    <w:rsid w:val="272F1F06"/>
    <w:rsid w:val="273121C1"/>
    <w:rsid w:val="274577C6"/>
    <w:rsid w:val="275D6B12"/>
    <w:rsid w:val="27661CBC"/>
    <w:rsid w:val="27912C60"/>
    <w:rsid w:val="279D1605"/>
    <w:rsid w:val="27C46C22"/>
    <w:rsid w:val="27D61F8C"/>
    <w:rsid w:val="27EE00B2"/>
    <w:rsid w:val="27FE6547"/>
    <w:rsid w:val="28327BF6"/>
    <w:rsid w:val="283356C4"/>
    <w:rsid w:val="28414191"/>
    <w:rsid w:val="28576D6B"/>
    <w:rsid w:val="287405B8"/>
    <w:rsid w:val="28795BCE"/>
    <w:rsid w:val="288602EB"/>
    <w:rsid w:val="28B11492"/>
    <w:rsid w:val="28BE67B4"/>
    <w:rsid w:val="28D951A0"/>
    <w:rsid w:val="28DE69F9"/>
    <w:rsid w:val="28E674EE"/>
    <w:rsid w:val="29115E06"/>
    <w:rsid w:val="29223976"/>
    <w:rsid w:val="292673D8"/>
    <w:rsid w:val="2927387C"/>
    <w:rsid w:val="292A7C48"/>
    <w:rsid w:val="292B7762"/>
    <w:rsid w:val="292D690A"/>
    <w:rsid w:val="293F5726"/>
    <w:rsid w:val="29542197"/>
    <w:rsid w:val="29581C87"/>
    <w:rsid w:val="29594911"/>
    <w:rsid w:val="29634188"/>
    <w:rsid w:val="29867059"/>
    <w:rsid w:val="299F1E3C"/>
    <w:rsid w:val="29A723E5"/>
    <w:rsid w:val="29CE3CF8"/>
    <w:rsid w:val="29FC6AB7"/>
    <w:rsid w:val="29FD5C44"/>
    <w:rsid w:val="2A1029AB"/>
    <w:rsid w:val="2A181417"/>
    <w:rsid w:val="2A2E705E"/>
    <w:rsid w:val="2A383867"/>
    <w:rsid w:val="2A625B81"/>
    <w:rsid w:val="2A8D110F"/>
    <w:rsid w:val="2AB92BDF"/>
    <w:rsid w:val="2ADB491E"/>
    <w:rsid w:val="2AE82B97"/>
    <w:rsid w:val="2AF14141"/>
    <w:rsid w:val="2AF61758"/>
    <w:rsid w:val="2B05199B"/>
    <w:rsid w:val="2B053749"/>
    <w:rsid w:val="2B116159"/>
    <w:rsid w:val="2B183911"/>
    <w:rsid w:val="2B2838DB"/>
    <w:rsid w:val="2B312790"/>
    <w:rsid w:val="2B7A3236"/>
    <w:rsid w:val="2B7E015E"/>
    <w:rsid w:val="2B8038DA"/>
    <w:rsid w:val="2B9D1BD3"/>
    <w:rsid w:val="2BB807BB"/>
    <w:rsid w:val="2BC12B9E"/>
    <w:rsid w:val="2BE7648A"/>
    <w:rsid w:val="2BEA0B91"/>
    <w:rsid w:val="2BEC2B5B"/>
    <w:rsid w:val="2C02237E"/>
    <w:rsid w:val="2C04135E"/>
    <w:rsid w:val="2C1520B2"/>
    <w:rsid w:val="2C1B3A9D"/>
    <w:rsid w:val="2C2C497B"/>
    <w:rsid w:val="2C4446B7"/>
    <w:rsid w:val="2C4D184B"/>
    <w:rsid w:val="2C615EDD"/>
    <w:rsid w:val="2C711F8A"/>
    <w:rsid w:val="2C7768C8"/>
    <w:rsid w:val="2CA169FA"/>
    <w:rsid w:val="2CA43435"/>
    <w:rsid w:val="2CA927FA"/>
    <w:rsid w:val="2CBC252D"/>
    <w:rsid w:val="2CCA200A"/>
    <w:rsid w:val="2CE83322"/>
    <w:rsid w:val="2D0068BE"/>
    <w:rsid w:val="2D1D5711"/>
    <w:rsid w:val="2D2D3248"/>
    <w:rsid w:val="2D33617E"/>
    <w:rsid w:val="2D73011D"/>
    <w:rsid w:val="2D7D77F5"/>
    <w:rsid w:val="2DAF3E40"/>
    <w:rsid w:val="2DB64F92"/>
    <w:rsid w:val="2DBB3E1F"/>
    <w:rsid w:val="2DC552F8"/>
    <w:rsid w:val="2DCB0D46"/>
    <w:rsid w:val="2DDD38B6"/>
    <w:rsid w:val="2DF0083B"/>
    <w:rsid w:val="2E0A3E4B"/>
    <w:rsid w:val="2E117B11"/>
    <w:rsid w:val="2E3D769E"/>
    <w:rsid w:val="2E4C59AB"/>
    <w:rsid w:val="2E556795"/>
    <w:rsid w:val="2E756E38"/>
    <w:rsid w:val="2E7D3F3E"/>
    <w:rsid w:val="2ED00512"/>
    <w:rsid w:val="2EDA12F8"/>
    <w:rsid w:val="2EDA6C9B"/>
    <w:rsid w:val="2EE93382"/>
    <w:rsid w:val="2EED74B1"/>
    <w:rsid w:val="2F1F0B51"/>
    <w:rsid w:val="2F2227EF"/>
    <w:rsid w:val="2F390553"/>
    <w:rsid w:val="2F4772C6"/>
    <w:rsid w:val="2F572D0F"/>
    <w:rsid w:val="2F7E3D43"/>
    <w:rsid w:val="2FA86D99"/>
    <w:rsid w:val="2FF63867"/>
    <w:rsid w:val="30185CCC"/>
    <w:rsid w:val="30216F4F"/>
    <w:rsid w:val="302F3016"/>
    <w:rsid w:val="304545E8"/>
    <w:rsid w:val="305E56A9"/>
    <w:rsid w:val="306C6ED3"/>
    <w:rsid w:val="30862BDB"/>
    <w:rsid w:val="309140DF"/>
    <w:rsid w:val="30A07735"/>
    <w:rsid w:val="30D96CC6"/>
    <w:rsid w:val="30F06C49"/>
    <w:rsid w:val="30FB0A9B"/>
    <w:rsid w:val="31046251"/>
    <w:rsid w:val="310E0E7D"/>
    <w:rsid w:val="313F1397"/>
    <w:rsid w:val="313F4702"/>
    <w:rsid w:val="314A600E"/>
    <w:rsid w:val="314F24A1"/>
    <w:rsid w:val="315042D7"/>
    <w:rsid w:val="315076E8"/>
    <w:rsid w:val="31902861"/>
    <w:rsid w:val="31997BCD"/>
    <w:rsid w:val="319B4E07"/>
    <w:rsid w:val="31D04385"/>
    <w:rsid w:val="31D71662"/>
    <w:rsid w:val="31DB7BE4"/>
    <w:rsid w:val="31E1072A"/>
    <w:rsid w:val="320209E2"/>
    <w:rsid w:val="3226027C"/>
    <w:rsid w:val="3244724D"/>
    <w:rsid w:val="32650F71"/>
    <w:rsid w:val="32674CE9"/>
    <w:rsid w:val="32843AED"/>
    <w:rsid w:val="32867865"/>
    <w:rsid w:val="32C24615"/>
    <w:rsid w:val="32CC2C84"/>
    <w:rsid w:val="32D57EA5"/>
    <w:rsid w:val="330D4D45"/>
    <w:rsid w:val="33174961"/>
    <w:rsid w:val="331A7FAD"/>
    <w:rsid w:val="332536EC"/>
    <w:rsid w:val="332E0BE5"/>
    <w:rsid w:val="33356B95"/>
    <w:rsid w:val="333A23FE"/>
    <w:rsid w:val="33686F6B"/>
    <w:rsid w:val="336B1F1C"/>
    <w:rsid w:val="337376BE"/>
    <w:rsid w:val="33865643"/>
    <w:rsid w:val="339855A1"/>
    <w:rsid w:val="33AC589C"/>
    <w:rsid w:val="33B65F28"/>
    <w:rsid w:val="33CE5EE7"/>
    <w:rsid w:val="33D8678C"/>
    <w:rsid w:val="33E67E90"/>
    <w:rsid w:val="33E7279F"/>
    <w:rsid w:val="33F71E1E"/>
    <w:rsid w:val="34270BD4"/>
    <w:rsid w:val="34362BC5"/>
    <w:rsid w:val="344B08B5"/>
    <w:rsid w:val="34741FAA"/>
    <w:rsid w:val="347656B7"/>
    <w:rsid w:val="347B4A7C"/>
    <w:rsid w:val="349124F1"/>
    <w:rsid w:val="34917AD6"/>
    <w:rsid w:val="34AB6723"/>
    <w:rsid w:val="34CA2D6C"/>
    <w:rsid w:val="35317A1B"/>
    <w:rsid w:val="35494906"/>
    <w:rsid w:val="355A21B5"/>
    <w:rsid w:val="355C48AD"/>
    <w:rsid w:val="356B527D"/>
    <w:rsid w:val="3575596F"/>
    <w:rsid w:val="358362DE"/>
    <w:rsid w:val="35847960"/>
    <w:rsid w:val="358B6F41"/>
    <w:rsid w:val="358D0F0B"/>
    <w:rsid w:val="359F17E9"/>
    <w:rsid w:val="35A3428A"/>
    <w:rsid w:val="35AE0755"/>
    <w:rsid w:val="35B5220F"/>
    <w:rsid w:val="35CA3E86"/>
    <w:rsid w:val="35E57F9A"/>
    <w:rsid w:val="35E623C9"/>
    <w:rsid w:val="3600765C"/>
    <w:rsid w:val="360A0731"/>
    <w:rsid w:val="360B5F97"/>
    <w:rsid w:val="36251143"/>
    <w:rsid w:val="362C0686"/>
    <w:rsid w:val="363C0595"/>
    <w:rsid w:val="36473A94"/>
    <w:rsid w:val="3657142C"/>
    <w:rsid w:val="3691191E"/>
    <w:rsid w:val="369B29F5"/>
    <w:rsid w:val="36A604D8"/>
    <w:rsid w:val="36AA5AEC"/>
    <w:rsid w:val="36AE1874"/>
    <w:rsid w:val="36BB5604"/>
    <w:rsid w:val="36C3270A"/>
    <w:rsid w:val="36DB7A54"/>
    <w:rsid w:val="36F955C7"/>
    <w:rsid w:val="370759A7"/>
    <w:rsid w:val="371C0798"/>
    <w:rsid w:val="372F06AE"/>
    <w:rsid w:val="3736112E"/>
    <w:rsid w:val="373C4996"/>
    <w:rsid w:val="3748158D"/>
    <w:rsid w:val="374B2E2B"/>
    <w:rsid w:val="375B6C9C"/>
    <w:rsid w:val="375D66BB"/>
    <w:rsid w:val="376B702A"/>
    <w:rsid w:val="379012E3"/>
    <w:rsid w:val="37910346"/>
    <w:rsid w:val="37A147F9"/>
    <w:rsid w:val="37B07132"/>
    <w:rsid w:val="37C93D9C"/>
    <w:rsid w:val="37CB7B79"/>
    <w:rsid w:val="37D03331"/>
    <w:rsid w:val="37E829D8"/>
    <w:rsid w:val="382B180E"/>
    <w:rsid w:val="382E2B30"/>
    <w:rsid w:val="383201BF"/>
    <w:rsid w:val="38377C55"/>
    <w:rsid w:val="38540D29"/>
    <w:rsid w:val="38543F62"/>
    <w:rsid w:val="386012DF"/>
    <w:rsid w:val="38740160"/>
    <w:rsid w:val="38A320EF"/>
    <w:rsid w:val="38A80912"/>
    <w:rsid w:val="38D57E56"/>
    <w:rsid w:val="38ED7091"/>
    <w:rsid w:val="3905471E"/>
    <w:rsid w:val="39060173"/>
    <w:rsid w:val="390908A8"/>
    <w:rsid w:val="39137979"/>
    <w:rsid w:val="39331078"/>
    <w:rsid w:val="393C1FD3"/>
    <w:rsid w:val="394E275F"/>
    <w:rsid w:val="3955445B"/>
    <w:rsid w:val="395B30CE"/>
    <w:rsid w:val="398E34A3"/>
    <w:rsid w:val="39BF561D"/>
    <w:rsid w:val="39CD3FCC"/>
    <w:rsid w:val="39DE128F"/>
    <w:rsid w:val="39E92488"/>
    <w:rsid w:val="39FC21BB"/>
    <w:rsid w:val="39FF1CAB"/>
    <w:rsid w:val="3A0402C1"/>
    <w:rsid w:val="3A453931"/>
    <w:rsid w:val="3A5359CA"/>
    <w:rsid w:val="3A713593"/>
    <w:rsid w:val="3A872302"/>
    <w:rsid w:val="3A993EAE"/>
    <w:rsid w:val="3ABA4EE3"/>
    <w:rsid w:val="3ABB02C8"/>
    <w:rsid w:val="3AC35962"/>
    <w:rsid w:val="3ACE7FFB"/>
    <w:rsid w:val="3AD1465E"/>
    <w:rsid w:val="3AD928D4"/>
    <w:rsid w:val="3AE43C67"/>
    <w:rsid w:val="3AF235BE"/>
    <w:rsid w:val="3B0304E6"/>
    <w:rsid w:val="3B0927FF"/>
    <w:rsid w:val="3B0D2F19"/>
    <w:rsid w:val="3B143534"/>
    <w:rsid w:val="3B143AC0"/>
    <w:rsid w:val="3B143BCE"/>
    <w:rsid w:val="3B152ECF"/>
    <w:rsid w:val="3B177038"/>
    <w:rsid w:val="3B2C2820"/>
    <w:rsid w:val="3B2E0A9A"/>
    <w:rsid w:val="3B36794F"/>
    <w:rsid w:val="3B3C49B1"/>
    <w:rsid w:val="3B3E6635"/>
    <w:rsid w:val="3B4448CF"/>
    <w:rsid w:val="3B4F6192"/>
    <w:rsid w:val="3B5A188F"/>
    <w:rsid w:val="3B7618F2"/>
    <w:rsid w:val="3B9B5A04"/>
    <w:rsid w:val="3BBB7E54"/>
    <w:rsid w:val="3BCC0557"/>
    <w:rsid w:val="3BE70C49"/>
    <w:rsid w:val="3BE75453"/>
    <w:rsid w:val="3BF55114"/>
    <w:rsid w:val="3C2D3676"/>
    <w:rsid w:val="3C326368"/>
    <w:rsid w:val="3C333E8E"/>
    <w:rsid w:val="3C515692"/>
    <w:rsid w:val="3C516CC1"/>
    <w:rsid w:val="3C681D8A"/>
    <w:rsid w:val="3C6872CD"/>
    <w:rsid w:val="3CB8235E"/>
    <w:rsid w:val="3D033860"/>
    <w:rsid w:val="3D31319A"/>
    <w:rsid w:val="3D6E5553"/>
    <w:rsid w:val="3D734E8A"/>
    <w:rsid w:val="3DA82F9D"/>
    <w:rsid w:val="3DAD2B7A"/>
    <w:rsid w:val="3DBE39B1"/>
    <w:rsid w:val="3DC76F84"/>
    <w:rsid w:val="3DE418E4"/>
    <w:rsid w:val="3DF02037"/>
    <w:rsid w:val="3DFF7E26"/>
    <w:rsid w:val="3E111114"/>
    <w:rsid w:val="3E371A14"/>
    <w:rsid w:val="3E467EA9"/>
    <w:rsid w:val="3E525676"/>
    <w:rsid w:val="3E56225A"/>
    <w:rsid w:val="3E614CE2"/>
    <w:rsid w:val="3E690C73"/>
    <w:rsid w:val="3E8B6203"/>
    <w:rsid w:val="3EA17C13"/>
    <w:rsid w:val="3EB43064"/>
    <w:rsid w:val="3EBF6A72"/>
    <w:rsid w:val="3EC87493"/>
    <w:rsid w:val="3F013CA7"/>
    <w:rsid w:val="3F1104B7"/>
    <w:rsid w:val="3F283A52"/>
    <w:rsid w:val="3F422D66"/>
    <w:rsid w:val="3F884FEA"/>
    <w:rsid w:val="3F9341EB"/>
    <w:rsid w:val="3F9E7F9F"/>
    <w:rsid w:val="3FAA54D7"/>
    <w:rsid w:val="3FBB48C6"/>
    <w:rsid w:val="3FC42E4E"/>
    <w:rsid w:val="3FE07E89"/>
    <w:rsid w:val="3FE13153"/>
    <w:rsid w:val="3FEE265C"/>
    <w:rsid w:val="3FF13450"/>
    <w:rsid w:val="3FF43934"/>
    <w:rsid w:val="3FF545D3"/>
    <w:rsid w:val="40104C12"/>
    <w:rsid w:val="40271F5C"/>
    <w:rsid w:val="402F7E5A"/>
    <w:rsid w:val="40572841"/>
    <w:rsid w:val="407F76A2"/>
    <w:rsid w:val="40D64564"/>
    <w:rsid w:val="40DC2CE2"/>
    <w:rsid w:val="40E41CF4"/>
    <w:rsid w:val="410D73A4"/>
    <w:rsid w:val="410E0974"/>
    <w:rsid w:val="41227D51"/>
    <w:rsid w:val="412423CA"/>
    <w:rsid w:val="414C3A28"/>
    <w:rsid w:val="41614FF9"/>
    <w:rsid w:val="417605DB"/>
    <w:rsid w:val="41B617E9"/>
    <w:rsid w:val="41CC7EB7"/>
    <w:rsid w:val="421616C5"/>
    <w:rsid w:val="4246491B"/>
    <w:rsid w:val="42507548"/>
    <w:rsid w:val="427F7E2D"/>
    <w:rsid w:val="42865794"/>
    <w:rsid w:val="42AB0C22"/>
    <w:rsid w:val="42B10E47"/>
    <w:rsid w:val="42C47FA8"/>
    <w:rsid w:val="42C76994"/>
    <w:rsid w:val="42DD6902"/>
    <w:rsid w:val="42E17F5B"/>
    <w:rsid w:val="42FD4E07"/>
    <w:rsid w:val="43064C75"/>
    <w:rsid w:val="430C19CD"/>
    <w:rsid w:val="432307B8"/>
    <w:rsid w:val="43234C5C"/>
    <w:rsid w:val="43421586"/>
    <w:rsid w:val="43430E5B"/>
    <w:rsid w:val="43536AC1"/>
    <w:rsid w:val="43656298"/>
    <w:rsid w:val="43672D9B"/>
    <w:rsid w:val="43755093"/>
    <w:rsid w:val="43A100E8"/>
    <w:rsid w:val="43B43AC3"/>
    <w:rsid w:val="43C2753A"/>
    <w:rsid w:val="43DC113B"/>
    <w:rsid w:val="43E1227A"/>
    <w:rsid w:val="43E66F59"/>
    <w:rsid w:val="43F3462F"/>
    <w:rsid w:val="440F6F8F"/>
    <w:rsid w:val="4420075C"/>
    <w:rsid w:val="44604B4B"/>
    <w:rsid w:val="44615A3C"/>
    <w:rsid w:val="44670B79"/>
    <w:rsid w:val="447216CB"/>
    <w:rsid w:val="4484797D"/>
    <w:rsid w:val="448E4357"/>
    <w:rsid w:val="44B518E4"/>
    <w:rsid w:val="44B813D4"/>
    <w:rsid w:val="44D97CC8"/>
    <w:rsid w:val="44DB7A88"/>
    <w:rsid w:val="44EA03B3"/>
    <w:rsid w:val="44F32FDF"/>
    <w:rsid w:val="44F46F57"/>
    <w:rsid w:val="44F85C75"/>
    <w:rsid w:val="44FC5DAB"/>
    <w:rsid w:val="450E26C6"/>
    <w:rsid w:val="4557299B"/>
    <w:rsid w:val="45576E3F"/>
    <w:rsid w:val="45653583"/>
    <w:rsid w:val="45660E30"/>
    <w:rsid w:val="45C55BC2"/>
    <w:rsid w:val="45C67B21"/>
    <w:rsid w:val="45DF1BFA"/>
    <w:rsid w:val="460D612E"/>
    <w:rsid w:val="46222E50"/>
    <w:rsid w:val="46226D43"/>
    <w:rsid w:val="464E0242"/>
    <w:rsid w:val="46646052"/>
    <w:rsid w:val="466C743E"/>
    <w:rsid w:val="46767C52"/>
    <w:rsid w:val="468C7022"/>
    <w:rsid w:val="469D018A"/>
    <w:rsid w:val="469E29DD"/>
    <w:rsid w:val="46A67936"/>
    <w:rsid w:val="46E170E2"/>
    <w:rsid w:val="46EB5A91"/>
    <w:rsid w:val="46F56910"/>
    <w:rsid w:val="471B73E8"/>
    <w:rsid w:val="471D19C3"/>
    <w:rsid w:val="473C453F"/>
    <w:rsid w:val="47677770"/>
    <w:rsid w:val="476870E2"/>
    <w:rsid w:val="47714557"/>
    <w:rsid w:val="47733139"/>
    <w:rsid w:val="4774043A"/>
    <w:rsid w:val="47774ABC"/>
    <w:rsid w:val="477D340C"/>
    <w:rsid w:val="478278C8"/>
    <w:rsid w:val="479E0623"/>
    <w:rsid w:val="47A3636C"/>
    <w:rsid w:val="47A65853"/>
    <w:rsid w:val="47B37489"/>
    <w:rsid w:val="47B851D4"/>
    <w:rsid w:val="47BB1907"/>
    <w:rsid w:val="47BE65F4"/>
    <w:rsid w:val="47C36A0E"/>
    <w:rsid w:val="47DD7AD0"/>
    <w:rsid w:val="47E364B2"/>
    <w:rsid w:val="480037BE"/>
    <w:rsid w:val="48013092"/>
    <w:rsid w:val="482E4303"/>
    <w:rsid w:val="484C2E1B"/>
    <w:rsid w:val="485D49F9"/>
    <w:rsid w:val="486D1DF7"/>
    <w:rsid w:val="487C0344"/>
    <w:rsid w:val="48B57BA5"/>
    <w:rsid w:val="48B808C7"/>
    <w:rsid w:val="48BE28C3"/>
    <w:rsid w:val="48CB5C1D"/>
    <w:rsid w:val="48FD1AAC"/>
    <w:rsid w:val="490E404E"/>
    <w:rsid w:val="493437D3"/>
    <w:rsid w:val="49463453"/>
    <w:rsid w:val="496D221D"/>
    <w:rsid w:val="49753D38"/>
    <w:rsid w:val="497A75DE"/>
    <w:rsid w:val="497F0713"/>
    <w:rsid w:val="49807CD4"/>
    <w:rsid w:val="49975A5C"/>
    <w:rsid w:val="49A12AC4"/>
    <w:rsid w:val="49A81A17"/>
    <w:rsid w:val="49BF6D61"/>
    <w:rsid w:val="49C43AB5"/>
    <w:rsid w:val="49C67826"/>
    <w:rsid w:val="49CA7BE0"/>
    <w:rsid w:val="49D21D17"/>
    <w:rsid w:val="49DC2487"/>
    <w:rsid w:val="49E1048E"/>
    <w:rsid w:val="4A1C2405"/>
    <w:rsid w:val="4A6D4A0F"/>
    <w:rsid w:val="4A7364C9"/>
    <w:rsid w:val="4A7F4E6E"/>
    <w:rsid w:val="4A8F4985"/>
    <w:rsid w:val="4A9A27AA"/>
    <w:rsid w:val="4A9F0178"/>
    <w:rsid w:val="4AAC2607"/>
    <w:rsid w:val="4AAE5753"/>
    <w:rsid w:val="4AB6374B"/>
    <w:rsid w:val="4ABD2AB6"/>
    <w:rsid w:val="4AD035A9"/>
    <w:rsid w:val="4AEB42B2"/>
    <w:rsid w:val="4AEC771F"/>
    <w:rsid w:val="4B127607"/>
    <w:rsid w:val="4B2257F9"/>
    <w:rsid w:val="4B275CE5"/>
    <w:rsid w:val="4B652AD7"/>
    <w:rsid w:val="4B685902"/>
    <w:rsid w:val="4B6934C4"/>
    <w:rsid w:val="4B906C07"/>
    <w:rsid w:val="4B977D9F"/>
    <w:rsid w:val="4BA70097"/>
    <w:rsid w:val="4BA91A77"/>
    <w:rsid w:val="4BBF17BF"/>
    <w:rsid w:val="4BCB139F"/>
    <w:rsid w:val="4BD411EA"/>
    <w:rsid w:val="4BDB1B9D"/>
    <w:rsid w:val="4BE25CF6"/>
    <w:rsid w:val="4C172E84"/>
    <w:rsid w:val="4C312198"/>
    <w:rsid w:val="4C426135"/>
    <w:rsid w:val="4C583BC9"/>
    <w:rsid w:val="4C5E34C5"/>
    <w:rsid w:val="4C7C2FC2"/>
    <w:rsid w:val="4C8F4DEA"/>
    <w:rsid w:val="4C910E37"/>
    <w:rsid w:val="4CC37853"/>
    <w:rsid w:val="4D1A0E7E"/>
    <w:rsid w:val="4D28221B"/>
    <w:rsid w:val="4D304C6C"/>
    <w:rsid w:val="4D3E0938"/>
    <w:rsid w:val="4D4535EA"/>
    <w:rsid w:val="4D5D0D6B"/>
    <w:rsid w:val="4D7F6F33"/>
    <w:rsid w:val="4D844549"/>
    <w:rsid w:val="4E01203E"/>
    <w:rsid w:val="4E0538DC"/>
    <w:rsid w:val="4E0929FC"/>
    <w:rsid w:val="4E1560C7"/>
    <w:rsid w:val="4E292AF2"/>
    <w:rsid w:val="4E41068C"/>
    <w:rsid w:val="4E4459A4"/>
    <w:rsid w:val="4E630603"/>
    <w:rsid w:val="4E717E99"/>
    <w:rsid w:val="4E7D7917"/>
    <w:rsid w:val="4E850579"/>
    <w:rsid w:val="4E9E182B"/>
    <w:rsid w:val="4EBF67FC"/>
    <w:rsid w:val="4ED908C5"/>
    <w:rsid w:val="4EE5726A"/>
    <w:rsid w:val="4EE87E01"/>
    <w:rsid w:val="4EF97B9D"/>
    <w:rsid w:val="4F131237"/>
    <w:rsid w:val="4F142710"/>
    <w:rsid w:val="4F225D98"/>
    <w:rsid w:val="4F363D9C"/>
    <w:rsid w:val="4F3B50DC"/>
    <w:rsid w:val="4F9A44F8"/>
    <w:rsid w:val="4F9B1793"/>
    <w:rsid w:val="4F9B5B7A"/>
    <w:rsid w:val="4F9D18F3"/>
    <w:rsid w:val="4FA36A5B"/>
    <w:rsid w:val="4FAE02D6"/>
    <w:rsid w:val="4FE253DA"/>
    <w:rsid w:val="50066E20"/>
    <w:rsid w:val="50173F7D"/>
    <w:rsid w:val="502B6EFE"/>
    <w:rsid w:val="503E6471"/>
    <w:rsid w:val="50435B6E"/>
    <w:rsid w:val="50467BF5"/>
    <w:rsid w:val="504A1A7A"/>
    <w:rsid w:val="504A36FA"/>
    <w:rsid w:val="50655137"/>
    <w:rsid w:val="507F19F5"/>
    <w:rsid w:val="508605D9"/>
    <w:rsid w:val="508E1C7C"/>
    <w:rsid w:val="50A078EC"/>
    <w:rsid w:val="50A373DC"/>
    <w:rsid w:val="50AD49CA"/>
    <w:rsid w:val="50BB4726"/>
    <w:rsid w:val="50DD70E5"/>
    <w:rsid w:val="51100528"/>
    <w:rsid w:val="511107EA"/>
    <w:rsid w:val="51184E6F"/>
    <w:rsid w:val="51194FCD"/>
    <w:rsid w:val="511F087F"/>
    <w:rsid w:val="5147420C"/>
    <w:rsid w:val="514E559A"/>
    <w:rsid w:val="516A1CA8"/>
    <w:rsid w:val="5173581F"/>
    <w:rsid w:val="517F5754"/>
    <w:rsid w:val="519E4F2C"/>
    <w:rsid w:val="51AE7DE7"/>
    <w:rsid w:val="51AF7DB0"/>
    <w:rsid w:val="51B03B5F"/>
    <w:rsid w:val="51DC2BA6"/>
    <w:rsid w:val="51E7154B"/>
    <w:rsid w:val="51EE28D9"/>
    <w:rsid w:val="51F14517"/>
    <w:rsid w:val="51F461E0"/>
    <w:rsid w:val="5216036F"/>
    <w:rsid w:val="522074C4"/>
    <w:rsid w:val="52460007"/>
    <w:rsid w:val="526B2619"/>
    <w:rsid w:val="526D5036"/>
    <w:rsid w:val="529E60AD"/>
    <w:rsid w:val="529F5EA1"/>
    <w:rsid w:val="52AA5C3A"/>
    <w:rsid w:val="53034942"/>
    <w:rsid w:val="5328239D"/>
    <w:rsid w:val="533C41C5"/>
    <w:rsid w:val="534D220F"/>
    <w:rsid w:val="537B1F4B"/>
    <w:rsid w:val="537D134A"/>
    <w:rsid w:val="537F2AD5"/>
    <w:rsid w:val="53C91E21"/>
    <w:rsid w:val="53CA4C80"/>
    <w:rsid w:val="53D3628E"/>
    <w:rsid w:val="53D855EF"/>
    <w:rsid w:val="53E01884"/>
    <w:rsid w:val="53E775E0"/>
    <w:rsid w:val="540F194E"/>
    <w:rsid w:val="541B2BE4"/>
    <w:rsid w:val="542D76E9"/>
    <w:rsid w:val="544E58B1"/>
    <w:rsid w:val="54A43EC9"/>
    <w:rsid w:val="54B5148C"/>
    <w:rsid w:val="54E57FC4"/>
    <w:rsid w:val="54F00716"/>
    <w:rsid w:val="54F90F1C"/>
    <w:rsid w:val="54FE1085"/>
    <w:rsid w:val="55142657"/>
    <w:rsid w:val="5531145B"/>
    <w:rsid w:val="55371243"/>
    <w:rsid w:val="556C4017"/>
    <w:rsid w:val="556C4241"/>
    <w:rsid w:val="55937A20"/>
    <w:rsid w:val="55AF0009"/>
    <w:rsid w:val="55B94430"/>
    <w:rsid w:val="55E32B64"/>
    <w:rsid w:val="56315F53"/>
    <w:rsid w:val="563A55F2"/>
    <w:rsid w:val="56424FA2"/>
    <w:rsid w:val="5651185A"/>
    <w:rsid w:val="56701B0F"/>
    <w:rsid w:val="56707D61"/>
    <w:rsid w:val="567315FF"/>
    <w:rsid w:val="568B1FB7"/>
    <w:rsid w:val="56C97471"/>
    <w:rsid w:val="56EB265C"/>
    <w:rsid w:val="56F0318C"/>
    <w:rsid w:val="5726041F"/>
    <w:rsid w:val="572C4D81"/>
    <w:rsid w:val="572F3778"/>
    <w:rsid w:val="577D0987"/>
    <w:rsid w:val="57C05565"/>
    <w:rsid w:val="57CF646E"/>
    <w:rsid w:val="57D4588F"/>
    <w:rsid w:val="57DA139E"/>
    <w:rsid w:val="57E5460C"/>
    <w:rsid w:val="57F95B34"/>
    <w:rsid w:val="57FB365A"/>
    <w:rsid w:val="580A7D41"/>
    <w:rsid w:val="583628E4"/>
    <w:rsid w:val="58564283"/>
    <w:rsid w:val="5862192B"/>
    <w:rsid w:val="58675193"/>
    <w:rsid w:val="58690F0C"/>
    <w:rsid w:val="587A4EC7"/>
    <w:rsid w:val="587D6765"/>
    <w:rsid w:val="588D1F09"/>
    <w:rsid w:val="58A0089F"/>
    <w:rsid w:val="58B33F35"/>
    <w:rsid w:val="58BE1257"/>
    <w:rsid w:val="58D520FD"/>
    <w:rsid w:val="58DF4D2A"/>
    <w:rsid w:val="58F836DE"/>
    <w:rsid w:val="58FD3402"/>
    <w:rsid w:val="59024134"/>
    <w:rsid w:val="590927AA"/>
    <w:rsid w:val="59104003"/>
    <w:rsid w:val="59121E1B"/>
    <w:rsid w:val="59213594"/>
    <w:rsid w:val="594644D9"/>
    <w:rsid w:val="5948401A"/>
    <w:rsid w:val="59513A51"/>
    <w:rsid w:val="596923E3"/>
    <w:rsid w:val="59AD4E28"/>
    <w:rsid w:val="59AF0BA0"/>
    <w:rsid w:val="59B21293"/>
    <w:rsid w:val="59BE7035"/>
    <w:rsid w:val="59CC3500"/>
    <w:rsid w:val="59DB1995"/>
    <w:rsid w:val="59E92304"/>
    <w:rsid w:val="59F31BD5"/>
    <w:rsid w:val="5A123F0A"/>
    <w:rsid w:val="5A273C8F"/>
    <w:rsid w:val="5A317807"/>
    <w:rsid w:val="5A494B51"/>
    <w:rsid w:val="5A4A2677"/>
    <w:rsid w:val="5A8E07B6"/>
    <w:rsid w:val="5AA643AD"/>
    <w:rsid w:val="5AB3646E"/>
    <w:rsid w:val="5AEE74A6"/>
    <w:rsid w:val="5AF96577"/>
    <w:rsid w:val="5B03125C"/>
    <w:rsid w:val="5B0373F5"/>
    <w:rsid w:val="5B0E1F2E"/>
    <w:rsid w:val="5B0F5D9A"/>
    <w:rsid w:val="5B1076C9"/>
    <w:rsid w:val="5B1108E7"/>
    <w:rsid w:val="5B1D4A1E"/>
    <w:rsid w:val="5B3F770C"/>
    <w:rsid w:val="5B433C96"/>
    <w:rsid w:val="5B5E63DA"/>
    <w:rsid w:val="5B653204"/>
    <w:rsid w:val="5B676787"/>
    <w:rsid w:val="5B8A4733"/>
    <w:rsid w:val="5C3129AE"/>
    <w:rsid w:val="5C4C048C"/>
    <w:rsid w:val="5C537F09"/>
    <w:rsid w:val="5C606F5D"/>
    <w:rsid w:val="5C7B1DF6"/>
    <w:rsid w:val="5C7B2FBB"/>
    <w:rsid w:val="5C7D4F86"/>
    <w:rsid w:val="5C7D6D34"/>
    <w:rsid w:val="5C993309"/>
    <w:rsid w:val="5CB63FF4"/>
    <w:rsid w:val="5CC22998"/>
    <w:rsid w:val="5CE959CD"/>
    <w:rsid w:val="5CFC4A81"/>
    <w:rsid w:val="5D1B794C"/>
    <w:rsid w:val="5D32768C"/>
    <w:rsid w:val="5D445E0F"/>
    <w:rsid w:val="5D465377"/>
    <w:rsid w:val="5D4D2BAA"/>
    <w:rsid w:val="5D944335"/>
    <w:rsid w:val="5D9D52E4"/>
    <w:rsid w:val="5DE352BC"/>
    <w:rsid w:val="5DEC3670"/>
    <w:rsid w:val="5E02192D"/>
    <w:rsid w:val="5E021BE6"/>
    <w:rsid w:val="5E18068B"/>
    <w:rsid w:val="5E1B4A56"/>
    <w:rsid w:val="5E207E3F"/>
    <w:rsid w:val="5E2B6E6F"/>
    <w:rsid w:val="5EA26F25"/>
    <w:rsid w:val="5EC549C2"/>
    <w:rsid w:val="5EC9324E"/>
    <w:rsid w:val="5EF41EF5"/>
    <w:rsid w:val="5EF5421E"/>
    <w:rsid w:val="5EF93E4E"/>
    <w:rsid w:val="5F0951F8"/>
    <w:rsid w:val="5F1E79F9"/>
    <w:rsid w:val="5F282076"/>
    <w:rsid w:val="5F597C63"/>
    <w:rsid w:val="5F66623B"/>
    <w:rsid w:val="5F792243"/>
    <w:rsid w:val="5F8F1665"/>
    <w:rsid w:val="5F9D3EB5"/>
    <w:rsid w:val="5FA1005B"/>
    <w:rsid w:val="5FD41360"/>
    <w:rsid w:val="5FD51606"/>
    <w:rsid w:val="5FF23595"/>
    <w:rsid w:val="60015C19"/>
    <w:rsid w:val="601E438A"/>
    <w:rsid w:val="60432042"/>
    <w:rsid w:val="605F18F9"/>
    <w:rsid w:val="60716BAF"/>
    <w:rsid w:val="607532B9"/>
    <w:rsid w:val="608D6160"/>
    <w:rsid w:val="60A85027"/>
    <w:rsid w:val="60AB2126"/>
    <w:rsid w:val="60B1228E"/>
    <w:rsid w:val="60B32C6F"/>
    <w:rsid w:val="60CA4511"/>
    <w:rsid w:val="60D65B93"/>
    <w:rsid w:val="60DC1298"/>
    <w:rsid w:val="60F16193"/>
    <w:rsid w:val="6131633F"/>
    <w:rsid w:val="61332749"/>
    <w:rsid w:val="613A76C2"/>
    <w:rsid w:val="615A3AE7"/>
    <w:rsid w:val="616971FB"/>
    <w:rsid w:val="61904C1E"/>
    <w:rsid w:val="61B2747F"/>
    <w:rsid w:val="61D0044F"/>
    <w:rsid w:val="61D218D0"/>
    <w:rsid w:val="61DA69D6"/>
    <w:rsid w:val="61DF5486"/>
    <w:rsid w:val="61FE4473"/>
    <w:rsid w:val="620B4D65"/>
    <w:rsid w:val="62491EBE"/>
    <w:rsid w:val="625B31D3"/>
    <w:rsid w:val="625D30DD"/>
    <w:rsid w:val="62610F56"/>
    <w:rsid w:val="62614A02"/>
    <w:rsid w:val="6280132C"/>
    <w:rsid w:val="62816E52"/>
    <w:rsid w:val="62902482"/>
    <w:rsid w:val="629578F8"/>
    <w:rsid w:val="62A0377C"/>
    <w:rsid w:val="62A52B40"/>
    <w:rsid w:val="62AF39BF"/>
    <w:rsid w:val="62BD60DC"/>
    <w:rsid w:val="62C40041"/>
    <w:rsid w:val="62CA6A4B"/>
    <w:rsid w:val="62DB47B4"/>
    <w:rsid w:val="62EE44E7"/>
    <w:rsid w:val="631303F2"/>
    <w:rsid w:val="631F6787"/>
    <w:rsid w:val="63426E07"/>
    <w:rsid w:val="636C365E"/>
    <w:rsid w:val="637C7D45"/>
    <w:rsid w:val="63F91396"/>
    <w:rsid w:val="6401796E"/>
    <w:rsid w:val="64033FC2"/>
    <w:rsid w:val="6409322E"/>
    <w:rsid w:val="641C6E32"/>
    <w:rsid w:val="64572560"/>
    <w:rsid w:val="645A51DF"/>
    <w:rsid w:val="646141F7"/>
    <w:rsid w:val="646D768E"/>
    <w:rsid w:val="647A17B0"/>
    <w:rsid w:val="64873BAB"/>
    <w:rsid w:val="64C179D9"/>
    <w:rsid w:val="64CF0AAA"/>
    <w:rsid w:val="64E33327"/>
    <w:rsid w:val="64E41BC9"/>
    <w:rsid w:val="64EC50EB"/>
    <w:rsid w:val="64F733FB"/>
    <w:rsid w:val="650224CC"/>
    <w:rsid w:val="6509385A"/>
    <w:rsid w:val="650A1380"/>
    <w:rsid w:val="653F54CE"/>
    <w:rsid w:val="65426D6C"/>
    <w:rsid w:val="654E74BF"/>
    <w:rsid w:val="655F347A"/>
    <w:rsid w:val="657854C4"/>
    <w:rsid w:val="65811116"/>
    <w:rsid w:val="65894E7B"/>
    <w:rsid w:val="658A69B3"/>
    <w:rsid w:val="65980264"/>
    <w:rsid w:val="65B371FD"/>
    <w:rsid w:val="65B37C6A"/>
    <w:rsid w:val="65B90DA2"/>
    <w:rsid w:val="66040E1D"/>
    <w:rsid w:val="660C498C"/>
    <w:rsid w:val="660E2E2E"/>
    <w:rsid w:val="661C0BB4"/>
    <w:rsid w:val="662326FA"/>
    <w:rsid w:val="66372649"/>
    <w:rsid w:val="668F2A3A"/>
    <w:rsid w:val="66A650D9"/>
    <w:rsid w:val="66C67529"/>
    <w:rsid w:val="66D02156"/>
    <w:rsid w:val="66D3515A"/>
    <w:rsid w:val="66E31E89"/>
    <w:rsid w:val="66F66060"/>
    <w:rsid w:val="66F76DBD"/>
    <w:rsid w:val="6716225F"/>
    <w:rsid w:val="67237B54"/>
    <w:rsid w:val="67504D48"/>
    <w:rsid w:val="67587439"/>
    <w:rsid w:val="677B1DC1"/>
    <w:rsid w:val="6788436B"/>
    <w:rsid w:val="679A4C3E"/>
    <w:rsid w:val="67BF1846"/>
    <w:rsid w:val="67C51F44"/>
    <w:rsid w:val="67D068B1"/>
    <w:rsid w:val="680129A9"/>
    <w:rsid w:val="681B44D3"/>
    <w:rsid w:val="68243B25"/>
    <w:rsid w:val="683E214F"/>
    <w:rsid w:val="68490412"/>
    <w:rsid w:val="684B59EE"/>
    <w:rsid w:val="684C4348"/>
    <w:rsid w:val="68664B20"/>
    <w:rsid w:val="68667A9D"/>
    <w:rsid w:val="68692862"/>
    <w:rsid w:val="686B65DA"/>
    <w:rsid w:val="688076A7"/>
    <w:rsid w:val="6885769C"/>
    <w:rsid w:val="688A2893"/>
    <w:rsid w:val="688C5FCC"/>
    <w:rsid w:val="68906041"/>
    <w:rsid w:val="68985438"/>
    <w:rsid w:val="68D42C94"/>
    <w:rsid w:val="68E438DF"/>
    <w:rsid w:val="691155F7"/>
    <w:rsid w:val="692707BC"/>
    <w:rsid w:val="693C3AD3"/>
    <w:rsid w:val="693E3CEF"/>
    <w:rsid w:val="694C0DB6"/>
    <w:rsid w:val="695C0561"/>
    <w:rsid w:val="696D1EDE"/>
    <w:rsid w:val="699E0AAD"/>
    <w:rsid w:val="69B905E2"/>
    <w:rsid w:val="69C53AC8"/>
    <w:rsid w:val="69DF74C2"/>
    <w:rsid w:val="69ED6F02"/>
    <w:rsid w:val="69F92941"/>
    <w:rsid w:val="6A002D52"/>
    <w:rsid w:val="6A0F34A2"/>
    <w:rsid w:val="6A396548"/>
    <w:rsid w:val="6A3F387A"/>
    <w:rsid w:val="6A405079"/>
    <w:rsid w:val="6A445335"/>
    <w:rsid w:val="6A590570"/>
    <w:rsid w:val="6A7073FD"/>
    <w:rsid w:val="6A78197A"/>
    <w:rsid w:val="6A7A6FA8"/>
    <w:rsid w:val="6A7C5C81"/>
    <w:rsid w:val="6A845A29"/>
    <w:rsid w:val="6A9E0BA8"/>
    <w:rsid w:val="6AA24062"/>
    <w:rsid w:val="6AC16985"/>
    <w:rsid w:val="6AE01AE3"/>
    <w:rsid w:val="6AE47FCE"/>
    <w:rsid w:val="6AFF69C4"/>
    <w:rsid w:val="6B0A20DA"/>
    <w:rsid w:val="6B361121"/>
    <w:rsid w:val="6B5E41D4"/>
    <w:rsid w:val="6B6C069F"/>
    <w:rsid w:val="6B797260"/>
    <w:rsid w:val="6B8A321B"/>
    <w:rsid w:val="6B981494"/>
    <w:rsid w:val="6BB06BE8"/>
    <w:rsid w:val="6BB32368"/>
    <w:rsid w:val="6BB931DF"/>
    <w:rsid w:val="6BBE70C7"/>
    <w:rsid w:val="6BD56C63"/>
    <w:rsid w:val="6BDD159D"/>
    <w:rsid w:val="6BFE0506"/>
    <w:rsid w:val="6BFF1513"/>
    <w:rsid w:val="6C0C3C30"/>
    <w:rsid w:val="6C2F5A1E"/>
    <w:rsid w:val="6C360CAD"/>
    <w:rsid w:val="6C465394"/>
    <w:rsid w:val="6C532585"/>
    <w:rsid w:val="6C5A2BED"/>
    <w:rsid w:val="6C5F38A8"/>
    <w:rsid w:val="6C702411"/>
    <w:rsid w:val="6CA67BE1"/>
    <w:rsid w:val="6CB14464"/>
    <w:rsid w:val="6CB95B66"/>
    <w:rsid w:val="6CBC11B2"/>
    <w:rsid w:val="6CD92A38"/>
    <w:rsid w:val="6CF40B7C"/>
    <w:rsid w:val="6CF829ED"/>
    <w:rsid w:val="6D0748AF"/>
    <w:rsid w:val="6D187058"/>
    <w:rsid w:val="6D273524"/>
    <w:rsid w:val="6D284C32"/>
    <w:rsid w:val="6D2B6338"/>
    <w:rsid w:val="6D4C0929"/>
    <w:rsid w:val="6D7101EF"/>
    <w:rsid w:val="6D91263F"/>
    <w:rsid w:val="6DB61752"/>
    <w:rsid w:val="6DB85E1E"/>
    <w:rsid w:val="6DC522E8"/>
    <w:rsid w:val="6DE704B1"/>
    <w:rsid w:val="6E1312A6"/>
    <w:rsid w:val="6E1C2F8E"/>
    <w:rsid w:val="6E3D4B52"/>
    <w:rsid w:val="6E4D54A0"/>
    <w:rsid w:val="6E5024FA"/>
    <w:rsid w:val="6E565636"/>
    <w:rsid w:val="6E9737AC"/>
    <w:rsid w:val="6E9C215B"/>
    <w:rsid w:val="6EB85E6D"/>
    <w:rsid w:val="6EE17D68"/>
    <w:rsid w:val="6EF32D7C"/>
    <w:rsid w:val="6F2C67E8"/>
    <w:rsid w:val="6F325D40"/>
    <w:rsid w:val="6F40256E"/>
    <w:rsid w:val="6F436977"/>
    <w:rsid w:val="6F4F4560"/>
    <w:rsid w:val="6F7F4719"/>
    <w:rsid w:val="6FB2689C"/>
    <w:rsid w:val="6FB63093"/>
    <w:rsid w:val="6FE50A20"/>
    <w:rsid w:val="6FFD4572"/>
    <w:rsid w:val="70090DBC"/>
    <w:rsid w:val="700D5040"/>
    <w:rsid w:val="70161517"/>
    <w:rsid w:val="701D465E"/>
    <w:rsid w:val="702800E3"/>
    <w:rsid w:val="705362D1"/>
    <w:rsid w:val="705838E8"/>
    <w:rsid w:val="707F3B72"/>
    <w:rsid w:val="70AD3C34"/>
    <w:rsid w:val="70B054D2"/>
    <w:rsid w:val="70D54F38"/>
    <w:rsid w:val="710752F3"/>
    <w:rsid w:val="711374C5"/>
    <w:rsid w:val="71357785"/>
    <w:rsid w:val="714A76D4"/>
    <w:rsid w:val="715C2F64"/>
    <w:rsid w:val="71750118"/>
    <w:rsid w:val="71752277"/>
    <w:rsid w:val="718A2BEC"/>
    <w:rsid w:val="71D62D16"/>
    <w:rsid w:val="71F238C8"/>
    <w:rsid w:val="72486AB6"/>
    <w:rsid w:val="72522CC7"/>
    <w:rsid w:val="725A6136"/>
    <w:rsid w:val="728B7CE2"/>
    <w:rsid w:val="72AE7658"/>
    <w:rsid w:val="72D07765"/>
    <w:rsid w:val="72DF0360"/>
    <w:rsid w:val="730574D5"/>
    <w:rsid w:val="731E2396"/>
    <w:rsid w:val="732D2E0A"/>
    <w:rsid w:val="73506AF8"/>
    <w:rsid w:val="73511079"/>
    <w:rsid w:val="73561ABF"/>
    <w:rsid w:val="73571C35"/>
    <w:rsid w:val="7370479F"/>
    <w:rsid w:val="73724CC1"/>
    <w:rsid w:val="737367CB"/>
    <w:rsid w:val="73797FBF"/>
    <w:rsid w:val="73840550"/>
    <w:rsid w:val="73B76B77"/>
    <w:rsid w:val="73CD0EC9"/>
    <w:rsid w:val="73D56FFD"/>
    <w:rsid w:val="73D67B79"/>
    <w:rsid w:val="73DF4BC4"/>
    <w:rsid w:val="73E57241"/>
    <w:rsid w:val="73E66915"/>
    <w:rsid w:val="74115C9B"/>
    <w:rsid w:val="743261FE"/>
    <w:rsid w:val="74404DBF"/>
    <w:rsid w:val="74455F31"/>
    <w:rsid w:val="746F55AB"/>
    <w:rsid w:val="747F58E7"/>
    <w:rsid w:val="747F7AC8"/>
    <w:rsid w:val="749D5D6D"/>
    <w:rsid w:val="74A44845"/>
    <w:rsid w:val="74AD2B4B"/>
    <w:rsid w:val="74B71BBB"/>
    <w:rsid w:val="74F919CC"/>
    <w:rsid w:val="74FB5901"/>
    <w:rsid w:val="750A52C8"/>
    <w:rsid w:val="7511785C"/>
    <w:rsid w:val="752913AF"/>
    <w:rsid w:val="753903FB"/>
    <w:rsid w:val="75473619"/>
    <w:rsid w:val="7552712D"/>
    <w:rsid w:val="75622B13"/>
    <w:rsid w:val="75911CC7"/>
    <w:rsid w:val="75976D98"/>
    <w:rsid w:val="759E1D9D"/>
    <w:rsid w:val="75D05CFE"/>
    <w:rsid w:val="75F57AD2"/>
    <w:rsid w:val="76194B74"/>
    <w:rsid w:val="761C1938"/>
    <w:rsid w:val="76257DC8"/>
    <w:rsid w:val="763B2D3E"/>
    <w:rsid w:val="765A4381"/>
    <w:rsid w:val="765E73C4"/>
    <w:rsid w:val="767825EE"/>
    <w:rsid w:val="76805946"/>
    <w:rsid w:val="76816FC9"/>
    <w:rsid w:val="76872B03"/>
    <w:rsid w:val="76B06DF9"/>
    <w:rsid w:val="76F031AE"/>
    <w:rsid w:val="76FF2D0F"/>
    <w:rsid w:val="77075D21"/>
    <w:rsid w:val="770B595E"/>
    <w:rsid w:val="77106CCA"/>
    <w:rsid w:val="772B7428"/>
    <w:rsid w:val="77361C9C"/>
    <w:rsid w:val="774150D6"/>
    <w:rsid w:val="77576D1C"/>
    <w:rsid w:val="775813EF"/>
    <w:rsid w:val="77921779"/>
    <w:rsid w:val="77BC56CF"/>
    <w:rsid w:val="77C11D73"/>
    <w:rsid w:val="77CA5A6D"/>
    <w:rsid w:val="77CE4490"/>
    <w:rsid w:val="78167B07"/>
    <w:rsid w:val="78234247"/>
    <w:rsid w:val="7825272D"/>
    <w:rsid w:val="782567A5"/>
    <w:rsid w:val="78316434"/>
    <w:rsid w:val="783C3A4B"/>
    <w:rsid w:val="78537AAA"/>
    <w:rsid w:val="7869531B"/>
    <w:rsid w:val="78704974"/>
    <w:rsid w:val="787C4CAA"/>
    <w:rsid w:val="7881604A"/>
    <w:rsid w:val="7883527A"/>
    <w:rsid w:val="78886D34"/>
    <w:rsid w:val="789057F6"/>
    <w:rsid w:val="7899684C"/>
    <w:rsid w:val="78A2119B"/>
    <w:rsid w:val="78AB55DE"/>
    <w:rsid w:val="78B9035A"/>
    <w:rsid w:val="78D83818"/>
    <w:rsid w:val="78E201F2"/>
    <w:rsid w:val="78F9553C"/>
    <w:rsid w:val="78FA35DA"/>
    <w:rsid w:val="79021C1F"/>
    <w:rsid w:val="79052133"/>
    <w:rsid w:val="79082749"/>
    <w:rsid w:val="791374B0"/>
    <w:rsid w:val="79214C0E"/>
    <w:rsid w:val="792151BF"/>
    <w:rsid w:val="792A458E"/>
    <w:rsid w:val="794629C5"/>
    <w:rsid w:val="794A342C"/>
    <w:rsid w:val="79701CA2"/>
    <w:rsid w:val="797B15DA"/>
    <w:rsid w:val="79915775"/>
    <w:rsid w:val="799F4335"/>
    <w:rsid w:val="79A8575A"/>
    <w:rsid w:val="79BA116F"/>
    <w:rsid w:val="79BD47BC"/>
    <w:rsid w:val="79CC6228"/>
    <w:rsid w:val="79CE4C1B"/>
    <w:rsid w:val="79DC7338"/>
    <w:rsid w:val="79E17841"/>
    <w:rsid w:val="79E85CDC"/>
    <w:rsid w:val="79F226B7"/>
    <w:rsid w:val="7A0E5017"/>
    <w:rsid w:val="7A144520"/>
    <w:rsid w:val="7A1A5365"/>
    <w:rsid w:val="7A1B6759"/>
    <w:rsid w:val="7A2F0FE6"/>
    <w:rsid w:val="7A316DFD"/>
    <w:rsid w:val="7A330647"/>
    <w:rsid w:val="7A41602D"/>
    <w:rsid w:val="7A471908"/>
    <w:rsid w:val="7A5B64AE"/>
    <w:rsid w:val="7A700792"/>
    <w:rsid w:val="7A810ADB"/>
    <w:rsid w:val="7AA3577C"/>
    <w:rsid w:val="7AA73C4B"/>
    <w:rsid w:val="7ACF1BA7"/>
    <w:rsid w:val="7AD3378B"/>
    <w:rsid w:val="7AD4043F"/>
    <w:rsid w:val="7AF406B1"/>
    <w:rsid w:val="7AFE6E3A"/>
    <w:rsid w:val="7B007056"/>
    <w:rsid w:val="7B056E98"/>
    <w:rsid w:val="7B375F1A"/>
    <w:rsid w:val="7B580C40"/>
    <w:rsid w:val="7B5F3F98"/>
    <w:rsid w:val="7B7C308B"/>
    <w:rsid w:val="7B8118EB"/>
    <w:rsid w:val="7BBB2C05"/>
    <w:rsid w:val="7BC167E5"/>
    <w:rsid w:val="7BE610EC"/>
    <w:rsid w:val="7BF81ADB"/>
    <w:rsid w:val="7BF83A56"/>
    <w:rsid w:val="7C042B76"/>
    <w:rsid w:val="7C0B180E"/>
    <w:rsid w:val="7C6D36CA"/>
    <w:rsid w:val="7C8F243F"/>
    <w:rsid w:val="7C991510"/>
    <w:rsid w:val="7CA050CF"/>
    <w:rsid w:val="7CB73744"/>
    <w:rsid w:val="7CC0084B"/>
    <w:rsid w:val="7CC24ADA"/>
    <w:rsid w:val="7CD13EF3"/>
    <w:rsid w:val="7CF77FE5"/>
    <w:rsid w:val="7D3B25C7"/>
    <w:rsid w:val="7D474AC8"/>
    <w:rsid w:val="7D4A372A"/>
    <w:rsid w:val="7D5D253D"/>
    <w:rsid w:val="7D781125"/>
    <w:rsid w:val="7DA55C93"/>
    <w:rsid w:val="7DCA43B7"/>
    <w:rsid w:val="7DCE343B"/>
    <w:rsid w:val="7DD1539B"/>
    <w:rsid w:val="7E330CC0"/>
    <w:rsid w:val="7E506B64"/>
    <w:rsid w:val="7E5F24F8"/>
    <w:rsid w:val="7E655B4E"/>
    <w:rsid w:val="7E684192"/>
    <w:rsid w:val="7E880793"/>
    <w:rsid w:val="7E891B8F"/>
    <w:rsid w:val="7E9B7E1D"/>
    <w:rsid w:val="7EA601F4"/>
    <w:rsid w:val="7EAE000A"/>
    <w:rsid w:val="7EBB576E"/>
    <w:rsid w:val="7EC34622"/>
    <w:rsid w:val="7F080E89"/>
    <w:rsid w:val="7F42125A"/>
    <w:rsid w:val="7F523FA3"/>
    <w:rsid w:val="7F6A5354"/>
    <w:rsid w:val="7F961456"/>
    <w:rsid w:val="7FBB354B"/>
    <w:rsid w:val="7FC00B62"/>
    <w:rsid w:val="7FCE327F"/>
    <w:rsid w:val="7FCF33B4"/>
    <w:rsid w:val="7FD85EAB"/>
    <w:rsid w:val="7FE214C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qFormat="1"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qFormat="1" w:uiPriority="99"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2"/>
    <w:autoRedefine/>
    <w:qFormat/>
    <w:uiPriority w:val="0"/>
    <w:pPr>
      <w:keepNext/>
      <w:keepLines/>
      <w:spacing w:before="120" w:after="120" w:line="578" w:lineRule="auto"/>
      <w:jc w:val="center"/>
      <w:outlineLvl w:val="0"/>
    </w:pPr>
    <w:rPr>
      <w:rFonts w:ascii="宋体" w:hAnsi="宋体"/>
      <w:b/>
      <w:bCs/>
      <w:color w:val="000000"/>
      <w:kern w:val="44"/>
      <w:sz w:val="30"/>
      <w:szCs w:val="30"/>
    </w:rPr>
  </w:style>
  <w:style w:type="paragraph" w:styleId="3">
    <w:name w:val="heading 2"/>
    <w:basedOn w:val="1"/>
    <w:next w:val="1"/>
    <w:link w:val="53"/>
    <w:autoRedefine/>
    <w:qFormat/>
    <w:uiPriority w:val="0"/>
    <w:pPr>
      <w:keepNext/>
      <w:keepLines/>
      <w:spacing w:before="260" w:after="260" w:line="416" w:lineRule="auto"/>
      <w:outlineLvl w:val="1"/>
    </w:pPr>
    <w:rPr>
      <w:rFonts w:ascii="Arial Black" w:hAnsi="Arial Black" w:eastAsia="黑体"/>
      <w:b/>
      <w:bCs/>
      <w:sz w:val="32"/>
      <w:szCs w:val="32"/>
    </w:rPr>
  </w:style>
  <w:style w:type="paragraph" w:styleId="4">
    <w:name w:val="heading 3"/>
    <w:basedOn w:val="1"/>
    <w:next w:val="1"/>
    <w:link w:val="54"/>
    <w:autoRedefine/>
    <w:qFormat/>
    <w:uiPriority w:val="0"/>
    <w:pPr>
      <w:keepNext/>
      <w:keepLines/>
      <w:numPr>
        <w:ilvl w:val="0"/>
        <w:numId w:val="1"/>
      </w:numPr>
      <w:spacing w:before="260" w:after="260" w:line="416" w:lineRule="auto"/>
      <w:jc w:val="center"/>
      <w:outlineLvl w:val="2"/>
    </w:pPr>
    <w:rPr>
      <w:rFonts w:ascii="宋体" w:hAnsi="宋体"/>
      <w:sz w:val="28"/>
      <w:szCs w:val="32"/>
    </w:rPr>
  </w:style>
  <w:style w:type="paragraph" w:styleId="5">
    <w:name w:val="heading 4"/>
    <w:basedOn w:val="1"/>
    <w:next w:val="1"/>
    <w:link w:val="55"/>
    <w:autoRedefine/>
    <w:qFormat/>
    <w:uiPriority w:val="0"/>
    <w:pPr>
      <w:keepNext/>
      <w:keepLines/>
      <w:spacing w:before="280" w:after="290" w:line="376" w:lineRule="auto"/>
      <w:outlineLvl w:val="3"/>
    </w:pPr>
    <w:rPr>
      <w:rFonts w:ascii="Cambria" w:hAnsi="Cambria"/>
      <w:b/>
      <w:bCs/>
      <w:sz w:val="28"/>
      <w:szCs w:val="28"/>
    </w:rPr>
  </w:style>
  <w:style w:type="paragraph" w:styleId="6">
    <w:name w:val="heading 5"/>
    <w:basedOn w:val="1"/>
    <w:next w:val="1"/>
    <w:link w:val="56"/>
    <w:autoRedefine/>
    <w:qFormat/>
    <w:uiPriority w:val="9"/>
    <w:pPr>
      <w:keepNext/>
      <w:keepLines/>
      <w:widowControl/>
      <w:topLinePunct/>
      <w:adjustRightInd w:val="0"/>
      <w:snapToGrid w:val="0"/>
      <w:spacing w:before="160" w:after="160" w:line="240" w:lineRule="atLeast"/>
      <w:jc w:val="left"/>
      <w:outlineLvl w:val="4"/>
    </w:pPr>
    <w:rPr>
      <w:rFonts w:ascii="Book Antiqua" w:hAnsi="Book Antiqua" w:eastAsia="黑体"/>
      <w:kern w:val="0"/>
      <w:sz w:val="24"/>
    </w:rPr>
  </w:style>
  <w:style w:type="character" w:default="1" w:styleId="44">
    <w:name w:val="Default Paragraph Font"/>
    <w:autoRedefine/>
    <w:semiHidden/>
    <w:qFormat/>
    <w:uiPriority w:val="0"/>
  </w:style>
  <w:style w:type="table" w:default="1" w:styleId="41">
    <w:name w:val="Normal Table"/>
    <w:autoRedefine/>
    <w:semiHidden/>
    <w:qFormat/>
    <w:uiPriority w:val="0"/>
    <w:tblPr>
      <w:tblCellMar>
        <w:top w:w="0" w:type="dxa"/>
        <w:left w:w="108" w:type="dxa"/>
        <w:bottom w:w="0" w:type="dxa"/>
        <w:right w:w="108" w:type="dxa"/>
      </w:tblCellMar>
    </w:tblPr>
  </w:style>
  <w:style w:type="paragraph" w:styleId="7">
    <w:name w:val="toc 7"/>
    <w:basedOn w:val="1"/>
    <w:next w:val="1"/>
    <w:autoRedefine/>
    <w:unhideWhenUsed/>
    <w:qFormat/>
    <w:uiPriority w:val="39"/>
    <w:pPr>
      <w:ind w:left="2520" w:leftChars="1200"/>
    </w:pPr>
    <w:rPr>
      <w:rFonts w:ascii="Calibri" w:hAnsi="Calibri"/>
      <w:szCs w:val="22"/>
    </w:rPr>
  </w:style>
  <w:style w:type="paragraph" w:styleId="8">
    <w:name w:val="Normal Indent"/>
    <w:basedOn w:val="1"/>
    <w:next w:val="1"/>
    <w:link w:val="57"/>
    <w:autoRedefine/>
    <w:qFormat/>
    <w:uiPriority w:val="0"/>
    <w:pPr>
      <w:ind w:firstLine="420" w:firstLineChars="200"/>
    </w:pPr>
  </w:style>
  <w:style w:type="paragraph" w:styleId="9">
    <w:name w:val="caption"/>
    <w:basedOn w:val="1"/>
    <w:next w:val="1"/>
    <w:autoRedefine/>
    <w:qFormat/>
    <w:uiPriority w:val="0"/>
    <w:rPr>
      <w:rFonts w:ascii="Arial" w:hAnsi="Arial" w:eastAsia="黑体" w:cs="Arial"/>
      <w:sz w:val="20"/>
      <w:szCs w:val="20"/>
    </w:rPr>
  </w:style>
  <w:style w:type="paragraph" w:styleId="10">
    <w:name w:val="Document Map"/>
    <w:basedOn w:val="1"/>
    <w:autoRedefine/>
    <w:semiHidden/>
    <w:qFormat/>
    <w:uiPriority w:val="0"/>
    <w:pPr>
      <w:shd w:val="clear" w:color="auto" w:fill="000080"/>
    </w:pPr>
  </w:style>
  <w:style w:type="paragraph" w:styleId="11">
    <w:name w:val="toa heading"/>
    <w:basedOn w:val="1"/>
    <w:next w:val="1"/>
    <w:autoRedefine/>
    <w:qFormat/>
    <w:uiPriority w:val="0"/>
    <w:pPr>
      <w:spacing w:before="120"/>
    </w:pPr>
    <w:rPr>
      <w:rFonts w:ascii="Arial" w:hAnsi="Arial" w:eastAsia="仿宋" w:cs="Times New Roman"/>
      <w:sz w:val="24"/>
      <w:szCs w:val="20"/>
    </w:rPr>
  </w:style>
  <w:style w:type="paragraph" w:styleId="12">
    <w:name w:val="annotation text"/>
    <w:basedOn w:val="1"/>
    <w:link w:val="58"/>
    <w:autoRedefine/>
    <w:qFormat/>
    <w:uiPriority w:val="0"/>
    <w:pPr>
      <w:jc w:val="left"/>
    </w:pPr>
  </w:style>
  <w:style w:type="paragraph" w:styleId="13">
    <w:name w:val="index 6"/>
    <w:basedOn w:val="1"/>
    <w:next w:val="1"/>
    <w:autoRedefine/>
    <w:qFormat/>
    <w:uiPriority w:val="99"/>
    <w:pPr>
      <w:ind w:left="2100"/>
    </w:pPr>
  </w:style>
  <w:style w:type="paragraph" w:styleId="14">
    <w:name w:val="Body Text"/>
    <w:basedOn w:val="1"/>
    <w:next w:val="1"/>
    <w:link w:val="51"/>
    <w:autoRedefine/>
    <w:qFormat/>
    <w:uiPriority w:val="0"/>
    <w:pPr>
      <w:spacing w:after="120"/>
    </w:pPr>
  </w:style>
  <w:style w:type="paragraph" w:styleId="15">
    <w:name w:val="Body Text Indent"/>
    <w:basedOn w:val="1"/>
    <w:next w:val="16"/>
    <w:autoRedefine/>
    <w:qFormat/>
    <w:uiPriority w:val="0"/>
    <w:pPr>
      <w:ind w:firstLine="570"/>
    </w:pPr>
    <w:rPr>
      <w:rFonts w:ascii="宋体" w:hAnsi="宋体"/>
      <w:sz w:val="28"/>
    </w:rPr>
  </w:style>
  <w:style w:type="paragraph" w:styleId="16">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17">
    <w:name w:val="toc 5"/>
    <w:basedOn w:val="1"/>
    <w:next w:val="1"/>
    <w:autoRedefine/>
    <w:unhideWhenUsed/>
    <w:qFormat/>
    <w:uiPriority w:val="39"/>
    <w:pPr>
      <w:widowControl/>
      <w:topLinePunct/>
      <w:adjustRightInd w:val="0"/>
      <w:snapToGrid w:val="0"/>
      <w:spacing w:before="160" w:after="160" w:line="240" w:lineRule="atLeast"/>
      <w:ind w:left="1680" w:leftChars="800"/>
      <w:jc w:val="left"/>
    </w:pPr>
    <w:rPr>
      <w:rFonts w:hint="eastAsia" w:cs="Arial"/>
      <w:szCs w:val="21"/>
    </w:rPr>
  </w:style>
  <w:style w:type="paragraph" w:styleId="18">
    <w:name w:val="toc 3"/>
    <w:basedOn w:val="1"/>
    <w:next w:val="1"/>
    <w:autoRedefine/>
    <w:qFormat/>
    <w:uiPriority w:val="39"/>
    <w:pPr>
      <w:widowControl/>
      <w:topLinePunct/>
      <w:adjustRightInd w:val="0"/>
      <w:snapToGrid w:val="0"/>
      <w:spacing w:before="80" w:after="80" w:line="240" w:lineRule="atLeast"/>
      <w:jc w:val="left"/>
    </w:pPr>
    <w:rPr>
      <w:rFonts w:hint="eastAsia" w:cs="Arial"/>
      <w:sz w:val="20"/>
      <w:szCs w:val="20"/>
    </w:rPr>
  </w:style>
  <w:style w:type="paragraph" w:styleId="19">
    <w:name w:val="Plain Text"/>
    <w:basedOn w:val="1"/>
    <w:next w:val="20"/>
    <w:link w:val="59"/>
    <w:autoRedefine/>
    <w:qFormat/>
    <w:uiPriority w:val="0"/>
    <w:rPr>
      <w:rFonts w:ascii="宋体" w:hAnsi="Courier New"/>
      <w:szCs w:val="20"/>
    </w:rPr>
  </w:style>
  <w:style w:type="paragraph" w:styleId="20">
    <w:name w:val="List Number 5"/>
    <w:basedOn w:val="1"/>
    <w:qFormat/>
    <w:uiPriority w:val="0"/>
    <w:pPr>
      <w:numPr>
        <w:ilvl w:val="0"/>
        <w:numId w:val="2"/>
      </w:numPr>
    </w:pPr>
  </w:style>
  <w:style w:type="paragraph" w:styleId="21">
    <w:name w:val="toc 8"/>
    <w:basedOn w:val="1"/>
    <w:next w:val="1"/>
    <w:autoRedefine/>
    <w:unhideWhenUsed/>
    <w:qFormat/>
    <w:uiPriority w:val="39"/>
    <w:pPr>
      <w:ind w:left="2940" w:leftChars="1400"/>
    </w:pPr>
    <w:rPr>
      <w:rFonts w:ascii="Calibri" w:hAnsi="Calibri"/>
      <w:szCs w:val="22"/>
    </w:rPr>
  </w:style>
  <w:style w:type="paragraph" w:styleId="22">
    <w:name w:val="Date"/>
    <w:basedOn w:val="1"/>
    <w:next w:val="1"/>
    <w:autoRedefine/>
    <w:qFormat/>
    <w:uiPriority w:val="0"/>
    <w:rPr>
      <w:szCs w:val="20"/>
    </w:rPr>
  </w:style>
  <w:style w:type="paragraph" w:styleId="23">
    <w:name w:val="Body Text Indent 2"/>
    <w:basedOn w:val="1"/>
    <w:autoRedefine/>
    <w:qFormat/>
    <w:uiPriority w:val="0"/>
    <w:pPr>
      <w:spacing w:after="120" w:line="480" w:lineRule="auto"/>
      <w:ind w:left="420" w:leftChars="200"/>
    </w:pPr>
  </w:style>
  <w:style w:type="paragraph" w:styleId="24">
    <w:name w:val="Balloon Text"/>
    <w:basedOn w:val="1"/>
    <w:link w:val="60"/>
    <w:autoRedefine/>
    <w:semiHidden/>
    <w:qFormat/>
    <w:uiPriority w:val="99"/>
    <w:rPr>
      <w:sz w:val="18"/>
      <w:szCs w:val="18"/>
    </w:rPr>
  </w:style>
  <w:style w:type="paragraph" w:styleId="25">
    <w:name w:val="footer"/>
    <w:basedOn w:val="1"/>
    <w:link w:val="61"/>
    <w:autoRedefine/>
    <w:qFormat/>
    <w:uiPriority w:val="0"/>
    <w:pPr>
      <w:tabs>
        <w:tab w:val="center" w:pos="4153"/>
        <w:tab w:val="right" w:pos="8306"/>
      </w:tabs>
      <w:snapToGrid w:val="0"/>
      <w:jc w:val="left"/>
    </w:pPr>
    <w:rPr>
      <w:sz w:val="18"/>
      <w:szCs w:val="18"/>
    </w:rPr>
  </w:style>
  <w:style w:type="paragraph" w:styleId="26">
    <w:name w:val="header"/>
    <w:basedOn w:val="1"/>
    <w:link w:val="62"/>
    <w:autoRedefine/>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autoRedefine/>
    <w:qFormat/>
    <w:uiPriority w:val="39"/>
    <w:pPr>
      <w:tabs>
        <w:tab w:val="right" w:leader="dot" w:pos="9628"/>
      </w:tabs>
      <w:spacing w:line="360" w:lineRule="auto"/>
      <w:jc w:val="center"/>
    </w:pPr>
    <w:rPr>
      <w:rFonts w:ascii="仿宋" w:hAnsi="仿宋" w:eastAsia="仿宋"/>
      <w:b/>
      <w:bCs/>
      <w:sz w:val="32"/>
      <w:szCs w:val="32"/>
    </w:rPr>
  </w:style>
  <w:style w:type="paragraph" w:styleId="28">
    <w:name w:val="toc 4"/>
    <w:basedOn w:val="1"/>
    <w:next w:val="1"/>
    <w:autoRedefine/>
    <w:unhideWhenUsed/>
    <w:qFormat/>
    <w:uiPriority w:val="39"/>
    <w:pPr>
      <w:widowControl/>
      <w:topLinePunct/>
      <w:adjustRightInd w:val="0"/>
      <w:snapToGrid w:val="0"/>
      <w:spacing w:before="160" w:after="160" w:line="240" w:lineRule="atLeast"/>
      <w:ind w:left="1260" w:leftChars="600"/>
      <w:jc w:val="left"/>
    </w:pPr>
    <w:rPr>
      <w:rFonts w:hint="eastAsia" w:cs="Arial"/>
      <w:szCs w:val="21"/>
    </w:rPr>
  </w:style>
  <w:style w:type="paragraph" w:styleId="29">
    <w:name w:val="index heading"/>
    <w:basedOn w:val="1"/>
    <w:next w:val="30"/>
    <w:autoRedefine/>
    <w:qFormat/>
    <w:uiPriority w:val="0"/>
    <w:pPr>
      <w:adjustRightInd w:val="0"/>
      <w:spacing w:line="312" w:lineRule="atLeast"/>
      <w:textAlignment w:val="baseline"/>
    </w:pPr>
    <w:rPr>
      <w:rFonts w:ascii="Arial" w:hAnsi="Arial" w:eastAsia="仿宋" w:cs="Arial"/>
      <w:b/>
      <w:bCs/>
      <w:kern w:val="0"/>
      <w:sz w:val="32"/>
      <w:szCs w:val="20"/>
    </w:rPr>
  </w:style>
  <w:style w:type="paragraph" w:styleId="30">
    <w:name w:val="index 1"/>
    <w:basedOn w:val="1"/>
    <w:next w:val="1"/>
    <w:autoRedefine/>
    <w:qFormat/>
    <w:uiPriority w:val="0"/>
    <w:rPr>
      <w:rFonts w:ascii="Calibri" w:hAnsi="Calibri" w:eastAsia="仿宋_GB2312" w:cs="Times New Roman"/>
      <w:b/>
      <w:sz w:val="24"/>
      <w:szCs w:val="20"/>
    </w:rPr>
  </w:style>
  <w:style w:type="paragraph" w:styleId="31">
    <w:name w:val="footnote text"/>
    <w:basedOn w:val="1"/>
    <w:autoRedefine/>
    <w:qFormat/>
    <w:uiPriority w:val="0"/>
    <w:pPr>
      <w:snapToGrid w:val="0"/>
      <w:jc w:val="left"/>
    </w:pPr>
    <w:rPr>
      <w:sz w:val="18"/>
    </w:rPr>
  </w:style>
  <w:style w:type="paragraph" w:styleId="32">
    <w:name w:val="toc 6"/>
    <w:basedOn w:val="1"/>
    <w:next w:val="1"/>
    <w:autoRedefine/>
    <w:unhideWhenUsed/>
    <w:qFormat/>
    <w:uiPriority w:val="39"/>
    <w:pPr>
      <w:ind w:left="2100" w:leftChars="1000"/>
    </w:pPr>
    <w:rPr>
      <w:rFonts w:ascii="Calibri" w:hAnsi="Calibri"/>
      <w:szCs w:val="22"/>
    </w:rPr>
  </w:style>
  <w:style w:type="paragraph" w:styleId="33">
    <w:name w:val="Body Text Indent 3"/>
    <w:basedOn w:val="1"/>
    <w:autoRedefine/>
    <w:qFormat/>
    <w:uiPriority w:val="0"/>
    <w:pPr>
      <w:spacing w:after="120"/>
      <w:ind w:left="420" w:leftChars="200"/>
    </w:pPr>
    <w:rPr>
      <w:sz w:val="16"/>
      <w:szCs w:val="16"/>
    </w:rPr>
  </w:style>
  <w:style w:type="paragraph" w:styleId="34">
    <w:name w:val="toc 2"/>
    <w:basedOn w:val="1"/>
    <w:next w:val="1"/>
    <w:autoRedefine/>
    <w:qFormat/>
    <w:uiPriority w:val="39"/>
    <w:pPr>
      <w:ind w:left="420" w:leftChars="200"/>
    </w:pPr>
  </w:style>
  <w:style w:type="paragraph" w:styleId="35">
    <w:name w:val="toc 9"/>
    <w:basedOn w:val="1"/>
    <w:next w:val="1"/>
    <w:autoRedefine/>
    <w:unhideWhenUsed/>
    <w:qFormat/>
    <w:uiPriority w:val="39"/>
    <w:pPr>
      <w:ind w:left="3360" w:leftChars="1600"/>
    </w:pPr>
    <w:rPr>
      <w:rFonts w:ascii="Calibri" w:hAnsi="Calibri"/>
      <w:szCs w:val="22"/>
    </w:rPr>
  </w:style>
  <w:style w:type="paragraph" w:styleId="36">
    <w:name w:val="List 4"/>
    <w:basedOn w:val="1"/>
    <w:autoRedefine/>
    <w:qFormat/>
    <w:uiPriority w:val="0"/>
    <w:pPr>
      <w:ind w:left="100" w:leftChars="600" w:hanging="200" w:hangingChars="200"/>
    </w:pPr>
  </w:style>
  <w:style w:type="paragraph" w:styleId="37">
    <w:name w:val="Title"/>
    <w:basedOn w:val="1"/>
    <w:next w:val="1"/>
    <w:link w:val="63"/>
    <w:autoRedefine/>
    <w:qFormat/>
    <w:uiPriority w:val="0"/>
    <w:pPr>
      <w:spacing w:before="240" w:after="60"/>
      <w:jc w:val="center"/>
      <w:outlineLvl w:val="0"/>
    </w:pPr>
    <w:rPr>
      <w:rFonts w:ascii="Cambria" w:hAnsi="Cambria"/>
      <w:b/>
      <w:bCs/>
      <w:sz w:val="32"/>
      <w:szCs w:val="32"/>
    </w:rPr>
  </w:style>
  <w:style w:type="paragraph" w:styleId="38">
    <w:name w:val="annotation subject"/>
    <w:basedOn w:val="12"/>
    <w:next w:val="12"/>
    <w:link w:val="64"/>
    <w:autoRedefine/>
    <w:qFormat/>
    <w:uiPriority w:val="0"/>
    <w:rPr>
      <w:b/>
      <w:bCs/>
      <w:kern w:val="0"/>
      <w:sz w:val="20"/>
      <w:szCs w:val="20"/>
    </w:rPr>
  </w:style>
  <w:style w:type="paragraph" w:styleId="39">
    <w:name w:val="Body Text First Indent"/>
    <w:basedOn w:val="14"/>
    <w:autoRedefine/>
    <w:qFormat/>
    <w:uiPriority w:val="99"/>
    <w:pPr>
      <w:ind w:firstLine="200" w:firstLineChars="200"/>
    </w:pPr>
  </w:style>
  <w:style w:type="paragraph" w:styleId="40">
    <w:name w:val="Body Text First Indent 2"/>
    <w:basedOn w:val="15"/>
    <w:next w:val="39"/>
    <w:autoRedefine/>
    <w:qFormat/>
    <w:uiPriority w:val="0"/>
    <w:pPr>
      <w:spacing w:after="120"/>
      <w:ind w:left="420" w:leftChars="200" w:firstLine="420" w:firstLineChars="200"/>
    </w:pPr>
    <w:rPr>
      <w:rFonts w:ascii="Times New Roman" w:hAnsi="Times New Roman"/>
      <w:sz w:val="21"/>
    </w:rPr>
  </w:style>
  <w:style w:type="table" w:styleId="42">
    <w:name w:val="Table Grid"/>
    <w:basedOn w:val="41"/>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3">
    <w:name w:val="Table Professional"/>
    <w:basedOn w:val="41"/>
    <w:autoRedefine/>
    <w:unhideWhenUsed/>
    <w:qFormat/>
    <w:uiPriority w:val="99"/>
    <w:pPr>
      <w:topLinePunct/>
      <w:adjustRightInd w:val="0"/>
      <w:snapToGrid w:val="0"/>
      <w:spacing w:before="160" w:after="160" w:line="240" w:lineRule="atLeast"/>
      <w:ind w:left="1701"/>
    </w:pPr>
    <w:rPr>
      <w:rFonts w:ascii="Calibri" w:hAnsi="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45">
    <w:name w:val="Strong"/>
    <w:autoRedefine/>
    <w:qFormat/>
    <w:uiPriority w:val="0"/>
    <w:rPr>
      <w:b/>
      <w:bCs/>
    </w:rPr>
  </w:style>
  <w:style w:type="character" w:styleId="46">
    <w:name w:val="page number"/>
    <w:autoRedefine/>
    <w:qFormat/>
    <w:uiPriority w:val="0"/>
  </w:style>
  <w:style w:type="character" w:styleId="47">
    <w:name w:val="FollowedHyperlink"/>
    <w:autoRedefine/>
    <w:qFormat/>
    <w:uiPriority w:val="99"/>
    <w:rPr>
      <w:color w:val="0033CC"/>
      <w:u w:val="single"/>
    </w:rPr>
  </w:style>
  <w:style w:type="character" w:styleId="48">
    <w:name w:val="Emphasis"/>
    <w:autoRedefine/>
    <w:qFormat/>
    <w:uiPriority w:val="0"/>
    <w:rPr>
      <w:i/>
    </w:rPr>
  </w:style>
  <w:style w:type="character" w:styleId="49">
    <w:name w:val="Hyperlink"/>
    <w:autoRedefine/>
    <w:qFormat/>
    <w:uiPriority w:val="99"/>
    <w:rPr>
      <w:color w:val="262626"/>
      <w:u w:val="none"/>
    </w:rPr>
  </w:style>
  <w:style w:type="character" w:styleId="50">
    <w:name w:val="annotation reference"/>
    <w:autoRedefine/>
    <w:qFormat/>
    <w:uiPriority w:val="0"/>
    <w:rPr>
      <w:sz w:val="21"/>
      <w:szCs w:val="21"/>
    </w:rPr>
  </w:style>
  <w:style w:type="character" w:customStyle="1" w:styleId="51">
    <w:name w:val="正文文本 Char"/>
    <w:link w:val="14"/>
    <w:autoRedefine/>
    <w:semiHidden/>
    <w:qFormat/>
    <w:uiPriority w:val="0"/>
    <w:rPr>
      <w:rFonts w:eastAsia="宋体"/>
      <w:kern w:val="2"/>
      <w:sz w:val="21"/>
      <w:szCs w:val="24"/>
      <w:lang w:val="en-US" w:eastAsia="zh-CN" w:bidi="ar-SA"/>
    </w:rPr>
  </w:style>
  <w:style w:type="character" w:customStyle="1" w:styleId="52">
    <w:name w:val="标题 1 Char"/>
    <w:link w:val="2"/>
    <w:autoRedefine/>
    <w:qFormat/>
    <w:locked/>
    <w:uiPriority w:val="0"/>
    <w:rPr>
      <w:rFonts w:ascii="宋体" w:hAnsi="宋体" w:eastAsia="宋体"/>
      <w:b/>
      <w:bCs/>
      <w:color w:val="000000"/>
      <w:kern w:val="44"/>
      <w:sz w:val="30"/>
      <w:szCs w:val="30"/>
    </w:rPr>
  </w:style>
  <w:style w:type="character" w:customStyle="1" w:styleId="53">
    <w:name w:val="标题 2 Char"/>
    <w:link w:val="3"/>
    <w:autoRedefine/>
    <w:qFormat/>
    <w:uiPriority w:val="0"/>
    <w:rPr>
      <w:rFonts w:ascii="Arial Black" w:hAnsi="Arial Black" w:eastAsia="黑体"/>
      <w:b/>
      <w:bCs/>
      <w:kern w:val="2"/>
      <w:sz w:val="32"/>
      <w:szCs w:val="32"/>
    </w:rPr>
  </w:style>
  <w:style w:type="character" w:customStyle="1" w:styleId="54">
    <w:name w:val="标题 3 Char"/>
    <w:link w:val="4"/>
    <w:autoRedefine/>
    <w:qFormat/>
    <w:uiPriority w:val="0"/>
    <w:rPr>
      <w:rFonts w:ascii="宋体" w:hAnsi="宋体"/>
      <w:kern w:val="2"/>
      <w:sz w:val="28"/>
      <w:szCs w:val="32"/>
    </w:rPr>
  </w:style>
  <w:style w:type="character" w:customStyle="1" w:styleId="55">
    <w:name w:val="标题 4 Char"/>
    <w:link w:val="5"/>
    <w:autoRedefine/>
    <w:qFormat/>
    <w:uiPriority w:val="0"/>
    <w:rPr>
      <w:rFonts w:ascii="Cambria" w:hAnsi="Cambria" w:eastAsia="宋体" w:cs="Times New Roman"/>
      <w:b/>
      <w:bCs/>
      <w:kern w:val="2"/>
      <w:sz w:val="28"/>
      <w:szCs w:val="28"/>
    </w:rPr>
  </w:style>
  <w:style w:type="character" w:customStyle="1" w:styleId="56">
    <w:name w:val="标题 5 Char"/>
    <w:link w:val="6"/>
    <w:autoRedefine/>
    <w:qFormat/>
    <w:uiPriority w:val="9"/>
    <w:rPr>
      <w:rFonts w:ascii="Book Antiqua" w:hAnsi="Book Antiqua" w:eastAsia="黑体" w:cs="宋体"/>
      <w:sz w:val="24"/>
      <w:szCs w:val="24"/>
    </w:rPr>
  </w:style>
  <w:style w:type="character" w:customStyle="1" w:styleId="57">
    <w:name w:val="正文缩进 Char"/>
    <w:link w:val="8"/>
    <w:autoRedefine/>
    <w:qFormat/>
    <w:uiPriority w:val="0"/>
    <w:rPr>
      <w:kern w:val="2"/>
      <w:sz w:val="21"/>
      <w:szCs w:val="24"/>
    </w:rPr>
  </w:style>
  <w:style w:type="character" w:customStyle="1" w:styleId="58">
    <w:name w:val="批注文字 Char"/>
    <w:link w:val="12"/>
    <w:autoRedefine/>
    <w:qFormat/>
    <w:uiPriority w:val="0"/>
    <w:rPr>
      <w:kern w:val="2"/>
      <w:sz w:val="21"/>
      <w:szCs w:val="24"/>
    </w:rPr>
  </w:style>
  <w:style w:type="character" w:customStyle="1" w:styleId="59">
    <w:name w:val="纯文本 Char"/>
    <w:link w:val="19"/>
    <w:autoRedefine/>
    <w:qFormat/>
    <w:uiPriority w:val="0"/>
    <w:rPr>
      <w:rFonts w:ascii="宋体" w:hAnsi="Courier New"/>
      <w:kern w:val="2"/>
      <w:sz w:val="21"/>
    </w:rPr>
  </w:style>
  <w:style w:type="character" w:customStyle="1" w:styleId="60">
    <w:name w:val="批注框文本 Char"/>
    <w:link w:val="24"/>
    <w:autoRedefine/>
    <w:semiHidden/>
    <w:qFormat/>
    <w:uiPriority w:val="99"/>
    <w:rPr>
      <w:kern w:val="2"/>
      <w:sz w:val="18"/>
      <w:szCs w:val="18"/>
    </w:rPr>
  </w:style>
  <w:style w:type="character" w:customStyle="1" w:styleId="61">
    <w:name w:val="页脚 Char"/>
    <w:link w:val="25"/>
    <w:autoRedefine/>
    <w:qFormat/>
    <w:uiPriority w:val="0"/>
    <w:rPr>
      <w:kern w:val="2"/>
      <w:sz w:val="18"/>
      <w:szCs w:val="18"/>
    </w:rPr>
  </w:style>
  <w:style w:type="character" w:customStyle="1" w:styleId="62">
    <w:name w:val="页眉 Char"/>
    <w:link w:val="26"/>
    <w:autoRedefine/>
    <w:qFormat/>
    <w:uiPriority w:val="99"/>
    <w:rPr>
      <w:kern w:val="2"/>
      <w:sz w:val="18"/>
      <w:szCs w:val="18"/>
    </w:rPr>
  </w:style>
  <w:style w:type="character" w:customStyle="1" w:styleId="63">
    <w:name w:val="标题 Char"/>
    <w:link w:val="37"/>
    <w:autoRedefine/>
    <w:qFormat/>
    <w:uiPriority w:val="0"/>
    <w:rPr>
      <w:rFonts w:ascii="Cambria" w:hAnsi="Cambria" w:cs="Times New Roman"/>
      <w:b/>
      <w:bCs/>
      <w:kern w:val="2"/>
      <w:sz w:val="32"/>
      <w:szCs w:val="32"/>
    </w:rPr>
  </w:style>
  <w:style w:type="character" w:customStyle="1" w:styleId="64">
    <w:name w:val="批注主题 Char"/>
    <w:link w:val="38"/>
    <w:autoRedefine/>
    <w:qFormat/>
    <w:uiPriority w:val="0"/>
    <w:rPr>
      <w:b/>
      <w:bCs/>
    </w:rPr>
  </w:style>
  <w:style w:type="character" w:customStyle="1" w:styleId="65">
    <w:name w:val="font81"/>
    <w:autoRedefine/>
    <w:qFormat/>
    <w:uiPriority w:val="0"/>
    <w:rPr>
      <w:rFonts w:ascii="Arial" w:hAnsi="Arial" w:cs="Arial"/>
      <w:color w:val="FF0000"/>
      <w:sz w:val="21"/>
      <w:szCs w:val="21"/>
      <w:u w:val="none"/>
    </w:rPr>
  </w:style>
  <w:style w:type="character" w:customStyle="1" w:styleId="66">
    <w:name w:val="font11"/>
    <w:autoRedefine/>
    <w:qFormat/>
    <w:uiPriority w:val="0"/>
    <w:rPr>
      <w:rFonts w:hint="eastAsia" w:ascii="宋体" w:hAnsi="宋体" w:eastAsia="宋体" w:cs="宋体"/>
      <w:color w:val="000000"/>
      <w:sz w:val="21"/>
      <w:szCs w:val="21"/>
      <w:u w:val="none"/>
    </w:rPr>
  </w:style>
  <w:style w:type="character" w:customStyle="1" w:styleId="67">
    <w:name w:val="fontstyle11"/>
    <w:autoRedefine/>
    <w:qFormat/>
    <w:uiPriority w:val="0"/>
    <w:rPr>
      <w:rFonts w:hint="eastAsia" w:ascii="宋体" w:hAnsi="宋体" w:eastAsia="宋体"/>
      <w:b/>
      <w:bCs/>
      <w:color w:val="000000"/>
      <w:sz w:val="20"/>
      <w:szCs w:val="20"/>
    </w:rPr>
  </w:style>
  <w:style w:type="character" w:customStyle="1" w:styleId="68">
    <w:name w:val="fontstyle31"/>
    <w:autoRedefine/>
    <w:qFormat/>
    <w:uiPriority w:val="0"/>
    <w:rPr>
      <w:rFonts w:hint="eastAsia" w:ascii="宋体" w:hAnsi="宋体" w:eastAsia="宋体"/>
      <w:color w:val="000000"/>
      <w:sz w:val="20"/>
      <w:szCs w:val="20"/>
    </w:rPr>
  </w:style>
  <w:style w:type="character" w:customStyle="1" w:styleId="69">
    <w:name w:val="样式3 Char"/>
    <w:link w:val="70"/>
    <w:autoRedefine/>
    <w:qFormat/>
    <w:uiPriority w:val="0"/>
    <w:rPr>
      <w:rFonts w:ascii="宋体" w:hAnsi="Courier New"/>
      <w:sz w:val="28"/>
      <w:szCs w:val="24"/>
    </w:rPr>
  </w:style>
  <w:style w:type="paragraph" w:customStyle="1" w:styleId="70">
    <w:name w:val="样式3"/>
    <w:basedOn w:val="19"/>
    <w:link w:val="69"/>
    <w:autoRedefine/>
    <w:qFormat/>
    <w:uiPriority w:val="0"/>
    <w:pPr>
      <w:spacing w:line="0" w:lineRule="atLeast"/>
      <w:outlineLvl w:val="0"/>
    </w:pPr>
    <w:rPr>
      <w:kern w:val="0"/>
      <w:sz w:val="28"/>
      <w:szCs w:val="24"/>
    </w:rPr>
  </w:style>
  <w:style w:type="character" w:customStyle="1" w:styleId="71">
    <w:name w:val="li正文 Char"/>
    <w:link w:val="72"/>
    <w:autoRedefine/>
    <w:qFormat/>
    <w:uiPriority w:val="0"/>
    <w:rPr>
      <w:sz w:val="24"/>
      <w:szCs w:val="21"/>
    </w:rPr>
  </w:style>
  <w:style w:type="paragraph" w:customStyle="1" w:styleId="72">
    <w:name w:val="li正文"/>
    <w:basedOn w:val="1"/>
    <w:link w:val="71"/>
    <w:autoRedefine/>
    <w:qFormat/>
    <w:uiPriority w:val="0"/>
    <w:pPr>
      <w:spacing w:line="360" w:lineRule="auto"/>
      <w:ind w:firstLine="200" w:firstLineChars="200"/>
    </w:pPr>
    <w:rPr>
      <w:kern w:val="0"/>
      <w:sz w:val="24"/>
      <w:szCs w:val="21"/>
    </w:rPr>
  </w:style>
  <w:style w:type="character" w:customStyle="1" w:styleId="73">
    <w:name w:val="hs14"/>
    <w:autoRedefine/>
    <w:qFormat/>
    <w:uiPriority w:val="0"/>
  </w:style>
  <w:style w:type="character" w:customStyle="1" w:styleId="74">
    <w:name w:val="Sub Item List Char"/>
    <w:link w:val="75"/>
    <w:autoRedefine/>
    <w:qFormat/>
    <w:uiPriority w:val="0"/>
    <w:rPr>
      <w:szCs w:val="21"/>
    </w:rPr>
  </w:style>
  <w:style w:type="paragraph" w:customStyle="1" w:styleId="75">
    <w:name w:val="Sub Item List"/>
    <w:basedOn w:val="1"/>
    <w:link w:val="74"/>
    <w:autoRedefine/>
    <w:qFormat/>
    <w:uiPriority w:val="0"/>
    <w:pPr>
      <w:widowControl/>
      <w:numPr>
        <w:ilvl w:val="0"/>
        <w:numId w:val="3"/>
      </w:numPr>
      <w:topLinePunct/>
      <w:adjustRightInd w:val="0"/>
      <w:snapToGrid w:val="0"/>
      <w:spacing w:before="80" w:after="80" w:line="240" w:lineRule="atLeast"/>
      <w:jc w:val="left"/>
    </w:pPr>
    <w:rPr>
      <w:kern w:val="0"/>
      <w:sz w:val="20"/>
      <w:szCs w:val="21"/>
    </w:rPr>
  </w:style>
  <w:style w:type="character" w:customStyle="1" w:styleId="76">
    <w:name w:val="fontstyle01"/>
    <w:autoRedefine/>
    <w:qFormat/>
    <w:uiPriority w:val="0"/>
    <w:rPr>
      <w:rFonts w:hint="eastAsia" w:ascii="黑体" w:hAnsi="黑体" w:eastAsia="黑体"/>
      <w:color w:val="000000"/>
      <w:sz w:val="32"/>
      <w:szCs w:val="32"/>
    </w:rPr>
  </w:style>
  <w:style w:type="character" w:customStyle="1" w:styleId="77">
    <w:name w:val="Default Char Char"/>
    <w:link w:val="78"/>
    <w:autoRedefine/>
    <w:qFormat/>
    <w:locked/>
    <w:uiPriority w:val="0"/>
    <w:rPr>
      <w:rFonts w:ascii="宋体"/>
      <w:color w:val="000000"/>
      <w:kern w:val="2"/>
      <w:sz w:val="24"/>
      <w:lang w:val="en-US" w:eastAsia="zh-CN" w:bidi="ar-SA"/>
    </w:rPr>
  </w:style>
  <w:style w:type="paragraph" w:customStyle="1" w:styleId="78">
    <w:name w:val="Default"/>
    <w:link w:val="77"/>
    <w:autoRedefine/>
    <w:qFormat/>
    <w:uiPriority w:val="0"/>
    <w:pPr>
      <w:widowControl w:val="0"/>
      <w:autoSpaceDE w:val="0"/>
      <w:autoSpaceDN w:val="0"/>
      <w:adjustRightInd w:val="0"/>
    </w:pPr>
    <w:rPr>
      <w:rFonts w:ascii="宋体" w:hAnsi="Times New Roman" w:eastAsia="宋体" w:cs="Times New Roman"/>
      <w:color w:val="000000"/>
      <w:kern w:val="2"/>
      <w:sz w:val="24"/>
      <w:lang w:val="en-US" w:eastAsia="zh-CN" w:bidi="ar-SA"/>
    </w:rPr>
  </w:style>
  <w:style w:type="character" w:customStyle="1" w:styleId="79">
    <w:name w:val="列出段落 Char"/>
    <w:link w:val="80"/>
    <w:autoRedefine/>
    <w:qFormat/>
    <w:uiPriority w:val="34"/>
    <w:rPr>
      <w:rFonts w:ascii="Calibri" w:hAnsi="Calibri"/>
      <w:kern w:val="2"/>
      <w:sz w:val="24"/>
      <w:szCs w:val="22"/>
    </w:rPr>
  </w:style>
  <w:style w:type="paragraph" w:customStyle="1" w:styleId="80">
    <w:name w:val="列出段落"/>
    <w:basedOn w:val="1"/>
    <w:link w:val="79"/>
    <w:autoRedefine/>
    <w:qFormat/>
    <w:uiPriority w:val="34"/>
    <w:pPr>
      <w:spacing w:line="360" w:lineRule="auto"/>
      <w:ind w:firstLine="420" w:firstLineChars="200"/>
    </w:pPr>
    <w:rPr>
      <w:rFonts w:ascii="Calibri" w:hAnsi="Calibri"/>
      <w:sz w:val="24"/>
      <w:szCs w:val="22"/>
    </w:rPr>
  </w:style>
  <w:style w:type="character" w:customStyle="1" w:styleId="81">
    <w:name w:val="font131"/>
    <w:autoRedefine/>
    <w:qFormat/>
    <w:uiPriority w:val="0"/>
    <w:rPr>
      <w:rFonts w:hint="eastAsia" w:ascii="宋体" w:hAnsi="宋体" w:eastAsia="宋体" w:cs="宋体"/>
      <w:color w:val="FF0000"/>
      <w:sz w:val="21"/>
      <w:szCs w:val="21"/>
      <w:u w:val="none"/>
    </w:rPr>
  </w:style>
  <w:style w:type="character" w:customStyle="1" w:styleId="82">
    <w:name w:val="Item List Char"/>
    <w:link w:val="83"/>
    <w:autoRedefine/>
    <w:qFormat/>
    <w:uiPriority w:val="0"/>
    <w:rPr>
      <w:szCs w:val="21"/>
      <w:lang w:val="en-US" w:eastAsia="zh-CN" w:bidi="ar-SA"/>
    </w:rPr>
  </w:style>
  <w:style w:type="paragraph" w:customStyle="1" w:styleId="83">
    <w:name w:val="Item List"/>
    <w:link w:val="82"/>
    <w:autoRedefine/>
    <w:qFormat/>
    <w:uiPriority w:val="0"/>
    <w:pPr>
      <w:numPr>
        <w:ilvl w:val="0"/>
        <w:numId w:val="4"/>
      </w:numPr>
      <w:tabs>
        <w:tab w:val="left" w:pos="992"/>
        <w:tab w:val="clear" w:pos="850"/>
      </w:tabs>
      <w:adjustRightInd w:val="0"/>
      <w:snapToGrid w:val="0"/>
      <w:spacing w:before="80" w:after="80" w:line="240" w:lineRule="atLeast"/>
      <w:ind w:left="992"/>
    </w:pPr>
    <w:rPr>
      <w:rFonts w:ascii="Times New Roman" w:hAnsi="Times New Roman" w:eastAsia="宋体" w:cs="Times New Roman"/>
      <w:szCs w:val="21"/>
      <w:lang w:val="en-US" w:eastAsia="zh-CN" w:bidi="ar-SA"/>
    </w:rPr>
  </w:style>
  <w:style w:type="character" w:customStyle="1" w:styleId="84">
    <w:name w:val="Table Text Char"/>
    <w:link w:val="85"/>
    <w:autoRedefine/>
    <w:qFormat/>
    <w:uiPriority w:val="0"/>
    <w:rPr>
      <w:snapToGrid w:val="0"/>
      <w:szCs w:val="21"/>
    </w:rPr>
  </w:style>
  <w:style w:type="paragraph" w:customStyle="1" w:styleId="85">
    <w:name w:val="Table Text"/>
    <w:basedOn w:val="1"/>
    <w:link w:val="84"/>
    <w:autoRedefine/>
    <w:qFormat/>
    <w:uiPriority w:val="0"/>
    <w:pPr>
      <w:topLinePunct/>
      <w:adjustRightInd w:val="0"/>
      <w:snapToGrid w:val="0"/>
      <w:spacing w:before="80" w:after="80" w:line="240" w:lineRule="atLeast"/>
      <w:jc w:val="left"/>
    </w:pPr>
    <w:rPr>
      <w:snapToGrid w:val="0"/>
      <w:kern w:val="0"/>
      <w:sz w:val="20"/>
      <w:szCs w:val="21"/>
    </w:rPr>
  </w:style>
  <w:style w:type="character" w:customStyle="1" w:styleId="86">
    <w:name w:val="p2"/>
    <w:autoRedefine/>
    <w:qFormat/>
    <w:uiPriority w:val="0"/>
  </w:style>
  <w:style w:type="character" w:customStyle="1" w:styleId="87">
    <w:name w:val="标题 2 Char Char Char Char Char Char Char Char Char Char Char Char Char Char Char Char Char Char Char Char Char"/>
    <w:autoRedefine/>
    <w:qFormat/>
    <w:uiPriority w:val="0"/>
  </w:style>
  <w:style w:type="character" w:customStyle="1" w:styleId="88">
    <w:name w:val="my正文 Char"/>
    <w:link w:val="89"/>
    <w:autoRedefine/>
    <w:qFormat/>
    <w:uiPriority w:val="0"/>
    <w:rPr>
      <w:sz w:val="24"/>
      <w:szCs w:val="24"/>
    </w:rPr>
  </w:style>
  <w:style w:type="paragraph" w:customStyle="1" w:styleId="89">
    <w:name w:val="my正文"/>
    <w:basedOn w:val="1"/>
    <w:link w:val="88"/>
    <w:autoRedefine/>
    <w:qFormat/>
    <w:uiPriority w:val="0"/>
    <w:pPr>
      <w:spacing w:line="360" w:lineRule="auto"/>
      <w:ind w:firstLine="480" w:firstLineChars="200"/>
    </w:pPr>
    <w:rPr>
      <w:kern w:val="0"/>
      <w:sz w:val="24"/>
    </w:rPr>
  </w:style>
  <w:style w:type="character" w:customStyle="1" w:styleId="90">
    <w:name w:val="font21"/>
    <w:autoRedefine/>
    <w:qFormat/>
    <w:uiPriority w:val="0"/>
    <w:rPr>
      <w:rFonts w:hint="eastAsia" w:ascii="宋体" w:hAnsi="宋体" w:eastAsia="宋体" w:cs="宋体"/>
      <w:color w:val="000000"/>
      <w:sz w:val="21"/>
      <w:szCs w:val="21"/>
      <w:u w:val="none"/>
    </w:rPr>
  </w:style>
  <w:style w:type="character" w:customStyle="1" w:styleId="91">
    <w:name w:val="font31"/>
    <w:autoRedefine/>
    <w:qFormat/>
    <w:uiPriority w:val="0"/>
    <w:rPr>
      <w:rFonts w:hint="default" w:ascii="Times New Roman" w:hAnsi="Times New Roman" w:cs="Times New Roman"/>
      <w:b/>
      <w:color w:val="000000"/>
      <w:sz w:val="21"/>
      <w:szCs w:val="21"/>
      <w:u w:val="none"/>
    </w:rPr>
  </w:style>
  <w:style w:type="character" w:customStyle="1" w:styleId="92">
    <w:name w:val="font151"/>
    <w:autoRedefine/>
    <w:qFormat/>
    <w:uiPriority w:val="0"/>
    <w:rPr>
      <w:rFonts w:hint="default" w:ascii="Times New Roman" w:hAnsi="Times New Roman" w:cs="Times New Roman"/>
      <w:color w:val="000000"/>
      <w:sz w:val="21"/>
      <w:szCs w:val="21"/>
      <w:u w:val="none"/>
    </w:rPr>
  </w:style>
  <w:style w:type="character" w:customStyle="1" w:styleId="93">
    <w:name w:val="apple-converted-space"/>
    <w:autoRedefine/>
    <w:qFormat/>
    <w:uiPriority w:val="0"/>
    <w:rPr>
      <w:rFonts w:cs="Times New Roman"/>
    </w:rPr>
  </w:style>
  <w:style w:type="character" w:customStyle="1" w:styleId="94">
    <w:name w:val="font112"/>
    <w:autoRedefine/>
    <w:qFormat/>
    <w:uiPriority w:val="0"/>
    <w:rPr>
      <w:rFonts w:hint="eastAsia" w:ascii="宋体" w:hAnsi="宋体" w:eastAsia="宋体" w:cs="宋体"/>
      <w:b/>
      <w:color w:val="000000"/>
      <w:sz w:val="24"/>
      <w:szCs w:val="24"/>
      <w:u w:val="none"/>
    </w:rPr>
  </w:style>
  <w:style w:type="character" w:customStyle="1" w:styleId="95">
    <w:name w:val="font91"/>
    <w:autoRedefine/>
    <w:qFormat/>
    <w:uiPriority w:val="0"/>
    <w:rPr>
      <w:rFonts w:ascii="Arial" w:hAnsi="Arial" w:cs="Arial"/>
      <w:color w:val="000000"/>
      <w:sz w:val="21"/>
      <w:szCs w:val="21"/>
      <w:u w:val="none"/>
    </w:rPr>
  </w:style>
  <w:style w:type="character" w:customStyle="1" w:styleId="96">
    <w:name w:val="font141"/>
    <w:autoRedefine/>
    <w:qFormat/>
    <w:uiPriority w:val="0"/>
    <w:rPr>
      <w:rFonts w:hint="eastAsia" w:ascii="宋体" w:hAnsi="宋体" w:eastAsia="宋体" w:cs="宋体"/>
      <w:b/>
      <w:color w:val="000000"/>
      <w:sz w:val="21"/>
      <w:szCs w:val="21"/>
      <w:u w:val="none"/>
    </w:rPr>
  </w:style>
  <w:style w:type="character" w:customStyle="1" w:styleId="97">
    <w:name w:val="font71"/>
    <w:autoRedefine/>
    <w:qFormat/>
    <w:uiPriority w:val="0"/>
    <w:rPr>
      <w:rFonts w:hint="default" w:ascii="Times New Roman" w:hAnsi="Times New Roman" w:cs="Times New Roman"/>
      <w:color w:val="FF0000"/>
      <w:sz w:val="21"/>
      <w:szCs w:val="21"/>
      <w:u w:val="none"/>
    </w:rPr>
  </w:style>
  <w:style w:type="character" w:customStyle="1" w:styleId="98">
    <w:name w:val="Item List Text Char"/>
    <w:link w:val="99"/>
    <w:autoRedefine/>
    <w:qFormat/>
    <w:uiPriority w:val="0"/>
    <w:rPr>
      <w:kern w:val="2"/>
      <w:sz w:val="21"/>
      <w:szCs w:val="21"/>
      <w:lang w:val="en-US" w:eastAsia="zh-CN" w:bidi="ar-SA"/>
    </w:rPr>
  </w:style>
  <w:style w:type="paragraph" w:customStyle="1" w:styleId="99">
    <w:name w:val="Item List Text"/>
    <w:link w:val="98"/>
    <w:autoRedefine/>
    <w:qFormat/>
    <w:uiPriority w:val="0"/>
    <w:pPr>
      <w:adjustRightInd w:val="0"/>
      <w:snapToGrid w:val="0"/>
      <w:spacing w:before="80" w:after="80" w:line="240" w:lineRule="atLeast"/>
      <w:ind w:left="2126"/>
    </w:pPr>
    <w:rPr>
      <w:rFonts w:ascii="Times New Roman" w:hAnsi="Times New Roman" w:eastAsia="宋体" w:cs="Times New Roman"/>
      <w:kern w:val="2"/>
      <w:sz w:val="21"/>
      <w:szCs w:val="21"/>
      <w:lang w:val="en-US" w:eastAsia="zh-CN" w:bidi="ar-SA"/>
    </w:rPr>
  </w:style>
  <w:style w:type="character" w:customStyle="1" w:styleId="100">
    <w:name w:val="font121"/>
    <w:autoRedefine/>
    <w:qFormat/>
    <w:uiPriority w:val="0"/>
    <w:rPr>
      <w:rFonts w:ascii="Arial" w:hAnsi="Arial" w:cs="Arial"/>
      <w:b/>
      <w:color w:val="000000"/>
      <w:sz w:val="21"/>
      <w:szCs w:val="21"/>
      <w:u w:val="none"/>
    </w:rPr>
  </w:style>
  <w:style w:type="character" w:customStyle="1" w:styleId="101">
    <w:name w:val="font61"/>
    <w:autoRedefine/>
    <w:qFormat/>
    <w:uiPriority w:val="0"/>
    <w:rPr>
      <w:rFonts w:hint="default" w:ascii="Times New Roman" w:hAnsi="Times New Roman" w:cs="Times New Roman"/>
      <w:color w:val="000000"/>
      <w:sz w:val="21"/>
      <w:szCs w:val="21"/>
      <w:u w:val="none"/>
    </w:rPr>
  </w:style>
  <w:style w:type="character" w:customStyle="1" w:styleId="102">
    <w:name w:val="Table Heading Char"/>
    <w:link w:val="103"/>
    <w:autoRedefine/>
    <w:qFormat/>
    <w:uiPriority w:val="0"/>
    <w:rPr>
      <w:rFonts w:ascii="Book Antiqua" w:hAnsi="Book Antiqua" w:eastAsia="黑体"/>
      <w:bCs/>
      <w:snapToGrid w:val="0"/>
      <w:szCs w:val="21"/>
    </w:rPr>
  </w:style>
  <w:style w:type="paragraph" w:customStyle="1" w:styleId="103">
    <w:name w:val="Table Heading"/>
    <w:basedOn w:val="1"/>
    <w:link w:val="102"/>
    <w:autoRedefine/>
    <w:qFormat/>
    <w:uiPriority w:val="0"/>
    <w:pPr>
      <w:topLinePunct/>
      <w:adjustRightInd w:val="0"/>
      <w:snapToGrid w:val="0"/>
      <w:spacing w:before="80" w:after="80" w:line="240" w:lineRule="atLeast"/>
      <w:jc w:val="left"/>
    </w:pPr>
    <w:rPr>
      <w:rFonts w:ascii="Book Antiqua" w:hAnsi="Book Antiqua" w:eastAsia="黑体"/>
      <w:bCs/>
      <w:snapToGrid w:val="0"/>
      <w:kern w:val="0"/>
      <w:sz w:val="20"/>
      <w:szCs w:val="21"/>
    </w:rPr>
  </w:style>
  <w:style w:type="character" w:customStyle="1" w:styleId="104">
    <w:name w:val="Block Label Char"/>
    <w:link w:val="105"/>
    <w:autoRedefine/>
    <w:qFormat/>
    <w:uiPriority w:val="0"/>
    <w:rPr>
      <w:rFonts w:ascii="Book Antiqua" w:hAnsi="Book Antiqua" w:eastAsia="黑体" w:cs="Book Antiqua"/>
      <w:bCs/>
      <w:sz w:val="26"/>
      <w:szCs w:val="26"/>
    </w:rPr>
  </w:style>
  <w:style w:type="paragraph" w:customStyle="1" w:styleId="105">
    <w:name w:val="Block Label"/>
    <w:basedOn w:val="1"/>
    <w:next w:val="1"/>
    <w:link w:val="104"/>
    <w:autoRedefine/>
    <w:qFormat/>
    <w:uiPriority w:val="0"/>
    <w:pPr>
      <w:keepNext/>
      <w:keepLines/>
      <w:widowControl/>
      <w:topLinePunct/>
      <w:adjustRightInd w:val="0"/>
      <w:snapToGrid w:val="0"/>
      <w:spacing w:before="300" w:after="80" w:line="240" w:lineRule="atLeast"/>
      <w:jc w:val="left"/>
    </w:pPr>
    <w:rPr>
      <w:rFonts w:ascii="Book Antiqua" w:hAnsi="Book Antiqua" w:eastAsia="黑体"/>
      <w:bCs/>
      <w:kern w:val="0"/>
      <w:sz w:val="26"/>
      <w:szCs w:val="26"/>
    </w:rPr>
  </w:style>
  <w:style w:type="character" w:customStyle="1" w:styleId="106">
    <w:name w:val="fontstyle21"/>
    <w:autoRedefine/>
    <w:qFormat/>
    <w:uiPriority w:val="0"/>
    <w:rPr>
      <w:rFonts w:hint="eastAsia" w:ascii="宋体" w:hAnsi="宋体" w:eastAsia="宋体"/>
      <w:color w:val="000000"/>
      <w:sz w:val="22"/>
      <w:szCs w:val="22"/>
    </w:rPr>
  </w:style>
  <w:style w:type="paragraph" w:customStyle="1" w:styleId="107">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微软雅黑" w:hAnsi="微软雅黑" w:eastAsia="微软雅黑" w:cs="宋体"/>
      <w:kern w:val="0"/>
      <w:sz w:val="18"/>
      <w:szCs w:val="18"/>
    </w:rPr>
  </w:style>
  <w:style w:type="paragraph" w:customStyle="1" w:styleId="108">
    <w:name w:val="Block Label With Six Number"/>
    <w:basedOn w:val="1"/>
    <w:next w:val="1"/>
    <w:autoRedefine/>
    <w:qFormat/>
    <w:uiPriority w:val="0"/>
    <w:pPr>
      <w:keepNext/>
      <w:keepLines/>
      <w:widowControl/>
      <w:topLinePunct/>
      <w:adjustRightInd w:val="0"/>
      <w:snapToGrid w:val="0"/>
      <w:spacing w:before="300" w:after="80" w:line="240" w:lineRule="atLeast"/>
      <w:jc w:val="left"/>
      <w:outlineLvl w:val="5"/>
    </w:pPr>
    <w:rPr>
      <w:rFonts w:hint="eastAsia" w:ascii="Book Antiqua" w:hAnsi="Book Antiqua" w:eastAsia="黑体" w:cs="Book Antiqua"/>
      <w:bCs/>
      <w:kern w:val="0"/>
      <w:sz w:val="24"/>
    </w:rPr>
  </w:style>
  <w:style w:type="paragraph" w:customStyle="1" w:styleId="109">
    <w:name w:val="xl80"/>
    <w:basedOn w:val="1"/>
    <w:autoRedefine/>
    <w:qFormat/>
    <w:uiPriority w:val="0"/>
    <w:pPr>
      <w:widowControl/>
      <w:pBdr>
        <w:top w:val="single" w:color="auto" w:sz="4" w:space="0"/>
        <w:bottom w:val="single" w:color="auto" w:sz="4" w:space="0"/>
        <w:right w:val="single" w:color="auto" w:sz="4" w:space="0"/>
      </w:pBdr>
      <w:shd w:val="clear" w:color="000000" w:fill="16365C"/>
      <w:spacing w:before="100" w:beforeAutospacing="1" w:after="100" w:afterAutospacing="1"/>
      <w:jc w:val="center"/>
      <w:textAlignment w:val="center"/>
    </w:pPr>
    <w:rPr>
      <w:rFonts w:ascii="仿宋" w:hAnsi="仿宋" w:eastAsia="仿宋" w:cs="宋体"/>
      <w:b/>
      <w:bCs/>
      <w:color w:val="FFFFFF"/>
      <w:kern w:val="0"/>
      <w:sz w:val="24"/>
    </w:rPr>
  </w:style>
  <w:style w:type="paragraph" w:customStyle="1" w:styleId="110">
    <w:name w:val="Notes Heading"/>
    <w:basedOn w:val="1"/>
    <w:autoRedefine/>
    <w:qFormat/>
    <w:uiPriority w:val="0"/>
    <w:pPr>
      <w:keepNext/>
      <w:widowControl/>
      <w:topLinePunct/>
      <w:adjustRightInd w:val="0"/>
      <w:snapToGrid w:val="0"/>
      <w:spacing w:before="80" w:after="40" w:line="240" w:lineRule="atLeast"/>
      <w:ind w:left="1701"/>
      <w:jc w:val="left"/>
    </w:pPr>
    <w:rPr>
      <w:rFonts w:hint="eastAsia" w:ascii="Book Antiqua" w:hAnsi="Book Antiqua" w:eastAsia="黑体" w:cs="Arial"/>
      <w:bCs/>
      <w:position w:val="-6"/>
      <w:sz w:val="18"/>
      <w:szCs w:val="18"/>
    </w:rPr>
  </w:style>
  <w:style w:type="paragraph" w:customStyle="1" w:styleId="111">
    <w:name w:val="xl94"/>
    <w:basedOn w:val="1"/>
    <w:autoRedefine/>
    <w:qFormat/>
    <w:uiPriority w:val="0"/>
    <w:pPr>
      <w:widowControl/>
      <w:pBdr>
        <w:left w:val="single" w:color="auto" w:sz="4" w:space="0"/>
        <w:bottom w:val="single" w:color="auto" w:sz="4" w:space="0"/>
      </w:pBdr>
      <w:shd w:val="clear" w:color="000000" w:fill="16365C"/>
      <w:spacing w:before="100" w:beforeAutospacing="1" w:after="100" w:afterAutospacing="1"/>
      <w:jc w:val="center"/>
      <w:textAlignment w:val="center"/>
    </w:pPr>
    <w:rPr>
      <w:rFonts w:ascii="仿宋" w:hAnsi="仿宋" w:eastAsia="仿宋" w:cs="宋体"/>
      <w:color w:val="FFFFFF"/>
      <w:kern w:val="0"/>
      <w:sz w:val="24"/>
    </w:rPr>
  </w:style>
  <w:style w:type="paragraph" w:customStyle="1" w:styleId="112">
    <w:name w:val="Item Step"/>
    <w:autoRedefine/>
    <w:qFormat/>
    <w:uiPriority w:val="0"/>
    <w:pPr>
      <w:numPr>
        <w:ilvl w:val="0"/>
        <w:numId w:val="5"/>
      </w:numPr>
      <w:adjustRightInd w:val="0"/>
      <w:snapToGrid w:val="0"/>
      <w:spacing w:before="80" w:after="80" w:line="240" w:lineRule="atLeast"/>
    </w:pPr>
    <w:rPr>
      <w:rFonts w:hint="eastAsia" w:ascii="Times New Roman" w:hAnsi="Times New Roman" w:eastAsia="宋体" w:cs="Arial"/>
      <w:sz w:val="21"/>
      <w:szCs w:val="21"/>
      <w:lang w:val="en-US" w:eastAsia="zh-CN" w:bidi="ar-SA"/>
    </w:rPr>
  </w:style>
  <w:style w:type="paragraph" w:customStyle="1" w:styleId="113">
    <w:name w:val="列出段落1"/>
    <w:basedOn w:val="1"/>
    <w:autoRedefine/>
    <w:qFormat/>
    <w:uiPriority w:val="34"/>
    <w:pPr>
      <w:ind w:firstLine="420" w:firstLineChars="200"/>
    </w:pPr>
  </w:style>
  <w:style w:type="paragraph" w:customStyle="1" w:styleId="114">
    <w:name w:val="纯文本1"/>
    <w:basedOn w:val="1"/>
    <w:autoRedefine/>
    <w:qFormat/>
    <w:uiPriority w:val="0"/>
    <w:pPr>
      <w:suppressAutoHyphens/>
    </w:pPr>
    <w:rPr>
      <w:rFonts w:ascii="宋体" w:hAnsi="宋体" w:cs="Calibri"/>
      <w:kern w:val="1"/>
      <w:sz w:val="20"/>
      <w:szCs w:val="21"/>
      <w:lang w:eastAsia="ar-SA"/>
    </w:rPr>
  </w:style>
  <w:style w:type="paragraph" w:customStyle="1" w:styleId="115">
    <w:name w:val="Heading Left"/>
    <w:basedOn w:val="1"/>
    <w:autoRedefine/>
    <w:qFormat/>
    <w:uiPriority w:val="0"/>
    <w:pPr>
      <w:widowControl/>
      <w:topLinePunct/>
      <w:adjustRightInd w:val="0"/>
      <w:snapToGrid w:val="0"/>
      <w:spacing w:line="240" w:lineRule="atLeast"/>
      <w:jc w:val="left"/>
    </w:pPr>
    <w:rPr>
      <w:rFonts w:hint="eastAsia" w:cs="Arial"/>
      <w:sz w:val="20"/>
      <w:szCs w:val="20"/>
    </w:rPr>
  </w:style>
  <w:style w:type="paragraph" w:customStyle="1" w:styleId="116">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微软雅黑" w:hAnsi="微软雅黑" w:eastAsia="微软雅黑" w:cs="宋体"/>
      <w:b/>
      <w:bCs/>
      <w:kern w:val="0"/>
      <w:sz w:val="18"/>
      <w:szCs w:val="18"/>
    </w:rPr>
  </w:style>
  <w:style w:type="paragraph" w:customStyle="1" w:styleId="117">
    <w:name w:val="xl76"/>
    <w:basedOn w:val="1"/>
    <w:autoRedefine/>
    <w:qFormat/>
    <w:uiPriority w:val="0"/>
    <w:pPr>
      <w:widowControl/>
      <w:pBdr>
        <w:top w:val="single" w:color="auto" w:sz="4" w:space="0"/>
        <w:left w:val="single" w:color="auto" w:sz="4" w:space="0"/>
        <w:right w:val="single" w:color="auto" w:sz="4" w:space="0"/>
      </w:pBdr>
      <w:shd w:val="clear" w:color="000000" w:fill="16365C"/>
      <w:spacing w:before="100" w:beforeAutospacing="1" w:after="100" w:afterAutospacing="1"/>
      <w:jc w:val="center"/>
      <w:textAlignment w:val="center"/>
    </w:pPr>
    <w:rPr>
      <w:rFonts w:ascii="仿宋" w:hAnsi="仿宋" w:eastAsia="仿宋" w:cs="宋体"/>
      <w:color w:val="FFFFFF"/>
      <w:kern w:val="0"/>
      <w:sz w:val="24"/>
    </w:rPr>
  </w:style>
  <w:style w:type="paragraph" w:customStyle="1" w:styleId="118">
    <w:name w:val="Notes Text Step in Table"/>
    <w:autoRedefine/>
    <w:qFormat/>
    <w:uiPriority w:val="0"/>
    <w:pPr>
      <w:numPr>
        <w:ilvl w:val="7"/>
        <w:numId w:val="6"/>
      </w:numPr>
      <w:spacing w:before="40" w:after="80" w:line="200" w:lineRule="atLeast"/>
    </w:pPr>
    <w:rPr>
      <w:rFonts w:ascii="Times New Roman" w:hAnsi="Times New Roman" w:eastAsia="楷体_GB2312" w:cs="楷体_GB2312"/>
      <w:sz w:val="18"/>
      <w:szCs w:val="18"/>
      <w:lang w:val="en-US" w:eastAsia="zh-CN" w:bidi="ar-SA"/>
    </w:rPr>
  </w:style>
  <w:style w:type="paragraph" w:customStyle="1" w:styleId="119">
    <w:name w:val="Char Char Char"/>
    <w:basedOn w:val="1"/>
    <w:autoRedefine/>
    <w:qFormat/>
    <w:uiPriority w:val="0"/>
    <w:pPr>
      <w:spacing w:line="360" w:lineRule="auto"/>
      <w:ind w:firstLine="560" w:firstLineChars="200"/>
    </w:pPr>
    <w:rPr>
      <w:szCs w:val="20"/>
    </w:rPr>
  </w:style>
  <w:style w:type="paragraph" w:customStyle="1" w:styleId="120">
    <w:name w:val=" Char1"/>
    <w:basedOn w:val="1"/>
    <w:autoRedefine/>
    <w:qFormat/>
    <w:uiPriority w:val="0"/>
    <w:rPr>
      <w:rFonts w:ascii="Tahoma" w:hAnsi="Tahoma"/>
      <w:sz w:val="24"/>
      <w:szCs w:val="20"/>
    </w:rPr>
  </w:style>
  <w:style w:type="paragraph" w:customStyle="1" w:styleId="121">
    <w:name w:val="xl106"/>
    <w:basedOn w:val="1"/>
    <w:autoRedefine/>
    <w:qFormat/>
    <w:uiPriority w:val="0"/>
    <w:pPr>
      <w:widowControl/>
      <w:pBdr>
        <w:top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22">
    <w:name w:val="商务6"/>
    <w:basedOn w:val="1"/>
    <w:autoRedefine/>
    <w:qFormat/>
    <w:uiPriority w:val="0"/>
    <w:pPr>
      <w:jc w:val="left"/>
    </w:pPr>
    <w:rPr>
      <w:rFonts w:eastAsia="黑体"/>
      <w:b/>
      <w:szCs w:val="22"/>
    </w:rPr>
  </w:style>
  <w:style w:type="paragraph" w:customStyle="1" w:styleId="123">
    <w:name w:val="xl101"/>
    <w:basedOn w:val="1"/>
    <w:autoRedefine/>
    <w:qFormat/>
    <w:uiPriority w:val="0"/>
    <w:pPr>
      <w:widowControl/>
      <w:pBdr>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仿宋" w:hAnsi="仿宋" w:eastAsia="仿宋" w:cs="宋体"/>
      <w:b/>
      <w:bCs/>
      <w:kern w:val="0"/>
      <w:sz w:val="24"/>
    </w:rPr>
  </w:style>
  <w:style w:type="paragraph" w:customStyle="1" w:styleId="124">
    <w:name w:val="Heading Middle"/>
    <w:autoRedefine/>
    <w:qFormat/>
    <w:uiPriority w:val="0"/>
    <w:pPr>
      <w:adjustRightInd w:val="0"/>
      <w:snapToGrid w:val="0"/>
      <w:spacing w:line="240" w:lineRule="atLeast"/>
      <w:jc w:val="center"/>
    </w:pPr>
    <w:rPr>
      <w:rFonts w:ascii="Times New Roman" w:hAnsi="Times New Roman" w:eastAsia="宋体" w:cs="Times New Roman"/>
      <w:snapToGrid w:val="0"/>
      <w:lang w:val="en-US" w:eastAsia="zh-CN" w:bidi="ar-SA"/>
    </w:rPr>
  </w:style>
  <w:style w:type="paragraph" w:customStyle="1" w:styleId="125">
    <w:name w:val="xl83"/>
    <w:basedOn w:val="1"/>
    <w:autoRedefine/>
    <w:qFormat/>
    <w:uiPriority w:val="0"/>
    <w:pPr>
      <w:widowControl/>
      <w:pBdr>
        <w:top w:val="single" w:color="auto" w:sz="4" w:space="0"/>
      </w:pBdr>
      <w:shd w:val="clear" w:color="000000" w:fill="16365C"/>
      <w:spacing w:before="100" w:beforeAutospacing="1" w:after="100" w:afterAutospacing="1"/>
      <w:jc w:val="center"/>
      <w:textAlignment w:val="center"/>
    </w:pPr>
    <w:rPr>
      <w:rFonts w:ascii="仿宋" w:hAnsi="仿宋" w:eastAsia="仿宋" w:cs="宋体"/>
      <w:b/>
      <w:bCs/>
      <w:color w:val="FFFFFF"/>
      <w:kern w:val="0"/>
      <w:sz w:val="24"/>
    </w:rPr>
  </w:style>
  <w:style w:type="paragraph" w:customStyle="1" w:styleId="126">
    <w:name w:val="Notes Text in Table"/>
    <w:autoRedefine/>
    <w:qFormat/>
    <w:uiPriority w:val="0"/>
    <w:pPr>
      <w:widowControl w:val="0"/>
      <w:adjustRightInd w:val="0"/>
      <w:snapToGrid w:val="0"/>
      <w:spacing w:before="40" w:after="80" w:line="240" w:lineRule="atLeast"/>
      <w:ind w:left="170"/>
    </w:pPr>
    <w:rPr>
      <w:rFonts w:ascii="Times New Roman" w:hAnsi="Times New Roman" w:eastAsia="楷体_GB2312" w:cs="Arial"/>
      <w:iCs/>
      <w:kern w:val="2"/>
      <w:sz w:val="18"/>
      <w:szCs w:val="18"/>
      <w:lang w:val="en-US" w:eastAsia="zh-CN" w:bidi="ar-SA"/>
    </w:rPr>
  </w:style>
  <w:style w:type="paragraph" w:customStyle="1" w:styleId="127">
    <w:name w:val="Char1"/>
    <w:basedOn w:val="1"/>
    <w:autoRedefine/>
    <w:qFormat/>
    <w:uiPriority w:val="0"/>
    <w:rPr>
      <w:rFonts w:ascii="Tahoma" w:hAnsi="Tahoma"/>
      <w:sz w:val="24"/>
    </w:rPr>
  </w:style>
  <w:style w:type="paragraph" w:customStyle="1" w:styleId="128">
    <w:name w:val="xl96"/>
    <w:basedOn w:val="1"/>
    <w:autoRedefine/>
    <w:qFormat/>
    <w:uiPriority w:val="0"/>
    <w:pPr>
      <w:widowControl/>
      <w:pBdr>
        <w:top w:val="single" w:color="auto" w:sz="4" w:space="0"/>
      </w:pBdr>
      <w:shd w:val="clear" w:color="000000" w:fill="16365C"/>
      <w:spacing w:before="100" w:beforeAutospacing="1" w:after="100" w:afterAutospacing="1"/>
      <w:jc w:val="center"/>
      <w:textAlignment w:val="center"/>
    </w:pPr>
    <w:rPr>
      <w:rFonts w:ascii="仿宋" w:hAnsi="仿宋" w:eastAsia="仿宋" w:cs="宋体"/>
      <w:color w:val="FFFFFF"/>
      <w:kern w:val="0"/>
      <w:sz w:val="24"/>
    </w:rPr>
  </w:style>
  <w:style w:type="paragraph" w:customStyle="1" w:styleId="129">
    <w:name w:val="Sub Item Step"/>
    <w:autoRedefine/>
    <w:qFormat/>
    <w:uiPriority w:val="0"/>
    <w:pPr>
      <w:numPr>
        <w:ilvl w:val="1"/>
        <w:numId w:val="5"/>
      </w:numPr>
      <w:adjustRightInd w:val="0"/>
      <w:snapToGrid w:val="0"/>
      <w:spacing w:before="80" w:after="80" w:line="240" w:lineRule="atLeast"/>
    </w:pPr>
    <w:rPr>
      <w:rFonts w:hint="eastAsia" w:ascii="Times New Roman" w:hAnsi="Times New Roman" w:eastAsia="宋体" w:cs="Arial"/>
      <w:sz w:val="21"/>
      <w:szCs w:val="21"/>
      <w:lang w:val="en-US" w:eastAsia="zh-CN" w:bidi="ar-SA"/>
    </w:rPr>
  </w:style>
  <w:style w:type="paragraph" w:customStyle="1" w:styleId="130">
    <w:name w:val="Appendix heading 4"/>
    <w:basedOn w:val="5"/>
    <w:next w:val="131"/>
    <w:autoRedefine/>
    <w:qFormat/>
    <w:uiPriority w:val="0"/>
    <w:pPr>
      <w:widowControl/>
      <w:numPr>
        <w:ilvl w:val="3"/>
        <w:numId w:val="7"/>
      </w:numPr>
      <w:adjustRightInd w:val="0"/>
      <w:snapToGrid w:val="0"/>
      <w:spacing w:before="160" w:after="160" w:line="240" w:lineRule="atLeast"/>
      <w:jc w:val="left"/>
    </w:pPr>
    <w:rPr>
      <w:rFonts w:hint="eastAsia" w:ascii="Book Antiqua" w:hAnsi="Book Antiqua" w:eastAsia="黑体" w:cs="Times New Roman"/>
      <w:b w:val="0"/>
      <w:bCs w:val="0"/>
      <w:kern w:val="0"/>
    </w:rPr>
  </w:style>
  <w:style w:type="paragraph" w:customStyle="1" w:styleId="131">
    <w:name w:val="Appendix heading 5"/>
    <w:basedOn w:val="6"/>
    <w:next w:val="1"/>
    <w:autoRedefine/>
    <w:qFormat/>
    <w:uiPriority w:val="0"/>
    <w:pPr>
      <w:numPr>
        <w:ilvl w:val="4"/>
        <w:numId w:val="7"/>
      </w:numPr>
      <w:topLinePunct w:val="0"/>
    </w:pPr>
    <w:rPr>
      <w:rFonts w:cs="Times New Roman"/>
    </w:rPr>
  </w:style>
  <w:style w:type="paragraph" w:customStyle="1" w:styleId="132">
    <w:name w:val="Fourth Level Item List"/>
    <w:basedOn w:val="1"/>
    <w:autoRedefine/>
    <w:qFormat/>
    <w:uiPriority w:val="0"/>
    <w:pPr>
      <w:widowControl/>
      <w:numPr>
        <w:ilvl w:val="2"/>
        <w:numId w:val="3"/>
      </w:numPr>
      <w:topLinePunct/>
      <w:adjustRightInd w:val="0"/>
      <w:snapToGrid w:val="0"/>
      <w:spacing w:before="80" w:after="80" w:line="240" w:lineRule="atLeast"/>
      <w:jc w:val="left"/>
    </w:pPr>
    <w:rPr>
      <w:rFonts w:hint="eastAsia" w:cs="Arial"/>
      <w:szCs w:val="21"/>
    </w:rPr>
  </w:style>
  <w:style w:type="paragraph" w:customStyle="1" w:styleId="133">
    <w:name w:val="xl85"/>
    <w:basedOn w:val="1"/>
    <w:autoRedefine/>
    <w:qFormat/>
    <w:uiPriority w:val="0"/>
    <w:pPr>
      <w:widowControl/>
      <w:pBdr>
        <w:top w:val="single" w:color="auto" w:sz="4" w:space="0"/>
        <w:bottom w:val="single" w:color="auto" w:sz="4" w:space="0"/>
      </w:pBdr>
      <w:shd w:val="clear" w:color="000000" w:fill="16365C"/>
      <w:spacing w:before="100" w:beforeAutospacing="1" w:after="100" w:afterAutospacing="1"/>
      <w:jc w:val="center"/>
      <w:textAlignment w:val="center"/>
    </w:pPr>
    <w:rPr>
      <w:rFonts w:ascii="仿宋" w:hAnsi="仿宋" w:eastAsia="仿宋" w:cs="宋体"/>
      <w:b/>
      <w:bCs/>
      <w:color w:val="FFFFFF"/>
      <w:kern w:val="0"/>
      <w:sz w:val="24"/>
    </w:rPr>
  </w:style>
  <w:style w:type="paragraph" w:customStyle="1" w:styleId="134">
    <w:name w:val="xl105"/>
    <w:basedOn w:val="1"/>
    <w:autoRedefine/>
    <w:qFormat/>
    <w:uiPriority w:val="0"/>
    <w:pPr>
      <w:widowControl/>
      <w:pBdr>
        <w:top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35">
    <w:name w:val="Sub Item Step in Table"/>
    <w:autoRedefine/>
    <w:qFormat/>
    <w:uiPriority w:val="0"/>
    <w:pPr>
      <w:tabs>
        <w:tab w:val="left" w:pos="284"/>
      </w:tabs>
      <w:adjustRightInd w:val="0"/>
      <w:snapToGrid w:val="0"/>
      <w:spacing w:before="80" w:after="80" w:line="240" w:lineRule="atLeast"/>
      <w:ind w:left="568" w:hanging="284"/>
    </w:pPr>
    <w:rPr>
      <w:rFonts w:hint="eastAsia" w:ascii="Times New Roman" w:hAnsi="Times New Roman" w:eastAsia="宋体" w:cs="Arial"/>
      <w:sz w:val="21"/>
      <w:szCs w:val="21"/>
      <w:lang w:val="en-US" w:eastAsia="zh-CN" w:bidi="ar-SA"/>
    </w:rPr>
  </w:style>
  <w:style w:type="paragraph" w:customStyle="1" w:styleId="136">
    <w:name w:val="商务1"/>
    <w:basedOn w:val="2"/>
    <w:autoRedefine/>
    <w:qFormat/>
    <w:uiPriority w:val="0"/>
    <w:pPr>
      <w:numPr>
        <w:ilvl w:val="0"/>
        <w:numId w:val="8"/>
      </w:numPr>
      <w:spacing w:before="0" w:after="0" w:line="360" w:lineRule="auto"/>
      <w:jc w:val="left"/>
    </w:pPr>
    <w:rPr>
      <w:rFonts w:ascii="Times New Roman" w:hAnsi="Times New Roman" w:eastAsia="黑体"/>
      <w:bCs w:val="0"/>
      <w:color w:val="auto"/>
      <w:sz w:val="36"/>
      <w:szCs w:val="20"/>
    </w:rPr>
  </w:style>
  <w:style w:type="paragraph" w:customStyle="1" w:styleId="137">
    <w:name w:val="Third Level Item Step"/>
    <w:autoRedefine/>
    <w:qFormat/>
    <w:uiPriority w:val="0"/>
    <w:pPr>
      <w:numPr>
        <w:ilvl w:val="2"/>
        <w:numId w:val="5"/>
      </w:numPr>
      <w:adjustRightInd w:val="0"/>
      <w:snapToGrid w:val="0"/>
      <w:spacing w:before="80" w:after="80" w:line="240" w:lineRule="atLeast"/>
    </w:pPr>
    <w:rPr>
      <w:rFonts w:hint="eastAsia" w:ascii="Times New Roman" w:hAnsi="Times New Roman" w:eastAsia="宋体" w:cs="Arial"/>
      <w:sz w:val="21"/>
      <w:szCs w:val="21"/>
      <w:lang w:val="en-US" w:eastAsia="zh-CN" w:bidi="ar-SA"/>
    </w:rPr>
  </w:style>
  <w:style w:type="paragraph" w:customStyle="1" w:styleId="138">
    <w:name w:val="xl99"/>
    <w:basedOn w:val="1"/>
    <w:autoRedefine/>
    <w:qFormat/>
    <w:uiPriority w:val="0"/>
    <w:pPr>
      <w:widowControl/>
      <w:pBdr>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39">
    <w:name w:val="Item List in Table"/>
    <w:basedOn w:val="1"/>
    <w:autoRedefine/>
    <w:qFormat/>
    <w:uiPriority w:val="0"/>
    <w:pPr>
      <w:widowControl/>
      <w:numPr>
        <w:ilvl w:val="0"/>
        <w:numId w:val="6"/>
      </w:numPr>
      <w:tabs>
        <w:tab w:val="left" w:pos="284"/>
        <w:tab w:val="clear" w:pos="170"/>
      </w:tabs>
      <w:topLinePunct/>
      <w:adjustRightInd w:val="0"/>
      <w:snapToGrid w:val="0"/>
      <w:spacing w:before="80" w:after="80" w:line="240" w:lineRule="atLeast"/>
      <w:ind w:left="284" w:hanging="284"/>
      <w:jc w:val="left"/>
    </w:pPr>
    <w:rPr>
      <w:rFonts w:hint="eastAsia" w:cs="Arial"/>
      <w:kern w:val="0"/>
      <w:szCs w:val="21"/>
    </w:rPr>
  </w:style>
  <w:style w:type="paragraph" w:customStyle="1" w:styleId="140">
    <w:name w:val="xl93"/>
    <w:basedOn w:val="1"/>
    <w:autoRedefine/>
    <w:qFormat/>
    <w:uiPriority w:val="0"/>
    <w:pPr>
      <w:widowControl/>
      <w:pBdr>
        <w:top w:val="single" w:color="auto" w:sz="4" w:space="0"/>
        <w:right w:val="single" w:color="auto" w:sz="4" w:space="0"/>
      </w:pBdr>
      <w:shd w:val="clear" w:color="000000" w:fill="16365C"/>
      <w:spacing w:before="100" w:beforeAutospacing="1" w:after="100" w:afterAutospacing="1"/>
      <w:jc w:val="center"/>
      <w:textAlignment w:val="center"/>
    </w:pPr>
    <w:rPr>
      <w:rFonts w:ascii="仿宋" w:hAnsi="仿宋" w:eastAsia="仿宋" w:cs="宋体"/>
      <w:color w:val="FFFFFF"/>
      <w:kern w:val="0"/>
      <w:sz w:val="24"/>
    </w:rPr>
  </w:style>
  <w:style w:type="paragraph" w:customStyle="1" w:styleId="141">
    <w:name w:val="BodyText1I2"/>
    <w:basedOn w:val="142"/>
    <w:autoRedefine/>
    <w:qFormat/>
    <w:uiPriority w:val="0"/>
    <w:pPr>
      <w:spacing w:after="120" w:line="240" w:lineRule="auto"/>
      <w:ind w:left="420" w:leftChars="200" w:firstLine="420" w:firstLineChars="200"/>
      <w:jc w:val="both"/>
    </w:pPr>
    <w:rPr>
      <w:rFonts w:ascii="Times New Roman" w:hAnsi="Times New Roman"/>
      <w:kern w:val="2"/>
      <w:sz w:val="21"/>
    </w:rPr>
  </w:style>
  <w:style w:type="paragraph" w:customStyle="1" w:styleId="142">
    <w:name w:val="BodyTextIndent"/>
    <w:basedOn w:val="1"/>
    <w:next w:val="143"/>
    <w:autoRedefine/>
    <w:qFormat/>
    <w:uiPriority w:val="0"/>
    <w:pPr>
      <w:spacing w:line="360" w:lineRule="auto"/>
      <w:ind w:firstLine="480"/>
      <w:jc w:val="left"/>
      <w:textAlignment w:val="baseline"/>
    </w:pPr>
    <w:rPr>
      <w:rFonts w:ascii="宋体" w:hAnsi="宋体"/>
      <w:kern w:val="0"/>
      <w:sz w:val="24"/>
    </w:rPr>
  </w:style>
  <w:style w:type="paragraph" w:customStyle="1" w:styleId="143">
    <w:name w:val="EnvelopeReturn"/>
    <w:basedOn w:val="1"/>
    <w:autoRedefine/>
    <w:qFormat/>
    <w:uiPriority w:val="0"/>
    <w:pPr>
      <w:snapToGrid w:val="0"/>
      <w:textAlignment w:val="baseline"/>
    </w:pPr>
    <w:rPr>
      <w:rFonts w:ascii="Arial" w:hAnsi="Arial"/>
    </w:rPr>
  </w:style>
  <w:style w:type="paragraph" w:customStyle="1" w:styleId="144">
    <w:name w:val="Default Tex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45">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微软雅黑" w:hAnsi="微软雅黑" w:eastAsia="微软雅黑" w:cs="宋体"/>
      <w:kern w:val="0"/>
      <w:sz w:val="18"/>
      <w:szCs w:val="18"/>
    </w:rPr>
  </w:style>
  <w:style w:type="paragraph" w:customStyle="1" w:styleId="146">
    <w:name w:val="题注5"/>
    <w:basedOn w:val="1"/>
    <w:next w:val="9"/>
    <w:autoRedefine/>
    <w:qFormat/>
    <w:uiPriority w:val="0"/>
    <w:pPr>
      <w:numPr>
        <w:ilvl w:val="1"/>
        <w:numId w:val="9"/>
      </w:numPr>
      <w:tabs>
        <w:tab w:val="left" w:pos="0"/>
        <w:tab w:val="left" w:pos="720"/>
      </w:tabs>
      <w:spacing w:line="360" w:lineRule="auto"/>
      <w:ind w:left="720" w:hanging="720"/>
    </w:pPr>
    <w:rPr>
      <w:rFonts w:ascii="Calibri" w:hAnsi="Calibri" w:eastAsia="宋体" w:cs="Times New Roman"/>
      <w:b/>
      <w:color w:val="000000"/>
      <w:sz w:val="28"/>
      <w:szCs w:val="28"/>
    </w:rPr>
  </w:style>
  <w:style w:type="paragraph" w:customStyle="1" w:styleId="147">
    <w:name w:val="xl102"/>
    <w:basedOn w:val="1"/>
    <w:autoRedefine/>
    <w:qFormat/>
    <w:uiPriority w:val="0"/>
    <w:pPr>
      <w:widowControl/>
      <w:pBdr>
        <w:top w:val="single" w:color="auto" w:sz="4" w:space="0"/>
        <w:left w:val="single" w:color="auto" w:sz="4" w:space="0"/>
        <w:bottom w:val="single" w:color="auto" w:sz="4" w:space="0"/>
      </w:pBdr>
      <w:shd w:val="clear" w:color="000000" w:fill="D9D9D9"/>
      <w:spacing w:before="100" w:beforeAutospacing="1" w:after="100" w:afterAutospacing="1"/>
      <w:jc w:val="center"/>
      <w:textAlignment w:val="center"/>
    </w:pPr>
    <w:rPr>
      <w:rFonts w:ascii="仿宋" w:hAnsi="仿宋" w:eastAsia="仿宋" w:cs="宋体"/>
      <w:b/>
      <w:bCs/>
      <w:kern w:val="0"/>
      <w:sz w:val="24"/>
    </w:rPr>
  </w:style>
  <w:style w:type="paragraph" w:customStyle="1" w:styleId="148">
    <w:name w:val="Sub Item List in Table Step"/>
    <w:basedOn w:val="1"/>
    <w:autoRedefine/>
    <w:qFormat/>
    <w:uiPriority w:val="0"/>
    <w:pPr>
      <w:widowControl/>
      <w:tabs>
        <w:tab w:val="left" w:pos="568"/>
      </w:tabs>
      <w:topLinePunct/>
      <w:adjustRightInd w:val="0"/>
      <w:snapToGrid w:val="0"/>
      <w:spacing w:before="80" w:after="80" w:line="240" w:lineRule="atLeast"/>
      <w:ind w:left="568" w:hanging="284"/>
      <w:jc w:val="left"/>
    </w:pPr>
    <w:rPr>
      <w:rFonts w:hint="eastAsia" w:cs="Arial"/>
      <w:szCs w:val="21"/>
    </w:rPr>
  </w:style>
  <w:style w:type="paragraph" w:customStyle="1" w:styleId="149">
    <w:name w:val="Figure Description"/>
    <w:next w:val="1"/>
    <w:autoRedefine/>
    <w:qFormat/>
    <w:uiPriority w:val="0"/>
    <w:pPr>
      <w:keepNext/>
      <w:adjustRightInd w:val="0"/>
      <w:snapToGrid w:val="0"/>
      <w:spacing w:before="320" w:after="80" w:line="240" w:lineRule="atLeast"/>
      <w:ind w:left="1701"/>
    </w:pPr>
    <w:rPr>
      <w:rFonts w:ascii="Times New Roman" w:hAnsi="Times New Roman" w:eastAsia="黑体" w:cs="Arial"/>
      <w:spacing w:val="-4"/>
      <w:kern w:val="2"/>
      <w:sz w:val="21"/>
      <w:szCs w:val="21"/>
      <w:lang w:val="en-US" w:eastAsia="zh-CN" w:bidi="ar-SA"/>
    </w:rPr>
  </w:style>
  <w:style w:type="paragraph" w:customStyle="1" w:styleId="150">
    <w:name w:val=" Char Char Char Char"/>
    <w:basedOn w:val="1"/>
    <w:autoRedefine/>
    <w:qFormat/>
    <w:uiPriority w:val="0"/>
    <w:pPr>
      <w:widowControl/>
      <w:spacing w:after="160" w:line="240" w:lineRule="exact"/>
      <w:jc w:val="left"/>
    </w:pPr>
    <w:rPr>
      <w:rFonts w:ascii="Verdana" w:hAnsi="Verdana" w:cs="Verdana"/>
      <w:kern w:val="0"/>
      <w:szCs w:val="21"/>
      <w:lang w:eastAsia="en-US"/>
    </w:rPr>
  </w:style>
  <w:style w:type="paragraph" w:customStyle="1" w:styleId="151">
    <w:name w:val="Figure"/>
    <w:basedOn w:val="1"/>
    <w:next w:val="1"/>
    <w:autoRedefine/>
    <w:qFormat/>
    <w:uiPriority w:val="0"/>
    <w:pPr>
      <w:keepNext/>
      <w:widowControl/>
      <w:topLinePunct/>
      <w:adjustRightInd w:val="0"/>
      <w:snapToGrid w:val="0"/>
      <w:spacing w:before="160" w:after="160" w:line="240" w:lineRule="atLeast"/>
      <w:ind w:left="1701"/>
      <w:jc w:val="left"/>
    </w:pPr>
    <w:rPr>
      <w:rFonts w:hint="eastAsia" w:cs="Arial"/>
      <w:szCs w:val="21"/>
    </w:rPr>
  </w:style>
  <w:style w:type="paragraph" w:customStyle="1" w:styleId="152">
    <w:name w:val="xl81"/>
    <w:basedOn w:val="1"/>
    <w:autoRedefine/>
    <w:qFormat/>
    <w:uiPriority w:val="0"/>
    <w:pPr>
      <w:widowControl/>
      <w:spacing w:before="100" w:beforeAutospacing="1" w:after="100" w:afterAutospacing="1"/>
      <w:jc w:val="center"/>
    </w:pPr>
    <w:rPr>
      <w:rFonts w:ascii="宋体" w:hAnsi="宋体" w:cs="宋体"/>
      <w:kern w:val="0"/>
      <w:sz w:val="24"/>
    </w:rPr>
  </w:style>
  <w:style w:type="paragraph" w:customStyle="1" w:styleId="153">
    <w:name w:val="Appendix heading 1"/>
    <w:basedOn w:val="2"/>
    <w:next w:val="154"/>
    <w:autoRedefine/>
    <w:qFormat/>
    <w:uiPriority w:val="0"/>
    <w:pPr>
      <w:widowControl/>
      <w:numPr>
        <w:ilvl w:val="0"/>
        <w:numId w:val="7"/>
      </w:numPr>
      <w:pBdr>
        <w:bottom w:val="single" w:color="auto" w:sz="12" w:space="1"/>
      </w:pBdr>
      <w:adjustRightInd w:val="0"/>
      <w:snapToGrid w:val="0"/>
      <w:spacing w:before="1600" w:after="800" w:line="240" w:lineRule="atLeast"/>
      <w:jc w:val="right"/>
    </w:pPr>
    <w:rPr>
      <w:rFonts w:hint="eastAsia" w:ascii="Book Antiqua" w:hAnsi="Book Antiqua" w:eastAsia="黑体" w:cs="Book Antiqua"/>
      <w:bCs w:val="0"/>
      <w:color w:val="auto"/>
      <w:kern w:val="2"/>
      <w:sz w:val="44"/>
      <w:szCs w:val="44"/>
    </w:rPr>
  </w:style>
  <w:style w:type="paragraph" w:customStyle="1" w:styleId="154">
    <w:name w:val="Appendix heading 2"/>
    <w:basedOn w:val="3"/>
    <w:next w:val="155"/>
    <w:autoRedefine/>
    <w:qFormat/>
    <w:uiPriority w:val="0"/>
    <w:pPr>
      <w:widowControl/>
      <w:numPr>
        <w:ilvl w:val="1"/>
        <w:numId w:val="7"/>
      </w:numPr>
      <w:adjustRightInd w:val="0"/>
      <w:snapToGrid w:val="0"/>
      <w:spacing w:before="200" w:after="160" w:line="240" w:lineRule="atLeast"/>
      <w:jc w:val="left"/>
    </w:pPr>
    <w:rPr>
      <w:rFonts w:hint="eastAsia" w:ascii="Book Antiqua" w:hAnsi="Book Antiqua"/>
      <w:b w:val="0"/>
      <w:kern w:val="0"/>
      <w:sz w:val="36"/>
      <w:szCs w:val="36"/>
      <w:lang w:eastAsia="en-US"/>
    </w:rPr>
  </w:style>
  <w:style w:type="paragraph" w:customStyle="1" w:styleId="155">
    <w:name w:val="Appendix heading 3"/>
    <w:basedOn w:val="4"/>
    <w:next w:val="130"/>
    <w:autoRedefine/>
    <w:qFormat/>
    <w:uiPriority w:val="0"/>
    <w:pPr>
      <w:widowControl/>
      <w:numPr>
        <w:ilvl w:val="2"/>
        <w:numId w:val="7"/>
      </w:numPr>
      <w:tabs>
        <w:tab w:val="clear" w:pos="1080"/>
      </w:tabs>
      <w:adjustRightInd w:val="0"/>
      <w:snapToGrid w:val="0"/>
      <w:spacing w:before="200" w:after="160" w:line="240" w:lineRule="atLeast"/>
      <w:jc w:val="left"/>
    </w:pPr>
    <w:rPr>
      <w:rFonts w:hint="eastAsia" w:ascii="Book Antiqua" w:hAnsi="Book Antiqua" w:eastAsia="黑体"/>
      <w:kern w:val="0"/>
      <w:sz w:val="32"/>
    </w:rPr>
  </w:style>
  <w:style w:type="paragraph" w:customStyle="1" w:styleId="156">
    <w:name w:val="xl89"/>
    <w:basedOn w:val="1"/>
    <w:autoRedefine/>
    <w:qFormat/>
    <w:uiPriority w:val="0"/>
    <w:pPr>
      <w:widowControl/>
      <w:pBdr>
        <w:bottom w:val="single" w:color="auto" w:sz="4" w:space="0"/>
        <w:right w:val="single" w:color="auto" w:sz="4" w:space="0"/>
      </w:pBdr>
      <w:shd w:val="clear" w:color="000000" w:fill="16365C"/>
      <w:spacing w:before="100" w:beforeAutospacing="1" w:after="100" w:afterAutospacing="1"/>
      <w:jc w:val="center"/>
      <w:textAlignment w:val="center"/>
    </w:pPr>
    <w:rPr>
      <w:rFonts w:ascii="仿宋" w:hAnsi="仿宋" w:eastAsia="仿宋" w:cs="宋体"/>
      <w:b/>
      <w:bCs/>
      <w:color w:val="FFFFFF"/>
      <w:kern w:val="0"/>
      <w:sz w:val="24"/>
    </w:rPr>
  </w:style>
  <w:style w:type="paragraph" w:customStyle="1" w:styleId="157">
    <w:name w:val="xl103"/>
    <w:basedOn w:val="1"/>
    <w:autoRedefine/>
    <w:qFormat/>
    <w:uiPriority w:val="0"/>
    <w:pPr>
      <w:widowControl/>
      <w:pBdr>
        <w:top w:val="single" w:color="auto" w:sz="4" w:space="0"/>
        <w:bottom w:val="single" w:color="auto" w:sz="4" w:space="0"/>
      </w:pBdr>
      <w:shd w:val="clear" w:color="000000" w:fill="D9D9D9"/>
      <w:spacing w:before="100" w:beforeAutospacing="1" w:after="100" w:afterAutospacing="1"/>
      <w:jc w:val="center"/>
      <w:textAlignment w:val="center"/>
    </w:pPr>
    <w:rPr>
      <w:rFonts w:ascii="仿宋" w:hAnsi="仿宋" w:eastAsia="仿宋" w:cs="宋体"/>
      <w:b/>
      <w:bCs/>
      <w:kern w:val="0"/>
      <w:sz w:val="24"/>
    </w:rPr>
  </w:style>
  <w:style w:type="paragraph" w:customStyle="1" w:styleId="158">
    <w:name w:val="CAUTION Heading"/>
    <w:basedOn w:val="1"/>
    <w:autoRedefine/>
    <w:qFormat/>
    <w:uiPriority w:val="0"/>
    <w:pPr>
      <w:keepNext/>
      <w:widowControl/>
      <w:pBdr>
        <w:top w:val="single" w:color="auto" w:sz="12" w:space="4"/>
      </w:pBdr>
      <w:topLinePunct/>
      <w:adjustRightInd w:val="0"/>
      <w:snapToGrid w:val="0"/>
      <w:spacing w:before="80" w:after="80" w:line="240" w:lineRule="atLeast"/>
      <w:ind w:left="1701"/>
      <w:jc w:val="left"/>
    </w:pPr>
    <w:rPr>
      <w:rFonts w:hint="eastAsia" w:ascii="Book Antiqua" w:hAnsi="Book Antiqua" w:eastAsia="黑体" w:cs="Arial"/>
      <w:bCs/>
      <w:szCs w:val="21"/>
    </w:rPr>
  </w:style>
  <w:style w:type="paragraph" w:customStyle="1" w:styleId="159">
    <w:name w:val="商务2"/>
    <w:basedOn w:val="3"/>
    <w:autoRedefine/>
    <w:qFormat/>
    <w:uiPriority w:val="0"/>
    <w:pPr>
      <w:keepNext w:val="0"/>
      <w:numPr>
        <w:ilvl w:val="1"/>
        <w:numId w:val="8"/>
      </w:numPr>
      <w:spacing w:before="0" w:after="0" w:line="360" w:lineRule="auto"/>
      <w:jc w:val="left"/>
    </w:pPr>
    <w:rPr>
      <w:rFonts w:ascii="Times New Roman" w:hAnsi="Times New Roman"/>
      <w:bCs w:val="0"/>
      <w:szCs w:val="24"/>
    </w:rPr>
  </w:style>
  <w:style w:type="paragraph" w:customStyle="1" w:styleId="160">
    <w:name w:val="xl97"/>
    <w:basedOn w:val="1"/>
    <w:autoRedefine/>
    <w:qFormat/>
    <w:uiPriority w:val="0"/>
    <w:pPr>
      <w:widowControl/>
      <w:pBdr>
        <w:bottom w:val="single" w:color="auto" w:sz="4" w:space="0"/>
      </w:pBdr>
      <w:shd w:val="clear" w:color="000000" w:fill="16365C"/>
      <w:spacing w:before="100" w:beforeAutospacing="1" w:after="100" w:afterAutospacing="1"/>
      <w:jc w:val="center"/>
      <w:textAlignment w:val="center"/>
    </w:pPr>
    <w:rPr>
      <w:rFonts w:ascii="仿宋" w:hAnsi="仿宋" w:eastAsia="仿宋" w:cs="宋体"/>
      <w:color w:val="FFFFFF"/>
      <w:kern w:val="0"/>
      <w:sz w:val="24"/>
    </w:rPr>
  </w:style>
  <w:style w:type="paragraph" w:customStyle="1" w:styleId="161">
    <w:name w:val="Cover 2"/>
    <w:autoRedefine/>
    <w:qFormat/>
    <w:uiPriority w:val="0"/>
    <w:pPr>
      <w:adjustRightInd w:val="0"/>
      <w:snapToGrid w:val="0"/>
    </w:pPr>
    <w:rPr>
      <w:rFonts w:ascii="Arial" w:hAnsi="Arial" w:eastAsia="黑体" w:cs="Arial"/>
      <w:sz w:val="32"/>
      <w:szCs w:val="32"/>
      <w:lang w:val="en-US" w:eastAsia="en-US" w:bidi="ar-SA"/>
    </w:rPr>
  </w:style>
  <w:style w:type="paragraph" w:customStyle="1" w:styleId="162">
    <w:name w:val="样式 宋体 五号 行距: 单倍行距"/>
    <w:basedOn w:val="1"/>
    <w:autoRedefine/>
    <w:qFormat/>
    <w:uiPriority w:val="0"/>
    <w:pPr>
      <w:adjustRightInd w:val="0"/>
      <w:jc w:val="left"/>
      <w:textAlignment w:val="baseline"/>
    </w:pPr>
    <w:rPr>
      <w:rFonts w:ascii="宋体" w:hAnsi="宋体"/>
      <w:kern w:val="0"/>
      <w:szCs w:val="20"/>
    </w:rPr>
  </w:style>
  <w:style w:type="paragraph" w:customStyle="1" w:styleId="163">
    <w:name w:val="Notes Text List"/>
    <w:basedOn w:val="164"/>
    <w:autoRedefine/>
    <w:qFormat/>
    <w:uiPriority w:val="0"/>
    <w:pPr>
      <w:keepNext w:val="0"/>
      <w:numPr>
        <w:ilvl w:val="0"/>
        <w:numId w:val="10"/>
      </w:numPr>
      <w:pBdr>
        <w:bottom w:val="none" w:color="auto" w:sz="0" w:space="0"/>
      </w:pBdr>
      <w:tabs>
        <w:tab w:val="left" w:pos="1985"/>
      </w:tabs>
      <w:spacing w:before="40" w:line="200" w:lineRule="atLeast"/>
    </w:pPr>
    <w:rPr>
      <w:sz w:val="18"/>
      <w:szCs w:val="18"/>
    </w:rPr>
  </w:style>
  <w:style w:type="paragraph" w:customStyle="1" w:styleId="164">
    <w:name w:val="CAUTION Text List"/>
    <w:basedOn w:val="165"/>
    <w:autoRedefine/>
    <w:qFormat/>
    <w:uiPriority w:val="0"/>
    <w:pPr>
      <w:keepNext/>
      <w:numPr>
        <w:ilvl w:val="0"/>
        <w:numId w:val="11"/>
      </w:numPr>
    </w:pPr>
  </w:style>
  <w:style w:type="paragraph" w:customStyle="1" w:styleId="165">
    <w:name w:val="CAUTION Text"/>
    <w:basedOn w:val="1"/>
    <w:autoRedefine/>
    <w:qFormat/>
    <w:uiPriority w:val="0"/>
    <w:pPr>
      <w:keepLines/>
      <w:widowControl/>
      <w:pBdr>
        <w:bottom w:val="single" w:color="auto" w:sz="12" w:space="4"/>
      </w:pBdr>
      <w:topLinePunct/>
      <w:adjustRightInd w:val="0"/>
      <w:snapToGrid w:val="0"/>
      <w:spacing w:before="80" w:after="80" w:line="240" w:lineRule="atLeast"/>
      <w:ind w:left="1701"/>
      <w:jc w:val="left"/>
    </w:pPr>
    <w:rPr>
      <w:rFonts w:hint="eastAsia" w:eastAsia="楷体_GB2312" w:cs="Arial"/>
      <w:iCs/>
      <w:szCs w:val="21"/>
    </w:rPr>
  </w:style>
  <w:style w:type="paragraph" w:customStyle="1" w:styleId="166">
    <w:name w:val="Notes Heading in Table"/>
    <w:next w:val="126"/>
    <w:autoRedefine/>
    <w:qFormat/>
    <w:uiPriority w:val="0"/>
    <w:pPr>
      <w:keepNext/>
      <w:adjustRightInd w:val="0"/>
      <w:snapToGrid w:val="0"/>
      <w:spacing w:before="80" w:after="40" w:line="240" w:lineRule="atLeast"/>
    </w:pPr>
    <w:rPr>
      <w:rFonts w:ascii="Times New Roman" w:hAnsi="Times New Roman" w:eastAsia="黑体" w:cs="Arial"/>
      <w:bCs/>
      <w:kern w:val="2"/>
      <w:sz w:val="18"/>
      <w:szCs w:val="18"/>
      <w:lang w:val="en-US" w:eastAsia="zh-CN" w:bidi="ar-SA"/>
    </w:rPr>
  </w:style>
  <w:style w:type="paragraph" w:customStyle="1" w:styleId="167">
    <w:name w:val="正文_1_1_0"/>
    <w:autoRedefine/>
    <w:qFormat/>
    <w:uiPriority w:val="0"/>
    <w:pPr>
      <w:widowControl w:val="0"/>
      <w:jc w:val="both"/>
    </w:pPr>
    <w:rPr>
      <w:rFonts w:ascii="Times New Roman" w:hAnsi="Times New Roman" w:eastAsia="宋体" w:cs="Times New Roman"/>
      <w:lang w:val="en-US" w:eastAsia="zh-CN" w:bidi="ar-SA"/>
    </w:rPr>
  </w:style>
  <w:style w:type="paragraph" w:customStyle="1" w:styleId="168">
    <w:name w:val="Heading Right"/>
    <w:basedOn w:val="1"/>
    <w:autoRedefine/>
    <w:qFormat/>
    <w:uiPriority w:val="0"/>
    <w:pPr>
      <w:widowControl/>
      <w:topLinePunct/>
      <w:adjustRightInd w:val="0"/>
      <w:snapToGrid w:val="0"/>
      <w:spacing w:line="240" w:lineRule="atLeast"/>
      <w:jc w:val="right"/>
    </w:pPr>
    <w:rPr>
      <w:rFonts w:hint="eastAsia" w:cs="Arial"/>
      <w:sz w:val="20"/>
      <w:szCs w:val="20"/>
    </w:rPr>
  </w:style>
  <w:style w:type="paragraph" w:customStyle="1" w:styleId="169">
    <w:name w:val="xl84"/>
    <w:basedOn w:val="1"/>
    <w:autoRedefine/>
    <w:qFormat/>
    <w:uiPriority w:val="0"/>
    <w:pPr>
      <w:widowControl/>
      <w:pBdr>
        <w:top w:val="single" w:color="auto" w:sz="4" w:space="0"/>
        <w:right w:val="single" w:color="auto" w:sz="4" w:space="0"/>
      </w:pBdr>
      <w:shd w:val="clear" w:color="000000" w:fill="16365C"/>
      <w:spacing w:before="100" w:beforeAutospacing="1" w:after="100" w:afterAutospacing="1"/>
      <w:jc w:val="center"/>
      <w:textAlignment w:val="center"/>
    </w:pPr>
    <w:rPr>
      <w:rFonts w:ascii="仿宋" w:hAnsi="仿宋" w:eastAsia="仿宋" w:cs="宋体"/>
      <w:b/>
      <w:bCs/>
      <w:color w:val="FFFFFF"/>
      <w:kern w:val="0"/>
      <w:sz w:val="24"/>
    </w:rPr>
  </w:style>
  <w:style w:type="paragraph" w:customStyle="1" w:styleId="170">
    <w:name w:val="商务4"/>
    <w:basedOn w:val="5"/>
    <w:autoRedefine/>
    <w:qFormat/>
    <w:uiPriority w:val="0"/>
    <w:pPr>
      <w:numPr>
        <w:ilvl w:val="3"/>
        <w:numId w:val="8"/>
      </w:numPr>
      <w:spacing w:line="360" w:lineRule="auto"/>
      <w:jc w:val="left"/>
    </w:pPr>
    <w:rPr>
      <w:rFonts w:ascii="Times New Roman" w:hAnsi="Times New Roman" w:eastAsia="黑体" w:cs="Times New Roman"/>
      <w:bCs w:val="0"/>
      <w:szCs w:val="20"/>
    </w:rPr>
  </w:style>
  <w:style w:type="paragraph" w:customStyle="1" w:styleId="171">
    <w:name w:val="xl104"/>
    <w:basedOn w:val="1"/>
    <w:autoRedefine/>
    <w:qFormat/>
    <w:uiPriority w:val="0"/>
    <w:pPr>
      <w:widowControl/>
      <w:pBdr>
        <w:top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仿宋" w:hAnsi="仿宋" w:eastAsia="仿宋" w:cs="宋体"/>
      <w:b/>
      <w:bCs/>
      <w:kern w:val="0"/>
      <w:sz w:val="24"/>
    </w:rPr>
  </w:style>
  <w:style w:type="paragraph" w:customStyle="1" w:styleId="172">
    <w:name w:val="Sub Item Step in Table List"/>
    <w:autoRedefine/>
    <w:qFormat/>
    <w:uiPriority w:val="0"/>
    <w:pPr>
      <w:tabs>
        <w:tab w:val="left" w:pos="284"/>
      </w:tabs>
      <w:adjustRightInd w:val="0"/>
      <w:snapToGrid w:val="0"/>
      <w:spacing w:before="80" w:after="80" w:line="240" w:lineRule="atLeast"/>
      <w:ind w:left="568" w:hanging="284"/>
    </w:pPr>
    <w:rPr>
      <w:rFonts w:hint="eastAsia" w:ascii="Times New Roman" w:hAnsi="Times New Roman" w:eastAsia="宋体" w:cs="Arial"/>
      <w:sz w:val="21"/>
      <w:szCs w:val="21"/>
      <w:lang w:val="en-US" w:eastAsia="zh-CN" w:bidi="ar-SA"/>
    </w:rPr>
  </w:style>
  <w:style w:type="paragraph" w:customStyle="1" w:styleId="173">
    <w:name w:val="Figure Description in Appendix"/>
    <w:basedOn w:val="151"/>
    <w:next w:val="151"/>
    <w:autoRedefine/>
    <w:qFormat/>
    <w:uiPriority w:val="0"/>
    <w:pPr>
      <w:numPr>
        <w:ilvl w:val="7"/>
        <w:numId w:val="7"/>
      </w:numPr>
      <w:spacing w:before="320" w:after="80"/>
    </w:pPr>
    <w:rPr>
      <w:rFonts w:eastAsia="黑体"/>
      <w:spacing w:val="-4"/>
    </w:rPr>
  </w:style>
  <w:style w:type="paragraph" w:customStyle="1" w:styleId="174">
    <w:name w:val="xl100"/>
    <w:basedOn w:val="1"/>
    <w:autoRedefine/>
    <w:qFormat/>
    <w:uiPriority w:val="0"/>
    <w:pPr>
      <w:widowControl/>
      <w:pBdr>
        <w:top w:val="single" w:color="auto" w:sz="4" w:space="0"/>
        <w:left w:val="single" w:color="auto" w:sz="4" w:space="0"/>
        <w:right w:val="single" w:color="auto" w:sz="4" w:space="0"/>
      </w:pBdr>
      <w:shd w:val="clear" w:color="000000" w:fill="D9D9D9"/>
      <w:spacing w:before="100" w:beforeAutospacing="1" w:after="100" w:afterAutospacing="1"/>
      <w:jc w:val="center"/>
      <w:textAlignment w:val="center"/>
    </w:pPr>
    <w:rPr>
      <w:rFonts w:ascii="仿宋" w:hAnsi="仿宋" w:eastAsia="仿宋" w:cs="宋体"/>
      <w:b/>
      <w:bCs/>
      <w:kern w:val="0"/>
      <w:sz w:val="24"/>
    </w:rPr>
  </w:style>
  <w:style w:type="paragraph" w:customStyle="1" w:styleId="175">
    <w:name w:val="Step in Appendix"/>
    <w:basedOn w:val="176"/>
    <w:autoRedefine/>
    <w:qFormat/>
    <w:uiPriority w:val="0"/>
    <w:pPr>
      <w:numPr>
        <w:ilvl w:val="5"/>
        <w:numId w:val="7"/>
      </w:numPr>
      <w:topLinePunct w:val="0"/>
      <w:outlineLvl w:val="4"/>
    </w:pPr>
  </w:style>
  <w:style w:type="paragraph" w:customStyle="1" w:styleId="176">
    <w:name w:val="Step"/>
    <w:basedOn w:val="1"/>
    <w:autoRedefine/>
    <w:qFormat/>
    <w:uiPriority w:val="0"/>
    <w:pPr>
      <w:widowControl/>
      <w:tabs>
        <w:tab w:val="left" w:pos="1701"/>
      </w:tabs>
      <w:topLinePunct/>
      <w:adjustRightInd w:val="0"/>
      <w:snapToGrid w:val="0"/>
      <w:spacing w:before="160" w:after="160" w:line="240" w:lineRule="atLeast"/>
      <w:ind w:left="1701" w:hanging="159"/>
      <w:jc w:val="left"/>
    </w:pPr>
    <w:rPr>
      <w:rFonts w:hint="eastAsia" w:cs="Arial"/>
      <w:snapToGrid w:val="0"/>
      <w:kern w:val="0"/>
      <w:szCs w:val="21"/>
    </w:rPr>
  </w:style>
  <w:style w:type="paragraph" w:customStyle="1" w:styleId="177">
    <w:name w:val="表格文本"/>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78">
    <w:name w:val="xl95"/>
    <w:basedOn w:val="1"/>
    <w:autoRedefine/>
    <w:qFormat/>
    <w:uiPriority w:val="0"/>
    <w:pPr>
      <w:widowControl/>
      <w:pBdr>
        <w:bottom w:val="single" w:color="auto" w:sz="4" w:space="0"/>
        <w:right w:val="single" w:color="auto" w:sz="4" w:space="0"/>
      </w:pBdr>
      <w:shd w:val="clear" w:color="000000" w:fill="16365C"/>
      <w:spacing w:before="100" w:beforeAutospacing="1" w:after="100" w:afterAutospacing="1"/>
      <w:jc w:val="center"/>
      <w:textAlignment w:val="center"/>
    </w:pPr>
    <w:rPr>
      <w:rFonts w:ascii="仿宋" w:hAnsi="仿宋" w:eastAsia="仿宋" w:cs="宋体"/>
      <w:color w:val="FFFFFF"/>
      <w:kern w:val="0"/>
      <w:sz w:val="24"/>
    </w:rPr>
  </w:style>
  <w:style w:type="paragraph" w:customStyle="1" w:styleId="179">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微软雅黑" w:hAnsi="微软雅黑" w:eastAsia="微软雅黑" w:cs="宋体"/>
      <w:b/>
      <w:bCs/>
      <w:kern w:val="0"/>
      <w:sz w:val="18"/>
      <w:szCs w:val="18"/>
    </w:rPr>
  </w:style>
  <w:style w:type="paragraph" w:customStyle="1" w:styleId="180">
    <w:name w:val="Table Description"/>
    <w:basedOn w:val="1"/>
    <w:next w:val="1"/>
    <w:autoRedefine/>
    <w:qFormat/>
    <w:uiPriority w:val="0"/>
    <w:pPr>
      <w:keepNext/>
      <w:widowControl/>
      <w:topLinePunct/>
      <w:adjustRightInd w:val="0"/>
      <w:snapToGrid w:val="0"/>
      <w:spacing w:before="320" w:after="80" w:line="240" w:lineRule="atLeast"/>
      <w:ind w:left="1701"/>
      <w:jc w:val="left"/>
    </w:pPr>
    <w:rPr>
      <w:rFonts w:hint="eastAsia" w:eastAsia="黑体" w:cs="Arial"/>
      <w:spacing w:val="-4"/>
      <w:szCs w:val="21"/>
    </w:rPr>
  </w:style>
  <w:style w:type="paragraph" w:customStyle="1" w:styleId="181">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82">
    <w:name w:val="Item Step in Appendix"/>
    <w:basedOn w:val="112"/>
    <w:autoRedefine/>
    <w:qFormat/>
    <w:uiPriority w:val="0"/>
    <w:pPr>
      <w:numPr>
        <w:ilvl w:val="6"/>
        <w:numId w:val="7"/>
      </w:numPr>
      <w:outlineLvl w:val="5"/>
    </w:pPr>
  </w:style>
  <w:style w:type="paragraph" w:customStyle="1" w:styleId="183">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84">
    <w:name w:val="Item List in Table Text"/>
    <w:basedOn w:val="85"/>
    <w:autoRedefine/>
    <w:qFormat/>
    <w:uiPriority w:val="0"/>
    <w:pPr>
      <w:ind w:left="284"/>
    </w:pPr>
    <w:rPr>
      <w:rFonts w:hint="eastAsia"/>
    </w:rPr>
  </w:style>
  <w:style w:type="paragraph" w:customStyle="1" w:styleId="185">
    <w:name w:val="正文文字2"/>
    <w:basedOn w:val="14"/>
    <w:autoRedefine/>
    <w:qFormat/>
    <w:uiPriority w:val="0"/>
    <w:pPr>
      <w:adjustRightInd w:val="0"/>
      <w:spacing w:after="60" w:line="360" w:lineRule="atLeast"/>
      <w:ind w:left="72" w:leftChars="30" w:right="72" w:rightChars="30"/>
      <w:jc w:val="center"/>
      <w:textAlignment w:val="baseline"/>
    </w:pPr>
    <w:rPr>
      <w:rFonts w:ascii="Arial" w:eastAsia="黑体"/>
      <w:kern w:val="0"/>
      <w:szCs w:val="20"/>
    </w:rPr>
  </w:style>
  <w:style w:type="paragraph" w:customStyle="1" w:styleId="186">
    <w:name w:val=" Char"/>
    <w:basedOn w:val="1"/>
    <w:autoRedefine/>
    <w:semiHidden/>
    <w:qFormat/>
    <w:uiPriority w:val="0"/>
    <w:pPr>
      <w:widowControl/>
      <w:spacing w:after="160" w:line="240" w:lineRule="exact"/>
      <w:jc w:val="left"/>
    </w:pPr>
    <w:rPr>
      <w:rFonts w:ascii="Arial" w:hAnsi="Arial" w:cs="Arial"/>
      <w:kern w:val="0"/>
      <w:sz w:val="22"/>
      <w:szCs w:val="22"/>
      <w:lang w:eastAsia="en-US"/>
    </w:rPr>
  </w:style>
  <w:style w:type="paragraph" w:customStyle="1" w:styleId="187">
    <w:name w:val="Table Description in Appendix"/>
    <w:basedOn w:val="180"/>
    <w:next w:val="1"/>
    <w:autoRedefine/>
    <w:qFormat/>
    <w:uiPriority w:val="0"/>
    <w:pPr>
      <w:numPr>
        <w:ilvl w:val="8"/>
        <w:numId w:val="7"/>
      </w:numPr>
      <w:topLinePunct w:val="0"/>
    </w:pPr>
  </w:style>
  <w:style w:type="paragraph" w:customStyle="1" w:styleId="188">
    <w:name w:val="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89">
    <w:name w:val="Notes Text Step"/>
    <w:basedOn w:val="190"/>
    <w:autoRedefine/>
    <w:qFormat/>
    <w:uiPriority w:val="0"/>
    <w:pPr>
      <w:pBdr>
        <w:bottom w:val="none" w:color="auto" w:sz="0" w:space="0"/>
      </w:pBdr>
      <w:tabs>
        <w:tab w:val="left" w:pos="1985"/>
      </w:tabs>
      <w:spacing w:before="40" w:line="200" w:lineRule="atLeast"/>
    </w:pPr>
    <w:rPr>
      <w:sz w:val="18"/>
      <w:szCs w:val="18"/>
    </w:rPr>
  </w:style>
  <w:style w:type="paragraph" w:customStyle="1" w:styleId="190">
    <w:name w:val="CAUTION Text Step"/>
    <w:basedOn w:val="1"/>
    <w:autoRedefine/>
    <w:qFormat/>
    <w:uiPriority w:val="0"/>
    <w:pPr>
      <w:keepNext/>
      <w:keepLines/>
      <w:widowControl/>
      <w:pBdr>
        <w:bottom w:val="single" w:color="auto" w:sz="12" w:space="4"/>
      </w:pBdr>
      <w:tabs>
        <w:tab w:val="left" w:pos="1985"/>
      </w:tabs>
      <w:topLinePunct/>
      <w:adjustRightInd w:val="0"/>
      <w:snapToGrid w:val="0"/>
      <w:spacing w:before="80" w:after="80" w:line="240" w:lineRule="atLeast"/>
      <w:ind w:left="1985" w:hanging="284"/>
      <w:jc w:val="left"/>
    </w:pPr>
    <w:rPr>
      <w:rFonts w:hint="eastAsia" w:eastAsia="楷体_GB2312" w:cs="Arial"/>
      <w:iCs/>
      <w:szCs w:val="21"/>
    </w:rPr>
  </w:style>
  <w:style w:type="paragraph" w:customStyle="1" w:styleId="191">
    <w:name w:val="Notes Text"/>
    <w:basedOn w:val="1"/>
    <w:autoRedefine/>
    <w:qFormat/>
    <w:uiPriority w:val="0"/>
    <w:pPr>
      <w:keepLines/>
      <w:widowControl/>
      <w:topLinePunct/>
      <w:adjustRightInd w:val="0"/>
      <w:snapToGrid w:val="0"/>
      <w:spacing w:before="40" w:after="80" w:line="200" w:lineRule="atLeast"/>
      <w:ind w:left="2075"/>
      <w:jc w:val="left"/>
    </w:pPr>
    <w:rPr>
      <w:rFonts w:hint="eastAsia" w:eastAsia="楷体_GB2312" w:cs="Arial"/>
      <w:iCs/>
      <w:sz w:val="18"/>
      <w:szCs w:val="18"/>
    </w:rPr>
  </w:style>
  <w:style w:type="paragraph" w:customStyle="1" w:styleId="192">
    <w:name w:val="样式1"/>
    <w:basedOn w:val="1"/>
    <w:autoRedefine/>
    <w:qFormat/>
    <w:uiPriority w:val="0"/>
    <w:pPr>
      <w:tabs>
        <w:tab w:val="left" w:pos="480"/>
      </w:tabs>
      <w:adjustRightInd w:val="0"/>
      <w:ind w:left="480" w:hanging="480"/>
      <w:textAlignment w:val="baseline"/>
    </w:pPr>
    <w:rPr>
      <w:rFonts w:ascii="宋体" w:hAnsi="宋体"/>
      <w:kern w:val="0"/>
      <w:szCs w:val="21"/>
    </w:rPr>
  </w:style>
  <w:style w:type="paragraph" w:customStyle="1" w:styleId="193">
    <w:name w:val="Sub Item List in Table"/>
    <w:basedOn w:val="1"/>
    <w:autoRedefine/>
    <w:qFormat/>
    <w:uiPriority w:val="0"/>
    <w:pPr>
      <w:widowControl/>
      <w:numPr>
        <w:ilvl w:val="2"/>
        <w:numId w:val="6"/>
      </w:numPr>
      <w:topLinePunct/>
      <w:adjustRightInd w:val="0"/>
      <w:snapToGrid w:val="0"/>
      <w:spacing w:before="80" w:after="80" w:line="240" w:lineRule="atLeast"/>
      <w:jc w:val="left"/>
    </w:pPr>
    <w:rPr>
      <w:rFonts w:hint="eastAsia" w:cs="Arial"/>
      <w:szCs w:val="21"/>
    </w:rPr>
  </w:style>
  <w:style w:type="paragraph" w:customStyle="1" w:styleId="194">
    <w:name w:val="Cover 5"/>
    <w:basedOn w:val="1"/>
    <w:autoRedefine/>
    <w:qFormat/>
    <w:uiPriority w:val="0"/>
    <w:pPr>
      <w:topLinePunct/>
      <w:adjustRightInd w:val="0"/>
      <w:snapToGrid w:val="0"/>
      <w:jc w:val="left"/>
    </w:pPr>
    <w:rPr>
      <w:rFonts w:hint="eastAsia" w:ascii="Arial" w:cs="Arial"/>
      <w:sz w:val="18"/>
      <w:szCs w:val="18"/>
    </w:rPr>
  </w:style>
  <w:style w:type="paragraph" w:customStyle="1" w:styleId="195">
    <w:name w:val="xl79"/>
    <w:basedOn w:val="1"/>
    <w:autoRedefine/>
    <w:qFormat/>
    <w:uiPriority w:val="0"/>
    <w:pPr>
      <w:widowControl/>
      <w:pBdr>
        <w:top w:val="single" w:color="auto" w:sz="4" w:space="0"/>
        <w:left w:val="single" w:color="auto" w:sz="4" w:space="0"/>
        <w:bottom w:val="single" w:color="auto" w:sz="4" w:space="0"/>
      </w:pBdr>
      <w:shd w:val="clear" w:color="000000" w:fill="16365C"/>
      <w:spacing w:before="100" w:beforeAutospacing="1" w:after="100" w:afterAutospacing="1"/>
      <w:jc w:val="center"/>
      <w:textAlignment w:val="center"/>
    </w:pPr>
    <w:rPr>
      <w:rFonts w:ascii="仿宋" w:hAnsi="仿宋" w:eastAsia="仿宋" w:cs="宋体"/>
      <w:b/>
      <w:bCs/>
      <w:color w:val="FFFFFF"/>
      <w:kern w:val="0"/>
      <w:sz w:val="24"/>
    </w:rPr>
  </w:style>
  <w:style w:type="paragraph" w:customStyle="1" w:styleId="196">
    <w:name w:val="样式 样式 样式 样式 标题 2 + 宋体 五号 非加粗 黑色 + 段前: 6 磅 段后: 0 磅 行距: 单倍行距 + 段前:..."/>
    <w:basedOn w:val="1"/>
    <w:autoRedefine/>
    <w:qFormat/>
    <w:uiPriority w:val="0"/>
    <w:pPr>
      <w:keepNext/>
      <w:keepLines/>
      <w:adjustRightInd w:val="0"/>
      <w:spacing w:before="240"/>
      <w:textAlignment w:val="baseline"/>
      <w:outlineLvl w:val="1"/>
    </w:pPr>
    <w:rPr>
      <w:rFonts w:ascii="宋体" w:hAnsi="宋体"/>
      <w:b/>
      <w:bCs/>
      <w:kern w:val="0"/>
      <w:szCs w:val="20"/>
    </w:rPr>
  </w:style>
  <w:style w:type="paragraph" w:customStyle="1" w:styleId="197">
    <w:name w:val="xl98"/>
    <w:basedOn w:val="1"/>
    <w:autoRedefine/>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198">
    <w:name w:val="图"/>
    <w:basedOn w:val="1"/>
    <w:autoRedefine/>
    <w:qFormat/>
    <w:uiPriority w:val="0"/>
    <w:pPr>
      <w:keepNext/>
      <w:adjustRightInd w:val="0"/>
      <w:spacing w:before="60" w:after="60" w:line="300" w:lineRule="auto"/>
      <w:jc w:val="center"/>
      <w:textAlignment w:val="center"/>
    </w:pPr>
    <w:rPr>
      <w:rFonts w:ascii="Calibri" w:hAnsi="Calibri" w:eastAsia="宋体" w:cs="Times New Roman"/>
      <w:snapToGrid w:val="0"/>
      <w:spacing w:val="20"/>
      <w:kern w:val="0"/>
      <w:sz w:val="24"/>
      <w:szCs w:val="20"/>
    </w:rPr>
  </w:style>
  <w:style w:type="paragraph" w:customStyle="1" w:styleId="199">
    <w:name w:val="WPSOffice手动目录 1"/>
    <w:autoRedefine/>
    <w:qFormat/>
    <w:uiPriority w:val="0"/>
    <w:rPr>
      <w:rFonts w:ascii="Times New Roman" w:hAnsi="Times New Roman" w:eastAsia="宋体" w:cs="Times New Roman"/>
      <w:lang w:val="en-US" w:eastAsia="zh-CN" w:bidi="ar-SA"/>
    </w:rPr>
  </w:style>
  <w:style w:type="paragraph" w:customStyle="1" w:styleId="200">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left"/>
      <w:textAlignment w:val="center"/>
    </w:pPr>
    <w:rPr>
      <w:rFonts w:ascii="微软雅黑" w:hAnsi="微软雅黑" w:eastAsia="微软雅黑" w:cs="宋体"/>
      <w:b/>
      <w:bCs/>
      <w:kern w:val="0"/>
      <w:sz w:val="18"/>
      <w:szCs w:val="18"/>
    </w:rPr>
  </w:style>
  <w:style w:type="paragraph" w:customStyle="1" w:styleId="201">
    <w:name w:val="Fourth Level Item Step"/>
    <w:autoRedefine/>
    <w:qFormat/>
    <w:uiPriority w:val="0"/>
    <w:pPr>
      <w:numPr>
        <w:ilvl w:val="3"/>
        <w:numId w:val="5"/>
      </w:numPr>
      <w:adjustRightInd w:val="0"/>
      <w:snapToGrid w:val="0"/>
      <w:spacing w:before="80" w:after="80" w:line="240" w:lineRule="atLeast"/>
    </w:pPr>
    <w:rPr>
      <w:rFonts w:hint="eastAsia" w:ascii="Times New Roman" w:hAnsi="Times New Roman" w:eastAsia="宋体" w:cs="Arial"/>
      <w:sz w:val="21"/>
      <w:szCs w:val="21"/>
      <w:lang w:val="en-US" w:eastAsia="zh-CN" w:bidi="ar-SA"/>
    </w:rPr>
  </w:style>
  <w:style w:type="paragraph" w:customStyle="1" w:styleId="202">
    <w:name w:val="xl7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16365C"/>
      <w:spacing w:before="100" w:beforeAutospacing="1" w:after="100" w:afterAutospacing="1"/>
      <w:jc w:val="center"/>
      <w:textAlignment w:val="center"/>
    </w:pPr>
    <w:rPr>
      <w:rFonts w:ascii="仿宋" w:hAnsi="仿宋" w:eastAsia="仿宋" w:cs="宋体"/>
      <w:b/>
      <w:bCs/>
      <w:color w:val="FFFFFF"/>
      <w:kern w:val="0"/>
      <w:sz w:val="24"/>
    </w:rPr>
  </w:style>
  <w:style w:type="paragraph" w:customStyle="1" w:styleId="203">
    <w:name w:val="正文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04">
    <w:name w:val="Body Text 2"/>
    <w:basedOn w:val="1"/>
    <w:autoRedefine/>
    <w:qFormat/>
    <w:uiPriority w:val="0"/>
    <w:pPr>
      <w:autoSpaceDE w:val="0"/>
      <w:autoSpaceDN w:val="0"/>
      <w:adjustRightInd w:val="0"/>
      <w:spacing w:before="20" w:after="20" w:line="360" w:lineRule="atLeast"/>
      <w:ind w:firstLine="680"/>
      <w:textAlignment w:val="baseline"/>
    </w:pPr>
    <w:rPr>
      <w:rFonts w:ascii="宋体" w:hAnsi="Tms Rmn"/>
      <w:kern w:val="0"/>
      <w:sz w:val="24"/>
      <w:szCs w:val="20"/>
    </w:rPr>
  </w:style>
  <w:style w:type="paragraph" w:customStyle="1" w:styleId="205">
    <w:name w:val="xl87"/>
    <w:basedOn w:val="1"/>
    <w:autoRedefine/>
    <w:qFormat/>
    <w:uiPriority w:val="0"/>
    <w:pPr>
      <w:widowControl/>
      <w:pBdr>
        <w:left w:val="single" w:color="auto" w:sz="4" w:space="0"/>
        <w:right w:val="single" w:color="auto" w:sz="4" w:space="0"/>
      </w:pBdr>
      <w:shd w:val="clear" w:color="000000" w:fill="16365C"/>
      <w:spacing w:before="100" w:beforeAutospacing="1" w:after="100" w:afterAutospacing="1"/>
      <w:jc w:val="center"/>
      <w:textAlignment w:val="center"/>
    </w:pPr>
    <w:rPr>
      <w:rFonts w:ascii="仿宋" w:hAnsi="仿宋" w:eastAsia="仿宋" w:cs="宋体"/>
      <w:color w:val="FFFFFF"/>
      <w:kern w:val="0"/>
      <w:sz w:val="24"/>
    </w:rPr>
  </w:style>
  <w:style w:type="paragraph" w:customStyle="1" w:styleId="206">
    <w:name w:val="xl78"/>
    <w:basedOn w:val="1"/>
    <w:autoRedefine/>
    <w:qFormat/>
    <w:uiPriority w:val="0"/>
    <w:pPr>
      <w:widowControl/>
      <w:pBdr>
        <w:left w:val="single" w:color="auto" w:sz="4" w:space="0"/>
        <w:right w:val="single" w:color="auto" w:sz="4" w:space="0"/>
      </w:pBdr>
      <w:shd w:val="clear" w:color="000000" w:fill="16365C"/>
      <w:spacing w:before="100" w:beforeAutospacing="1" w:after="100" w:afterAutospacing="1"/>
      <w:jc w:val="center"/>
      <w:textAlignment w:val="center"/>
    </w:pPr>
    <w:rPr>
      <w:rFonts w:ascii="仿宋" w:hAnsi="仿宋" w:eastAsia="仿宋" w:cs="宋体"/>
      <w:b/>
      <w:bCs/>
      <w:color w:val="FFFFFF"/>
      <w:kern w:val="0"/>
      <w:sz w:val="24"/>
    </w:rPr>
  </w:style>
  <w:style w:type="paragraph" w:customStyle="1" w:styleId="207">
    <w:name w:val="样式 样式 样式 左侧:  2 字符1 + 首行缩进:  2 字符1 + 首行缩进:  2 字符"/>
    <w:basedOn w:val="1"/>
    <w:autoRedefine/>
    <w:qFormat/>
    <w:uiPriority w:val="0"/>
    <w:pPr>
      <w:widowControl/>
      <w:adjustRightInd w:val="0"/>
      <w:spacing w:before="60" w:after="120" w:line="440" w:lineRule="atLeast"/>
      <w:ind w:firstLine="480"/>
      <w:textAlignment w:val="baseline"/>
    </w:pPr>
    <w:rPr>
      <w:sz w:val="24"/>
      <w:szCs w:val="20"/>
    </w:rPr>
  </w:style>
  <w:style w:type="paragraph" w:customStyle="1" w:styleId="208">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18"/>
      <w:szCs w:val="18"/>
    </w:rPr>
  </w:style>
  <w:style w:type="paragraph" w:customStyle="1" w:styleId="209">
    <w:name w:val="xl88"/>
    <w:basedOn w:val="1"/>
    <w:autoRedefine/>
    <w:qFormat/>
    <w:uiPriority w:val="0"/>
    <w:pPr>
      <w:widowControl/>
      <w:pBdr>
        <w:left w:val="single" w:color="auto" w:sz="4" w:space="0"/>
        <w:bottom w:val="single" w:color="auto" w:sz="4" w:space="0"/>
      </w:pBdr>
      <w:shd w:val="clear" w:color="000000" w:fill="16365C"/>
      <w:spacing w:before="100" w:beforeAutospacing="1" w:after="100" w:afterAutospacing="1"/>
      <w:jc w:val="center"/>
      <w:textAlignment w:val="center"/>
    </w:pPr>
    <w:rPr>
      <w:rFonts w:ascii="仿宋" w:hAnsi="仿宋" w:eastAsia="仿宋" w:cs="宋体"/>
      <w:b/>
      <w:bCs/>
      <w:color w:val="FFFFFF"/>
      <w:kern w:val="0"/>
      <w:sz w:val="24"/>
    </w:rPr>
  </w:style>
  <w:style w:type="paragraph" w:customStyle="1" w:styleId="210">
    <w:name w:val="商务5"/>
    <w:basedOn w:val="6"/>
    <w:autoRedefine/>
    <w:qFormat/>
    <w:uiPriority w:val="0"/>
    <w:pPr>
      <w:numPr>
        <w:ilvl w:val="4"/>
        <w:numId w:val="8"/>
      </w:numPr>
      <w:topLinePunct w:val="0"/>
      <w:adjustRightInd/>
      <w:snapToGrid/>
      <w:spacing w:beforeLines="50" w:afterLines="50" w:line="360" w:lineRule="atLeast"/>
      <w:jc w:val="both"/>
      <w:textAlignment w:val="baseline"/>
    </w:pPr>
    <w:rPr>
      <w:rFonts w:hint="default" w:ascii="Times New Roman" w:hAnsi="Times New Roman" w:cs="Times New Roman"/>
      <w:szCs w:val="22"/>
    </w:rPr>
  </w:style>
  <w:style w:type="paragraph" w:customStyle="1" w:styleId="211">
    <w:name w:val="xl82"/>
    <w:basedOn w:val="1"/>
    <w:autoRedefine/>
    <w:qFormat/>
    <w:uiPriority w:val="0"/>
    <w:pPr>
      <w:widowControl/>
      <w:pBdr>
        <w:top w:val="single" w:color="auto" w:sz="4" w:space="0"/>
        <w:left w:val="single" w:color="auto" w:sz="4" w:space="0"/>
      </w:pBdr>
      <w:shd w:val="clear" w:color="000000" w:fill="16365C"/>
      <w:spacing w:before="100" w:beforeAutospacing="1" w:after="100" w:afterAutospacing="1"/>
      <w:jc w:val="center"/>
      <w:textAlignment w:val="center"/>
    </w:pPr>
    <w:rPr>
      <w:rFonts w:ascii="仿宋" w:hAnsi="仿宋" w:eastAsia="仿宋" w:cs="宋体"/>
      <w:b/>
      <w:bCs/>
      <w:color w:val="FFFFFF"/>
      <w:kern w:val="0"/>
      <w:sz w:val="24"/>
    </w:rPr>
  </w:style>
  <w:style w:type="paragraph" w:customStyle="1" w:styleId="212">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16365C"/>
      <w:spacing w:before="100" w:beforeAutospacing="1" w:after="100" w:afterAutospacing="1"/>
      <w:jc w:val="center"/>
      <w:textAlignment w:val="center"/>
    </w:pPr>
    <w:rPr>
      <w:rFonts w:ascii="仿宋" w:hAnsi="仿宋" w:eastAsia="仿宋" w:cs="宋体"/>
      <w:color w:val="FFFFFF"/>
      <w:kern w:val="0"/>
      <w:sz w:val="24"/>
    </w:rPr>
  </w:style>
  <w:style w:type="paragraph" w:customStyle="1" w:styleId="213">
    <w:name w:val="xl90"/>
    <w:basedOn w:val="1"/>
    <w:autoRedefine/>
    <w:qFormat/>
    <w:uiPriority w:val="0"/>
    <w:pPr>
      <w:widowControl/>
      <w:pBdr>
        <w:bottom w:val="single" w:color="auto" w:sz="4" w:space="0"/>
      </w:pBdr>
      <w:shd w:val="clear" w:color="000000" w:fill="16365C"/>
      <w:spacing w:before="100" w:beforeAutospacing="1" w:after="100" w:afterAutospacing="1"/>
      <w:jc w:val="center"/>
      <w:textAlignment w:val="center"/>
    </w:pPr>
    <w:rPr>
      <w:rFonts w:ascii="仿宋" w:hAnsi="仿宋" w:eastAsia="仿宋" w:cs="宋体"/>
      <w:b/>
      <w:bCs/>
      <w:color w:val="FFFFFF"/>
      <w:kern w:val="0"/>
      <w:sz w:val="24"/>
    </w:rPr>
  </w:style>
  <w:style w:type="paragraph" w:customStyle="1" w:styleId="214">
    <w:name w:val="TOC 标题1"/>
    <w:basedOn w:val="2"/>
    <w:next w:val="1"/>
    <w:autoRedefine/>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215">
    <w:name w:val="TOC 标题"/>
    <w:basedOn w:val="2"/>
    <w:next w:val="1"/>
    <w:autoRedefine/>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16">
    <w:name w:val="正文_29_3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7">
    <w:name w:val="xl86"/>
    <w:basedOn w:val="1"/>
    <w:autoRedefine/>
    <w:qFormat/>
    <w:uiPriority w:val="0"/>
    <w:pPr>
      <w:widowControl/>
      <w:pBdr>
        <w:right w:val="single" w:color="auto" w:sz="4" w:space="0"/>
      </w:pBdr>
      <w:spacing w:before="100" w:beforeAutospacing="1" w:after="100" w:afterAutospacing="1"/>
      <w:jc w:val="center"/>
    </w:pPr>
    <w:rPr>
      <w:rFonts w:ascii="宋体" w:hAnsi="宋体" w:cs="宋体"/>
      <w:kern w:val="0"/>
      <w:sz w:val="24"/>
    </w:rPr>
  </w:style>
  <w:style w:type="paragraph" w:customStyle="1" w:styleId="218">
    <w:name w:val="p15"/>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19">
    <w:name w:val="List Paragraph"/>
    <w:basedOn w:val="1"/>
    <w:autoRedefine/>
    <w:qFormat/>
    <w:uiPriority w:val="0"/>
    <w:pPr>
      <w:ind w:firstLine="420" w:firstLineChars="200"/>
    </w:pPr>
  </w:style>
  <w:style w:type="paragraph" w:customStyle="1" w:styleId="220">
    <w:name w:val="缺省文本"/>
    <w:autoRedefine/>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221">
    <w:name w:val="商务3"/>
    <w:basedOn w:val="4"/>
    <w:autoRedefine/>
    <w:qFormat/>
    <w:uiPriority w:val="0"/>
    <w:pPr>
      <w:numPr>
        <w:ilvl w:val="2"/>
        <w:numId w:val="8"/>
      </w:numPr>
      <w:tabs>
        <w:tab w:val="clear" w:pos="1080"/>
      </w:tabs>
      <w:spacing w:before="0" w:after="0" w:line="360" w:lineRule="auto"/>
      <w:jc w:val="left"/>
    </w:pPr>
    <w:rPr>
      <w:rFonts w:ascii="Times New Roman" w:hAnsi="Times New Roman" w:eastAsia="黑体"/>
      <w:b/>
      <w:bCs/>
      <w:sz w:val="30"/>
    </w:rPr>
  </w:style>
  <w:style w:type="paragraph" w:customStyle="1" w:styleId="222">
    <w:name w:val="xl92"/>
    <w:basedOn w:val="1"/>
    <w:autoRedefine/>
    <w:qFormat/>
    <w:uiPriority w:val="0"/>
    <w:pPr>
      <w:widowControl/>
      <w:pBdr>
        <w:top w:val="single" w:color="auto" w:sz="4" w:space="0"/>
        <w:left w:val="single" w:color="auto" w:sz="4" w:space="0"/>
      </w:pBdr>
      <w:shd w:val="clear" w:color="000000" w:fill="16365C"/>
      <w:spacing w:before="100" w:beforeAutospacing="1" w:after="100" w:afterAutospacing="1"/>
      <w:jc w:val="center"/>
      <w:textAlignment w:val="center"/>
    </w:pPr>
    <w:rPr>
      <w:rFonts w:ascii="仿宋" w:hAnsi="仿宋" w:eastAsia="仿宋" w:cs="宋体"/>
      <w:color w:val="FFFFFF"/>
      <w:kern w:val="0"/>
      <w:sz w:val="24"/>
    </w:rPr>
  </w:style>
  <w:style w:type="paragraph" w:customStyle="1" w:styleId="223">
    <w:name w:val="Third Level Item List"/>
    <w:basedOn w:val="1"/>
    <w:autoRedefine/>
    <w:qFormat/>
    <w:uiPriority w:val="0"/>
    <w:pPr>
      <w:widowControl/>
      <w:numPr>
        <w:ilvl w:val="1"/>
        <w:numId w:val="3"/>
      </w:numPr>
      <w:topLinePunct/>
      <w:adjustRightInd w:val="0"/>
      <w:snapToGrid w:val="0"/>
      <w:spacing w:before="80" w:after="80" w:line="240" w:lineRule="atLeast"/>
      <w:jc w:val="left"/>
    </w:pPr>
    <w:rPr>
      <w:rFonts w:hint="eastAsia" w:cs="Arial"/>
      <w:szCs w:val="21"/>
    </w:rPr>
  </w:style>
  <w:style w:type="paragraph" w:customStyle="1" w:styleId="224">
    <w:name w:val="Normal"/>
    <w:autoRedefine/>
    <w:qFormat/>
    <w:uiPriority w:val="0"/>
    <w:pPr>
      <w:widowControl w:val="0"/>
      <w:jc w:val="both"/>
    </w:pPr>
    <w:rPr>
      <w:rFonts w:ascii="Times New Roman" w:hAnsi="Times New Roman" w:eastAsia="Times New Roman" w:cs="Times New Roman"/>
      <w:lang w:val="en-US" w:eastAsia="zh-CN" w:bidi="ar-SA"/>
    </w:rPr>
  </w:style>
  <w:style w:type="table" w:customStyle="1" w:styleId="225">
    <w:name w:val="网格型2"/>
    <w:basedOn w:val="41"/>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
    <w:name w:val="网格型1"/>
    <w:basedOn w:val="41"/>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
    <w:name w:val="Table Normal"/>
    <w:autoRedefine/>
    <w:unhideWhenUsed/>
    <w:qFormat/>
    <w:uiPriority w:val="0"/>
    <w:tblPr>
      <w:tblCellMar>
        <w:top w:w="0" w:type="dxa"/>
        <w:left w:w="0" w:type="dxa"/>
        <w:bottom w:w="0" w:type="dxa"/>
        <w:right w:w="0" w:type="dxa"/>
      </w:tblCellMar>
    </w:tblPr>
  </w:style>
  <w:style w:type="table" w:customStyle="1" w:styleId="228">
    <w:name w:val="专业型2"/>
    <w:basedOn w:val="41"/>
    <w:autoRedefine/>
    <w:unhideWhenUsed/>
    <w:qFormat/>
    <w:uiPriority w:val="99"/>
    <w:pPr>
      <w:topLinePunct/>
      <w:adjustRightInd w:val="0"/>
      <w:snapToGrid w:val="0"/>
      <w:spacing w:before="160" w:after="160" w:line="240" w:lineRule="atLeast"/>
      <w:ind w:left="1701"/>
    </w:pPr>
    <w:rPr>
      <w:rFonts w:ascii="Calibri" w:hAnsi="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29">
    <w:name w:val="Table"/>
    <w:basedOn w:val="43"/>
    <w:autoRedefine/>
    <w:qFormat/>
    <w:uiPriority w:val="0"/>
    <w:pPr>
      <w:topLinePunct w:val="0"/>
      <w:adjustRightInd/>
      <w:snapToGrid/>
      <w:spacing w:before="0" w:after="0" w:line="240" w:lineRule="auto"/>
      <w:ind w:left="0"/>
    </w:pPr>
    <w:rPr>
      <w:rFonts w:ascii="Times New Roman" w:hAnsi="Times New Roman" w:cs="Arial"/>
    </w:rPr>
    <w:tblPr/>
    <w:trPr>
      <w:cantSplit/>
    </w:trPr>
    <w:tblStylePr w:type="firstRow">
      <w:rPr>
        <w:b w:val="0"/>
        <w:bCs w:val="0"/>
        <w:i w:val="0"/>
        <w:iCs w:val="0"/>
        <w:color w:val="auto"/>
        <w:sz w:val="20"/>
        <w:szCs w:val="20"/>
      </w:rPr>
      <w:tcPr>
        <w:tcBorders>
          <w:top w:val="single" w:color="auto" w:sz="6" w:space="0"/>
          <w:left w:val="single" w:color="auto" w:sz="6" w:space="0"/>
          <w:bottom w:val="single" w:color="auto" w:sz="6" w:space="0"/>
          <w:right w:val="single" w:color="auto" w:sz="6" w:space="0"/>
          <w:insideH w:val="single" w:sz="6" w:space="0"/>
          <w:insideV w:val="single" w:sz="6" w:space="0"/>
          <w:tl2br w:val="nil"/>
          <w:tr2bl w:val="nil"/>
        </w:tcBorders>
        <w:shd w:val="clear" w:color="auto" w:fill="D9D9D9"/>
      </w:tcPr>
    </w:tblStylePr>
  </w:style>
  <w:style w:type="table" w:customStyle="1" w:styleId="230">
    <w:name w:val="Table2"/>
    <w:basedOn w:val="43"/>
    <w:autoRedefine/>
    <w:qFormat/>
    <w:uiPriority w:val="0"/>
    <w:pPr>
      <w:topLinePunct w:val="0"/>
      <w:adjustRightInd/>
      <w:snapToGrid/>
      <w:spacing w:before="0" w:after="0" w:line="240" w:lineRule="auto"/>
      <w:ind w:left="0"/>
    </w:pPr>
    <w:rPr>
      <w:rFonts w:ascii="Times New Roman" w:hAnsi="Times New Roman" w:cs="Arial"/>
    </w:rPr>
    <w:tblPr/>
    <w:trPr>
      <w:cantSplit/>
    </w:trPr>
    <w:tblStylePr w:type="firstRow">
      <w:rPr>
        <w:b w:val="0"/>
        <w:bCs w:val="0"/>
        <w:i w:val="0"/>
        <w:iCs w:val="0"/>
        <w:color w:val="auto"/>
        <w:sz w:val="20"/>
        <w:szCs w:val="20"/>
      </w:rPr>
      <w:tcPr>
        <w:tcBorders>
          <w:top w:val="single" w:color="auto" w:sz="6" w:space="0"/>
          <w:left w:val="single" w:color="auto" w:sz="6" w:space="0"/>
          <w:bottom w:val="single" w:color="auto" w:sz="6" w:space="0"/>
          <w:right w:val="single" w:color="auto" w:sz="6" w:space="0"/>
          <w:insideH w:val="single" w:sz="6" w:space="0"/>
          <w:insideV w:val="single" w:sz="6" w:space="0"/>
          <w:tl2br w:val="nil"/>
          <w:tr2bl w:val="nil"/>
        </w:tcBorders>
        <w:shd w:val="clear" w:color="auto" w:fill="D9D9D9"/>
      </w:tcPr>
    </w:tblStylePr>
  </w:style>
  <w:style w:type="table" w:customStyle="1" w:styleId="231">
    <w:name w:val="专业型1"/>
    <w:basedOn w:val="41"/>
    <w:autoRedefine/>
    <w:unhideWhenUsed/>
    <w:qFormat/>
    <w:uiPriority w:val="99"/>
    <w:pPr>
      <w:topLinePunct/>
      <w:adjustRightInd w:val="0"/>
      <w:snapToGrid w:val="0"/>
      <w:spacing w:before="160" w:after="160" w:line="240" w:lineRule="atLeast"/>
      <w:ind w:left="1701"/>
    </w:pPr>
    <w:rPr>
      <w:rFonts w:ascii="Calibri" w:hAnsi="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32">
    <w:name w:val="Table1"/>
    <w:basedOn w:val="43"/>
    <w:autoRedefine/>
    <w:qFormat/>
    <w:uiPriority w:val="0"/>
    <w:pPr>
      <w:topLinePunct w:val="0"/>
      <w:adjustRightInd/>
      <w:snapToGrid/>
      <w:spacing w:before="0" w:after="0" w:line="240" w:lineRule="auto"/>
      <w:ind w:left="0"/>
    </w:pPr>
    <w:rPr>
      <w:rFonts w:ascii="Times New Roman" w:hAnsi="Times New Roman" w:cs="Arial"/>
    </w:rPr>
    <w:tblPr/>
    <w:trPr>
      <w:cantSplit/>
    </w:trPr>
    <w:tblStylePr w:type="firstRow">
      <w:rPr>
        <w:b w:val="0"/>
        <w:bCs w:val="0"/>
        <w:i w:val="0"/>
        <w:iCs w:val="0"/>
        <w:color w:val="auto"/>
        <w:sz w:val="20"/>
        <w:szCs w:val="20"/>
      </w:rPr>
      <w:tcPr>
        <w:tcBorders>
          <w:top w:val="single" w:color="auto" w:sz="6" w:space="0"/>
          <w:left w:val="single" w:color="auto" w:sz="6" w:space="0"/>
          <w:bottom w:val="single" w:color="auto" w:sz="6" w:space="0"/>
          <w:right w:val="single" w:color="auto" w:sz="6" w:space="0"/>
          <w:insideH w:val="single" w:sz="6" w:space="0"/>
          <w:insideV w:val="single" w:sz="6" w:space="0"/>
          <w:tl2br w:val="nil"/>
          <w:tr2bl w:val="nil"/>
        </w:tcBorders>
        <w:shd w:val="clear" w:color="auto" w:fill="D9D9D9"/>
      </w:tcPr>
    </w:tblStylePr>
  </w:style>
  <w:style w:type="character" w:customStyle="1" w:styleId="233">
    <w:name w:val="font41"/>
    <w:basedOn w:val="44"/>
    <w:qFormat/>
    <w:uiPriority w:val="0"/>
    <w:rPr>
      <w:rFonts w:ascii="Helvetica" w:hAnsi="Helvetica" w:eastAsia="Helvetica" w:cs="Helvetica"/>
      <w:color w:val="000000"/>
      <w:sz w:val="23"/>
      <w:szCs w:val="23"/>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74</Pages>
  <Words>20661</Words>
  <Characters>22030</Characters>
  <Lines>302</Lines>
  <Paragraphs>85</Paragraphs>
  <TotalTime>1</TotalTime>
  <ScaleCrop>false</ScaleCrop>
  <LinksUpToDate>false</LinksUpToDate>
  <CharactersWithSpaces>23947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2023-07-12T10:57:00Z</dcterms:created>
  <dc:creator>h</dc:creator>
  <cp:lastModifiedBy>WPS18</cp:lastModifiedBy>
  <cp:lastPrinted>2025-06-26T05:11:00Z</cp:lastPrinted>
  <dcterms:modified xsi:type="dcterms:W3CDTF">2025-06-26T12:04:10Z</dcterms:modified>
  <dc:title>自治区政府采购印刷品招标技术规范书</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05473D3946E04F8DADEFF879E77CB945_13</vt:lpwstr>
  </property>
  <property fmtid="{D5CDD505-2E9C-101B-9397-08002B2CF9AE}" pid="4" name="KSOSaveFontToCloudKey">
    <vt:lpwstr>457107437_cloud</vt:lpwstr>
  </property>
  <property fmtid="{D5CDD505-2E9C-101B-9397-08002B2CF9AE}" pid="5" name="commondata">
    <vt:lpwstr>eyJoZGlkIjoiZDIxYjA3YWVjMzJjYTk4MjlmMGYzYjQzNDFlZmNjZmYifQ==</vt:lpwstr>
  </property>
  <property fmtid="{D5CDD505-2E9C-101B-9397-08002B2CF9AE}" pid="6" name="KSOTemplateDocerSaveRecord">
    <vt:lpwstr>eyJoZGlkIjoiNWY5YmE2ODI5Yzc4MjkwMzRjNDkxMWU4NzY2OGRkYmEiLCJ1c2VySWQiOiIxNjM5MTI2NDYzIn0=</vt:lpwstr>
  </property>
</Properties>
</file>