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8C41E">
      <w:pPr>
        <w:rPr>
          <w:rFonts w:hint="eastAsia" w:ascii="仿宋_GB2312" w:hAnsi="仿宋_GB2312" w:eastAsia="仿宋_GB2312" w:cs="仿宋_GB2312"/>
        </w:rPr>
      </w:pPr>
    </w:p>
    <w:p w14:paraId="4C631874">
      <w:pPr>
        <w:rPr>
          <w:rFonts w:hint="eastAsia" w:ascii="仿宋_GB2312" w:hAnsi="仿宋_GB2312" w:eastAsia="仿宋_GB2312" w:cs="仿宋_GB2312"/>
        </w:rPr>
      </w:pPr>
    </w:p>
    <w:p w14:paraId="74906F5E">
      <w:pPr>
        <w:tabs>
          <w:tab w:val="left" w:pos="5196"/>
        </w:tabs>
        <w:jc w:val="left"/>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6"/>
          <w:szCs w:val="36"/>
          <w:lang w:eastAsia="zh-CN"/>
        </w:rPr>
        <w:tab/>
      </w:r>
    </w:p>
    <w:p w14:paraId="430C3D8E">
      <w:pPr>
        <w:jc w:val="center"/>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pgNumType w:fmt="numberInDash"/>
          <w:cols w:space="0" w:num="1"/>
          <w:rtlGutter w:val="0"/>
          <w:docGrid w:type="lines" w:linePitch="387" w:charSpace="0"/>
        </w:sect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8"/>
                    <a:srcRect l="22113" t="29394" r="21666" b="28715"/>
                    <a:stretch>
                      <a:fillRect/>
                    </a:stretch>
                  </pic:blipFill>
                  <pic:spPr>
                    <a:xfrm>
                      <a:off x="0" y="0"/>
                      <a:ext cx="1417320" cy="1410970"/>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4E00C">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《自治区市场监管“十四五”规划》总结评估项目</w:t>
                            </w:r>
                          </w:p>
                          <w:p w14:paraId="5A7D58F2">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（项目编号：SJX-2025-350）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63B4E00C">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《自治区市场监管“十四五”规划》总结评估项目</w:t>
                      </w:r>
                    </w:p>
                    <w:p w14:paraId="5A7D58F2">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（项目编号：SJX-2025-350）</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52033C">
                            <w:pPr>
                              <w:pStyle w:val="2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4A52033C">
                      <w:pPr>
                        <w:pStyle w:val="2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5309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采购人：新疆维吾尔自治区市场监督管理局（盖章）</w:t>
                            </w:r>
                          </w:p>
                          <w:p w14:paraId="38308C25">
                            <w:pPr>
                              <w:jc w:val="left"/>
                              <w:rPr>
                                <w:rFonts w:hint="eastAsia" w:ascii="微软雅黑" w:hAnsi="微软雅黑" w:eastAsia="微软雅黑" w:cs="微软雅黑"/>
                                <w:b/>
                                <w:bCs/>
                                <w:color w:val="237085"/>
                                <w:sz w:val="32"/>
                                <w:szCs w:val="32"/>
                                <w:highlight w:val="none"/>
                                <w:lang w:val="en-US" w:eastAsia="zh-CN"/>
                              </w:rPr>
                            </w:pPr>
                          </w:p>
                          <w:p w14:paraId="68F0EB6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64459C7E">
                            <w:pPr>
                              <w:jc w:val="center"/>
                              <w:rPr>
                                <w:rFonts w:hint="eastAsia" w:ascii="微软雅黑" w:hAnsi="微软雅黑" w:eastAsia="微软雅黑" w:cs="微软雅黑"/>
                                <w:b/>
                                <w:bCs/>
                                <w:color w:val="237085"/>
                                <w:sz w:val="32"/>
                                <w:szCs w:val="32"/>
                                <w:lang w:val="en-US" w:eastAsia="zh-CN"/>
                              </w:rPr>
                            </w:pPr>
                          </w:p>
                          <w:p w14:paraId="6E52C5EA">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日期：2025年7月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5075309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采购人：新疆维吾尔自治区市场监督管理局（盖章）</w:t>
                      </w:r>
                    </w:p>
                    <w:p w14:paraId="38308C25">
                      <w:pPr>
                        <w:jc w:val="left"/>
                        <w:rPr>
                          <w:rFonts w:hint="eastAsia" w:ascii="微软雅黑" w:hAnsi="微软雅黑" w:eastAsia="微软雅黑" w:cs="微软雅黑"/>
                          <w:b/>
                          <w:bCs/>
                          <w:color w:val="237085"/>
                          <w:sz w:val="32"/>
                          <w:szCs w:val="32"/>
                          <w:highlight w:val="none"/>
                          <w:lang w:val="en-US" w:eastAsia="zh-CN"/>
                        </w:rPr>
                      </w:pPr>
                    </w:p>
                    <w:p w14:paraId="68F0EB6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64459C7E">
                      <w:pPr>
                        <w:jc w:val="center"/>
                        <w:rPr>
                          <w:rFonts w:hint="eastAsia" w:ascii="微软雅黑" w:hAnsi="微软雅黑" w:eastAsia="微软雅黑" w:cs="微软雅黑"/>
                          <w:b/>
                          <w:bCs/>
                          <w:color w:val="237085"/>
                          <w:sz w:val="32"/>
                          <w:szCs w:val="32"/>
                          <w:lang w:val="en-US" w:eastAsia="zh-CN"/>
                        </w:rPr>
                      </w:pPr>
                    </w:p>
                    <w:p w14:paraId="6E52C5EA">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日期：2025年7月</w:t>
                      </w:r>
                    </w:p>
                  </w:txbxContent>
                </v:textbox>
              </v:shape>
            </w:pict>
          </mc:Fallback>
        </mc:AlternateContent>
      </w:r>
      <w: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480A7959">
      <w:pPr>
        <w:pStyle w:val="26"/>
        <w:rPr>
          <w:rFonts w:hint="eastAsia"/>
        </w:rPr>
      </w:pPr>
    </w:p>
    <w:tbl>
      <w:tblPr>
        <w:tblStyle w:val="27"/>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58A3B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noWrap w:val="0"/>
            <w:vAlign w:val="top"/>
          </w:tcPr>
          <w:p w14:paraId="1FAD73C8">
            <w:pPr>
              <w:spacing w:line="360" w:lineRule="auto"/>
              <w:ind w:right="36" w:rightChars="15"/>
              <w:jc w:val="center"/>
              <w:rPr>
                <w:rFonts w:hint="eastAsia" w:ascii="仿宋" w:hAnsi="仿宋" w:eastAsia="仿宋" w:cs="Arial"/>
                <w:b/>
                <w:bCs/>
                <w:sz w:val="32"/>
                <w:szCs w:val="32"/>
              </w:rPr>
            </w:pPr>
          </w:p>
          <w:p w14:paraId="08CA7178">
            <w:pPr>
              <w:spacing w:line="360" w:lineRule="auto"/>
              <w:ind w:right="36" w:rightChars="15"/>
              <w:jc w:val="center"/>
              <w:rPr>
                <w:rFonts w:hint="eastAsia" w:ascii="仿宋" w:hAnsi="仿宋" w:eastAsia="仿宋" w:cs="Arial"/>
                <w:b/>
                <w:bCs/>
                <w:sz w:val="32"/>
                <w:szCs w:val="32"/>
              </w:rPr>
            </w:pPr>
          </w:p>
          <w:p w14:paraId="12B6037A">
            <w:pPr>
              <w:spacing w:line="360" w:lineRule="auto"/>
              <w:ind w:right="36" w:rightChars="15"/>
              <w:jc w:val="center"/>
              <w:rPr>
                <w:rFonts w:hint="eastAsia" w:ascii="仿宋" w:hAnsi="仿宋" w:eastAsia="仿宋" w:cs="Arial"/>
                <w:b/>
                <w:bCs/>
                <w:sz w:val="32"/>
                <w:szCs w:val="32"/>
              </w:rPr>
            </w:pPr>
            <w:r>
              <w:rPr>
                <w:rFonts w:hint="eastAsia" w:ascii="仿宋" w:hAnsi="仿宋" w:eastAsia="仿宋" w:cs="Arial"/>
                <w:b/>
                <w:bCs/>
                <w:sz w:val="32"/>
                <w:szCs w:val="32"/>
              </w:rPr>
              <w:t>采购文件确认</w:t>
            </w:r>
            <w:r>
              <w:rPr>
                <w:rFonts w:hint="eastAsia" w:ascii="仿宋" w:hAnsi="仿宋" w:eastAsia="仿宋" w:cs="Arial"/>
                <w:b/>
                <w:bCs/>
                <w:sz w:val="32"/>
                <w:szCs w:val="32"/>
                <w:lang w:val="en-US" w:eastAsia="zh-CN"/>
              </w:rPr>
              <w:t>表</w:t>
            </w:r>
          </w:p>
          <w:p w14:paraId="3CF5FB37">
            <w:pPr>
              <w:spacing w:line="360" w:lineRule="auto"/>
              <w:ind w:firstLine="720" w:firstLineChars="300"/>
              <w:jc w:val="both"/>
              <w:rPr>
                <w:rFonts w:hint="eastAsia" w:ascii="仿宋" w:hAnsi="仿宋" w:eastAsia="仿宋" w:cs="Arial"/>
                <w:sz w:val="24"/>
                <w:szCs w:val="24"/>
                <w:lang w:val="en-US" w:eastAsia="zh-CN"/>
              </w:rPr>
            </w:pPr>
          </w:p>
          <w:p w14:paraId="27D71B0C">
            <w:pPr>
              <w:spacing w:line="360" w:lineRule="auto"/>
              <w:jc w:val="both"/>
              <w:rPr>
                <w:rFonts w:hint="default" w:ascii="仿宋" w:hAnsi="仿宋" w:eastAsia="仿宋" w:cs="Arial"/>
                <w:sz w:val="28"/>
                <w:szCs w:val="28"/>
                <w:lang w:val="en-US" w:eastAsia="zh-CN"/>
              </w:rPr>
            </w:pPr>
            <w:r>
              <w:rPr>
                <w:rFonts w:hint="eastAsia" w:ascii="仿宋" w:hAnsi="仿宋" w:eastAsia="仿宋" w:cs="Arial"/>
                <w:sz w:val="28"/>
                <w:szCs w:val="28"/>
                <w:lang w:val="en-US" w:eastAsia="zh-CN"/>
              </w:rPr>
              <w:t>新疆世纪星工程咨询有限公司：</w:t>
            </w:r>
          </w:p>
          <w:p w14:paraId="7E3291C4">
            <w:pPr>
              <w:spacing w:line="360" w:lineRule="auto"/>
              <w:ind w:firstLine="840" w:firstLineChars="300"/>
              <w:jc w:val="both"/>
              <w:rPr>
                <w:rFonts w:hint="eastAsia" w:ascii="仿宋" w:hAnsi="仿宋" w:eastAsia="仿宋" w:cs="Arial"/>
                <w:sz w:val="28"/>
                <w:szCs w:val="28"/>
                <w:lang w:val="en-US" w:eastAsia="zh-CN"/>
              </w:rPr>
            </w:pPr>
            <w:r>
              <w:rPr>
                <w:rFonts w:hint="eastAsia" w:ascii="仿宋" w:hAnsi="仿宋" w:eastAsia="仿宋" w:cs="Arial"/>
                <w:sz w:val="28"/>
                <w:szCs w:val="28"/>
                <w:highlight w:val="none"/>
                <w:u w:val="single"/>
                <w:lang w:val="en-US" w:eastAsia="zh-CN"/>
              </w:rPr>
              <w:t>《自治区市场监管“十四五”规划》总结评估项目（项目编号：SJX-2025-350）</w:t>
            </w:r>
            <w:r>
              <w:rPr>
                <w:rFonts w:hint="eastAsia" w:ascii="仿宋" w:hAnsi="仿宋" w:eastAsia="仿宋" w:cs="Arial"/>
                <w:sz w:val="28"/>
                <w:szCs w:val="28"/>
                <w:lang w:val="en-US" w:eastAsia="zh-CN"/>
              </w:rPr>
              <w:t>采购文件，经我单位审核符合我单位提出的采购要求，同意对外发布。</w:t>
            </w:r>
          </w:p>
          <w:p w14:paraId="69E20F98">
            <w:pPr>
              <w:spacing w:line="360" w:lineRule="auto"/>
              <w:jc w:val="both"/>
              <w:rPr>
                <w:rFonts w:hint="eastAsia" w:ascii="仿宋" w:hAnsi="仿宋" w:eastAsia="仿宋" w:cs="Arial"/>
                <w:sz w:val="28"/>
                <w:szCs w:val="28"/>
              </w:rPr>
            </w:pPr>
          </w:p>
          <w:p w14:paraId="3A0773DC">
            <w:pPr>
              <w:spacing w:line="360" w:lineRule="auto"/>
              <w:ind w:right="240"/>
              <w:jc w:val="both"/>
              <w:rPr>
                <w:rFonts w:hint="eastAsia" w:ascii="仿宋" w:hAnsi="仿宋" w:eastAsia="仿宋" w:cs="Arial"/>
                <w:sz w:val="28"/>
                <w:szCs w:val="28"/>
              </w:rPr>
            </w:pPr>
          </w:p>
          <w:p w14:paraId="24C4C8EB">
            <w:pPr>
              <w:spacing w:line="360" w:lineRule="auto"/>
              <w:ind w:right="240"/>
              <w:jc w:val="both"/>
              <w:rPr>
                <w:rFonts w:hint="eastAsia" w:ascii="仿宋" w:hAnsi="仿宋" w:eastAsia="仿宋" w:cs="Arial"/>
                <w:sz w:val="28"/>
                <w:szCs w:val="28"/>
              </w:rPr>
            </w:pPr>
          </w:p>
          <w:p w14:paraId="123F644C">
            <w:pPr>
              <w:spacing w:line="360" w:lineRule="auto"/>
              <w:ind w:right="840"/>
              <w:jc w:val="right"/>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rPr>
              <w:t xml:space="preserve">  </w:t>
            </w:r>
            <w:r>
              <w:rPr>
                <w:rFonts w:hint="eastAsia" w:ascii="仿宋" w:hAnsi="仿宋" w:eastAsia="仿宋" w:cs="Times New Roman"/>
                <w:sz w:val="28"/>
                <w:szCs w:val="28"/>
                <w:lang w:val="en-US" w:eastAsia="zh-CN"/>
              </w:rPr>
              <w:t xml:space="preserve">                     采购人</w:t>
            </w:r>
            <w:r>
              <w:rPr>
                <w:rFonts w:hint="eastAsia" w:ascii="仿宋" w:hAnsi="仿宋" w:eastAsia="仿宋" w:cs="Times New Roman"/>
                <w:sz w:val="28"/>
                <w:szCs w:val="28"/>
                <w:highlight w:val="none"/>
                <w:lang w:val="en-US" w:eastAsia="zh-CN"/>
              </w:rPr>
              <w:t>：新疆维吾尔自治区市场</w:t>
            </w:r>
          </w:p>
          <w:p w14:paraId="50E05F39">
            <w:pPr>
              <w:spacing w:line="360" w:lineRule="auto"/>
              <w:ind w:right="840"/>
              <w:jc w:val="right"/>
              <w:rPr>
                <w:rFonts w:ascii="仿宋" w:hAnsi="仿宋" w:eastAsia="仿宋" w:cs="Arial"/>
                <w:sz w:val="28"/>
                <w:szCs w:val="28"/>
                <w:u w:val="single"/>
              </w:rPr>
            </w:pPr>
            <w:r>
              <w:rPr>
                <w:rFonts w:hint="eastAsia" w:ascii="仿宋" w:hAnsi="仿宋" w:eastAsia="仿宋" w:cs="Times New Roman"/>
                <w:sz w:val="28"/>
                <w:szCs w:val="28"/>
                <w:highlight w:val="none"/>
                <w:lang w:val="en-US" w:eastAsia="zh-CN"/>
              </w:rPr>
              <w:t>监督管理局</w:t>
            </w:r>
            <w:r>
              <w:rPr>
                <w:rFonts w:hint="eastAsia" w:ascii="仿宋" w:hAnsi="仿宋" w:eastAsia="仿宋" w:cs="Arial"/>
                <w:sz w:val="28"/>
                <w:szCs w:val="28"/>
                <w:highlight w:val="none"/>
                <w:u w:val="single"/>
              </w:rPr>
              <w:t>（盖章）</w:t>
            </w:r>
          </w:p>
          <w:p w14:paraId="6231C46F">
            <w:pPr>
              <w:spacing w:line="360" w:lineRule="auto"/>
              <w:ind w:right="960"/>
              <w:jc w:val="both"/>
              <w:rPr>
                <w:rFonts w:ascii="仿宋" w:hAnsi="仿宋" w:eastAsia="仿宋" w:cs="Times New Roman"/>
                <w:b/>
                <w:sz w:val="40"/>
                <w:szCs w:val="32"/>
              </w:rPr>
            </w:pPr>
            <w:r>
              <w:rPr>
                <w:rFonts w:hint="eastAsia" w:ascii="仿宋" w:hAnsi="仿宋" w:eastAsia="仿宋" w:cs="Arial"/>
                <w:sz w:val="28"/>
                <w:szCs w:val="28"/>
              </w:rPr>
              <w:t xml:space="preserve">                                   </w:t>
            </w:r>
            <w:r>
              <w:rPr>
                <w:rFonts w:hint="eastAsia" w:ascii="仿宋" w:hAnsi="仿宋" w:eastAsia="仿宋" w:cs="Arial"/>
                <w:sz w:val="28"/>
                <w:szCs w:val="28"/>
                <w:lang w:val="en-US" w:eastAsia="zh-CN"/>
              </w:rPr>
              <w:t xml:space="preserve"> 2025</w:t>
            </w:r>
            <w:r>
              <w:rPr>
                <w:rFonts w:hint="eastAsia" w:ascii="仿宋" w:hAnsi="仿宋" w:eastAsia="仿宋" w:cs="Arial"/>
                <w:sz w:val="28"/>
                <w:szCs w:val="28"/>
              </w:rPr>
              <w:t>年</w:t>
            </w:r>
            <w:r>
              <w:rPr>
                <w:rFonts w:hint="eastAsia" w:ascii="仿宋" w:hAnsi="仿宋" w:eastAsia="仿宋" w:cs="Arial"/>
                <w:sz w:val="28"/>
                <w:szCs w:val="28"/>
                <w:lang w:val="en-US" w:eastAsia="zh-CN"/>
              </w:rPr>
              <w:t>7</w:t>
            </w:r>
            <w:r>
              <w:rPr>
                <w:rFonts w:hint="eastAsia" w:ascii="仿宋" w:hAnsi="仿宋" w:eastAsia="仿宋" w:cs="Arial"/>
                <w:sz w:val="28"/>
                <w:szCs w:val="28"/>
              </w:rPr>
              <w:t>月</w:t>
            </w:r>
            <w:r>
              <w:rPr>
                <w:rFonts w:hint="eastAsia" w:ascii="仿宋" w:hAnsi="仿宋" w:eastAsia="仿宋" w:cs="Arial"/>
                <w:sz w:val="28"/>
                <w:szCs w:val="28"/>
                <w:lang w:val="en-US" w:eastAsia="zh-CN"/>
              </w:rPr>
              <w:t>7</w:t>
            </w:r>
            <w:r>
              <w:rPr>
                <w:rFonts w:hint="eastAsia" w:ascii="仿宋" w:hAnsi="仿宋" w:eastAsia="仿宋" w:cs="Arial"/>
                <w:sz w:val="28"/>
                <w:szCs w:val="28"/>
              </w:rPr>
              <w:t>日</w:t>
            </w:r>
          </w:p>
        </w:tc>
      </w:tr>
    </w:tbl>
    <w:p w14:paraId="795E1AD8">
      <w:pPr>
        <w:jc w:val="center"/>
        <w:rPr>
          <w:rFonts w:hint="eastAsia" w:ascii="仿宋_GB2312" w:hAnsi="仿宋_GB2312" w:eastAsia="仿宋_GB2312" w:cs="仿宋_GB2312"/>
          <w:sz w:val="32"/>
          <w:szCs w:val="32"/>
          <w:lang w:val="en-US" w:eastAsia="zh-CN"/>
        </w:rPr>
        <w:sectPr>
          <w:headerReference r:id="rId4" w:type="default"/>
          <w:pgSz w:w="11906" w:h="16838"/>
          <w:pgMar w:top="1440" w:right="1800" w:bottom="1440" w:left="1800" w:header="851" w:footer="992" w:gutter="0"/>
          <w:pgNumType w:fmt="numberInDash"/>
          <w:cols w:space="0" w:num="1"/>
          <w:rtlGutter w:val="0"/>
          <w:docGrid w:type="lines" w:linePitch="387" w:charSpace="0"/>
        </w:sectPr>
      </w:pPr>
    </w:p>
    <w:p w14:paraId="46E45153">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 录</w:t>
      </w:r>
    </w:p>
    <w:p w14:paraId="1A3F03D2">
      <w:pPr>
        <w:jc w:val="both"/>
        <w:rPr>
          <w:rFonts w:hint="eastAsia" w:ascii="仿宋_GB2312" w:hAnsi="仿宋_GB2312" w:eastAsia="仿宋_GB2312" w:cs="仿宋_GB2312"/>
          <w:sz w:val="24"/>
          <w:szCs w:val="24"/>
          <w:lang w:val="en-US" w:eastAsia="zh-CN"/>
        </w:rPr>
      </w:pPr>
    </w:p>
    <w:sdt>
      <w:sdtPr>
        <w:rPr>
          <w:rFonts w:ascii="宋体" w:hAnsi="宋体" w:eastAsia="宋体" w:cs="Times New Roman"/>
          <w:kern w:val="2"/>
          <w:sz w:val="21"/>
          <w:szCs w:val="24"/>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lang w:val="en-US" w:eastAsia="zh-CN" w:bidi="ar-SA"/>
        </w:rPr>
      </w:sdtEndPr>
      <w:sdtContent>
        <w:p w14:paraId="39FD35B6">
          <w:pPr>
            <w:jc w:val="both"/>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TOC \o "1-2" \h \u </w:instrText>
          </w:r>
          <w:r>
            <w:rPr>
              <w:rFonts w:hint="eastAsia" w:ascii="仿宋_GB2312" w:hAnsi="仿宋_GB2312" w:eastAsia="仿宋_GB2312" w:cs="仿宋_GB2312"/>
              <w:sz w:val="24"/>
              <w:szCs w:val="24"/>
              <w:lang w:val="en-US" w:eastAsia="zh-CN"/>
            </w:rPr>
            <w:fldChar w:fldCharType="separate"/>
          </w:r>
        </w:p>
        <w:p w14:paraId="2FDB70E0">
          <w:pPr>
            <w:pStyle w:val="21"/>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_Toc24832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rPr>
            <w:t xml:space="preserve">第一章 </w:t>
          </w:r>
          <w:r>
            <w:rPr>
              <w:rFonts w:hint="eastAsia" w:ascii="仿宋_GB2312" w:hAnsi="仿宋_GB2312" w:eastAsia="仿宋_GB2312" w:cs="仿宋_GB2312"/>
              <w:szCs w:val="32"/>
              <w:lang w:val="en-US" w:eastAsia="zh-CN"/>
            </w:rPr>
            <w:t>竞争性磋商</w:t>
          </w:r>
          <w:r>
            <w:rPr>
              <w:rFonts w:hint="eastAsia" w:ascii="仿宋_GB2312" w:hAnsi="仿宋_GB2312" w:eastAsia="仿宋_GB2312" w:cs="仿宋_GB2312"/>
              <w:szCs w:val="32"/>
            </w:rPr>
            <w:t>公告</w:t>
          </w:r>
          <w:r>
            <w:tab/>
          </w:r>
          <w:r>
            <w:fldChar w:fldCharType="begin"/>
          </w:r>
          <w:r>
            <w:instrText xml:space="preserve"> PAGEREF _Toc24832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3D744DBA">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_Toc15783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一、 项目基本情况</w:t>
          </w:r>
          <w:r>
            <w:tab/>
          </w:r>
          <w:r>
            <w:fldChar w:fldCharType="begin"/>
          </w:r>
          <w:r>
            <w:instrText xml:space="preserve"> PAGEREF _Toc15783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1E4C95C2">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_Toc22187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二、 申请人的资格要求：</w:t>
          </w:r>
          <w:r>
            <w:tab/>
          </w:r>
          <w:r>
            <w:fldChar w:fldCharType="begin"/>
          </w:r>
          <w:r>
            <w:instrText xml:space="preserve"> PAGEREF _Toc22187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0524FA8B">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_Toc24234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三、 获取采购文件</w:t>
          </w:r>
          <w:r>
            <w:tab/>
          </w:r>
          <w:r>
            <w:fldChar w:fldCharType="begin"/>
          </w:r>
          <w:r>
            <w:instrText xml:space="preserve"> PAGEREF _Toc24234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002A3B0B">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_Toc28094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四、 响应文件提交</w:t>
          </w:r>
          <w:r>
            <w:tab/>
          </w:r>
          <w:r>
            <w:fldChar w:fldCharType="begin"/>
          </w:r>
          <w:r>
            <w:instrText xml:space="preserve"> PAGEREF _Toc28094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2F0E2506">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_Toc10942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 xml:space="preserve">五、 </w:t>
          </w:r>
          <w:r>
            <w:rPr>
              <w:rFonts w:hint="eastAsia" w:ascii="仿宋_GB2312" w:hAnsi="仿宋_GB2312" w:eastAsia="仿宋_GB2312" w:cs="仿宋_GB2312"/>
              <w:bCs/>
              <w:szCs w:val="24"/>
              <w:lang w:val="en-US" w:eastAsia="zh-CN"/>
            </w:rPr>
            <w:t>响应文件开启</w:t>
          </w:r>
          <w:r>
            <w:tab/>
          </w:r>
          <w:r>
            <w:fldChar w:fldCharType="begin"/>
          </w:r>
          <w:r>
            <w:instrText xml:space="preserve"> PAGEREF _Toc10942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7232D41B">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_Toc22200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六、 公告期限</w:t>
          </w:r>
          <w:r>
            <w:tab/>
          </w:r>
          <w:r>
            <w:fldChar w:fldCharType="begin"/>
          </w:r>
          <w:r>
            <w:instrText xml:space="preserve"> PAGEREF _Toc22200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6C81AED8">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_Toc1229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七、 其他补充事宜</w:t>
          </w:r>
          <w:r>
            <w:tab/>
          </w:r>
          <w:r>
            <w:fldChar w:fldCharType="begin"/>
          </w:r>
          <w:r>
            <w:instrText xml:space="preserve"> PAGEREF _Toc1229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489D424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_Toc5047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八、 对本次采购提出询问，请按以下方式联系</w:t>
          </w:r>
          <w:r>
            <w:tab/>
          </w:r>
          <w:r>
            <w:fldChar w:fldCharType="begin"/>
          </w:r>
          <w:r>
            <w:instrText xml:space="preserve"> PAGEREF _Toc5047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1A3D7FCA">
          <w:pPr>
            <w:pStyle w:val="21"/>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_Toc19946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 xml:space="preserve">第二章 </w:t>
          </w:r>
          <w:r>
            <w:rPr>
              <w:rFonts w:hint="eastAsia" w:ascii="仿宋_GB2312" w:hAnsi="仿宋_GB2312" w:cs="仿宋_GB2312"/>
              <w:szCs w:val="32"/>
              <w:lang w:val="en-US" w:eastAsia="zh-CN"/>
            </w:rPr>
            <w:t>投标人</w:t>
          </w:r>
          <w:r>
            <w:rPr>
              <w:rFonts w:hint="eastAsia" w:ascii="仿宋_GB2312" w:hAnsi="仿宋_GB2312" w:eastAsia="仿宋_GB2312" w:cs="仿宋_GB2312"/>
              <w:szCs w:val="32"/>
              <w:lang w:val="en-US" w:eastAsia="zh-CN"/>
            </w:rPr>
            <w:t>须知前附表</w:t>
          </w:r>
          <w:r>
            <w:tab/>
          </w:r>
          <w:r>
            <w:fldChar w:fldCharType="begin"/>
          </w:r>
          <w:r>
            <w:instrText xml:space="preserve"> PAGEREF _Toc19946 \h </w:instrText>
          </w:r>
          <w:r>
            <w:fldChar w:fldCharType="separate"/>
          </w:r>
          <w:r>
            <w:t>4</w:t>
          </w:r>
          <w:r>
            <w:fldChar w:fldCharType="end"/>
          </w:r>
          <w:r>
            <w:rPr>
              <w:rFonts w:hint="eastAsia" w:ascii="仿宋_GB2312" w:hAnsi="仿宋_GB2312" w:eastAsia="仿宋_GB2312" w:cs="仿宋_GB2312"/>
              <w:szCs w:val="24"/>
              <w:lang w:val="en-US" w:eastAsia="zh-CN"/>
            </w:rPr>
            <w:fldChar w:fldCharType="end"/>
          </w:r>
        </w:p>
        <w:p w14:paraId="26897949">
          <w:pPr>
            <w:pStyle w:val="21"/>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_Toc4905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 xml:space="preserve">第三章 </w:t>
          </w:r>
          <w:r>
            <w:rPr>
              <w:rFonts w:hint="eastAsia" w:ascii="仿宋_GB2312" w:hAnsi="仿宋_GB2312" w:cs="仿宋_GB2312"/>
              <w:szCs w:val="32"/>
              <w:lang w:val="en-US" w:eastAsia="zh-CN"/>
            </w:rPr>
            <w:t>投标人</w:t>
          </w:r>
          <w:r>
            <w:rPr>
              <w:rFonts w:hint="eastAsia" w:ascii="仿宋_GB2312" w:hAnsi="仿宋_GB2312" w:eastAsia="仿宋_GB2312" w:cs="仿宋_GB2312"/>
              <w:szCs w:val="32"/>
              <w:lang w:val="en-US" w:eastAsia="zh-CN"/>
            </w:rPr>
            <w:t>须知</w:t>
          </w:r>
          <w:r>
            <w:tab/>
          </w:r>
          <w:r>
            <w:fldChar w:fldCharType="begin"/>
          </w:r>
          <w:r>
            <w:instrText xml:space="preserve"> PAGEREF _Toc4905 \h </w:instrText>
          </w:r>
          <w:r>
            <w:fldChar w:fldCharType="separate"/>
          </w:r>
          <w:r>
            <w:t>9</w:t>
          </w:r>
          <w:r>
            <w:fldChar w:fldCharType="end"/>
          </w:r>
          <w:r>
            <w:rPr>
              <w:rFonts w:hint="eastAsia" w:ascii="仿宋_GB2312" w:hAnsi="仿宋_GB2312" w:eastAsia="仿宋_GB2312" w:cs="仿宋_GB2312"/>
              <w:szCs w:val="24"/>
              <w:lang w:val="en-US" w:eastAsia="zh-CN"/>
            </w:rPr>
            <w:fldChar w:fldCharType="end"/>
          </w:r>
        </w:p>
        <w:p w14:paraId="0D30E51B">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_Toc11730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一、 说 明</w:t>
          </w:r>
          <w:r>
            <w:tab/>
          </w:r>
          <w:r>
            <w:fldChar w:fldCharType="begin"/>
          </w:r>
          <w:r>
            <w:instrText xml:space="preserve"> PAGEREF _Toc11730 \h </w:instrText>
          </w:r>
          <w:r>
            <w:fldChar w:fldCharType="separate"/>
          </w:r>
          <w:r>
            <w:t>9</w:t>
          </w:r>
          <w:r>
            <w:fldChar w:fldCharType="end"/>
          </w:r>
          <w:r>
            <w:rPr>
              <w:rFonts w:hint="eastAsia" w:ascii="仿宋_GB2312" w:hAnsi="仿宋_GB2312" w:eastAsia="仿宋_GB2312" w:cs="仿宋_GB2312"/>
              <w:szCs w:val="24"/>
              <w:lang w:val="en-US" w:eastAsia="zh-CN"/>
            </w:rPr>
            <w:fldChar w:fldCharType="end"/>
          </w:r>
        </w:p>
        <w:p w14:paraId="671E7C8A">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_Toc3286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二、 采购文件</w:t>
          </w:r>
          <w:r>
            <w:tab/>
          </w:r>
          <w:r>
            <w:fldChar w:fldCharType="begin"/>
          </w:r>
          <w:r>
            <w:instrText xml:space="preserve"> PAGEREF _Toc3286 \h </w:instrText>
          </w:r>
          <w:r>
            <w:fldChar w:fldCharType="separate"/>
          </w:r>
          <w:r>
            <w:t>14</w:t>
          </w:r>
          <w:r>
            <w:fldChar w:fldCharType="end"/>
          </w:r>
          <w:r>
            <w:rPr>
              <w:rFonts w:hint="eastAsia" w:ascii="仿宋_GB2312" w:hAnsi="仿宋_GB2312" w:eastAsia="仿宋_GB2312" w:cs="仿宋_GB2312"/>
              <w:szCs w:val="24"/>
              <w:lang w:val="en-US" w:eastAsia="zh-CN"/>
            </w:rPr>
            <w:fldChar w:fldCharType="end"/>
          </w:r>
        </w:p>
        <w:p w14:paraId="7E78F50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_Toc22592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三、 响应文件的编制</w:t>
          </w:r>
          <w:r>
            <w:tab/>
          </w:r>
          <w:r>
            <w:fldChar w:fldCharType="begin"/>
          </w:r>
          <w:r>
            <w:instrText xml:space="preserve"> PAGEREF _Toc22592 \h </w:instrText>
          </w:r>
          <w:r>
            <w:fldChar w:fldCharType="separate"/>
          </w:r>
          <w:r>
            <w:t>16</w:t>
          </w:r>
          <w:r>
            <w:fldChar w:fldCharType="end"/>
          </w:r>
          <w:r>
            <w:rPr>
              <w:rFonts w:hint="eastAsia" w:ascii="仿宋_GB2312" w:hAnsi="仿宋_GB2312" w:eastAsia="仿宋_GB2312" w:cs="仿宋_GB2312"/>
              <w:szCs w:val="24"/>
              <w:lang w:val="en-US" w:eastAsia="zh-CN"/>
            </w:rPr>
            <w:fldChar w:fldCharType="end"/>
          </w:r>
        </w:p>
        <w:p w14:paraId="67624326">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_Toc7253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四、 响应文件的提交</w:t>
          </w:r>
          <w:r>
            <w:tab/>
          </w:r>
          <w:r>
            <w:fldChar w:fldCharType="begin"/>
          </w:r>
          <w:r>
            <w:instrText xml:space="preserve"> PAGEREF _Toc7253 \h </w:instrText>
          </w:r>
          <w:r>
            <w:fldChar w:fldCharType="separate"/>
          </w:r>
          <w:r>
            <w:t>20</w:t>
          </w:r>
          <w:r>
            <w:fldChar w:fldCharType="end"/>
          </w:r>
          <w:r>
            <w:rPr>
              <w:rFonts w:hint="eastAsia" w:ascii="仿宋_GB2312" w:hAnsi="仿宋_GB2312" w:eastAsia="仿宋_GB2312" w:cs="仿宋_GB2312"/>
              <w:szCs w:val="24"/>
              <w:lang w:val="en-US" w:eastAsia="zh-CN"/>
            </w:rPr>
            <w:fldChar w:fldCharType="end"/>
          </w:r>
        </w:p>
        <w:p w14:paraId="73FA3FC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_Toc32267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 xml:space="preserve">五、 </w:t>
          </w:r>
          <w:r>
            <w:rPr>
              <w:rFonts w:hint="default" w:ascii="仿宋_GB2312" w:hAnsi="仿宋_GB2312" w:eastAsia="仿宋_GB2312" w:cs="仿宋_GB2312"/>
              <w:bCs/>
              <w:szCs w:val="24"/>
              <w:lang w:val="en-US" w:eastAsia="zh-CN"/>
            </w:rPr>
            <w:t>开标及评标</w:t>
          </w:r>
          <w:r>
            <w:tab/>
          </w:r>
          <w:r>
            <w:fldChar w:fldCharType="begin"/>
          </w:r>
          <w:r>
            <w:instrText xml:space="preserve"> PAGEREF _Toc32267 \h </w:instrText>
          </w:r>
          <w:r>
            <w:fldChar w:fldCharType="separate"/>
          </w:r>
          <w:r>
            <w:t>21</w:t>
          </w:r>
          <w:r>
            <w:fldChar w:fldCharType="end"/>
          </w:r>
          <w:r>
            <w:rPr>
              <w:rFonts w:hint="eastAsia" w:ascii="仿宋_GB2312" w:hAnsi="仿宋_GB2312" w:eastAsia="仿宋_GB2312" w:cs="仿宋_GB2312"/>
              <w:szCs w:val="24"/>
              <w:lang w:val="en-US" w:eastAsia="zh-CN"/>
            </w:rPr>
            <w:fldChar w:fldCharType="end"/>
          </w:r>
        </w:p>
        <w:p w14:paraId="7564374D">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_Toc11319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 xml:space="preserve">六、 </w:t>
          </w:r>
          <w:r>
            <w:rPr>
              <w:rFonts w:hint="default" w:ascii="仿宋_GB2312" w:hAnsi="仿宋_GB2312" w:eastAsia="仿宋_GB2312" w:cs="仿宋_GB2312"/>
              <w:bCs/>
              <w:szCs w:val="24"/>
              <w:lang w:val="en-US" w:eastAsia="zh-CN"/>
            </w:rPr>
            <w:t>确定</w:t>
          </w:r>
          <w:r>
            <w:rPr>
              <w:rFonts w:hint="eastAsia" w:ascii="仿宋_GB2312" w:hAnsi="仿宋_GB2312" w:eastAsia="仿宋_GB2312" w:cs="仿宋_GB2312"/>
              <w:bCs/>
              <w:szCs w:val="24"/>
              <w:lang w:val="en-US" w:eastAsia="zh-CN"/>
            </w:rPr>
            <w:t>成交</w:t>
          </w:r>
          <w:r>
            <w:tab/>
          </w:r>
          <w:r>
            <w:fldChar w:fldCharType="begin"/>
          </w:r>
          <w:r>
            <w:instrText xml:space="preserve"> PAGEREF _Toc11319 \h </w:instrText>
          </w:r>
          <w:r>
            <w:fldChar w:fldCharType="separate"/>
          </w:r>
          <w:r>
            <w:t>23</w:t>
          </w:r>
          <w:r>
            <w:fldChar w:fldCharType="end"/>
          </w:r>
          <w:r>
            <w:rPr>
              <w:rFonts w:hint="eastAsia" w:ascii="仿宋_GB2312" w:hAnsi="仿宋_GB2312" w:eastAsia="仿宋_GB2312" w:cs="仿宋_GB2312"/>
              <w:szCs w:val="24"/>
              <w:lang w:val="en-US" w:eastAsia="zh-CN"/>
            </w:rPr>
            <w:fldChar w:fldCharType="end"/>
          </w:r>
        </w:p>
        <w:p w14:paraId="27D9840D">
          <w:pPr>
            <w:pStyle w:val="21"/>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_Toc20533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第四章 政府采购合同</w:t>
          </w:r>
          <w:r>
            <w:tab/>
          </w:r>
          <w:r>
            <w:fldChar w:fldCharType="begin"/>
          </w:r>
          <w:r>
            <w:instrText xml:space="preserve"> PAGEREF _Toc20533 \h </w:instrText>
          </w:r>
          <w:r>
            <w:fldChar w:fldCharType="separate"/>
          </w:r>
          <w:r>
            <w:t>27</w:t>
          </w:r>
          <w:r>
            <w:fldChar w:fldCharType="end"/>
          </w:r>
          <w:r>
            <w:rPr>
              <w:rFonts w:hint="eastAsia" w:ascii="仿宋_GB2312" w:hAnsi="仿宋_GB2312" w:eastAsia="仿宋_GB2312" w:cs="仿宋_GB2312"/>
              <w:szCs w:val="24"/>
              <w:lang w:val="en-US" w:eastAsia="zh-CN"/>
            </w:rPr>
            <w:fldChar w:fldCharType="end"/>
          </w:r>
        </w:p>
        <w:p w14:paraId="7B2BC2D3">
          <w:pPr>
            <w:pStyle w:val="21"/>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_Toc8038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第五章 采购需求</w:t>
          </w:r>
          <w:r>
            <w:tab/>
          </w:r>
          <w:r>
            <w:fldChar w:fldCharType="begin"/>
          </w:r>
          <w:r>
            <w:instrText xml:space="preserve"> PAGEREF _Toc8038 \h </w:instrText>
          </w:r>
          <w:r>
            <w:fldChar w:fldCharType="separate"/>
          </w:r>
          <w:r>
            <w:t>28</w:t>
          </w:r>
          <w:r>
            <w:fldChar w:fldCharType="end"/>
          </w:r>
          <w:r>
            <w:rPr>
              <w:rFonts w:hint="eastAsia" w:ascii="仿宋_GB2312" w:hAnsi="仿宋_GB2312" w:eastAsia="仿宋_GB2312" w:cs="仿宋_GB2312"/>
              <w:szCs w:val="24"/>
              <w:lang w:val="en-US" w:eastAsia="zh-CN"/>
            </w:rPr>
            <w:fldChar w:fldCharType="end"/>
          </w:r>
        </w:p>
        <w:p w14:paraId="709E268B">
          <w:pPr>
            <w:pStyle w:val="21"/>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_Toc27718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第六章 评标程序、评标方法和评标标准</w:t>
          </w:r>
          <w:r>
            <w:tab/>
          </w:r>
          <w:r>
            <w:fldChar w:fldCharType="begin"/>
          </w:r>
          <w:r>
            <w:instrText xml:space="preserve"> PAGEREF _Toc27718 \h </w:instrText>
          </w:r>
          <w:r>
            <w:fldChar w:fldCharType="separate"/>
          </w:r>
          <w:r>
            <w:t>29</w:t>
          </w:r>
          <w:r>
            <w:fldChar w:fldCharType="end"/>
          </w:r>
          <w:r>
            <w:rPr>
              <w:rFonts w:hint="eastAsia" w:ascii="仿宋_GB2312" w:hAnsi="仿宋_GB2312" w:eastAsia="仿宋_GB2312" w:cs="仿宋_GB2312"/>
              <w:szCs w:val="24"/>
              <w:lang w:val="en-US" w:eastAsia="zh-CN"/>
            </w:rPr>
            <w:fldChar w:fldCharType="end"/>
          </w:r>
        </w:p>
        <w:p w14:paraId="4A2C372D">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_Toc21122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bCs/>
              <w:szCs w:val="24"/>
              <w:lang w:val="en-US" w:eastAsia="zh-CN"/>
            </w:rPr>
            <w:t>1. 评标方法</w:t>
          </w:r>
          <w:r>
            <w:tab/>
          </w:r>
          <w:r>
            <w:fldChar w:fldCharType="begin"/>
          </w:r>
          <w:r>
            <w:instrText xml:space="preserve"> PAGEREF _Toc21122 \h </w:instrText>
          </w:r>
          <w:r>
            <w:fldChar w:fldCharType="separate"/>
          </w:r>
          <w:r>
            <w:t>29</w:t>
          </w:r>
          <w:r>
            <w:fldChar w:fldCharType="end"/>
          </w:r>
          <w:r>
            <w:rPr>
              <w:rFonts w:hint="eastAsia" w:ascii="仿宋_GB2312" w:hAnsi="仿宋_GB2312" w:eastAsia="仿宋_GB2312" w:cs="仿宋_GB2312"/>
              <w:szCs w:val="24"/>
              <w:lang w:val="en-US" w:eastAsia="zh-CN"/>
            </w:rPr>
            <w:fldChar w:fldCharType="end"/>
          </w:r>
        </w:p>
        <w:p w14:paraId="3C82DE8C">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_Toc1193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bCs/>
              <w:szCs w:val="24"/>
              <w:lang w:val="en-US" w:eastAsia="zh-CN"/>
            </w:rPr>
            <w:t>2. 评标原则</w:t>
          </w:r>
          <w:r>
            <w:tab/>
          </w:r>
          <w:r>
            <w:fldChar w:fldCharType="begin"/>
          </w:r>
          <w:r>
            <w:instrText xml:space="preserve"> PAGEREF _Toc1193 \h </w:instrText>
          </w:r>
          <w:r>
            <w:fldChar w:fldCharType="separate"/>
          </w:r>
          <w:r>
            <w:t>29</w:t>
          </w:r>
          <w:r>
            <w:fldChar w:fldCharType="end"/>
          </w:r>
          <w:r>
            <w:rPr>
              <w:rFonts w:hint="eastAsia" w:ascii="仿宋_GB2312" w:hAnsi="仿宋_GB2312" w:eastAsia="仿宋_GB2312" w:cs="仿宋_GB2312"/>
              <w:szCs w:val="24"/>
              <w:lang w:val="en-US" w:eastAsia="zh-CN"/>
            </w:rPr>
            <w:fldChar w:fldCharType="end"/>
          </w:r>
        </w:p>
        <w:p w14:paraId="779406EF">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_Toc7505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bCs/>
              <w:szCs w:val="24"/>
              <w:lang w:val="en-US" w:eastAsia="zh-CN"/>
            </w:rPr>
            <w:t>3. 资格审查</w:t>
          </w:r>
          <w:r>
            <w:tab/>
          </w:r>
          <w:r>
            <w:fldChar w:fldCharType="begin"/>
          </w:r>
          <w:r>
            <w:instrText xml:space="preserve"> PAGEREF _Toc7505 \h </w:instrText>
          </w:r>
          <w:r>
            <w:fldChar w:fldCharType="separate"/>
          </w:r>
          <w:r>
            <w:t>29</w:t>
          </w:r>
          <w:r>
            <w:fldChar w:fldCharType="end"/>
          </w:r>
          <w:r>
            <w:rPr>
              <w:rFonts w:hint="eastAsia" w:ascii="仿宋_GB2312" w:hAnsi="仿宋_GB2312" w:eastAsia="仿宋_GB2312" w:cs="仿宋_GB2312"/>
              <w:szCs w:val="24"/>
              <w:lang w:val="en-US" w:eastAsia="zh-CN"/>
            </w:rPr>
            <w:fldChar w:fldCharType="end"/>
          </w:r>
        </w:p>
        <w:p w14:paraId="25F8C8E7">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_Toc27889 </w:instrText>
          </w:r>
          <w:r>
            <w:rPr>
              <w:rFonts w:hint="eastAsia" w:ascii="仿宋_GB2312" w:hAnsi="仿宋_GB2312" w:eastAsia="仿宋_GB2312" w:cs="仿宋_GB2312"/>
              <w:szCs w:val="24"/>
              <w:lang w:val="en-US" w:eastAsia="zh-CN"/>
            </w:rPr>
            <w:fldChar w:fldCharType="separate"/>
          </w:r>
          <w:r>
            <w:rPr>
              <w:rFonts w:hint="default"/>
              <w:lang w:val="en-US" w:eastAsia="zh-CN"/>
            </w:rPr>
            <w:t xml:space="preserve">4. </w:t>
          </w:r>
          <w:r>
            <w:rPr>
              <w:rFonts w:hint="eastAsia" w:ascii="仿宋_GB2312" w:hAnsi="仿宋_GB2312" w:eastAsia="仿宋_GB2312" w:cs="仿宋_GB2312"/>
              <w:bCs/>
              <w:szCs w:val="24"/>
              <w:lang w:val="en-US" w:eastAsia="zh-CN"/>
            </w:rPr>
            <w:t>符合性审查</w:t>
          </w:r>
          <w:r>
            <w:tab/>
          </w:r>
          <w:r>
            <w:fldChar w:fldCharType="begin"/>
          </w:r>
          <w:r>
            <w:instrText xml:space="preserve"> PAGEREF _Toc27889 \h </w:instrText>
          </w:r>
          <w:r>
            <w:fldChar w:fldCharType="separate"/>
          </w:r>
          <w:r>
            <w:t>31</w:t>
          </w:r>
          <w:r>
            <w:fldChar w:fldCharType="end"/>
          </w:r>
          <w:r>
            <w:rPr>
              <w:rFonts w:hint="eastAsia" w:ascii="仿宋_GB2312" w:hAnsi="仿宋_GB2312" w:eastAsia="仿宋_GB2312" w:cs="仿宋_GB2312"/>
              <w:szCs w:val="24"/>
              <w:lang w:val="en-US" w:eastAsia="zh-CN"/>
            </w:rPr>
            <w:fldChar w:fldCharType="end"/>
          </w:r>
        </w:p>
        <w:p w14:paraId="0E786C61">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_Toc31864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5. 响应文件澄清</w:t>
          </w:r>
          <w:r>
            <w:tab/>
          </w:r>
          <w:r>
            <w:fldChar w:fldCharType="begin"/>
          </w:r>
          <w:r>
            <w:instrText xml:space="preserve"> PAGEREF _Toc31864 \h </w:instrText>
          </w:r>
          <w:r>
            <w:fldChar w:fldCharType="separate"/>
          </w:r>
          <w:r>
            <w:t>32</w:t>
          </w:r>
          <w:r>
            <w:fldChar w:fldCharType="end"/>
          </w:r>
          <w:r>
            <w:rPr>
              <w:rFonts w:hint="eastAsia" w:ascii="仿宋_GB2312" w:hAnsi="仿宋_GB2312" w:eastAsia="仿宋_GB2312" w:cs="仿宋_GB2312"/>
              <w:szCs w:val="24"/>
              <w:lang w:val="en-US" w:eastAsia="zh-CN"/>
            </w:rPr>
            <w:fldChar w:fldCharType="end"/>
          </w:r>
        </w:p>
        <w:p w14:paraId="0A0BBAA0">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_Toc12580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szCs w:val="24"/>
              <w:lang w:val="en-US" w:eastAsia="zh-CN"/>
            </w:rPr>
            <w:t xml:space="preserve">7. </w:t>
          </w:r>
          <w:r>
            <w:rPr>
              <w:rFonts w:hint="eastAsia" w:ascii="仿宋_GB2312" w:hAnsi="仿宋_GB2312" w:eastAsia="仿宋_GB2312" w:cs="仿宋_GB2312"/>
              <w:bCs/>
              <w:szCs w:val="24"/>
              <w:lang w:val="en-US" w:eastAsia="zh-CN"/>
            </w:rPr>
            <w:t>磋商</w:t>
          </w:r>
          <w:r>
            <w:tab/>
          </w:r>
          <w:r>
            <w:fldChar w:fldCharType="begin"/>
          </w:r>
          <w:r>
            <w:instrText xml:space="preserve"> PAGEREF _Toc12580 \h </w:instrText>
          </w:r>
          <w:r>
            <w:fldChar w:fldCharType="separate"/>
          </w:r>
          <w:r>
            <w:t>33</w:t>
          </w:r>
          <w:r>
            <w:fldChar w:fldCharType="end"/>
          </w:r>
          <w:r>
            <w:rPr>
              <w:rFonts w:hint="eastAsia" w:ascii="仿宋_GB2312" w:hAnsi="仿宋_GB2312" w:eastAsia="仿宋_GB2312" w:cs="仿宋_GB2312"/>
              <w:szCs w:val="24"/>
              <w:lang w:val="en-US" w:eastAsia="zh-CN"/>
            </w:rPr>
            <w:fldChar w:fldCharType="end"/>
          </w:r>
        </w:p>
        <w:p w14:paraId="7EB78320">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_Toc3596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8. 最后报价</w:t>
          </w:r>
          <w:r>
            <w:tab/>
          </w:r>
          <w:r>
            <w:fldChar w:fldCharType="begin"/>
          </w:r>
          <w:r>
            <w:instrText xml:space="preserve"> PAGEREF _Toc3596 \h </w:instrText>
          </w:r>
          <w:r>
            <w:fldChar w:fldCharType="separate"/>
          </w:r>
          <w:r>
            <w:t>34</w:t>
          </w:r>
          <w:r>
            <w:fldChar w:fldCharType="end"/>
          </w:r>
          <w:r>
            <w:rPr>
              <w:rFonts w:hint="eastAsia" w:ascii="仿宋_GB2312" w:hAnsi="仿宋_GB2312" w:eastAsia="仿宋_GB2312" w:cs="仿宋_GB2312"/>
              <w:szCs w:val="24"/>
              <w:lang w:val="en-US" w:eastAsia="zh-CN"/>
            </w:rPr>
            <w:fldChar w:fldCharType="end"/>
          </w:r>
        </w:p>
        <w:p w14:paraId="3E6FDD3F">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_Toc22657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9. 详细评审</w:t>
          </w:r>
          <w:r>
            <w:tab/>
          </w:r>
          <w:r>
            <w:fldChar w:fldCharType="begin"/>
          </w:r>
          <w:r>
            <w:instrText xml:space="preserve"> PAGEREF _Toc22657 \h </w:instrText>
          </w:r>
          <w:r>
            <w:fldChar w:fldCharType="separate"/>
          </w:r>
          <w:r>
            <w:t>34</w:t>
          </w:r>
          <w:r>
            <w:fldChar w:fldCharType="end"/>
          </w:r>
          <w:r>
            <w:rPr>
              <w:rFonts w:hint="eastAsia" w:ascii="仿宋_GB2312" w:hAnsi="仿宋_GB2312" w:eastAsia="仿宋_GB2312" w:cs="仿宋_GB2312"/>
              <w:szCs w:val="24"/>
              <w:lang w:val="en-US" w:eastAsia="zh-CN"/>
            </w:rPr>
            <w:fldChar w:fldCharType="end"/>
          </w:r>
        </w:p>
        <w:p w14:paraId="6F68B85B">
          <w:pPr>
            <w:pStyle w:val="21"/>
            <w:tabs>
              <w:tab w:val="right" w:leader="dot" w:pos="8306"/>
            </w:tabs>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_Toc8139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32"/>
              <w:lang w:val="en-US" w:eastAsia="zh-CN"/>
            </w:rPr>
            <w:t>第七章 响应文件格式</w:t>
          </w:r>
          <w:r>
            <w:tab/>
          </w:r>
          <w:r>
            <w:fldChar w:fldCharType="begin"/>
          </w:r>
          <w:r>
            <w:instrText xml:space="preserve"> PAGEREF _Toc8139 \h </w:instrText>
          </w:r>
          <w:r>
            <w:fldChar w:fldCharType="separate"/>
          </w:r>
          <w:r>
            <w:t>40</w:t>
          </w:r>
          <w:r>
            <w:fldChar w:fldCharType="end"/>
          </w:r>
          <w:r>
            <w:rPr>
              <w:rFonts w:hint="eastAsia" w:ascii="仿宋_GB2312" w:hAnsi="仿宋_GB2312" w:eastAsia="仿宋_GB2312" w:cs="仿宋_GB2312"/>
              <w:szCs w:val="24"/>
              <w:lang w:val="en-US" w:eastAsia="zh-CN"/>
            </w:rPr>
            <w:fldChar w:fldCharType="end"/>
          </w:r>
          <w:r>
            <w:rPr>
              <w:rFonts w:hint="eastAsia" w:ascii="仿宋_GB2312" w:hAnsi="仿宋_GB2312" w:eastAsia="仿宋_GB2312" w:cs="仿宋_GB2312"/>
              <w:b/>
              <w:szCs w:val="24"/>
              <w:lang w:val="en-US" w:eastAsia="zh-CN"/>
            </w:rPr>
            <w:fldChar w:fldCharType="end"/>
          </w:r>
        </w:p>
      </w:sdtContent>
    </w:sdt>
    <w:p w14:paraId="236FABD2">
      <w:pPr>
        <w:pStyle w:val="3"/>
        <w:numPr>
          <w:ilvl w:val="0"/>
          <w:numId w:val="2"/>
        </w:numPr>
        <w:bidi w:val="0"/>
        <w:jc w:val="center"/>
        <w:rPr>
          <w:rFonts w:hint="eastAsia" w:ascii="仿宋_GB2312" w:hAnsi="仿宋_GB2312" w:eastAsia="仿宋_GB2312" w:cs="仿宋_GB2312"/>
          <w:sz w:val="32"/>
          <w:szCs w:val="32"/>
        </w:rPr>
        <w:sectPr>
          <w:footerReference r:id="rId5" w:type="default"/>
          <w:pgSz w:w="11906" w:h="16838"/>
          <w:pgMar w:top="1440" w:right="1800" w:bottom="1440" w:left="1800" w:header="851" w:footer="992" w:gutter="0"/>
          <w:pgNumType w:fmt="numberInDash"/>
          <w:cols w:space="0" w:num="1"/>
          <w:rtlGutter w:val="0"/>
          <w:docGrid w:type="lines" w:linePitch="387" w:charSpace="0"/>
        </w:sectPr>
      </w:pPr>
    </w:p>
    <w:p w14:paraId="559C47C2">
      <w:pPr>
        <w:pStyle w:val="3"/>
        <w:numPr>
          <w:ilvl w:val="0"/>
          <w:numId w:val="2"/>
        </w:numPr>
        <w:bidi w:val="0"/>
        <w:jc w:val="center"/>
        <w:rPr>
          <w:rFonts w:hint="eastAsia" w:ascii="仿宋_GB2312" w:hAnsi="仿宋_GB2312" w:eastAsia="仿宋_GB2312" w:cs="仿宋_GB2312"/>
          <w:sz w:val="32"/>
          <w:szCs w:val="32"/>
        </w:rPr>
      </w:pPr>
      <w:bookmarkStart w:id="0" w:name="_Toc24832"/>
      <w:r>
        <w:rPr>
          <w:rFonts w:hint="eastAsia" w:ascii="仿宋_GB2312" w:hAnsi="仿宋_GB2312" w:cs="仿宋_GB2312"/>
          <w:sz w:val="32"/>
          <w:szCs w:val="32"/>
          <w:lang w:val="en-US" w:eastAsia="zh-CN"/>
        </w:rPr>
        <w:t>采购</w:t>
      </w:r>
      <w:r>
        <w:rPr>
          <w:rFonts w:hint="eastAsia" w:ascii="仿宋_GB2312" w:hAnsi="仿宋_GB2312" w:eastAsia="仿宋_GB2312" w:cs="仿宋_GB2312"/>
          <w:sz w:val="32"/>
          <w:szCs w:val="32"/>
        </w:rPr>
        <w:t>公告</w:t>
      </w:r>
      <w:bookmarkEnd w:id="0"/>
    </w:p>
    <w:p w14:paraId="268CF13F">
      <w:pPr>
        <w:jc w:val="both"/>
        <w:rPr>
          <w:rFonts w:hint="eastAsia" w:ascii="仿宋_GB2312" w:hAnsi="仿宋_GB2312" w:eastAsia="仿宋_GB2312" w:cs="仿宋_GB2312"/>
          <w:sz w:val="32"/>
          <w:szCs w:val="32"/>
          <w:highlight w:val="none"/>
        </w:rPr>
      </w:pPr>
    </w:p>
    <w:p w14:paraId="30505F38">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1" w:name="_Toc15783"/>
      <w:r>
        <w:rPr>
          <w:rFonts w:hint="eastAsia" w:ascii="仿宋" w:hAnsi="仿宋" w:eastAsia="仿宋" w:cs="仿宋"/>
          <w:b/>
          <w:bCs/>
          <w:sz w:val="24"/>
          <w:szCs w:val="24"/>
          <w:highlight w:val="none"/>
        </w:rPr>
        <w:t>项目基本情况</w:t>
      </w:r>
      <w:bookmarkEnd w:id="1"/>
    </w:p>
    <w:p w14:paraId="5FDDF40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SJX-2025-350</w:t>
      </w:r>
      <w:r>
        <w:rPr>
          <w:rFonts w:hint="eastAsia" w:ascii="仿宋" w:hAnsi="仿宋" w:eastAsia="仿宋" w:cs="仿宋"/>
          <w:sz w:val="24"/>
          <w:szCs w:val="24"/>
          <w:highlight w:val="none"/>
          <w:lang w:val="en-US" w:eastAsia="zh-CN"/>
        </w:rPr>
        <w:t xml:space="preserve"> </w:t>
      </w:r>
    </w:p>
    <w:p w14:paraId="3E56724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《自治区市场监管“十四五”规划》总结评估项目</w:t>
      </w:r>
    </w:p>
    <w:p w14:paraId="2461F5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791568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预算金额：</w:t>
      </w:r>
      <w:r>
        <w:rPr>
          <w:rFonts w:hint="eastAsia" w:ascii="仿宋" w:hAnsi="仿宋" w:eastAsia="仿宋" w:cs="仿宋"/>
          <w:sz w:val="24"/>
          <w:szCs w:val="24"/>
          <w:highlight w:val="none"/>
          <w:lang w:val="en-US" w:eastAsia="zh-CN"/>
        </w:rPr>
        <w:t>250000元。</w:t>
      </w:r>
    </w:p>
    <w:p w14:paraId="3C4329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最高限价：</w:t>
      </w:r>
      <w:r>
        <w:rPr>
          <w:rFonts w:hint="eastAsia" w:ascii="仿宋" w:hAnsi="仿宋" w:eastAsia="仿宋" w:cs="仿宋"/>
          <w:sz w:val="24"/>
          <w:szCs w:val="24"/>
          <w:highlight w:val="none"/>
          <w:lang w:val="en-US" w:eastAsia="zh-CN"/>
        </w:rPr>
        <w:t>250000元。</w:t>
      </w:r>
    </w:p>
    <w:p w14:paraId="5092F29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采购需求：</w:t>
      </w:r>
    </w:p>
    <w:p w14:paraId="76294A1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标项名称:</w:t>
      </w:r>
      <w:r>
        <w:rPr>
          <w:rFonts w:hint="eastAsia" w:ascii="仿宋" w:hAnsi="仿宋" w:eastAsia="仿宋" w:cs="仿宋"/>
          <w:sz w:val="24"/>
          <w:szCs w:val="24"/>
          <w:highlight w:val="none"/>
          <w:lang w:eastAsia="zh-CN"/>
        </w:rPr>
        <w:t>《自治区市场监管“十四五”规划》总结评估项目</w:t>
      </w:r>
    </w:p>
    <w:p w14:paraId="150D204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val="en-US" w:eastAsia="zh-CN"/>
        </w:rPr>
        <w:t>1批</w:t>
      </w:r>
    </w:p>
    <w:p w14:paraId="436D57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250000元</w:t>
      </w:r>
    </w:p>
    <w:p w14:paraId="4F77AF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简要规格描述或项目基本概况介绍、用途：</w:t>
      </w:r>
      <w:r>
        <w:rPr>
          <w:rFonts w:hint="eastAsia" w:ascii="仿宋" w:hAnsi="仿宋" w:eastAsia="仿宋" w:cs="仿宋"/>
          <w:sz w:val="24"/>
          <w:szCs w:val="24"/>
          <w:highlight w:val="none"/>
          <w:lang w:eastAsia="zh-CN"/>
        </w:rPr>
        <w:t>《自治区市场监管“十四五”规划》总结评估项目</w:t>
      </w:r>
      <w:r>
        <w:rPr>
          <w:rFonts w:hint="eastAsia" w:ascii="仿宋" w:hAnsi="仿宋" w:eastAsia="仿宋" w:cs="仿宋"/>
          <w:sz w:val="24"/>
          <w:szCs w:val="24"/>
          <w:highlight w:val="none"/>
        </w:rPr>
        <w:t>，具体详见采购需求</w:t>
      </w:r>
      <w:r>
        <w:rPr>
          <w:rFonts w:hint="eastAsia" w:ascii="仿宋" w:hAnsi="仿宋" w:eastAsia="仿宋" w:cs="仿宋"/>
          <w:sz w:val="24"/>
          <w:szCs w:val="24"/>
          <w:highlight w:val="none"/>
          <w:lang w:eastAsia="zh-CN"/>
        </w:rPr>
        <w:t>。</w:t>
      </w:r>
    </w:p>
    <w:p w14:paraId="2B55E3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3AC9A7C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合同履约期限：</w:t>
      </w:r>
      <w:r>
        <w:rPr>
          <w:rFonts w:hint="eastAsia" w:ascii="仿宋" w:hAnsi="仿宋" w:eastAsia="仿宋" w:cs="仿宋"/>
          <w:sz w:val="24"/>
          <w:szCs w:val="24"/>
          <w:highlight w:val="none"/>
          <w:lang w:val="en-US" w:eastAsia="zh-CN"/>
        </w:rPr>
        <w:t>自合同签订之日起到2025年10月底完成全部工作内容。</w:t>
      </w:r>
    </w:p>
    <w:p w14:paraId="4F8B0E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36DF4434">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29FCBDB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1AF425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2.落实政府采购政策需满足的资格要求：本项目为专门面向中小企业采购，提供服务的承接商应符合《政府采购促进中小企业发展管理办法》(财库〔2020〕46号) 第四条规定的情形，且应当提供《政府采购促进中小企业发展管理办法》(财库〔2020〕46号)规定的《中小企业声明函》。</w:t>
      </w:r>
    </w:p>
    <w:p w14:paraId="041E27C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default" w:ascii="仿宋" w:hAnsi="仿宋" w:eastAsia="仿宋" w:cs="仿宋"/>
          <w:b/>
          <w:bCs/>
          <w:sz w:val="24"/>
          <w:szCs w:val="24"/>
          <w:highlight w:val="none"/>
          <w:lang w:val="en-US"/>
        </w:rPr>
      </w:pPr>
      <w:r>
        <w:rPr>
          <w:rFonts w:hint="eastAsia" w:ascii="仿宋" w:hAnsi="仿宋" w:eastAsia="仿宋" w:cs="仿宋"/>
          <w:b w:val="0"/>
          <w:bCs w:val="0"/>
          <w:sz w:val="24"/>
          <w:szCs w:val="24"/>
          <w:highlight w:val="none"/>
          <w:lang w:val="en-US" w:eastAsia="zh-CN"/>
        </w:rPr>
        <w:t>3.本项目的特定资格要求：无。</w:t>
      </w:r>
    </w:p>
    <w:p w14:paraId="052F0F25">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24234"/>
      <w:r>
        <w:rPr>
          <w:rFonts w:hint="eastAsia" w:ascii="仿宋" w:hAnsi="仿宋" w:eastAsia="仿宋" w:cs="仿宋"/>
          <w:b/>
          <w:bCs/>
          <w:sz w:val="24"/>
          <w:szCs w:val="24"/>
          <w:highlight w:val="none"/>
          <w:lang w:val="en-US" w:eastAsia="zh-CN"/>
        </w:rPr>
        <w:t>获取采购文件</w:t>
      </w:r>
      <w:bookmarkEnd w:id="3"/>
    </w:p>
    <w:p w14:paraId="7AA46A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时间：2025年7月8 日至2025年7月15日，每天上午00:00至12:00，下午12:00至23:59（北京时间，法定节假日除外）</w:t>
      </w:r>
    </w:p>
    <w:p w14:paraId="21B3F6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4AC5F5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方式：投标人登录政采云平台https://www.zcygov.cn/在线申请获取采购文件（进入“项目采购”应用，在获取采购文件菜单中选择项目，申请获取采购文件）本次招标不提供纸质版招标文件。</w:t>
      </w:r>
    </w:p>
    <w:p w14:paraId="13F256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 xml:space="preserve">售价（元）：0元 </w:t>
      </w:r>
    </w:p>
    <w:p w14:paraId="0452263F">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28094"/>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2A06C4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截止时间：2025年 7月18日 16:00（北京时间）</w:t>
      </w:r>
    </w:p>
    <w:p w14:paraId="17B2EE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    点：政采云平台（https://www.zcygov.cn/），本项目采用不见面开标，加密的电子投标文件在投标截止时间前在政采云平台上传。</w:t>
      </w:r>
    </w:p>
    <w:p w14:paraId="3C67E28A">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10942"/>
      <w:r>
        <w:rPr>
          <w:rFonts w:hint="eastAsia" w:ascii="仿宋" w:hAnsi="仿宋" w:eastAsia="仿宋" w:cs="仿宋"/>
          <w:b/>
          <w:bCs/>
          <w:sz w:val="24"/>
          <w:szCs w:val="24"/>
          <w:highlight w:val="none"/>
          <w:lang w:val="en-US" w:eastAsia="zh-CN"/>
        </w:rPr>
        <w:t>响应文件开启</w:t>
      </w:r>
      <w:bookmarkEnd w:id="5"/>
    </w:p>
    <w:p w14:paraId="2F2C4EF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开标时间：2025年 7 月 18 日 16:00（北京时间）</w:t>
      </w:r>
    </w:p>
    <w:p w14:paraId="491CB00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7B3886D7">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2200"/>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677CF0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6F327A47">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047369B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b w:val="0"/>
          <w:bCs w:val="0"/>
          <w:sz w:val="24"/>
          <w:szCs w:val="24"/>
          <w:highlight w:val="none"/>
        </w:rPr>
        <w:t>发布。</w:t>
      </w:r>
    </w:p>
    <w:p w14:paraId="452BBB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2、请</w:t>
      </w:r>
      <w:r>
        <w:rPr>
          <w:rFonts w:hint="eastAsia" w:ascii="仿宋" w:hAnsi="仿宋" w:eastAsia="仿宋" w:cs="仿宋"/>
          <w:b w:val="0"/>
          <w:bCs w:val="0"/>
          <w:sz w:val="24"/>
          <w:szCs w:val="24"/>
          <w:highlight w:val="none"/>
          <w:lang w:eastAsia="zh-CN"/>
        </w:rPr>
        <w:t>磋商投标人</w:t>
      </w:r>
      <w:r>
        <w:rPr>
          <w:rFonts w:hint="eastAsia" w:ascii="仿宋" w:hAnsi="仿宋" w:eastAsia="仿宋" w:cs="仿宋"/>
          <w:b w:val="0"/>
          <w:bCs w:val="0"/>
          <w:sz w:val="24"/>
          <w:szCs w:val="24"/>
          <w:highlight w:val="none"/>
        </w:rPr>
        <w:t>随时关注本项目的澄清、答疑、变更事项。</w:t>
      </w:r>
    </w:p>
    <w:p w14:paraId="2C44300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3、本项目实行电子招投标，</w:t>
      </w:r>
      <w:r>
        <w:rPr>
          <w:rFonts w:hint="eastAsia" w:ascii="仿宋" w:hAnsi="仿宋" w:eastAsia="仿宋" w:cs="仿宋"/>
          <w:b w:val="0"/>
          <w:bCs w:val="0"/>
          <w:sz w:val="24"/>
          <w:szCs w:val="24"/>
          <w:highlight w:val="none"/>
          <w:lang w:eastAsia="zh-CN"/>
        </w:rPr>
        <w:t>投标人</w:t>
      </w:r>
      <w:r>
        <w:rPr>
          <w:rFonts w:hint="eastAsia" w:ascii="仿宋" w:hAnsi="仿宋" w:eastAsia="仿宋" w:cs="仿宋"/>
          <w:b w:val="0"/>
          <w:bCs w:val="0"/>
          <w:sz w:val="24"/>
          <w:szCs w:val="24"/>
          <w:highlight w:val="none"/>
        </w:rPr>
        <w:t>须登录政采云平台申请获取招标文件，并通过政采云电子投标客户端制作响应文件，同时自行承担与投标有关的一切费用。</w:t>
      </w:r>
    </w:p>
    <w:p w14:paraId="1A287A8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4、各</w:t>
      </w:r>
      <w:r>
        <w:rPr>
          <w:rFonts w:hint="eastAsia" w:ascii="仿宋" w:hAnsi="仿宋" w:eastAsia="仿宋" w:cs="仿宋"/>
          <w:b w:val="0"/>
          <w:bCs w:val="0"/>
          <w:sz w:val="24"/>
          <w:szCs w:val="24"/>
          <w:highlight w:val="none"/>
          <w:lang w:eastAsia="zh-CN"/>
        </w:rPr>
        <w:t>投标人</w:t>
      </w:r>
      <w:r>
        <w:rPr>
          <w:rFonts w:hint="eastAsia" w:ascii="仿宋" w:hAnsi="仿宋" w:eastAsia="仿宋" w:cs="仿宋"/>
          <w:b w:val="0"/>
          <w:bCs w:val="0"/>
          <w:sz w:val="24"/>
          <w:szCs w:val="24"/>
          <w:highlight w:val="none"/>
        </w:rPr>
        <w:t>应在开标前确保成为新疆政府采购网正式注册入库</w:t>
      </w:r>
      <w:r>
        <w:rPr>
          <w:rFonts w:hint="eastAsia" w:ascii="仿宋" w:hAnsi="仿宋" w:eastAsia="仿宋" w:cs="仿宋"/>
          <w:b w:val="0"/>
          <w:bCs w:val="0"/>
          <w:sz w:val="24"/>
          <w:szCs w:val="24"/>
          <w:highlight w:val="none"/>
          <w:lang w:eastAsia="zh-CN"/>
        </w:rPr>
        <w:t>投标人</w:t>
      </w:r>
      <w:r>
        <w:rPr>
          <w:rFonts w:hint="eastAsia" w:ascii="仿宋" w:hAnsi="仿宋" w:eastAsia="仿宋" w:cs="仿宋"/>
          <w:b w:val="0"/>
          <w:bCs w:val="0"/>
          <w:sz w:val="24"/>
          <w:szCs w:val="24"/>
          <w:highlight w:val="none"/>
        </w:rPr>
        <w:t>，并完成CA数字证书申领。因未注册入库、未办理CA数字证书等原因造成无法投标或投标失败等后果由</w:t>
      </w:r>
      <w:r>
        <w:rPr>
          <w:rFonts w:hint="eastAsia" w:ascii="仿宋" w:hAnsi="仿宋" w:eastAsia="仿宋" w:cs="仿宋"/>
          <w:b w:val="0"/>
          <w:bCs w:val="0"/>
          <w:sz w:val="24"/>
          <w:szCs w:val="24"/>
          <w:highlight w:val="none"/>
          <w:lang w:eastAsia="zh-CN"/>
        </w:rPr>
        <w:t>投标人</w:t>
      </w:r>
      <w:r>
        <w:rPr>
          <w:rFonts w:hint="eastAsia" w:ascii="仿宋" w:hAnsi="仿宋" w:eastAsia="仿宋" w:cs="仿宋"/>
          <w:b w:val="0"/>
          <w:bCs w:val="0"/>
          <w:sz w:val="24"/>
          <w:szCs w:val="24"/>
          <w:highlight w:val="none"/>
        </w:rPr>
        <w:t>自行承担。</w:t>
      </w:r>
    </w:p>
    <w:p w14:paraId="787574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5、有意向参与电子开评标的</w:t>
      </w:r>
      <w:r>
        <w:rPr>
          <w:rFonts w:hint="eastAsia" w:ascii="仿宋" w:hAnsi="仿宋" w:eastAsia="仿宋" w:cs="仿宋"/>
          <w:b w:val="0"/>
          <w:bCs w:val="0"/>
          <w:sz w:val="24"/>
          <w:szCs w:val="24"/>
          <w:highlight w:val="none"/>
          <w:lang w:eastAsia="zh-CN"/>
        </w:rPr>
        <w:t>投标人</w:t>
      </w:r>
      <w:r>
        <w:rPr>
          <w:rFonts w:hint="eastAsia" w:ascii="仿宋" w:hAnsi="仿宋" w:eastAsia="仿宋" w:cs="仿宋"/>
          <w:b w:val="0"/>
          <w:bCs w:val="0"/>
          <w:sz w:val="24"/>
          <w:szCs w:val="24"/>
          <w:highlight w:val="none"/>
        </w:rPr>
        <w:t>，可访问新疆数字证书认证中心官方网站（https://www.xjca.com.cn/）或下载“新疆政务通”APP自行进行申领。如需咨询，请联系新疆CA服务热线0991-2819290。</w:t>
      </w:r>
    </w:p>
    <w:p w14:paraId="214282DC">
      <w:pPr>
        <w:pStyle w:val="33"/>
        <w:rPr>
          <w:rFonts w:hint="eastAsia" w:ascii="仿宋" w:hAnsi="仿宋" w:eastAsia="仿宋" w:cs="仿宋"/>
          <w:highlight w:val="none"/>
          <w:lang w:val="en-US" w:eastAsia="zh-CN"/>
        </w:rPr>
      </w:pPr>
    </w:p>
    <w:p w14:paraId="2212DDB1">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7C37D4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140AADE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采 购 人：新疆维吾尔自治区市场监督管理局 </w:t>
      </w:r>
    </w:p>
    <w:p w14:paraId="1F7CD9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地 址：新华南路167号</w:t>
      </w:r>
    </w:p>
    <w:p w14:paraId="38E2E7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 系 人： 胡金龙</w:t>
      </w:r>
    </w:p>
    <w:p w14:paraId="3B8DBC9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lang w:val="en-US" w:eastAsia="zh-CN"/>
        </w:rPr>
        <w:t>电 话：13809981699</w:t>
      </w:r>
    </w:p>
    <w:p w14:paraId="1A4F817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0A2EFE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名 称：新疆世纪星工程咨询有限公司</w:t>
      </w:r>
    </w:p>
    <w:p w14:paraId="7ACF96A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lang w:val="en-US"/>
        </w:rPr>
      </w:pPr>
      <w:r>
        <w:rPr>
          <w:rFonts w:hint="eastAsia" w:ascii="仿宋" w:hAnsi="仿宋" w:eastAsia="仿宋" w:cs="仿宋"/>
          <w:sz w:val="24"/>
          <w:szCs w:val="24"/>
          <w:lang w:val="en-US" w:eastAsia="zh-CN"/>
        </w:rPr>
        <w:t>联 系 人：郑倩如、张进宝、李航、杜萍</w:t>
      </w:r>
    </w:p>
    <w:p w14:paraId="687AB1A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地 址：乌鲁木齐经济技术开发区二期黄山街一品九点阳光德港大厦B座20楼</w:t>
      </w:r>
    </w:p>
    <w:p w14:paraId="0CA3E6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联系方式：0991-3678303</w:t>
      </w:r>
    </w:p>
    <w:p w14:paraId="779CEBB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p>
    <w:p w14:paraId="106E5DC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p>
    <w:p w14:paraId="75EACD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p>
    <w:p w14:paraId="4D7E3A38">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0F2A54A0">
      <w:pPr>
        <w:pStyle w:val="3"/>
        <w:numPr>
          <w:ilvl w:val="0"/>
          <w:numId w:val="4"/>
        </w:numPr>
        <w:bidi w:val="0"/>
        <w:jc w:val="center"/>
        <w:rPr>
          <w:rFonts w:hint="eastAsia" w:ascii="仿宋_GB2312" w:hAnsi="仿宋_GB2312" w:eastAsia="仿宋_GB2312" w:cs="仿宋_GB2312"/>
          <w:sz w:val="32"/>
          <w:szCs w:val="32"/>
          <w:lang w:val="en-US" w:eastAsia="zh-CN"/>
        </w:rPr>
      </w:pPr>
      <w:bookmarkStart w:id="9" w:name="_Toc19946"/>
      <w:r>
        <w:rPr>
          <w:rFonts w:hint="eastAsia" w:ascii="仿宋_GB2312" w:hAnsi="仿宋_GB2312" w:cs="仿宋_GB2312"/>
          <w:sz w:val="32"/>
          <w:szCs w:val="32"/>
          <w:lang w:val="en-US" w:eastAsia="zh-CN"/>
        </w:rPr>
        <w:t>投标人</w:t>
      </w:r>
      <w:r>
        <w:rPr>
          <w:rFonts w:hint="eastAsia" w:ascii="仿宋_GB2312" w:hAnsi="仿宋_GB2312" w:eastAsia="仿宋_GB2312" w:cs="仿宋_GB2312"/>
          <w:sz w:val="32"/>
          <w:szCs w:val="32"/>
          <w:lang w:val="en-US" w:eastAsia="zh-CN"/>
        </w:rPr>
        <w:t>须知前附表</w:t>
      </w:r>
      <w:bookmarkEnd w:id="9"/>
    </w:p>
    <w:p w14:paraId="32C4AE82">
      <w:pPr>
        <w:rPr>
          <w:rFonts w:hint="eastAsia" w:ascii="仿宋_GB2312" w:hAnsi="仿宋_GB2312" w:eastAsia="仿宋_GB2312" w:cs="仿宋_GB2312"/>
          <w:sz w:val="24"/>
          <w:szCs w:val="24"/>
          <w:lang w:val="en-US" w:eastAsia="zh-CN"/>
        </w:rPr>
      </w:pPr>
    </w:p>
    <w:p w14:paraId="23D8C8A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本表是本采购项目的具体资料，是对投标人须知的具体补充和修改，如有矛盾，均以本资料表为准。标记“☑”的选项意为适用于本项目，标记“□”的选项意为不适用于本项目。</w:t>
      </w:r>
    </w:p>
    <w:p w14:paraId="2893545C">
      <w:pPr>
        <w:pStyle w:val="12"/>
        <w:rPr>
          <w:rFonts w:hint="eastAsia" w:ascii="仿宋" w:hAnsi="仿宋" w:eastAsia="仿宋" w:cs="仿宋"/>
          <w:lang w:val="en-US" w:eastAsia="zh-CN"/>
        </w:rPr>
      </w:pP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52"/>
        <w:gridCol w:w="6870"/>
      </w:tblGrid>
      <w:tr w14:paraId="24E37A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FB08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vertAlign w:val="baseline"/>
              </w:rPr>
            </w:pPr>
            <w:r>
              <w:rPr>
                <w:rFonts w:hint="eastAsia" w:ascii="仿宋" w:hAnsi="仿宋" w:eastAsia="仿宋" w:cs="仿宋"/>
                <w:b/>
                <w:bCs/>
                <w:sz w:val="24"/>
                <w:szCs w:val="24"/>
                <w:vertAlign w:val="baseline"/>
                <w:lang w:val="en-US" w:eastAsia="zh-CN"/>
              </w:rPr>
              <w:t>条款号</w:t>
            </w:r>
          </w:p>
        </w:tc>
        <w:tc>
          <w:tcPr>
            <w:tcW w:w="7717" w:type="dxa"/>
            <w:tcBorders>
              <w:tl2br w:val="nil"/>
              <w:tr2bl w:val="nil"/>
            </w:tcBorders>
          </w:tcPr>
          <w:p w14:paraId="2BFD59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vertAlign w:val="baseline"/>
              </w:rPr>
            </w:pPr>
            <w:r>
              <w:rPr>
                <w:rFonts w:hint="eastAsia" w:ascii="仿宋" w:hAnsi="仿宋" w:eastAsia="仿宋" w:cs="仿宋"/>
                <w:b/>
                <w:bCs/>
                <w:sz w:val="24"/>
                <w:szCs w:val="24"/>
                <w:vertAlign w:val="baseline"/>
                <w:lang w:val="en-US" w:eastAsia="zh-CN"/>
              </w:rPr>
              <w:t>内容</w:t>
            </w:r>
          </w:p>
        </w:tc>
      </w:tr>
      <w:tr w14:paraId="70DB27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844E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w:t>
            </w:r>
          </w:p>
        </w:tc>
        <w:tc>
          <w:tcPr>
            <w:tcW w:w="7717" w:type="dxa"/>
            <w:tcBorders>
              <w:tl2br w:val="nil"/>
              <w:tr2bl w:val="nil"/>
            </w:tcBorders>
            <w:vAlign w:val="center"/>
          </w:tcPr>
          <w:p w14:paraId="41893B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 xml:space="preserve">采 购 人：新疆维吾尔自治区市场监督管理局 </w:t>
            </w:r>
          </w:p>
          <w:p w14:paraId="327AA3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地 址：新华南路167号</w:t>
            </w:r>
          </w:p>
          <w:p w14:paraId="2F563AD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 xml:space="preserve">联 系 人：胡金龙 </w:t>
            </w:r>
          </w:p>
          <w:p w14:paraId="79E8E49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vertAlign w:val="baseline"/>
                <w:lang w:val="en-US"/>
              </w:rPr>
            </w:pPr>
            <w:r>
              <w:rPr>
                <w:rFonts w:hint="eastAsia" w:ascii="仿宋" w:hAnsi="仿宋" w:eastAsia="仿宋" w:cs="仿宋"/>
                <w:sz w:val="24"/>
                <w:szCs w:val="24"/>
                <w:highlight w:val="none"/>
                <w:vertAlign w:val="baseline"/>
                <w:lang w:val="en-US" w:eastAsia="zh-CN"/>
              </w:rPr>
              <w:t>电 话：13809981699</w:t>
            </w:r>
          </w:p>
        </w:tc>
      </w:tr>
      <w:tr w14:paraId="31AFD2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570FD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w:t>
            </w:r>
          </w:p>
        </w:tc>
        <w:tc>
          <w:tcPr>
            <w:tcW w:w="7717" w:type="dxa"/>
            <w:tcBorders>
              <w:tl2br w:val="nil"/>
              <w:tr2bl w:val="nil"/>
            </w:tcBorders>
            <w:vAlign w:val="center"/>
          </w:tcPr>
          <w:p w14:paraId="600C8B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采购代理机构：新疆世纪星工程咨询有限公司 </w:t>
            </w:r>
          </w:p>
          <w:p w14:paraId="1A2B44A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地址：乌鲁木齐经济技术开发区二期黄山街一品九点阳光德港大厦B座20楼 </w:t>
            </w:r>
          </w:p>
          <w:p w14:paraId="13EA5A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业务联系人：</w:t>
            </w:r>
            <w:r>
              <w:rPr>
                <w:rFonts w:hint="eastAsia" w:ascii="仿宋" w:hAnsi="仿宋" w:eastAsia="仿宋" w:cs="仿宋"/>
                <w:sz w:val="24"/>
                <w:szCs w:val="24"/>
                <w:lang w:val="en-US" w:eastAsia="zh-CN"/>
              </w:rPr>
              <w:t>郑倩如、张进宝、李航、杜萍</w:t>
            </w:r>
            <w:r>
              <w:rPr>
                <w:rFonts w:hint="eastAsia" w:ascii="仿宋" w:hAnsi="仿宋" w:eastAsia="仿宋" w:cs="仿宋"/>
                <w:sz w:val="24"/>
                <w:szCs w:val="24"/>
                <w:vertAlign w:val="baseline"/>
              </w:rPr>
              <w:t xml:space="preserve">      </w:t>
            </w:r>
            <w:r>
              <w:rPr>
                <w:rFonts w:hint="eastAsia" w:ascii="仿宋" w:hAnsi="仿宋" w:eastAsia="仿宋" w:cs="仿宋"/>
                <w:sz w:val="24"/>
                <w:szCs w:val="24"/>
                <w:vertAlign w:val="baseline"/>
                <w:lang w:val="en-US" w:eastAsia="zh-CN"/>
              </w:rPr>
              <w:t xml:space="preserve">  </w:t>
            </w:r>
          </w:p>
          <w:p w14:paraId="7C1EA1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电话：0991-3678303 </w:t>
            </w:r>
          </w:p>
          <w:p w14:paraId="16F28F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电子邮箱：</w:t>
            </w:r>
            <w:r>
              <w:rPr>
                <w:rFonts w:hint="eastAsia" w:ascii="仿宋" w:hAnsi="仿宋" w:eastAsia="仿宋" w:cs="仿宋"/>
                <w:sz w:val="24"/>
                <w:szCs w:val="24"/>
                <w:vertAlign w:val="baseline"/>
                <w:lang w:val="en-US" w:eastAsia="zh-CN"/>
              </w:rPr>
              <w:t>522439995@qq.com</w:t>
            </w:r>
          </w:p>
        </w:tc>
      </w:tr>
      <w:tr w14:paraId="457353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36E8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1.3.3</w:t>
            </w:r>
          </w:p>
        </w:tc>
        <w:tc>
          <w:tcPr>
            <w:tcW w:w="7717" w:type="dxa"/>
            <w:tcBorders>
              <w:tl2br w:val="nil"/>
              <w:tr2bl w:val="nil"/>
            </w:tcBorders>
            <w:vAlign w:val="center"/>
          </w:tcPr>
          <w:p w14:paraId="7411133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合格</w:t>
            </w:r>
            <w:r>
              <w:rPr>
                <w:rFonts w:hint="eastAsia" w:ascii="仿宋" w:hAnsi="仿宋" w:eastAsia="仿宋" w:cs="仿宋"/>
                <w:sz w:val="24"/>
                <w:szCs w:val="24"/>
                <w:vertAlign w:val="baseline"/>
                <w:lang w:val="en-US" w:eastAsia="zh-CN"/>
              </w:rPr>
              <w:t>投标人</w:t>
            </w:r>
            <w:r>
              <w:rPr>
                <w:rFonts w:hint="eastAsia" w:ascii="仿宋" w:hAnsi="仿宋" w:eastAsia="仿宋" w:cs="仿宋"/>
                <w:sz w:val="24"/>
                <w:szCs w:val="24"/>
                <w:vertAlign w:val="baseline"/>
              </w:rPr>
              <w:t>的其他资格要求：</w:t>
            </w:r>
            <w:r>
              <w:rPr>
                <w:rFonts w:hint="eastAsia" w:ascii="仿宋" w:hAnsi="仿宋" w:eastAsia="仿宋" w:cs="仿宋"/>
                <w:sz w:val="24"/>
                <w:szCs w:val="24"/>
                <w:vertAlign w:val="baseline"/>
                <w:lang w:val="en-US" w:eastAsia="zh-CN"/>
              </w:rPr>
              <w:t>/</w:t>
            </w:r>
          </w:p>
        </w:tc>
      </w:tr>
      <w:tr w14:paraId="37299B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0CFC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w:t>
            </w:r>
          </w:p>
        </w:tc>
        <w:tc>
          <w:tcPr>
            <w:tcW w:w="7717" w:type="dxa"/>
            <w:tcBorders>
              <w:tl2br w:val="nil"/>
              <w:tr2bl w:val="nil"/>
            </w:tcBorders>
            <w:vAlign w:val="center"/>
          </w:tcPr>
          <w:p w14:paraId="6B0F7FF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是否允许采购进口产品：否</w:t>
            </w:r>
          </w:p>
        </w:tc>
      </w:tr>
      <w:tr w14:paraId="4B8566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BF485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1.5.1</w:t>
            </w:r>
          </w:p>
        </w:tc>
        <w:tc>
          <w:tcPr>
            <w:tcW w:w="7717" w:type="dxa"/>
            <w:tcBorders>
              <w:tl2br w:val="nil"/>
              <w:tr2bl w:val="nil"/>
            </w:tcBorders>
            <w:vAlign w:val="center"/>
          </w:tcPr>
          <w:p w14:paraId="2791A8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rPr>
            </w:pPr>
            <w:r>
              <w:rPr>
                <w:rFonts w:hint="eastAsia" w:ascii="仿宋" w:hAnsi="仿宋" w:eastAsia="仿宋" w:cs="仿宋"/>
                <w:sz w:val="24"/>
                <w:szCs w:val="24"/>
                <w:highlight w:val="none"/>
                <w:vertAlign w:val="baseline"/>
              </w:rPr>
              <w:t>本项目采购标的对应的中小企业划分标准所属行业：</w:t>
            </w:r>
            <w:r>
              <w:rPr>
                <w:rFonts w:hint="eastAsia" w:ascii="仿宋" w:hAnsi="仿宋" w:eastAsia="仿宋" w:cs="仿宋"/>
                <w:b/>
                <w:bCs/>
                <w:sz w:val="24"/>
                <w:szCs w:val="24"/>
                <w:highlight w:val="none"/>
                <w:vertAlign w:val="baseline"/>
                <w:lang w:val="en-US" w:eastAsia="zh-CN"/>
              </w:rPr>
              <w:t>其他未列明行业（本项目属于其他未列明行业，提供服务的承接商应符合《政府采购促进中小企业发展管理办法》(财库〔2020〕46号) 第四条规定的情形，且应当提供《政府采购促进中小企业发展管理办法》(财库〔2020〕46号)规定的《中小企业声明函》。）</w:t>
            </w:r>
          </w:p>
        </w:tc>
      </w:tr>
      <w:tr w14:paraId="2FFDDE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34F7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1.5.2</w:t>
            </w:r>
          </w:p>
        </w:tc>
        <w:tc>
          <w:tcPr>
            <w:tcW w:w="7717" w:type="dxa"/>
            <w:tcBorders>
              <w:tl2br w:val="nil"/>
              <w:tr2bl w:val="nil"/>
            </w:tcBorders>
            <w:vAlign w:val="center"/>
          </w:tcPr>
          <w:p w14:paraId="2BD00F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□本项目不专门面向中小企业预留采购份额。</w:t>
            </w:r>
          </w:p>
          <w:p w14:paraId="3AC7570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☑本项目专门面向☑中小□小微企业 采购。即: </w:t>
            </w:r>
            <w:r>
              <w:rPr>
                <w:rFonts w:hint="eastAsia" w:ascii="仿宋" w:hAnsi="仿宋" w:eastAsia="仿宋" w:cs="仿宋"/>
                <w:sz w:val="24"/>
                <w:szCs w:val="24"/>
                <w:highlight w:val="none"/>
                <w:u w:val="single"/>
                <w:vertAlign w:val="baseline"/>
                <w:lang w:val="en-US" w:eastAsia="zh-CN"/>
              </w:rPr>
              <w:t>提供的服务全部由符合政策要求的☑中小/□小微企业制造、服务全部由符合政策要求的□中小/☑小微企业承接。</w:t>
            </w:r>
          </w:p>
          <w:p w14:paraId="580950A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□本项目预留部分采购项目预算专门面向中小企业采购。对于预留份额，提供的服务由符合政策要求的中小企业制造、服务(或工程) 由符合政策要求的中小企业承接。预留份额通过以下措施进行:</w:t>
            </w:r>
            <w:r>
              <w:rPr>
                <w:rFonts w:hint="eastAsia" w:ascii="仿宋" w:hAnsi="仿宋" w:eastAsia="仿宋" w:cs="仿宋"/>
                <w:b/>
                <w:bCs/>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26EB63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477F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7717" w:type="dxa"/>
            <w:tcBorders>
              <w:tl2br w:val="nil"/>
              <w:tr2bl w:val="nil"/>
            </w:tcBorders>
            <w:vAlign w:val="center"/>
          </w:tcPr>
          <w:p w14:paraId="49B738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是否允许联合体参加</w:t>
            </w:r>
            <w:r>
              <w:rPr>
                <w:rFonts w:hint="eastAsia" w:ascii="仿宋" w:hAnsi="仿宋" w:eastAsia="仿宋" w:cs="仿宋"/>
                <w:sz w:val="24"/>
                <w:szCs w:val="24"/>
                <w:highlight w:val="none"/>
                <w:vertAlign w:val="baseline"/>
                <w:lang w:eastAsia="zh-CN"/>
              </w:rPr>
              <w:t>磋商</w:t>
            </w:r>
            <w:r>
              <w:rPr>
                <w:rFonts w:hint="eastAsia" w:ascii="仿宋" w:hAnsi="仿宋" w:eastAsia="仿宋" w:cs="仿宋"/>
                <w:sz w:val="24"/>
                <w:szCs w:val="24"/>
                <w:highlight w:val="none"/>
                <w:vertAlign w:val="baseline"/>
              </w:rPr>
              <w:t>：否</w:t>
            </w:r>
          </w:p>
          <w:p w14:paraId="659C5FE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联合体的其他资格要求：无</w:t>
            </w:r>
          </w:p>
        </w:tc>
      </w:tr>
      <w:tr w14:paraId="3CB9A5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1D5AE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7717" w:type="dxa"/>
            <w:tcBorders>
              <w:tl2br w:val="nil"/>
              <w:tr2bl w:val="nil"/>
            </w:tcBorders>
            <w:vAlign w:val="center"/>
          </w:tcPr>
          <w:p w14:paraId="335A0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项目预算金额：</w:t>
            </w:r>
            <w:r>
              <w:rPr>
                <w:rFonts w:hint="eastAsia" w:ascii="仿宋" w:hAnsi="仿宋" w:eastAsia="仿宋" w:cs="仿宋"/>
                <w:sz w:val="24"/>
                <w:szCs w:val="24"/>
                <w:highlight w:val="none"/>
                <w:lang w:val="en-US" w:eastAsia="zh-CN"/>
              </w:rPr>
              <w:t>250000元。</w:t>
            </w:r>
          </w:p>
          <w:p w14:paraId="2C9A782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最高限价：</w:t>
            </w:r>
            <w:r>
              <w:rPr>
                <w:rFonts w:hint="eastAsia" w:ascii="仿宋" w:hAnsi="仿宋" w:eastAsia="仿宋" w:cs="仿宋"/>
                <w:sz w:val="24"/>
                <w:szCs w:val="24"/>
                <w:highlight w:val="none"/>
                <w:lang w:val="en-US" w:eastAsia="zh-CN"/>
              </w:rPr>
              <w:t>250000元。</w:t>
            </w:r>
          </w:p>
        </w:tc>
      </w:tr>
      <w:tr w14:paraId="194137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7B9D6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5.4</w:t>
            </w:r>
          </w:p>
        </w:tc>
        <w:tc>
          <w:tcPr>
            <w:tcW w:w="7717" w:type="dxa"/>
            <w:tcBorders>
              <w:tl2br w:val="nil"/>
              <w:tr2bl w:val="nil"/>
            </w:tcBorders>
            <w:vAlign w:val="center"/>
          </w:tcPr>
          <w:p w14:paraId="710E24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是否组织现场考察或者召开答疑会：否 </w:t>
            </w:r>
          </w:p>
          <w:p w14:paraId="68C34BB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组织现场考察或者召开答疑会相关要求：/</w:t>
            </w:r>
          </w:p>
        </w:tc>
      </w:tr>
      <w:tr w14:paraId="516DE9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EB6B56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5.7 </w:t>
            </w:r>
          </w:p>
        </w:tc>
        <w:tc>
          <w:tcPr>
            <w:tcW w:w="7717" w:type="dxa"/>
            <w:tcBorders>
              <w:tl2br w:val="nil"/>
              <w:tr2bl w:val="nil"/>
            </w:tcBorders>
            <w:vAlign w:val="center"/>
          </w:tcPr>
          <w:p w14:paraId="1B91AB9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 xml:space="preserve">是否需要提供样品：否 </w:t>
            </w:r>
          </w:p>
          <w:p w14:paraId="69319C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提供样品要求包括：（样品的制作标准和要求、接收及退还，样品检测报告，检测机构、检测内容等内容）</w:t>
            </w:r>
          </w:p>
        </w:tc>
      </w:tr>
      <w:tr w14:paraId="16974B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6F2F27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7.1 </w:t>
            </w:r>
          </w:p>
        </w:tc>
        <w:tc>
          <w:tcPr>
            <w:tcW w:w="7717" w:type="dxa"/>
            <w:tcBorders>
              <w:tl2br w:val="nil"/>
              <w:tr2bl w:val="nil"/>
            </w:tcBorders>
            <w:vAlign w:val="center"/>
          </w:tcPr>
          <w:p w14:paraId="71D732C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rPr>
              <w:t>如</w:t>
            </w:r>
            <w:r>
              <w:rPr>
                <w:rFonts w:hint="eastAsia" w:ascii="仿宋" w:hAnsi="仿宋" w:eastAsia="仿宋" w:cs="仿宋"/>
                <w:sz w:val="24"/>
                <w:szCs w:val="24"/>
                <w:vertAlign w:val="baseline"/>
                <w:lang w:val="en-US" w:eastAsia="zh-CN"/>
              </w:rPr>
              <w:t>投标人</w:t>
            </w:r>
            <w:r>
              <w:rPr>
                <w:rFonts w:hint="eastAsia" w:ascii="仿宋" w:hAnsi="仿宋" w:eastAsia="仿宋" w:cs="仿宋"/>
                <w:sz w:val="24"/>
                <w:szCs w:val="24"/>
                <w:vertAlign w:val="baseline"/>
              </w:rPr>
              <w:t>对</w:t>
            </w:r>
            <w:r>
              <w:rPr>
                <w:rFonts w:hint="eastAsia" w:ascii="仿宋" w:hAnsi="仿宋" w:eastAsia="仿宋" w:cs="仿宋"/>
                <w:b/>
                <w:bCs/>
                <w:sz w:val="24"/>
                <w:szCs w:val="24"/>
                <w:vertAlign w:val="baseline"/>
              </w:rPr>
              <w:t>多</w:t>
            </w:r>
            <w:r>
              <w:rPr>
                <w:rFonts w:hint="eastAsia" w:ascii="仿宋" w:hAnsi="仿宋" w:eastAsia="仿宋" w:cs="仿宋"/>
                <w:sz w:val="24"/>
                <w:szCs w:val="24"/>
                <w:vertAlign w:val="baseline"/>
              </w:rPr>
              <w:t>个包进行</w:t>
            </w:r>
            <w:r>
              <w:rPr>
                <w:rFonts w:hint="eastAsia" w:ascii="仿宋" w:hAnsi="仿宋" w:eastAsia="仿宋" w:cs="仿宋"/>
                <w:sz w:val="24"/>
                <w:szCs w:val="24"/>
                <w:vertAlign w:val="baseline"/>
                <w:lang w:val="en-US" w:eastAsia="zh-CN"/>
              </w:rPr>
              <w:t>磋商响应</w:t>
            </w:r>
            <w:r>
              <w:rPr>
                <w:rFonts w:hint="eastAsia" w:ascii="仿宋" w:hAnsi="仿宋" w:eastAsia="仿宋" w:cs="仿宋"/>
                <w:sz w:val="24"/>
                <w:szCs w:val="24"/>
                <w:vertAlign w:val="baseline"/>
              </w:rPr>
              <w:t>，可以</w:t>
            </w:r>
            <w:r>
              <w:rPr>
                <w:rFonts w:hint="eastAsia" w:ascii="仿宋" w:hAnsi="仿宋" w:eastAsia="仿宋" w:cs="仿宋"/>
                <w:sz w:val="24"/>
                <w:szCs w:val="24"/>
                <w:vertAlign w:val="baseline"/>
                <w:lang w:val="en-US" w:eastAsia="zh-CN"/>
              </w:rPr>
              <w:t>成交</w:t>
            </w:r>
            <w:r>
              <w:rPr>
                <w:rFonts w:hint="eastAsia" w:ascii="仿宋" w:hAnsi="仿宋" w:eastAsia="仿宋" w:cs="仿宋"/>
                <w:b/>
                <w:bCs/>
                <w:sz w:val="24"/>
                <w:szCs w:val="24"/>
                <w:u w:val="single"/>
                <w:vertAlign w:val="baseline"/>
              </w:rPr>
              <w:t>多</w:t>
            </w:r>
            <w:r>
              <w:rPr>
                <w:rFonts w:hint="eastAsia" w:ascii="仿宋" w:hAnsi="仿宋" w:eastAsia="仿宋" w:cs="仿宋"/>
                <w:sz w:val="24"/>
                <w:szCs w:val="24"/>
                <w:vertAlign w:val="baseline"/>
              </w:rPr>
              <w:t>包</w:t>
            </w:r>
            <w:r>
              <w:rPr>
                <w:rFonts w:hint="eastAsia" w:ascii="仿宋" w:hAnsi="仿宋" w:eastAsia="仿宋" w:cs="仿宋"/>
                <w:b/>
                <w:bCs/>
                <w:sz w:val="24"/>
                <w:szCs w:val="24"/>
                <w:vertAlign w:val="baseline"/>
                <w:lang w:eastAsia="zh-CN"/>
              </w:rPr>
              <w:t>（</w:t>
            </w:r>
            <w:r>
              <w:rPr>
                <w:rFonts w:hint="eastAsia" w:ascii="仿宋" w:hAnsi="仿宋" w:eastAsia="仿宋" w:cs="仿宋"/>
                <w:b/>
                <w:bCs/>
                <w:sz w:val="24"/>
                <w:szCs w:val="24"/>
                <w:vertAlign w:val="baseline"/>
                <w:lang w:val="en-US" w:eastAsia="zh-CN"/>
              </w:rPr>
              <w:t>本项目不适用</w:t>
            </w:r>
            <w:r>
              <w:rPr>
                <w:rFonts w:hint="eastAsia" w:ascii="仿宋" w:hAnsi="仿宋" w:eastAsia="仿宋" w:cs="仿宋"/>
                <w:b/>
                <w:bCs/>
                <w:sz w:val="24"/>
                <w:szCs w:val="24"/>
                <w:vertAlign w:val="baseline"/>
                <w:lang w:eastAsia="zh-CN"/>
              </w:rPr>
              <w:t>）</w:t>
            </w:r>
          </w:p>
        </w:tc>
      </w:tr>
      <w:tr w14:paraId="5557C5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14CA3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7717" w:type="dxa"/>
            <w:tcBorders>
              <w:tl2br w:val="nil"/>
              <w:tr2bl w:val="nil"/>
            </w:tcBorders>
            <w:vAlign w:val="center"/>
          </w:tcPr>
          <w:p w14:paraId="2D048C9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保证金形式：支票、汇票、本票、网上银行支付或者金融机构、担保机构出具的保函等政府采购法律法规中要求的非现金形式</w:t>
            </w:r>
          </w:p>
          <w:p w14:paraId="5CD029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lang w:val="en-US"/>
              </w:rPr>
            </w:pPr>
            <w:r>
              <w:rPr>
                <w:rFonts w:hint="eastAsia" w:ascii="仿宋" w:hAnsi="仿宋" w:eastAsia="仿宋" w:cs="仿宋"/>
                <w:sz w:val="24"/>
                <w:szCs w:val="24"/>
                <w:vertAlign w:val="baseline"/>
              </w:rPr>
              <w:t>保证金数额：</w:t>
            </w:r>
            <w:r>
              <w:rPr>
                <w:rFonts w:hint="eastAsia" w:ascii="仿宋" w:hAnsi="仿宋" w:eastAsia="仿宋" w:cs="仿宋"/>
                <w:sz w:val="24"/>
                <w:szCs w:val="24"/>
                <w:vertAlign w:val="baseline"/>
                <w:lang w:val="en-US" w:eastAsia="zh-CN"/>
              </w:rPr>
              <w:t>4900元。</w:t>
            </w:r>
          </w:p>
          <w:p w14:paraId="78F288B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如采用网上银行方式，采购代理机构账号信息如下：</w:t>
            </w:r>
          </w:p>
          <w:p w14:paraId="23082864">
            <w:pPr>
              <w:rPr>
                <w:rFonts w:hint="eastAsia" w:ascii="仿宋" w:hAnsi="仿宋" w:eastAsia="仿宋" w:cs="仿宋"/>
                <w:highlight w:val="none"/>
              </w:rPr>
            </w:pPr>
            <w:r>
              <w:rPr>
                <w:rFonts w:hint="eastAsia" w:ascii="仿宋" w:hAnsi="仿宋" w:eastAsia="仿宋" w:cs="仿宋"/>
                <w:highlight w:val="none"/>
              </w:rPr>
              <w:t>保证金收款人：新疆世纪星工程咨询有限公司</w:t>
            </w:r>
          </w:p>
          <w:p w14:paraId="627517BE">
            <w:pPr>
              <w:rPr>
                <w:rFonts w:hint="eastAsia" w:ascii="仿宋" w:hAnsi="仿宋" w:eastAsia="仿宋" w:cs="仿宋"/>
                <w:highlight w:val="none"/>
              </w:rPr>
            </w:pPr>
            <w:r>
              <w:rPr>
                <w:rFonts w:hint="eastAsia" w:ascii="仿宋" w:hAnsi="仿宋" w:eastAsia="仿宋" w:cs="仿宋"/>
                <w:highlight w:val="none"/>
              </w:rPr>
              <w:t>保证金收款账号：512090100100073085</w:t>
            </w:r>
          </w:p>
          <w:p w14:paraId="0BA5DE3E">
            <w:pPr>
              <w:rPr>
                <w:rFonts w:hint="eastAsia" w:ascii="仿宋" w:hAnsi="仿宋" w:eastAsia="仿宋" w:cs="仿宋"/>
                <w:highlight w:val="none"/>
              </w:rPr>
            </w:pPr>
            <w:r>
              <w:rPr>
                <w:rFonts w:hint="eastAsia" w:ascii="仿宋" w:hAnsi="仿宋" w:eastAsia="仿宋" w:cs="仿宋"/>
                <w:highlight w:val="none"/>
              </w:rPr>
              <w:t>保证收款银行及行号: 兴业银行乌鲁木齐分行营业部309881002010</w:t>
            </w:r>
          </w:p>
          <w:p w14:paraId="015A0097">
            <w:pPr>
              <w:rPr>
                <w:rFonts w:hint="eastAsia" w:ascii="仿宋" w:hAnsi="仿宋" w:eastAsia="仿宋" w:cs="仿宋"/>
                <w:highlight w:val="none"/>
              </w:rPr>
            </w:pPr>
            <w:r>
              <w:rPr>
                <w:rFonts w:hint="eastAsia" w:ascii="仿宋" w:hAnsi="仿宋" w:eastAsia="仿宋" w:cs="仿宋"/>
                <w:highlight w:val="none"/>
              </w:rPr>
              <w:t>以电汇或银行转账形式缴纳保证金的供应商注意事项：</w:t>
            </w:r>
          </w:p>
          <w:p w14:paraId="73A01494">
            <w:pPr>
              <w:rPr>
                <w:rFonts w:hint="eastAsia" w:ascii="仿宋" w:hAnsi="仿宋" w:eastAsia="仿宋" w:cs="仿宋"/>
                <w:highlight w:val="none"/>
              </w:rPr>
            </w:pPr>
            <w:r>
              <w:rPr>
                <w:rFonts w:hint="eastAsia" w:ascii="仿宋" w:hAnsi="仿宋" w:eastAsia="仿宋" w:cs="仿宋"/>
                <w:highlight w:val="none"/>
              </w:rPr>
              <w:t>在汇款附言（或银行摘要）中，标明项目编号。每个项目须按照项目提交投标保证金。</w:t>
            </w:r>
          </w:p>
          <w:p w14:paraId="51EACCB0">
            <w:pPr>
              <w:rPr>
                <w:rFonts w:hint="eastAsia" w:ascii="仿宋" w:hAnsi="仿宋" w:eastAsia="仿宋" w:cs="仿宋"/>
                <w:highlight w:val="none"/>
              </w:rPr>
            </w:pPr>
            <w:r>
              <w:rPr>
                <w:rFonts w:hint="eastAsia" w:ascii="仿宋" w:hAnsi="仿宋" w:eastAsia="仿宋" w:cs="仿宋"/>
                <w:highlight w:val="none"/>
              </w:rPr>
              <w:t>投标保函提交方式：供应商须通过"政采云平台金融服务中心"(https://jinrong.zcygov.cn/)，申请办理投标电子保函，成功出函的等效于缴纳投标保证金。开标时采购人或代理机构通过政采云平台保函系统进行查询，保函信息以查询结果为准，未查询到的电子保函评审时将按无效投标（响应）处理。</w:t>
            </w:r>
          </w:p>
          <w:p w14:paraId="4F1D03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vertAlign w:val="baseline"/>
              </w:rPr>
            </w:pPr>
            <w:r>
              <w:rPr>
                <w:rFonts w:hint="eastAsia" w:ascii="仿宋" w:hAnsi="仿宋" w:eastAsia="仿宋" w:cs="仿宋"/>
                <w:b/>
                <w:bCs/>
                <w:highlight w:val="none"/>
              </w:rPr>
              <w:t>投标保证金（投标电子保函）有效期与投标有效期一致。</w:t>
            </w:r>
          </w:p>
        </w:tc>
      </w:tr>
      <w:tr w14:paraId="106B03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F47DC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11.1</w:t>
            </w:r>
          </w:p>
        </w:tc>
        <w:tc>
          <w:tcPr>
            <w:tcW w:w="7717" w:type="dxa"/>
            <w:tcBorders>
              <w:tl2br w:val="nil"/>
              <w:tr2bl w:val="nil"/>
            </w:tcBorders>
            <w:vAlign w:val="center"/>
          </w:tcPr>
          <w:p w14:paraId="7C6474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vertAlign w:val="baseline"/>
              </w:rPr>
            </w:pPr>
            <w:r>
              <w:rPr>
                <w:rFonts w:hint="eastAsia" w:ascii="仿宋" w:hAnsi="仿宋" w:eastAsia="仿宋" w:cs="仿宋"/>
                <w:b w:val="0"/>
                <w:bCs w:val="0"/>
                <w:sz w:val="24"/>
                <w:szCs w:val="24"/>
                <w:vertAlign w:val="baseline"/>
                <w:lang w:val="en-US" w:eastAsia="zh-CN"/>
              </w:rPr>
              <w:t>响应文件</w:t>
            </w:r>
            <w:r>
              <w:rPr>
                <w:rFonts w:hint="eastAsia" w:ascii="仿宋" w:hAnsi="仿宋" w:eastAsia="仿宋" w:cs="仿宋"/>
                <w:b w:val="0"/>
                <w:bCs w:val="0"/>
                <w:sz w:val="24"/>
                <w:szCs w:val="24"/>
                <w:vertAlign w:val="baseline"/>
              </w:rPr>
              <w:t>有效期：90 日历日</w:t>
            </w:r>
          </w:p>
        </w:tc>
      </w:tr>
      <w:tr w14:paraId="2BB6AA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AFD8A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13.1</w:t>
            </w:r>
          </w:p>
        </w:tc>
        <w:tc>
          <w:tcPr>
            <w:tcW w:w="7717" w:type="dxa"/>
            <w:tcBorders>
              <w:tl2br w:val="nil"/>
              <w:tr2bl w:val="nil"/>
            </w:tcBorders>
            <w:vAlign w:val="center"/>
          </w:tcPr>
          <w:p w14:paraId="5B1E64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响应截止时间：</w:t>
            </w:r>
            <w:r>
              <w:rPr>
                <w:rFonts w:hint="eastAsia" w:ascii="仿宋" w:hAnsi="仿宋" w:eastAsia="仿宋" w:cs="仿宋"/>
                <w:b w:val="0"/>
                <w:bCs w:val="0"/>
                <w:sz w:val="24"/>
                <w:szCs w:val="24"/>
                <w:highlight w:val="none"/>
                <w:lang w:val="en-US" w:eastAsia="zh-CN"/>
              </w:rPr>
              <w:t>2025年 7  月 18 日 16:00</w:t>
            </w:r>
            <w:r>
              <w:rPr>
                <w:rFonts w:hint="eastAsia" w:ascii="仿宋" w:hAnsi="仿宋" w:eastAsia="仿宋" w:cs="仿宋"/>
                <w:b w:val="0"/>
                <w:bCs w:val="0"/>
                <w:sz w:val="24"/>
                <w:szCs w:val="24"/>
                <w:highlight w:val="none"/>
                <w:vertAlign w:val="baseline"/>
                <w:lang w:val="en-US" w:eastAsia="zh-CN"/>
              </w:rPr>
              <w:t>（北京时间）</w:t>
            </w:r>
          </w:p>
        </w:tc>
      </w:tr>
      <w:tr w14:paraId="750F4A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763136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14.1</w:t>
            </w:r>
          </w:p>
        </w:tc>
        <w:tc>
          <w:tcPr>
            <w:tcW w:w="7717" w:type="dxa"/>
            <w:tcBorders>
              <w:tl2br w:val="nil"/>
              <w:tr2bl w:val="nil"/>
            </w:tcBorders>
            <w:vAlign w:val="center"/>
          </w:tcPr>
          <w:p w14:paraId="2B4F43E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开标时间：同响应截止时间 </w:t>
            </w:r>
          </w:p>
          <w:p w14:paraId="1FDFB3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开标地点：政采云平台（https://www.zcygov.cn/）不见面开标系统</w:t>
            </w:r>
          </w:p>
        </w:tc>
      </w:tr>
      <w:tr w14:paraId="1BF647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4" w:space="0"/>
              <w:tl2br w:val="nil"/>
              <w:tr2bl w:val="nil"/>
            </w:tcBorders>
            <w:vAlign w:val="center"/>
          </w:tcPr>
          <w:p w14:paraId="076CFF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18.1</w:t>
            </w:r>
          </w:p>
        </w:tc>
        <w:tc>
          <w:tcPr>
            <w:tcW w:w="7717" w:type="dxa"/>
            <w:tcBorders>
              <w:bottom w:val="single" w:color="auto" w:sz="4" w:space="0"/>
              <w:tl2br w:val="nil"/>
              <w:tr2bl w:val="nil"/>
            </w:tcBorders>
            <w:vAlign w:val="center"/>
          </w:tcPr>
          <w:p w14:paraId="70F38B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采购人是否委托磋商小组直接确定成交人：否 </w:t>
            </w:r>
          </w:p>
        </w:tc>
      </w:tr>
      <w:tr w14:paraId="7FF13F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4" w:space="0"/>
              <w:tl2br w:val="nil"/>
              <w:tr2bl w:val="nil"/>
            </w:tcBorders>
            <w:vAlign w:val="center"/>
          </w:tcPr>
          <w:p w14:paraId="20B4E0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21.5</w:t>
            </w:r>
          </w:p>
        </w:tc>
        <w:tc>
          <w:tcPr>
            <w:tcW w:w="7717" w:type="dxa"/>
            <w:tcBorders>
              <w:top w:val="single" w:color="auto" w:sz="4" w:space="0"/>
              <w:tl2br w:val="nil"/>
              <w:tr2bl w:val="nil"/>
            </w:tcBorders>
            <w:vAlign w:val="center"/>
          </w:tcPr>
          <w:p w14:paraId="5F7BA8D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项目是否允许分包：</w:t>
            </w:r>
          </w:p>
          <w:p w14:paraId="4397916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☑不允许</w:t>
            </w:r>
          </w:p>
          <w:p w14:paraId="1A6080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□允许，具体要求：</w:t>
            </w:r>
          </w:p>
          <w:p w14:paraId="667C251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（1）可以分包履行的具体内容：</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16B202F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（2）允许分包的金额或者比例：</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00C5DE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（3）其他要求：</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tc>
      </w:tr>
      <w:tr w14:paraId="7371B3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D6AB2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22.1</w:t>
            </w:r>
          </w:p>
        </w:tc>
        <w:tc>
          <w:tcPr>
            <w:tcW w:w="7717" w:type="dxa"/>
            <w:tcBorders>
              <w:tl2br w:val="nil"/>
              <w:tr2bl w:val="nil"/>
            </w:tcBorders>
            <w:vAlign w:val="center"/>
          </w:tcPr>
          <w:p w14:paraId="30B51F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提交履约保证金的时间：/ </w:t>
            </w:r>
          </w:p>
          <w:p w14:paraId="46ED61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履约保证金金额：/ </w:t>
            </w:r>
          </w:p>
          <w:p w14:paraId="085F6C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履约保证金形式：/</w:t>
            </w:r>
          </w:p>
        </w:tc>
      </w:tr>
      <w:tr w14:paraId="016F4A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4" w:space="0"/>
              <w:tl2br w:val="nil"/>
              <w:tr2bl w:val="nil"/>
            </w:tcBorders>
            <w:vAlign w:val="center"/>
          </w:tcPr>
          <w:p w14:paraId="5C3EB1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highlight w:val="none"/>
                <w:vertAlign w:val="baseline"/>
                <w:lang w:val="en-US" w:eastAsia="zh-CN"/>
              </w:rPr>
              <w:t>23.1</w:t>
            </w:r>
          </w:p>
        </w:tc>
        <w:tc>
          <w:tcPr>
            <w:tcW w:w="7717" w:type="dxa"/>
            <w:tcBorders>
              <w:bottom w:val="single" w:color="auto" w:sz="4" w:space="0"/>
              <w:tl2br w:val="nil"/>
              <w:tr2bl w:val="nil"/>
            </w:tcBorders>
            <w:vAlign w:val="center"/>
          </w:tcPr>
          <w:p w14:paraId="15CB5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是否由成交人缴纳招标代理费：是 </w:t>
            </w:r>
          </w:p>
          <w:p w14:paraId="0C137E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招标代理费：</w:t>
            </w:r>
            <w:r>
              <w:rPr>
                <w:rFonts w:hint="eastAsia" w:ascii="仿宋" w:hAnsi="仿宋" w:eastAsia="仿宋" w:cs="仿宋"/>
                <w:b w:val="0"/>
                <w:bCs w:val="0"/>
                <w:color w:val="000000"/>
                <w:kern w:val="0"/>
                <w:sz w:val="24"/>
                <w:szCs w:val="24"/>
                <w:u w:val="none"/>
                <w:vertAlign w:val="baseline"/>
                <w:lang w:val="en-US" w:eastAsia="zh-CN" w:bidi="ar"/>
              </w:rPr>
              <w:t xml:space="preserve">参照原国家计委计价格【2002】1980 号文的计算方法收取。 </w:t>
            </w:r>
          </w:p>
          <w:p w14:paraId="24E794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支付形式：支票、电汇等形式 </w:t>
            </w:r>
          </w:p>
          <w:p w14:paraId="575AE5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支付时间：领取成交通知书的同时</w:t>
            </w:r>
          </w:p>
        </w:tc>
      </w:tr>
      <w:tr w14:paraId="53B8E3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4" w:space="0"/>
              <w:tl2br w:val="nil"/>
              <w:tr2bl w:val="nil"/>
            </w:tcBorders>
            <w:vAlign w:val="center"/>
          </w:tcPr>
          <w:p w14:paraId="54FEB6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24</w:t>
            </w:r>
          </w:p>
        </w:tc>
        <w:tc>
          <w:tcPr>
            <w:tcW w:w="7717" w:type="dxa"/>
            <w:tcBorders>
              <w:top w:val="single" w:color="auto" w:sz="4" w:space="0"/>
              <w:tl2br w:val="nil"/>
              <w:tr2bl w:val="nil"/>
            </w:tcBorders>
            <w:vAlign w:val="center"/>
          </w:tcPr>
          <w:p w14:paraId="6258CD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接收询问和质疑的联系方式：</w:t>
            </w:r>
          </w:p>
          <w:p w14:paraId="59F8EB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1、询问</w:t>
            </w:r>
          </w:p>
          <w:p w14:paraId="57F964E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联系部门、联系电话、通讯地址：见第一章《采购公告》中的采购代理机构信息和项目联系方式。</w:t>
            </w:r>
          </w:p>
          <w:p w14:paraId="2DF387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2、质疑</w:t>
            </w:r>
          </w:p>
          <w:p w14:paraId="7C11DD9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联系部门：新疆世纪星工程咨询有限公司招标部</w:t>
            </w:r>
          </w:p>
          <w:p w14:paraId="070E869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联系人、联系电话：郑倩如、李航   0991-3678303</w:t>
            </w:r>
          </w:p>
          <w:p w14:paraId="7DB5A3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通讯地址：乌鲁木齐经济技术开发区二期黄山街一品九点阳光德港大厦B座20楼</w:t>
            </w:r>
          </w:p>
          <w:p w14:paraId="4D77B2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其他要求：质疑书、授权委托书及报名成功截图PDF扫描件发送至代理机构邮箱，以上资料原件邮寄或送至代理机构。</w:t>
            </w:r>
          </w:p>
        </w:tc>
      </w:tr>
      <w:tr w14:paraId="6BDED5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9587" w:type="dxa"/>
            <w:gridSpan w:val="2"/>
            <w:tcBorders>
              <w:top w:val="single" w:color="auto" w:sz="4" w:space="0"/>
              <w:bottom w:val="single" w:color="auto" w:sz="4" w:space="0"/>
              <w:tl2br w:val="nil"/>
              <w:tr2bl w:val="nil"/>
            </w:tcBorders>
            <w:vAlign w:val="center"/>
          </w:tcPr>
          <w:p w14:paraId="3F7DD55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适用于本投标人须知的额外增加的变动：</w:t>
            </w:r>
          </w:p>
        </w:tc>
      </w:tr>
      <w:tr w14:paraId="56F79D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14C0F8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p>
        </w:tc>
        <w:tc>
          <w:tcPr>
            <w:tcW w:w="7717" w:type="dxa"/>
            <w:tcBorders>
              <w:top w:val="single" w:color="auto" w:sz="4" w:space="0"/>
              <w:bottom w:val="single" w:color="auto" w:sz="4" w:space="0"/>
              <w:tl2br w:val="nil"/>
              <w:tr2bl w:val="nil"/>
            </w:tcBorders>
            <w:vAlign w:val="center"/>
          </w:tcPr>
          <w:p w14:paraId="4B8E6E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核心产品：/</w:t>
            </w:r>
          </w:p>
        </w:tc>
      </w:tr>
      <w:tr w14:paraId="686CED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1AF44D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p>
        </w:tc>
        <w:tc>
          <w:tcPr>
            <w:tcW w:w="7717" w:type="dxa"/>
            <w:tcBorders>
              <w:top w:val="single" w:color="auto" w:sz="4" w:space="0"/>
              <w:bottom w:val="single" w:color="auto" w:sz="4" w:space="0"/>
              <w:tl2br w:val="nil"/>
              <w:tr2bl w:val="nil"/>
            </w:tcBorders>
            <w:vAlign w:val="center"/>
          </w:tcPr>
          <w:p w14:paraId="4FBC17E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评标方法：综合评分法</w:t>
            </w:r>
          </w:p>
        </w:tc>
      </w:tr>
      <w:tr w14:paraId="6238CD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00843DF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p>
        </w:tc>
        <w:tc>
          <w:tcPr>
            <w:tcW w:w="7717" w:type="dxa"/>
            <w:tcBorders>
              <w:top w:val="single" w:color="auto" w:sz="4" w:space="0"/>
              <w:tl2br w:val="nil"/>
              <w:tr2bl w:val="nil"/>
            </w:tcBorders>
            <w:vAlign w:val="center"/>
          </w:tcPr>
          <w:p w14:paraId="6DC02CE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项目属性：服务</w:t>
            </w:r>
          </w:p>
        </w:tc>
      </w:tr>
      <w:tr w14:paraId="432561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9587" w:type="dxa"/>
            <w:gridSpan w:val="2"/>
            <w:tcBorders>
              <w:tl2br w:val="nil"/>
              <w:tr2bl w:val="nil"/>
            </w:tcBorders>
            <w:vAlign w:val="center"/>
          </w:tcPr>
          <w:p w14:paraId="3C2770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适用于本投标人须知的额外增加的变动：</w:t>
            </w:r>
          </w:p>
          <w:p w14:paraId="2CDA5C8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1、关于本项目所有公告、公示在新疆政府采购网发布。</w:t>
            </w:r>
          </w:p>
          <w:p w14:paraId="471F3E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2、请投标单位随时关注本项目的澄清、答疑、变更事项。</w:t>
            </w:r>
          </w:p>
          <w:p w14:paraId="0C5268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61CFB55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374082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75C28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156980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F02E4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 w:hAnsi="仿宋" w:eastAsia="仿宋" w:cs="仿宋"/>
                <w:b/>
                <w:bCs/>
                <w:color w:val="auto"/>
                <w:sz w:val="24"/>
                <w:szCs w:val="24"/>
                <w:highlight w:val="none"/>
                <w:vertAlign w:val="baseline"/>
                <w:lang w:val="en-US" w:eastAsia="zh-CN"/>
              </w:rPr>
              <w:t>本项目投标文件解密时间定为30分钟，如投标人因自身原因导致在规定的时间无法正常解密，视为开标后撤销其投标文件。</w:t>
            </w:r>
          </w:p>
          <w:p w14:paraId="4326D1E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lang w:val="en-US" w:eastAsia="zh-CN"/>
              </w:rPr>
            </w:pPr>
            <w:r>
              <w:rPr>
                <w:rFonts w:hint="eastAsia" w:ascii="仿宋" w:hAnsi="仿宋" w:eastAsia="仿宋" w:cs="仿宋"/>
                <w:b/>
                <w:bCs/>
                <w:color w:val="auto"/>
                <w:sz w:val="24"/>
                <w:szCs w:val="24"/>
                <w:highlight w:val="none"/>
                <w:vertAlign w:val="baseline"/>
                <w:lang w:val="en-US" w:eastAsia="zh-CN"/>
              </w:rPr>
              <w:t>8、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bl>
    <w:p w14:paraId="4EA60B95">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67001FF5">
      <w:pPr>
        <w:pStyle w:val="3"/>
        <w:numPr>
          <w:ilvl w:val="0"/>
          <w:numId w:val="5"/>
        </w:numPr>
        <w:bidi w:val="0"/>
        <w:jc w:val="center"/>
        <w:rPr>
          <w:rFonts w:hint="eastAsia" w:ascii="仿宋" w:hAnsi="仿宋" w:eastAsia="仿宋" w:cs="仿宋"/>
          <w:sz w:val="32"/>
          <w:szCs w:val="32"/>
          <w:lang w:val="en-US" w:eastAsia="zh-CN"/>
        </w:rPr>
      </w:pPr>
      <w:bookmarkStart w:id="10" w:name="_Toc4905"/>
      <w:r>
        <w:rPr>
          <w:rFonts w:hint="eastAsia" w:ascii="仿宋" w:hAnsi="仿宋" w:eastAsia="仿宋" w:cs="仿宋"/>
          <w:sz w:val="32"/>
          <w:szCs w:val="32"/>
          <w:lang w:val="en-US" w:eastAsia="zh-CN"/>
        </w:rPr>
        <w:t>投标人须知</w:t>
      </w:r>
      <w:bookmarkEnd w:id="10"/>
    </w:p>
    <w:p w14:paraId="08865A2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32"/>
          <w:szCs w:val="32"/>
          <w:lang w:val="en-US" w:eastAsia="zh-CN"/>
        </w:rPr>
      </w:pPr>
    </w:p>
    <w:p w14:paraId="5F759708">
      <w:pPr>
        <w:keepNext w:val="0"/>
        <w:keepLines w:val="0"/>
        <w:pageBreakBefore w:val="0"/>
        <w:widowControl w:val="0"/>
        <w:numPr>
          <w:ilvl w:val="0"/>
          <w:numId w:val="6"/>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sz w:val="24"/>
          <w:szCs w:val="24"/>
        </w:rPr>
      </w:pPr>
      <w:bookmarkStart w:id="11" w:name="_Toc11730"/>
      <w:r>
        <w:rPr>
          <w:rFonts w:hint="eastAsia" w:ascii="仿宋" w:hAnsi="仿宋" w:eastAsia="仿宋" w:cs="仿宋"/>
          <w:b/>
          <w:bCs/>
          <w:sz w:val="24"/>
          <w:szCs w:val="24"/>
        </w:rPr>
        <w:t>说 明</w:t>
      </w:r>
      <w:bookmarkEnd w:id="11"/>
    </w:p>
    <w:p w14:paraId="1D205D1B">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采购人、采购代理机构及投标人</w:t>
      </w:r>
    </w:p>
    <w:p w14:paraId="24023C6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采购人：是指依法进行政府采购的国家机构、事业单位、团体组织。</w:t>
      </w:r>
    </w:p>
    <w:p w14:paraId="7E430206">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采购代理机构：本次招标的采购代理机构为新疆世纪星工程咨询有限公司。</w:t>
      </w:r>
    </w:p>
    <w:p w14:paraId="204D79BC">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投标人：是指向采购人提供货物、工程或者服务的法人、其他组织或者自然人。</w:t>
      </w:r>
    </w:p>
    <w:p w14:paraId="5570B0F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投标人须满足以下条件：</w:t>
      </w:r>
    </w:p>
    <w:p w14:paraId="5340C0B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具备《中华人民共和国政府采购法》第二十二条关于投标人条件的规定，遵守国家、本项目采购人本级和上级财政部门政府采购的有关规定。</w:t>
      </w:r>
    </w:p>
    <w:p w14:paraId="1547C3C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以采购文件规定的方式获得了本项目的采购文件。</w:t>
      </w:r>
    </w:p>
    <w:p w14:paraId="0834419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符合</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中规定的其他资格要求。</w:t>
      </w:r>
    </w:p>
    <w:p w14:paraId="7510EC5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如经财政主管部门批准可以采购进口产品，将在投标人须知前附表中写明。但投标人应保证所投产品可履行合法报通关手续进入中国关境内。若</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中未写明允许采购进口产品，如投标人所投产品为进口产品，其响应文件将作为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 xml:space="preserve">被拒绝。 </w:t>
      </w:r>
    </w:p>
    <w:p w14:paraId="2E5BB77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中小企业、监狱企业及残疾人福利性单位。</w:t>
      </w:r>
    </w:p>
    <w:p w14:paraId="55B747E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采购标的对应的中小企业划分标准所属行业见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w:t>
      </w:r>
    </w:p>
    <w:p w14:paraId="7BDA4B2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若</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中写明专门面向中小企业采购的，如投标人所提供的货物为非中小企业制造或提供的服务、工程为非中小企业承接，其响应文件将被认定为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。本项目是否面向中小企业采购预留份额、措施及比例见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，未达到上述比例的响应文件将被认定为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。承接企业如为监狱企业或残疾人福利性单位的，视同为小型、微型企业。</w:t>
      </w:r>
    </w:p>
    <w:p w14:paraId="0F8FD1E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277AE12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 投标人提供的货物、工程或者服务符合下列情形的，享受中小企业扶持政策：</w:t>
      </w:r>
    </w:p>
    <w:p w14:paraId="277AE989">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在货物采购项目中，货物由中小企业制造，即货物由中小企业生产且使用该中小企业商号或者注册商标；</w:t>
      </w:r>
    </w:p>
    <w:p w14:paraId="1C12A322">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在工程采购项目中，工程由中小企业承建，即工程施工单位为中小企业；</w:t>
      </w:r>
    </w:p>
    <w:p w14:paraId="023421C2">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67CCE21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在货物采购项目中，投标人提供的货物既有中小企业制造货物，也有大型企业制造货物的，不享受中小企业扶持政策。 </w:t>
      </w:r>
    </w:p>
    <w:p w14:paraId="13E1A9A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以联合体形式参加政府采购活动，联合体各方均为中小企业的，联合体视同中小企业。其中，联合体各方均为小微企业的，联合体视同小微企业。</w:t>
      </w:r>
    </w:p>
    <w:p w14:paraId="3B8D2CD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727178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6122CD4">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安置的残疾人占本单位在职职工人数的比例不低于25%（含25%），并且安置的残疾人人数不少于10人（含10人）； </w:t>
      </w:r>
    </w:p>
    <w:p w14:paraId="39F299C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依法与安置的每位残疾人签订了一年以上（含一年）的劳动合同或服务协议；</w:t>
      </w:r>
    </w:p>
    <w:p w14:paraId="26876E2D">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为安置的每位残疾人按月足额缴纳了基本养老保险、基本医疗保险、失业保险、工伤保险和生育保险等社会保险费；</w:t>
      </w:r>
    </w:p>
    <w:p w14:paraId="6C5DFB1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通过银行等金融机构向安置的每位残疾人，按月支付了不低于单位所在区县适用的经省级人民政府批准的月最低工资标准的工资；</w:t>
      </w:r>
    </w:p>
    <w:p w14:paraId="3789E043">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提供本单位制造的货物、承担的工程或者服务，或者提供其他残疾人福利性单位制造的货物（不包括使用非残疾人福利性单位注册商标的货物）。</w:t>
      </w:r>
    </w:p>
    <w:p w14:paraId="2C6F1C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017421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享受中小企业扶持政策获得政府采购合同的，小微企业不得将合同分包给大中型企业，中型企业不得将合同分包给大型企业。</w:t>
      </w:r>
    </w:p>
    <w:p w14:paraId="0D59B550">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政府采购节能产品、环境标志产品</w:t>
      </w:r>
    </w:p>
    <w:p w14:paraId="3B613C8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A31149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9C3111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w:t>
      </w:r>
    </w:p>
    <w:p w14:paraId="1DBA8B7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4F4A6CC0">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支持乡村产业振兴管理</w:t>
      </w:r>
    </w:p>
    <w:p w14:paraId="54F75E2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779B55B0">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 正版软件</w:t>
      </w:r>
    </w:p>
    <w:p w14:paraId="0432B33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A1A789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4D57E19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投标人信用记录</w:t>
      </w:r>
    </w:p>
    <w:p w14:paraId="06A8606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响应文件将被认定为无效响应。两个以上的自然人、法人或者其他组织组成一个联合体，以一个投标人的身份共同参加政府采购活动的，应当对所有联合体成员进行信用记录查询，联合体成员存在不良信用记录的，视同联合体存在不良信用记录，其响应文件将被认定为无效响应。</w:t>
      </w:r>
    </w:p>
    <w:p w14:paraId="3876AF4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采购需求标准</w:t>
      </w:r>
    </w:p>
    <w:p w14:paraId="22FC170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lang w:val="en-US" w:eastAsia="zh-CN"/>
        </w:rPr>
      </w:pPr>
      <w:r>
        <w:rPr>
          <w:rFonts w:hint="eastAsia" w:ascii="仿宋" w:hAnsi="仿宋" w:eastAsia="仿宋" w:cs="仿宋"/>
          <w:b w:val="0"/>
          <w:bCs w:val="0"/>
          <w:sz w:val="24"/>
          <w:szCs w:val="24"/>
          <w:lang w:val="en-US" w:eastAsia="zh-CN"/>
        </w:rPr>
        <w:t>商品包装、快递包装政府采购需求标准（试行）</w:t>
      </w:r>
    </w:p>
    <w:p w14:paraId="23BDFF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622796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绿色数据中心政府采购需求标准（试行）</w:t>
      </w:r>
    </w:p>
    <w:p w14:paraId="325EF7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22C6654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其他采购需求标准</w:t>
      </w:r>
    </w:p>
    <w:p w14:paraId="6D72156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AB7C4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中允许联合体投标，对联合体规定如下：</w:t>
      </w:r>
    </w:p>
    <w:p w14:paraId="1197C3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两个以上投标人可以组成一个联合体，以一个投标人的身份参加采购活动。</w:t>
      </w:r>
    </w:p>
    <w:p w14:paraId="7F49709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联合体各方均应符合《中华人民共和国政府采购法》第二十二条规定的条件，遵守国家、本项目采购人本级和上级财政部门政府采购的有关规定。</w:t>
      </w:r>
    </w:p>
    <w:p w14:paraId="567084F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采购人根据采购项目对投标人的特殊要求，联合体中至少应当有一方符合相关规定。</w:t>
      </w:r>
    </w:p>
    <w:p w14:paraId="1EA9C2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联合体各方应签订联合体协议，明确约定联合体各方承担的工作和相应的责任，并将联合体连同响应文件一并提交采购人或采购代理机构。</w:t>
      </w:r>
    </w:p>
    <w:p w14:paraId="0EC9225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09A122D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联合体中有同类资质的投标人按照联合体分工承担相同工作的，按照资质等级较低的投标人确定资质等级。</w:t>
      </w:r>
    </w:p>
    <w:p w14:paraId="59AB416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对联合体投标的其他资格要求见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w:t>
      </w:r>
    </w:p>
    <w:p w14:paraId="43B2933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单位负责人为同一人或者存在直接控股、管理关系的不同投标人，其响应文件将被认定为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 xml:space="preserve">。 </w:t>
      </w:r>
    </w:p>
    <w:p w14:paraId="124D0EC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为本项目提供整体设计、规范编制或者项目管理、监理、检测等服务的投标人，其响应文件将被认定为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w:t>
      </w:r>
    </w:p>
    <w:p w14:paraId="175BAB3A">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资金来源 </w:t>
      </w:r>
    </w:p>
    <w:p w14:paraId="5E4ADC82">
      <w:pPr>
        <w:keepNext w:val="0"/>
        <w:keepLines w:val="0"/>
        <w:pageBreakBefore w:val="0"/>
        <w:widowControl w:val="0"/>
        <w:numPr>
          <w:ilvl w:val="1"/>
          <w:numId w:val="11"/>
        </w:numPr>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本项目的采购人已获得足以支付本次采购活动后所签订的合同项下的资金（包括财政性资金和本项目采购中无法与财政性资金分割的非财政性资金）。 </w:t>
      </w:r>
    </w:p>
    <w:p w14:paraId="4F77AB4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项目预算金额和最高限价见</w:t>
      </w:r>
      <w:r>
        <w:rPr>
          <w:rFonts w:hint="eastAsia" w:ascii="仿宋" w:hAnsi="仿宋" w:eastAsia="仿宋" w:cs="仿宋"/>
          <w:sz w:val="24"/>
          <w:szCs w:val="24"/>
          <w:u w:val="single"/>
          <w:lang w:val="en-US" w:eastAsia="zh-CN"/>
        </w:rPr>
        <w:t>投标人须知前附表</w:t>
      </w:r>
      <w:r>
        <w:rPr>
          <w:rFonts w:hint="eastAsia" w:ascii="仿宋" w:hAnsi="仿宋" w:eastAsia="仿宋" w:cs="仿宋"/>
          <w:sz w:val="24"/>
          <w:szCs w:val="24"/>
          <w:lang w:val="en-US" w:eastAsia="zh-CN"/>
        </w:rPr>
        <w:t>。</w:t>
      </w:r>
    </w:p>
    <w:p w14:paraId="3716A40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投标人最后报价超过采购文件规定的预算金额或者最高限价的，其响应文件将被认定为</w:t>
      </w:r>
      <w:r>
        <w:rPr>
          <w:rFonts w:hint="eastAsia" w:ascii="仿宋" w:hAnsi="仿宋" w:eastAsia="仿宋" w:cs="仿宋"/>
          <w:b/>
          <w:bCs/>
          <w:sz w:val="24"/>
          <w:szCs w:val="24"/>
          <w:lang w:val="en-US" w:eastAsia="zh-CN"/>
        </w:rPr>
        <w:t>无效响应</w:t>
      </w:r>
      <w:r>
        <w:rPr>
          <w:rFonts w:hint="eastAsia" w:ascii="仿宋" w:hAnsi="仿宋" w:eastAsia="仿宋" w:cs="仿宋"/>
          <w:sz w:val="24"/>
          <w:szCs w:val="24"/>
          <w:lang w:val="en-US" w:eastAsia="zh-CN"/>
        </w:rPr>
        <w:t>。</w:t>
      </w:r>
    </w:p>
    <w:p w14:paraId="2B44D8F2">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费用</w:t>
      </w:r>
    </w:p>
    <w:p w14:paraId="62B1D37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投标人应自行承担所有与准备和参加采购活动有关的费用，无论结果如何，采购人或采购代理机构在任何情况下均无承担这些费用的义务和责任。</w:t>
      </w:r>
    </w:p>
    <w:p w14:paraId="616B2FA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适用法律</w:t>
      </w:r>
    </w:p>
    <w:p w14:paraId="087A48C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采购人、采购代理机构、投标人、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229010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sz w:val="24"/>
          <w:szCs w:val="24"/>
          <w:lang w:val="en-US" w:eastAsia="zh-CN"/>
        </w:rPr>
      </w:pPr>
    </w:p>
    <w:p w14:paraId="61C72466">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2" w:name="_Toc3286"/>
      <w:r>
        <w:rPr>
          <w:rFonts w:hint="eastAsia" w:ascii="仿宋" w:hAnsi="仿宋" w:eastAsia="仿宋" w:cs="仿宋"/>
          <w:b/>
          <w:bCs/>
          <w:sz w:val="24"/>
          <w:szCs w:val="24"/>
          <w:lang w:val="en-US" w:eastAsia="zh-CN"/>
        </w:rPr>
        <w:t>采购文件</w:t>
      </w:r>
      <w:bookmarkEnd w:id="12"/>
    </w:p>
    <w:p w14:paraId="24C0AFE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采购文件构成</w:t>
      </w:r>
    </w:p>
    <w:p w14:paraId="531291B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采购文件包括以下部分：</w:t>
      </w:r>
    </w:p>
    <w:p w14:paraId="69F70A2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第一章 竞争性磋商公告 </w:t>
      </w:r>
    </w:p>
    <w:p w14:paraId="48EC33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第二章 投标人须知前附表 </w:t>
      </w:r>
    </w:p>
    <w:p w14:paraId="2F2BB1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第三章 投标人须知</w:t>
      </w:r>
    </w:p>
    <w:p w14:paraId="017958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第四章 政府采购合同 </w:t>
      </w:r>
    </w:p>
    <w:p w14:paraId="3F68E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第五章 采购需求 </w:t>
      </w:r>
    </w:p>
    <w:p w14:paraId="1D3A95E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第六章 评标程序、评标方法和评标标准</w:t>
      </w:r>
    </w:p>
    <w:p w14:paraId="1DD5D35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第七章 响应文件格式   </w:t>
      </w:r>
    </w:p>
    <w:p w14:paraId="2F9D95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投标人应认真阅读采购文件的全部内容。投标人应按照采购文件要求提交响应文件并保证所提供的全部资料的真实性，并对采购文件做出实质性响应，否则其响应文件将被认定为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lang w:val="en-US" w:eastAsia="zh-CN"/>
        </w:rPr>
        <w:t>响应无效。</w:t>
      </w:r>
    </w:p>
    <w:p w14:paraId="0765113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采购文件中有不一致的，有澄清的部分以最终的澄清更正内容为准；未澄清的，以投标人须知前附表为准；投标人须知前附表不涉及的内容，以编排在后的最后描述为准。</w:t>
      </w:r>
    </w:p>
    <w:p w14:paraId="56535EE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现场考察或者答疑会及相关事项见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w:t>
      </w:r>
    </w:p>
    <w:p w14:paraId="607A821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采购人在踏勘现场中介绍的资料和数据等，只是为了使投标人能够利用采购人现有的资料。采购人对投标人由此而作出的推论、解释和结论概不负责。</w:t>
      </w:r>
    </w:p>
    <w:p w14:paraId="53310FE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投标人自行承担踏勘现场发生的责任、风险和自身费用。</w:t>
      </w:r>
    </w:p>
    <w:p w14:paraId="2366DB7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，对样品的评审方法及评审标准见采购文件第六章《评标程序、评标方法和评标标准》。</w:t>
      </w:r>
    </w:p>
    <w:p w14:paraId="7DF18F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采购文件规定投标人提交样品的，样品属于响应文件的组成部分。样品的生产、运输、安装、保全等一切费用由投标人自理。</w:t>
      </w:r>
    </w:p>
    <w:p w14:paraId="59FF225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结果公告发布后，成交投标人的样品由采购人封存，作为履约验收的依据之一。未成交投标人在接到采购代理机构通知后，应按规定时间尽快自行取回样品，否则视同投标人不再认领，代理机构有权进行处理。</w:t>
      </w:r>
    </w:p>
    <w:p w14:paraId="27D45195">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对采购文件的澄清或修改</w:t>
      </w:r>
    </w:p>
    <w:p w14:paraId="166DC0A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32A8A8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42A0DA7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澄清或者修改的内容为采购文件的组成部分，并对所有获取采购文件的投标人具有约束力。澄清或者修改的内容可能影响采购文件编制的，将在投标截止时间至少 5 日前发布；不足 5 日的，将顺延提交响应文件的截止时间和开标时间。</w:t>
      </w:r>
    </w:p>
    <w:p w14:paraId="10C1B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为了保证对采购文件的澄清和修改满足法律的时限要求，任何要求对采购文件进行澄清的投标人，均应在投标截止期 5 日前，以书面形式将澄清要求通知采购人或采购代理机构。</w:t>
      </w:r>
    </w:p>
    <w:p w14:paraId="0389C2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如更正公告有重新发布电子采购文件的，投标人应登录电子招投标平台下载最新发布的电子采购文件制作响应文件。</w:t>
      </w:r>
    </w:p>
    <w:p w14:paraId="4CADC7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投标人在规定的时间内未对采购文件提出疑问、质疑或要求澄清的，将视其为无异议。对采购文件中描述有歧义或前后不一致的地方，磋商小组有权进行评判，但对同一条款的评判应适用于每个投标人。</w:t>
      </w:r>
    </w:p>
    <w:p w14:paraId="761323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2AE91BD2">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3" w:name="_Toc22592"/>
      <w:r>
        <w:rPr>
          <w:rFonts w:hint="eastAsia" w:ascii="仿宋" w:hAnsi="仿宋" w:eastAsia="仿宋" w:cs="仿宋"/>
          <w:b/>
          <w:bCs/>
          <w:sz w:val="24"/>
          <w:szCs w:val="24"/>
          <w:lang w:val="en-US" w:eastAsia="zh-CN"/>
        </w:rPr>
        <w:t>响应文件的编制</w:t>
      </w:r>
      <w:bookmarkEnd w:id="13"/>
    </w:p>
    <w:p w14:paraId="7AE5B659">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响应范围、响应文件中计量单位的使用及磋商语言</w:t>
      </w:r>
    </w:p>
    <w:p w14:paraId="1486708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投标人可对采购文件中一个或几个分包进行响应，除非在</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 xml:space="preserve">中另有规定。 </w:t>
      </w:r>
    </w:p>
    <w:p w14:paraId="017DFE8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投标人应当对所投采购包对应第五章《采购需求》所列的全部内容进行响应，如仅响应采购包中的部分内容，其该包响应文件将被认定为</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w:t>
      </w:r>
    </w:p>
    <w:p w14:paraId="702203E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无论采购文件中是否要求，投标人所投货物或服务或工程均应符合国家强制性标准。</w:t>
      </w:r>
    </w:p>
    <w:p w14:paraId="14920B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除采购文件有特殊要求外，本项目磋商所使用的计量单位，应采用中华人民共和国法定计量单位。</w:t>
      </w:r>
    </w:p>
    <w:p w14:paraId="0B73320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除专用术语外，响应文件及来往函电均应使用中文书写。必要时专用术语应附有中文解释。投标人提交的支持资料和已印制的文献可以用外文，但相应内容应附有中文翻译本，在解释响应文件时以中文翻译本为准。未附中文翻译本或翻译本中文内容明显与外文内容不一致的，其不利后果由投标人自行承担。</w:t>
      </w:r>
    </w:p>
    <w:p w14:paraId="6E8899D5">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响应文件构成</w:t>
      </w:r>
    </w:p>
    <w:p w14:paraId="038D4F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投标人应当按照采购文件的要求编制响应文件。响应文件应由资格证明文件、报价文件、商务和技术文件四部分构成。响应文件的部分格式要求，见第七章《响应文件格式》。</w:t>
      </w:r>
    </w:p>
    <w:p w14:paraId="54BF1FF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第五章《采购需求》及第六章《评标程序、评标方法和评标标准》中涉及的证明文件。</w:t>
      </w:r>
    </w:p>
    <w:p w14:paraId="44BBE25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照第五章《采购需求》，说明所提供货物或服务或工程已对第五章《采购需求》做出了响应，或申明与第五章《采购需求》的偏差和例外。如第五章《采购需求》中要求提供证明文件的，投标人应当按具体要求提供证明文件。</w:t>
      </w:r>
    </w:p>
    <w:p w14:paraId="28ABE3D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投标人认为应附的其他材料。</w:t>
      </w:r>
    </w:p>
    <w:p w14:paraId="30938CC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投标人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66A251D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响应报价</w:t>
      </w:r>
    </w:p>
    <w:p w14:paraId="29E84AD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所有响应均以人民币报价。</w:t>
      </w:r>
    </w:p>
    <w:p w14:paraId="178B79C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的报价应当包括满足本次采购文件全部采购需求所应提供的全部内容所发生的一切费用和税费，采购人将不再支付报价以外的任何费用。采购需求中有特殊规定的，从其规定。投标人的响应报价应遵守《中华人民共和国价格法》。同时，根据《中华人民共和国政府采购法》及相关配套法律、法规的规定，为保证公平竞争，如投标人有赠与行为的，将导致其</w:t>
      </w:r>
      <w:r>
        <w:rPr>
          <w:rFonts w:hint="eastAsia" w:ascii="仿宋" w:hAnsi="仿宋" w:eastAsia="仿宋" w:cs="仿宋"/>
          <w:b/>
          <w:bCs/>
          <w:sz w:val="24"/>
          <w:szCs w:val="24"/>
          <w:lang w:val="en-US" w:eastAsia="zh-CN"/>
        </w:rPr>
        <w:t>响应文件被拒绝</w:t>
      </w:r>
      <w:r>
        <w:rPr>
          <w:rFonts w:hint="eastAsia" w:ascii="仿宋" w:hAnsi="仿宋" w:eastAsia="仿宋" w:cs="仿宋"/>
          <w:b w:val="0"/>
          <w:bCs w:val="0"/>
          <w:sz w:val="24"/>
          <w:szCs w:val="24"/>
          <w:lang w:val="en-US" w:eastAsia="zh-CN"/>
        </w:rPr>
        <w:t>。</w:t>
      </w:r>
    </w:p>
    <w:p w14:paraId="7196212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w:t>
      </w:r>
    </w:p>
    <w:p w14:paraId="4EFC81F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投标人应按照““第五章采购需求”的需求内容、责任范围以及第四章政府采购合同”进行报价。并按“报价一览表”和“分项报价表”规定的格式报出总价和分项价格。</w:t>
      </w:r>
    </w:p>
    <w:p w14:paraId="436A97C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磋商保证金</w:t>
      </w:r>
    </w:p>
    <w:p w14:paraId="6113509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投标人应按</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中规定的金额及要求交纳保证金，并作为其响应文件的一部分。</w:t>
      </w:r>
    </w:p>
    <w:p w14:paraId="4545443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交纳保证金的形式除</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中另有约定外，可采用的形式：政府采购法律法规接受的支票、汇票、本票、网上银行支付或者金融机构、担保机构出具的保函等非现金形式。</w:t>
      </w:r>
    </w:p>
    <w:p w14:paraId="4CAEE2F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w:t>
      </w:r>
    </w:p>
    <w:p w14:paraId="44209FD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。电子保函与纸质保函具有同样效力。</w:t>
      </w:r>
    </w:p>
    <w:p w14:paraId="5898F87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保证金（保函）有效期同响应文件有效期。</w:t>
      </w:r>
    </w:p>
    <w:p w14:paraId="1CA03EB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联合体磋商的，可以由联合体中的一方或者共同提交保证金，以一方名义提交磋商保证金（保函）的，对联合体各方均具有约束力。</w:t>
      </w:r>
    </w:p>
    <w:p w14:paraId="33D8B3A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采购代理机构将及时退还投标人的磋商保证金，采用银行保函、担保机构担保函等形式递交的磋商保证金，经投标人同意后采购人、采购代理机构可以不再退还，但因投标人自身原因导致无法及时退还的除外。</w:t>
      </w:r>
    </w:p>
    <w:p w14:paraId="4CE6AF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投标人在响应截止时间前撤回已提交的响应文件的，自收到投标人书面撤回通知之日起 5 个工作日内退还已收取的磋商保证金。 </w:t>
      </w:r>
    </w:p>
    <w:p w14:paraId="4A0E241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成交人的磋商保证金，自采购合同签订之日起 5 个工作日内退还中标人。 </w:t>
      </w:r>
    </w:p>
    <w:p w14:paraId="177B63A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未成交人的磋商保证金，自成交通知书发出之日起 5 个工作日内退还未成交人。</w:t>
      </w:r>
    </w:p>
    <w:p w14:paraId="7289184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终止采购活动的项目已经收取磋商保证金的，自终止采购活动后 5 个工作日内退还已收取的磋商保证金。</w:t>
      </w:r>
    </w:p>
    <w:p w14:paraId="570BB54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有下列情形之一的，采购人或采购代理机构可以不予退还磋商保证金：</w:t>
      </w:r>
    </w:p>
    <w:p w14:paraId="4C07B7D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在响应文件有效期内，投标人撤回响应文件的； </w:t>
      </w:r>
    </w:p>
    <w:p w14:paraId="6C7F30B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成交人不按本采购文件的规定与采购人签订合同的； </w:t>
      </w:r>
    </w:p>
    <w:p w14:paraId="2EEE595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成交人不按本采购文件的规定提交履约保证金的； </w:t>
      </w:r>
    </w:p>
    <w:p w14:paraId="467CD39D">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成交人不按本采购文件的规定缴纳招标代理服务费的； </w:t>
      </w:r>
    </w:p>
    <w:p w14:paraId="2B2AC77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存在的串通投标情形的； </w:t>
      </w:r>
    </w:p>
    <w:p w14:paraId="68B66E50">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存在向采购人、代理机构或评标专家行贿事实的； </w:t>
      </w:r>
    </w:p>
    <w:p w14:paraId="67F6541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法律、法规规定的其它情况。</w:t>
      </w:r>
    </w:p>
    <w:p w14:paraId="7CA47322">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响应文件有效期</w:t>
      </w:r>
    </w:p>
    <w:p w14:paraId="2BFE32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响应文件应在</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中规定的响应文件有效期内保持有效，响应文件有效期少于采购文件规定期限的，其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w:t>
      </w:r>
    </w:p>
    <w:p w14:paraId="477848E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可根据实际情况，在原响应文件有效期截止之前，要求投标人延长响应文件有效期。接受该要求的投标人将不会被要求和允许修正其响应文件，且本须知中有关磋商保证金的要求须在延长的有效期内继续有效。投标人也可以拒绝延长响应文件有效期的要求，退还其磋商保证金。上述要求和答复都应以书面形式提交。</w:t>
      </w:r>
    </w:p>
    <w:p w14:paraId="79B62296">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响应文件的制作</w:t>
      </w:r>
    </w:p>
    <w:p w14:paraId="6FC8054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中，所有内容均以电子文件编制，如因不按电子招投标平台要求编制导致系统无法检索、读取相关信息时，其后果由投标人承担。由于本项目采用电子化投标，请充分考虑设备、网络环境、人员对系统熟悉度等因素，合理安排响应文件制作、提交时间，建议至少提前一天完成制作、提交工作。</w:t>
      </w:r>
    </w:p>
    <w:p w14:paraId="7BF8BF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投标人应使用电子招投标平台提供的投标客户端编制、标记、加密响应文件，成功加密后将生成指定格式的电子响应文件和电子备用响应文件</w:t>
      </w:r>
    </w:p>
    <w:p w14:paraId="451071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如有对多个采购包响应的，要对每个采购包独立制作电子响应文件。</w:t>
      </w:r>
    </w:p>
    <w:p w14:paraId="6154CB4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投标人须对采购文件的对应要求给予唯一的实质性响应，否则将视为不响应。</w:t>
      </w:r>
    </w:p>
    <w:p w14:paraId="2E24A68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采购文件中，凡标有“※”的地方均为实质性响应条款，投标人若有一项带“※”的条款未响应或不满足，将按响应无效处理。</w:t>
      </w:r>
    </w:p>
    <w:p w14:paraId="1C50FD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按采购文件的规定及附件要求的内容和格式完整地填写和提供资料。投标人必须对响应文件所提供的全部资料的真实性承担法律责任，并无条件接受采购人和政府采购监督管理部门对其中任何资料进行核实（核对原件）的要求。</w:t>
      </w:r>
    </w:p>
    <w:p w14:paraId="6D0EA8FA">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4" w:name="_Toc7253"/>
      <w:r>
        <w:rPr>
          <w:rFonts w:hint="eastAsia" w:ascii="仿宋" w:hAnsi="仿宋" w:eastAsia="仿宋" w:cs="仿宋"/>
          <w:b/>
          <w:bCs/>
          <w:sz w:val="24"/>
          <w:szCs w:val="24"/>
          <w:lang w:val="en-US" w:eastAsia="zh-CN"/>
        </w:rPr>
        <w:t>响应文件的提交</w:t>
      </w:r>
      <w:bookmarkEnd w:id="14"/>
    </w:p>
    <w:p w14:paraId="6EDA12C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响应文件的提交</w:t>
      </w:r>
    </w:p>
    <w:p w14:paraId="4DAB2F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投标人应在</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投标人上传响应文件，已上传响应文件但未完成传输的文件系统将拒绝接收。</w:t>
      </w:r>
    </w:p>
    <w:p w14:paraId="229F8D5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代理机构对因不可抗力事件造成的响应文件的损坏、丢失的，不承担责任。</w:t>
      </w:r>
    </w:p>
    <w:p w14:paraId="1AF900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出现下述情形之一，属于未成功提交响应文件，按</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w:t>
      </w:r>
    </w:p>
    <w:p w14:paraId="000E782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至提交响应文件截止时，响应文件未完整上传的。 </w:t>
      </w:r>
    </w:p>
    <w:p w14:paraId="00A3139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响应文件未按响应格式中注明需签字盖章的要求进行签名（含电子签名）和加盖电子印章，或签名（含电子签名）或电子印章不完整的。</w:t>
      </w:r>
    </w:p>
    <w:p w14:paraId="65994030">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响应文件损坏或格式不正确的。</w:t>
      </w:r>
    </w:p>
    <w:p w14:paraId="01F37AB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响应文件的修改、撤回与撤销</w:t>
      </w:r>
    </w:p>
    <w:p w14:paraId="0186C70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在提交响应文件截止时间前，投标人可以修改或撤回未解密的电子响应文件，并于提交响应文件截止时间前将修改后重新生成的电子响应文件上传至系统，到达响应文件提交截止时间后，将不允许修改或撤回。</w:t>
      </w:r>
    </w:p>
    <w:p w14:paraId="241A362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在提交响应文件截止时间后，投标人不得补充、修改和更换响应文件。</w:t>
      </w:r>
    </w:p>
    <w:p w14:paraId="65EDF5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0F23BA77">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5" w:name="_Toc32267"/>
      <w:r>
        <w:rPr>
          <w:rFonts w:hint="eastAsia" w:ascii="仿宋" w:hAnsi="仿宋" w:eastAsia="仿宋" w:cs="仿宋"/>
          <w:b/>
          <w:bCs/>
          <w:sz w:val="24"/>
          <w:szCs w:val="24"/>
          <w:lang w:val="en-US" w:eastAsia="zh-CN"/>
        </w:rPr>
        <w:t>开标及评标</w:t>
      </w:r>
      <w:bookmarkEnd w:id="15"/>
    </w:p>
    <w:p w14:paraId="2D6FA36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开标</w:t>
      </w:r>
    </w:p>
    <w:p w14:paraId="644A79A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采购人和采购代理机构将按</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中规定的开标时间和地点组织公开开标并邀请所有投标人代表参加。开标为远程电子开标。</w:t>
      </w:r>
    </w:p>
    <w:p w14:paraId="069419F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采用远程电子开标的：</w:t>
      </w:r>
    </w:p>
    <w:p w14:paraId="7ACA378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投标人的法定代表人或其授权代表应当按照本采购文件载明的时间和模式等要求参加开标。在</w:t>
      </w:r>
      <w:r>
        <w:rPr>
          <w:rFonts w:hint="eastAsia" w:ascii="仿宋" w:hAnsi="仿宋" w:eastAsia="仿宋" w:cs="仿宋"/>
          <w:b/>
          <w:bCs/>
          <w:sz w:val="24"/>
          <w:szCs w:val="24"/>
          <w:lang w:val="en-US" w:eastAsia="zh-CN"/>
        </w:rPr>
        <w:t>响应截止时间前30分钟</w:t>
      </w:r>
      <w:r>
        <w:rPr>
          <w:rFonts w:hint="eastAsia" w:ascii="仿宋" w:hAnsi="仿宋" w:eastAsia="仿宋" w:cs="仿宋"/>
          <w:b w:val="0"/>
          <w:bCs w:val="0"/>
          <w:sz w:val="24"/>
          <w:szCs w:val="24"/>
          <w:lang w:val="en-US" w:eastAsia="zh-CN"/>
        </w:rPr>
        <w:t>，应当登录开标大厅进行签到，并且填写授权代表的姓名与手机号码。若因签到时填写的授权代表信息有误而导致的不良后果，由投标人自行承担。</w:t>
      </w:r>
    </w:p>
    <w:p w14:paraId="1E870D8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开标时，投标人应当使用编制本项目（采购包）电子响应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响应文件，将作</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处理。（采用远程电子开标的，各投标人在参加开标以前须自行对使用电脑的网络环境、驱动安装、客户端安装以及数字证书的有效性等进行检测，确保可以正常使用）。</w:t>
      </w:r>
    </w:p>
    <w:p w14:paraId="442CD11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。如投标人无法在代理规定的时间内完成备用电子响应文件的上传，响应文件将被拒绝，作</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w:t>
      </w:r>
    </w:p>
    <w:p w14:paraId="58D76B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691611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响应截止时间后，投标人不足3家的，不得开标。同时，本次采购活动结束。</w:t>
      </w:r>
    </w:p>
    <w:p w14:paraId="32FE4BB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开标时出现下列情况的，视为</w:t>
      </w:r>
      <w:r>
        <w:rPr>
          <w:rFonts w:hint="eastAsia" w:ascii="仿宋" w:hAnsi="仿宋" w:eastAsia="仿宋" w:cs="仿宋"/>
          <w:b/>
          <w:bCs/>
          <w:sz w:val="24"/>
          <w:szCs w:val="24"/>
          <w:lang w:val="en-US" w:eastAsia="zh-CN"/>
        </w:rPr>
        <w:t>响应无效</w:t>
      </w:r>
      <w:r>
        <w:rPr>
          <w:rFonts w:hint="eastAsia" w:ascii="仿宋" w:hAnsi="仿宋" w:eastAsia="仿宋" w:cs="仿宋"/>
          <w:b w:val="0"/>
          <w:bCs w:val="0"/>
          <w:sz w:val="24"/>
          <w:szCs w:val="24"/>
          <w:lang w:val="en-US" w:eastAsia="zh-CN"/>
        </w:rPr>
        <w:t>处理：</w:t>
      </w:r>
    </w:p>
    <w:p w14:paraId="37504D40">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因投标人自身原因，未在规定时间内完成电子响应文件解密的；</w:t>
      </w:r>
    </w:p>
    <w:p w14:paraId="17AAD5C0">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65F3C7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采购人或采购代理机构将对开标过程进行记录，由参加开标的各投标人代表和相关工作人员签字确认。</w:t>
      </w:r>
    </w:p>
    <w:p w14:paraId="6A446975">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资格审查</w:t>
      </w:r>
    </w:p>
    <w:p w14:paraId="5A53257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磋商小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除法律法规规定外），不进行评标。 </w:t>
      </w:r>
    </w:p>
    <w:p w14:paraId="41C98D9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资格审查要求详见第六章《评标程序、评标方法和评标标准》。</w:t>
      </w:r>
    </w:p>
    <w:p w14:paraId="5E82692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718C7B7A">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磋商小组</w:t>
      </w:r>
    </w:p>
    <w:p w14:paraId="0310794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磋商小组根据政府采购有关规定和本次采购项目的特点进行组建，并负责具体评标事务，独立履行职责。 </w:t>
      </w:r>
    </w:p>
    <w:p w14:paraId="0EC2421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55217095">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评标程序、评标方法和评标标准</w:t>
      </w:r>
    </w:p>
    <w:p w14:paraId="4189E1E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详见第六章《评标程序、评标方法和评标标准》</w:t>
      </w:r>
    </w:p>
    <w:p w14:paraId="748B4F7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0E906E7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lang w:val="en-US" w:eastAsia="zh-CN"/>
        </w:rPr>
      </w:pPr>
      <w:bookmarkStart w:id="16" w:name="_Toc11319"/>
      <w:r>
        <w:rPr>
          <w:rFonts w:hint="eastAsia" w:ascii="仿宋" w:hAnsi="仿宋" w:eastAsia="仿宋" w:cs="仿宋"/>
          <w:b/>
          <w:bCs/>
          <w:sz w:val="24"/>
          <w:szCs w:val="24"/>
          <w:lang w:val="en-US" w:eastAsia="zh-CN"/>
        </w:rPr>
        <w:t>确定成交</w:t>
      </w:r>
      <w:bookmarkEnd w:id="16"/>
    </w:p>
    <w:p w14:paraId="4CD11A9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确定成交人</w:t>
      </w:r>
    </w:p>
    <w:p w14:paraId="3170466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采购人将在评标报告提出的成交候选投标人中，按照排序由高到低的原则确定成交投标人。采购人是否委托磋商小组直接确定成交人见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w:t>
      </w:r>
    </w:p>
    <w:p w14:paraId="3B8D5836">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成交公告与成交通知书</w:t>
      </w:r>
    </w:p>
    <w:p w14:paraId="62A5C2B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采购人或采购代理机构自中标人确定之日起 2 个工作日内，在磋商公告发布媒体发布成交结果，同时向成交人发出成交通知书，成交公告期限为 1 个工作日。</w:t>
      </w:r>
    </w:p>
    <w:p w14:paraId="726E20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成交通知书对采购人和成交投标人均具有法律效力。成交通知书发出后，成交投标人放弃成交项目的，应当依法承担法律责任。</w:t>
      </w:r>
    </w:p>
    <w:p w14:paraId="679FEC65">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废标</w:t>
      </w:r>
    </w:p>
    <w:p w14:paraId="296EFEB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19.1在采购活动中，出现下列情形之一的，应予废标：</w:t>
      </w:r>
    </w:p>
    <w:p w14:paraId="4C7A308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投标人或者报价未超过采购预算的投标人不足3家的；；</w:t>
      </w:r>
    </w:p>
    <w:p w14:paraId="1023DEAE">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出现影响采购公正的违法、违规行为的；</w:t>
      </w:r>
    </w:p>
    <w:p w14:paraId="1E87C7B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投标人的报价均超过了采购预算，采购人不能支付的；</w:t>
      </w:r>
    </w:p>
    <w:p w14:paraId="65FAD14E">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因重大变故，采购任务取消的。</w:t>
      </w:r>
    </w:p>
    <w:p w14:paraId="715F2F7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废标后，采购人将废标理由通知所有投标人。</w:t>
      </w:r>
    </w:p>
    <w:p w14:paraId="4160B02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签订合同</w:t>
      </w:r>
    </w:p>
    <w:p w14:paraId="5FE3414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4196DEF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交人拒绝与采购人签订合同的，采购人可以按照评标报告推荐的成交候选人名单排序，确定下一候选人为成交人，也可以重新开展政府采购活动。拒绝签订政府采购合同的成交投标人不得参加对该项目重新开展的采购活动。</w:t>
      </w:r>
    </w:p>
    <w:p w14:paraId="11CBCEB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联合体成交的，联合体各方应当共同与采购人签订合同，就成交项目向采购人承担连带责任。 </w:t>
      </w:r>
    </w:p>
    <w:p w14:paraId="2784F1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政府采购合同不能转包。如采购人允许采用分包方式履行合同的，成交人可以依法在成交后将成交项目的非主体、非关键性工作采取分包方式履行合同。</w:t>
      </w:r>
    </w:p>
    <w:p w14:paraId="27C2133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履约保证金</w:t>
      </w:r>
    </w:p>
    <w:p w14:paraId="321D80D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成交人应按照</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规定的金额、形式和时间向采购人缴纳履约保证金。</w:t>
      </w:r>
    </w:p>
    <w:p w14:paraId="642E4FF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经采购人同意，成交人也可以自愿采用其他履约保证金的提供方式。</w:t>
      </w:r>
    </w:p>
    <w:p w14:paraId="69AE2BE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2E52AB0A">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代理服务费</w:t>
      </w:r>
    </w:p>
    <w:p w14:paraId="10CF643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收费对象、收费标准及缴纳时间见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。由成交人支付的，成交人须一次性向采购代理机构缴纳代理费，响应报价应包含代理费用。</w:t>
      </w:r>
    </w:p>
    <w:p w14:paraId="35A126EC">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询问与质疑</w:t>
      </w:r>
    </w:p>
    <w:p w14:paraId="699AF71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询问</w:t>
      </w:r>
    </w:p>
    <w:p w14:paraId="1CDC84C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中“采购人、采购代理机构的名称、地址和联系方式”。</w:t>
      </w:r>
    </w:p>
    <w:p w14:paraId="446BDD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质疑</w:t>
      </w:r>
    </w:p>
    <w:p w14:paraId="58DDEFE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投标人认为采购文件、采购过程、成交结果使自己的权益受到损害的，可以在知道或者应知其权益受到损害之日起 7 个工作日内，由投标人派授权代表以书面形式向采购人、采购代理机构提出质疑。采购人、采购代理机构在收到质疑函后 7 个工作日内作出答复。 </w:t>
      </w:r>
    </w:p>
    <w:p w14:paraId="5171A29E">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投标人应知其权益受到损害之日是指：</w:t>
      </w:r>
    </w:p>
    <w:p w14:paraId="413A504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（1）对采购文件提出质疑的，为获取采购文件之日或者采购文件获取期限届满之日；</w:t>
      </w:r>
    </w:p>
    <w:p w14:paraId="3131D4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（2）对采购过程提出质疑的，为各采购程序环节结束之日；</w:t>
      </w:r>
    </w:p>
    <w:p w14:paraId="20FFEF8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（3）对成交结果提出质疑的，为成交结果公告期限届满之日。</w:t>
      </w:r>
    </w:p>
    <w:p w14:paraId="59DF3D7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A3C50AE">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79CF48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质疑函应当包括下列内容： </w:t>
      </w:r>
    </w:p>
    <w:p w14:paraId="14DD82B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（1）投标人名称、地址、邮编、联系人及联系电话； </w:t>
      </w:r>
    </w:p>
    <w:p w14:paraId="689376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（2）质疑项目的名称、编号； </w:t>
      </w:r>
    </w:p>
    <w:p w14:paraId="3B0DC75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（3）具体、明确的质疑事项和与质疑事项相关的请求； </w:t>
      </w:r>
    </w:p>
    <w:p w14:paraId="4BFF13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（4）事实依据； </w:t>
      </w:r>
    </w:p>
    <w:p w14:paraId="57FF9D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（5）必要的法律依据； </w:t>
      </w:r>
    </w:p>
    <w:p w14:paraId="43AD801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（6）提出质疑的日期。</w:t>
      </w:r>
    </w:p>
    <w:p w14:paraId="1CBAB3E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511C59F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C304B5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其他</w:t>
      </w:r>
    </w:p>
    <w:p w14:paraId="64F784A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434C305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响应文件的有关信息以及补充条款等，但应当在合理的必要范围内。对任何已经公布过的内容或与之内容相同的资料，以及投标人已经泄露或公开的，无须再承担保密责任。</w:t>
      </w:r>
    </w:p>
    <w:p w14:paraId="2BC611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适用于本投标人须知的额外增加的变动详见</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lang w:val="en-US" w:eastAsia="zh-CN"/>
        </w:rPr>
        <w:t>。</w:t>
      </w:r>
    </w:p>
    <w:p w14:paraId="4FC37C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5C3665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14:paraId="5217F75E">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br w:type="page"/>
      </w:r>
    </w:p>
    <w:p w14:paraId="44EEAF68">
      <w:pPr>
        <w:pStyle w:val="3"/>
        <w:numPr>
          <w:ilvl w:val="0"/>
          <w:numId w:val="5"/>
        </w:numPr>
        <w:bidi w:val="0"/>
        <w:jc w:val="center"/>
        <w:rPr>
          <w:rFonts w:hint="eastAsia" w:ascii="仿宋" w:hAnsi="仿宋" w:eastAsia="仿宋" w:cs="仿宋"/>
          <w:sz w:val="32"/>
          <w:szCs w:val="32"/>
          <w:highlight w:val="none"/>
          <w:lang w:val="en-US" w:eastAsia="zh-CN"/>
        </w:rPr>
      </w:pPr>
      <w:bookmarkStart w:id="17" w:name="_Toc20533"/>
      <w:r>
        <w:rPr>
          <w:rFonts w:hint="eastAsia" w:ascii="仿宋" w:hAnsi="仿宋" w:eastAsia="仿宋" w:cs="仿宋"/>
          <w:sz w:val="32"/>
          <w:szCs w:val="32"/>
          <w:highlight w:val="none"/>
          <w:lang w:val="en-US" w:eastAsia="zh-CN"/>
        </w:rPr>
        <w:t>政府采购合同</w:t>
      </w:r>
      <w:bookmarkEnd w:id="17"/>
    </w:p>
    <w:p w14:paraId="45A6E7F3">
      <w:pPr>
        <w:spacing w:before="140" w:line="227" w:lineRule="auto"/>
        <w:jc w:val="center"/>
        <w:rPr>
          <w:rFonts w:hint="eastAsia" w:ascii="仿宋" w:hAnsi="仿宋" w:eastAsia="仿宋" w:cs="仿宋"/>
          <w:b/>
          <w:bCs/>
          <w:spacing w:val="4"/>
          <w:sz w:val="28"/>
          <w:szCs w:val="28"/>
          <w:lang w:eastAsia="zh-CN"/>
        </w:rPr>
      </w:pPr>
      <w:r>
        <w:rPr>
          <w:rFonts w:hint="eastAsia" w:ascii="仿宋" w:hAnsi="仿宋" w:eastAsia="仿宋" w:cs="仿宋"/>
          <w:b/>
          <w:bCs/>
          <w:spacing w:val="4"/>
          <w:sz w:val="28"/>
          <w:szCs w:val="28"/>
          <w:lang w:eastAsia="zh-CN"/>
        </w:rPr>
        <w:t>（</w:t>
      </w:r>
      <w:r>
        <w:rPr>
          <w:rFonts w:hint="eastAsia" w:ascii="仿宋" w:hAnsi="仿宋" w:eastAsia="仿宋" w:cs="仿宋"/>
          <w:b/>
          <w:bCs/>
          <w:spacing w:val="4"/>
          <w:sz w:val="28"/>
          <w:szCs w:val="28"/>
          <w:lang w:val="en-US" w:eastAsia="zh-CN"/>
        </w:rPr>
        <w:t>具体以合同签订为准</w:t>
      </w:r>
      <w:r>
        <w:rPr>
          <w:rFonts w:hint="eastAsia" w:ascii="仿宋" w:hAnsi="仿宋" w:eastAsia="仿宋" w:cs="仿宋"/>
          <w:b/>
          <w:bCs/>
          <w:spacing w:val="4"/>
          <w:sz w:val="28"/>
          <w:szCs w:val="28"/>
          <w:lang w:eastAsia="zh-CN"/>
        </w:rPr>
        <w:t>）</w:t>
      </w:r>
    </w:p>
    <w:p w14:paraId="067256B6">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p>
    <w:p w14:paraId="1A6C5D27">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p>
    <w:p w14:paraId="213C3897">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根据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（采购项目）的采购结果，双方经过平等协商，在真实、充分地表达各自意愿的基础上，根据《中华人民共和国民法典》的规定，达成如下协议，并由双方共同恪守。　</w:t>
      </w:r>
    </w:p>
    <w:p w14:paraId="0F6190CB">
      <w:pPr>
        <w:pStyle w:val="4"/>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第一条  项目概况</w:t>
      </w:r>
    </w:p>
    <w:p w14:paraId="2D8C0E82">
      <w:pPr>
        <w:pStyle w:val="40"/>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项目名称：                                                                                                  </w:t>
      </w:r>
    </w:p>
    <w:p w14:paraId="4FC7C8E8">
      <w:pPr>
        <w:pStyle w:val="40"/>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eastAsia="zh-CN"/>
        </w:rPr>
        <w:t>内容</w:t>
      </w:r>
      <w:r>
        <w:rPr>
          <w:rFonts w:hint="eastAsia" w:ascii="仿宋" w:hAnsi="仿宋" w:eastAsia="仿宋" w:cs="仿宋"/>
          <w:color w:val="auto"/>
          <w:sz w:val="24"/>
          <w:szCs w:val="24"/>
          <w:highlight w:val="none"/>
        </w:rPr>
        <w:t xml:space="preserve">：                                                                                                                                                                                </w:t>
      </w:r>
    </w:p>
    <w:p w14:paraId="19E66F66">
      <w:pPr>
        <w:pStyle w:val="4"/>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第二条  服务范围及要求:</w:t>
      </w:r>
    </w:p>
    <w:p w14:paraId="3EB0DABB">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（一）服务范围</w:t>
      </w:r>
    </w:p>
    <w:p w14:paraId="07AD6C32">
      <w:pPr>
        <w:spacing w:line="240" w:lineRule="auto"/>
        <w:ind w:firstLine="480" w:firstLineChars="200"/>
        <w:rPr>
          <w:rFonts w:hint="eastAsia" w:ascii="仿宋" w:hAnsi="仿宋" w:eastAsia="仿宋" w:cs="仿宋"/>
          <w:color w:val="auto"/>
          <w:sz w:val="24"/>
          <w:szCs w:val="24"/>
          <w:highlight w:val="none"/>
        </w:rPr>
      </w:pPr>
    </w:p>
    <w:p w14:paraId="6FE7CE3C">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（二）服务要求</w:t>
      </w:r>
    </w:p>
    <w:p w14:paraId="53F8B29D">
      <w:pPr>
        <w:pStyle w:val="4"/>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第三条 合同委托服务期限</w:t>
      </w:r>
    </w:p>
    <w:p w14:paraId="0AB595B9">
      <w:pPr>
        <w:pStyle w:val="40"/>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本项目服务期限为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，自（_）年（_）月（_）日至（_）年（_）月（_）日。　</w:t>
      </w:r>
    </w:p>
    <w:p w14:paraId="0EEAA9CD">
      <w:pPr>
        <w:pStyle w:val="4"/>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color w:val="auto"/>
          <w:spacing w:val="10"/>
          <w:sz w:val="24"/>
          <w:szCs w:val="24"/>
          <w:highlight w:val="none"/>
        </w:rPr>
      </w:pPr>
      <w:r>
        <w:rPr>
          <w:rFonts w:hint="eastAsia" w:ascii="仿宋" w:hAnsi="仿宋" w:eastAsia="仿宋" w:cs="仿宋"/>
          <w:bCs w:val="0"/>
          <w:color w:val="auto"/>
          <w:sz w:val="24"/>
          <w:szCs w:val="24"/>
          <w:highlight w:val="none"/>
        </w:rPr>
        <w:t>第四条 合同金额及结算方式</w:t>
      </w:r>
    </w:p>
    <w:p w14:paraId="01AF30CC">
      <w:pPr>
        <w:pStyle w:val="40"/>
        <w:numPr>
          <w:ilvl w:val="0"/>
          <w:numId w:val="12"/>
        </w:numPr>
        <w:spacing w:line="240" w:lineRule="auto"/>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合同金额：</w:t>
      </w:r>
    </w:p>
    <w:p w14:paraId="33FBD3F1">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合同总金额（大写）</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元人民币（小写：</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元）；</w:t>
      </w:r>
    </w:p>
    <w:p w14:paraId="62DE4EFB">
      <w:pPr>
        <w:pStyle w:val="40"/>
        <w:numPr>
          <w:ilvl w:val="0"/>
          <w:numId w:val="12"/>
        </w:numPr>
        <w:spacing w:line="240" w:lineRule="auto"/>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结算方式：</w:t>
      </w:r>
    </w:p>
    <w:p w14:paraId="4C1C30B0">
      <w:pPr>
        <w:pStyle w:val="40"/>
        <w:spacing w:line="240" w:lineRule="auto"/>
        <w:ind w:firstLine="520" w:firstLineChars="200"/>
        <w:rPr>
          <w:rFonts w:hint="eastAsia" w:ascii="仿宋" w:hAnsi="仿宋" w:eastAsia="仿宋" w:cs="仿宋"/>
          <w:b w:val="0"/>
          <w:bCs w:val="0"/>
          <w:color w:val="auto"/>
          <w:spacing w:val="10"/>
          <w:sz w:val="24"/>
          <w:szCs w:val="24"/>
          <w:highlight w:val="none"/>
        </w:rPr>
      </w:pPr>
      <w:r>
        <w:rPr>
          <w:rFonts w:hint="eastAsia" w:ascii="仿宋" w:hAnsi="仿宋" w:eastAsia="仿宋" w:cs="仿宋"/>
          <w:b w:val="0"/>
          <w:bCs w:val="0"/>
          <w:color w:val="auto"/>
          <w:spacing w:val="10"/>
          <w:sz w:val="24"/>
          <w:szCs w:val="24"/>
          <w:highlight w:val="none"/>
        </w:rPr>
        <w:t xml:space="preserve">服务费由甲方____________（一次或分期）支付乙方。 </w:t>
      </w:r>
    </w:p>
    <w:p w14:paraId="74B60EFE">
      <w:pPr>
        <w:pStyle w:val="40"/>
        <w:spacing w:line="240" w:lineRule="auto"/>
        <w:rPr>
          <w:rFonts w:hint="eastAsia" w:ascii="仿宋" w:hAnsi="仿宋" w:eastAsia="仿宋" w:cs="仿宋"/>
          <w:b w:val="0"/>
          <w:bCs w:val="0"/>
          <w:color w:val="auto"/>
          <w:spacing w:val="10"/>
          <w:sz w:val="24"/>
          <w:szCs w:val="24"/>
          <w:highlight w:val="none"/>
        </w:rPr>
      </w:pPr>
      <w:r>
        <w:rPr>
          <w:rFonts w:hint="eastAsia" w:ascii="仿宋" w:hAnsi="仿宋" w:eastAsia="仿宋" w:cs="仿宋"/>
          <w:b w:val="0"/>
          <w:bCs w:val="0"/>
          <w:color w:val="auto"/>
          <w:spacing w:val="10"/>
          <w:sz w:val="24"/>
          <w:szCs w:val="24"/>
          <w:highlight w:val="none"/>
        </w:rPr>
        <w:t xml:space="preserve">   具体支付方式和时间如下； </w:t>
      </w:r>
    </w:p>
    <w:p w14:paraId="02632473">
      <w:pPr>
        <w:pStyle w:val="40"/>
        <w:spacing w:line="240" w:lineRule="auto"/>
        <w:rPr>
          <w:rFonts w:hint="eastAsia" w:ascii="仿宋" w:hAnsi="仿宋" w:eastAsia="仿宋" w:cs="仿宋"/>
          <w:b w:val="0"/>
          <w:bCs w:val="0"/>
          <w:color w:val="auto"/>
          <w:spacing w:val="10"/>
          <w:sz w:val="24"/>
          <w:szCs w:val="24"/>
          <w:highlight w:val="none"/>
        </w:rPr>
      </w:pPr>
      <w:r>
        <w:rPr>
          <w:rFonts w:hint="eastAsia" w:ascii="仿宋" w:hAnsi="仿宋" w:eastAsia="仿宋" w:cs="仿宋"/>
          <w:b w:val="0"/>
          <w:bCs w:val="0"/>
          <w:color w:val="auto"/>
          <w:spacing w:val="10"/>
          <w:sz w:val="24"/>
          <w:szCs w:val="24"/>
          <w:highlight w:val="none"/>
        </w:rPr>
        <w:t xml:space="preserve">   （1）、_________________________________________________； </w:t>
      </w:r>
    </w:p>
    <w:p w14:paraId="60BFA7E9">
      <w:pPr>
        <w:pStyle w:val="40"/>
        <w:spacing w:line="240" w:lineRule="auto"/>
        <w:rPr>
          <w:rFonts w:hint="eastAsia" w:ascii="仿宋" w:hAnsi="仿宋" w:eastAsia="仿宋" w:cs="仿宋"/>
          <w:b w:val="0"/>
          <w:bCs w:val="0"/>
          <w:color w:val="auto"/>
          <w:spacing w:val="10"/>
          <w:sz w:val="24"/>
          <w:szCs w:val="24"/>
          <w:highlight w:val="none"/>
        </w:rPr>
      </w:pPr>
      <w:r>
        <w:rPr>
          <w:rFonts w:hint="eastAsia" w:ascii="仿宋" w:hAnsi="仿宋" w:eastAsia="仿宋" w:cs="仿宋"/>
          <w:b w:val="0"/>
          <w:bCs w:val="0"/>
          <w:color w:val="auto"/>
          <w:spacing w:val="10"/>
          <w:sz w:val="24"/>
          <w:szCs w:val="24"/>
          <w:highlight w:val="none"/>
        </w:rPr>
        <w:t xml:space="preserve">   （2）、_________________________________________________； </w:t>
      </w:r>
    </w:p>
    <w:p w14:paraId="54DA2BE1">
      <w:pPr>
        <w:pStyle w:val="40"/>
        <w:spacing w:line="240" w:lineRule="auto"/>
        <w:rPr>
          <w:rFonts w:hint="eastAsia" w:ascii="仿宋" w:hAnsi="仿宋" w:eastAsia="仿宋" w:cs="仿宋"/>
          <w:b/>
          <w:bCs/>
          <w:color w:val="auto"/>
          <w:spacing w:val="10"/>
          <w:sz w:val="24"/>
          <w:szCs w:val="24"/>
          <w:highlight w:val="none"/>
        </w:rPr>
      </w:pPr>
      <w:r>
        <w:rPr>
          <w:rFonts w:hint="eastAsia" w:ascii="仿宋" w:hAnsi="仿宋" w:eastAsia="仿宋" w:cs="仿宋"/>
          <w:b w:val="0"/>
          <w:bCs w:val="0"/>
          <w:color w:val="auto"/>
          <w:spacing w:val="10"/>
          <w:sz w:val="24"/>
          <w:szCs w:val="24"/>
          <w:highlight w:val="none"/>
        </w:rPr>
        <w:t xml:space="preserve">   （3）、_________________________________________________。</w:t>
      </w:r>
      <w:r>
        <w:rPr>
          <w:rFonts w:hint="eastAsia" w:ascii="仿宋" w:hAnsi="仿宋" w:eastAsia="仿宋" w:cs="仿宋"/>
          <w:b/>
          <w:bCs/>
          <w:color w:val="auto"/>
          <w:spacing w:val="10"/>
          <w:sz w:val="24"/>
          <w:szCs w:val="24"/>
          <w:highlight w:val="none"/>
        </w:rPr>
        <w:t>　　</w:t>
      </w:r>
    </w:p>
    <w:p w14:paraId="2265A95A">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双方权利义务</w:t>
      </w:r>
    </w:p>
    <w:p w14:paraId="7866C04F">
      <w:pPr>
        <w:pStyle w:val="40"/>
        <w:spacing w:line="240" w:lineRule="auto"/>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（一）甲方权利和义务</w:t>
      </w:r>
    </w:p>
    <w:p w14:paraId="72932047">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1、甲方有权获取乙方提供的专业化服务；</w:t>
      </w:r>
    </w:p>
    <w:p w14:paraId="119DDA75">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2、甲方保证服务期间，对乙方工作给予支持，提供采购需求必须的基础工作条件；</w:t>
      </w:r>
    </w:p>
    <w:p w14:paraId="1910316F">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3、按合同要求及时向乙方支付服务费。不得以机构变动、人员更替、政策调整等为由延迟付款，不得将</w:t>
      </w:r>
      <w:r>
        <w:rPr>
          <w:rFonts w:hint="eastAsia" w:ascii="仿宋" w:hAnsi="仿宋" w:eastAsia="仿宋" w:cs="仿宋"/>
          <w:bCs/>
          <w:color w:val="auto"/>
          <w:spacing w:val="10"/>
          <w:sz w:val="24"/>
          <w:szCs w:val="24"/>
          <w:highlight w:val="none"/>
          <w:lang w:eastAsia="zh-CN"/>
        </w:rPr>
        <w:t>磋商文件</w:t>
      </w:r>
      <w:r>
        <w:rPr>
          <w:rFonts w:hint="eastAsia" w:ascii="仿宋" w:hAnsi="仿宋" w:eastAsia="仿宋" w:cs="仿宋"/>
          <w:bCs/>
          <w:color w:val="auto"/>
          <w:spacing w:val="10"/>
          <w:sz w:val="24"/>
          <w:szCs w:val="24"/>
          <w:highlight w:val="none"/>
        </w:rPr>
        <w:t>和合同中未规定的义务作为向</w:t>
      </w:r>
      <w:r>
        <w:rPr>
          <w:rFonts w:hint="eastAsia" w:ascii="仿宋" w:hAnsi="仿宋" w:eastAsia="仿宋" w:cs="仿宋"/>
          <w:bCs/>
          <w:color w:val="auto"/>
          <w:spacing w:val="10"/>
          <w:sz w:val="24"/>
          <w:szCs w:val="24"/>
          <w:highlight w:val="none"/>
          <w:lang w:eastAsia="zh-CN"/>
        </w:rPr>
        <w:t>报价人</w:t>
      </w:r>
      <w:r>
        <w:rPr>
          <w:rFonts w:hint="eastAsia" w:ascii="仿宋" w:hAnsi="仿宋" w:eastAsia="仿宋" w:cs="仿宋"/>
          <w:bCs/>
          <w:color w:val="auto"/>
          <w:spacing w:val="10"/>
          <w:sz w:val="24"/>
          <w:szCs w:val="24"/>
          <w:highlight w:val="none"/>
        </w:rPr>
        <w:t>付款的条件。</w:t>
      </w:r>
    </w:p>
    <w:p w14:paraId="2CBDC61B">
      <w:pPr>
        <w:pStyle w:val="40"/>
        <w:spacing w:line="240" w:lineRule="auto"/>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（二）乙方权利和义务</w:t>
      </w:r>
    </w:p>
    <w:p w14:paraId="0C5BA31E">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1、乙方有权要求甲方提供为完成本次服务所需的相关材料和相关信息。</w:t>
      </w:r>
    </w:p>
    <w:p w14:paraId="701051E8">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2、按照合同约定收取服务费。</w:t>
      </w:r>
    </w:p>
    <w:p w14:paraId="6AE6B591">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3、委托服务期内的任何时候，乙方保证服务质量符合相关质量标准。如果乙方提供的服务严重负偏离服务质量标准，无法满足甲方需求，且在甲方要求的期限内未能有效整改，则甲方有权单方面解除合同，并按照本合同的相关约定追究乙方违约责任。</w:t>
      </w:r>
    </w:p>
    <w:p w14:paraId="2F7FB16F">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4、乙方为甲方提供服务期间，制定并执行严格的安全生产管理措施，保证甲乙方工作人员人身安全和甲方的设备设施（如有）的完好无损，如发生安全事故的，责任由乙方全部负责。</w:t>
      </w:r>
    </w:p>
    <w:p w14:paraId="11C6DE2D">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5、乙方保证所提供的服务或其任何一部分不会侵犯任何第三方的专利权、商标权或著作权。一旦发现侵权、索赔或诉讼，乙方应承担全部责任。乙方保证提供的服务不存在危机人身及财产安全的隐患，不存在违反国家法律、法规及行业规范要求的有关安全条款，否则应承担全部法律责任。</w:t>
      </w:r>
    </w:p>
    <w:p w14:paraId="5D42CCCF">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6、乙方不得擅自转让其应履行的合同义务。</w:t>
      </w:r>
    </w:p>
    <w:p w14:paraId="5B4C66FC">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产权归属</w:t>
      </w:r>
      <w:r>
        <w:rPr>
          <w:rFonts w:hint="eastAsia" w:ascii="仿宋" w:hAnsi="仿宋" w:eastAsia="仿宋" w:cs="仿宋"/>
          <w:bCs w:val="0"/>
          <w:color w:val="auto"/>
          <w:sz w:val="24"/>
          <w:szCs w:val="24"/>
          <w:highlight w:val="none"/>
          <w:lang w:eastAsia="zh-CN"/>
        </w:rPr>
        <w:t>（如有）</w:t>
      </w:r>
    </w:p>
    <w:p w14:paraId="122B65D4">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本合同所约定工作内容中正式成果的知识产品归甲方所有。</w:t>
      </w:r>
    </w:p>
    <w:p w14:paraId="78DA9B93">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保密条款</w:t>
      </w:r>
    </w:p>
    <w:p w14:paraId="6D1F4F37">
      <w:pPr>
        <w:pStyle w:val="40"/>
        <w:spacing w:line="240" w:lineRule="auto"/>
        <w:ind w:firstLine="520" w:firstLineChars="200"/>
        <w:rPr>
          <w:rFonts w:hint="eastAsia" w:ascii="仿宋" w:hAnsi="仿宋" w:eastAsia="仿宋" w:cs="仿宋"/>
          <w:bCs/>
          <w:color w:val="auto"/>
          <w:spacing w:val="10"/>
          <w:sz w:val="24"/>
          <w:szCs w:val="24"/>
          <w:highlight w:val="none"/>
        </w:rPr>
      </w:pPr>
      <w:r>
        <w:rPr>
          <w:rFonts w:hint="eastAsia" w:ascii="仿宋" w:hAnsi="仿宋" w:eastAsia="仿宋" w:cs="仿宋"/>
          <w:bCs/>
          <w:color w:val="auto"/>
          <w:spacing w:val="10"/>
          <w:sz w:val="24"/>
          <w:szCs w:val="24"/>
          <w:highlight w:val="none"/>
        </w:rPr>
        <w:t>甲方按照本合同约定向乙方提供的任何资料和信息，除为履行合同约定服务需要向行政机关作出的披露外，不得用于本合同约定服务以外的任何其他用处，亦不得以任何方式向任何第三方泄漏或公开，并保证在合同约定服务履行完毕后，将所有资料和信息归还甲方。</w:t>
      </w:r>
    </w:p>
    <w:p w14:paraId="7B0DF13B">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 履约验收</w:t>
      </w:r>
    </w:p>
    <w:p w14:paraId="5D1A4E89">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 违约责任</w:t>
      </w:r>
    </w:p>
    <w:p w14:paraId="31AE635D">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1、乙方未按合同约定提供服务的，每逾期一日，向甲方赔偿违约服务款项</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%的违约金，违约金累计不超过合同总金额的5%。乙方未按合同约定提供服务累计超过</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天，甲方有权解除合同并要求乙方承当甲方造成的经济损失。</w:t>
      </w:r>
    </w:p>
    <w:p w14:paraId="733714CD">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2、在乙方服务工作范围内，如因工作未达到服务标准，由此造成的损失有乙方承担。</w:t>
      </w:r>
    </w:p>
    <w:p w14:paraId="6505BD45">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3、任意一方擅自解除合同导致合同不能履行，视为违约，违约方按合同约定合同总金额的5%收取违约金并赔偿给守约方的经济损失。</w:t>
      </w:r>
    </w:p>
    <w:p w14:paraId="01D5574E">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 不可抗力</w:t>
      </w:r>
    </w:p>
    <w:p w14:paraId="5B0D75DA">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1、不可抗力是指合同当事人在签订合同时不可预见，在合同履行过程中不可避免且不能克服的自然灾害和社会性突发事件，如地震、海啸、瘟疫、骚乱、戒严、暴动、战争等。</w:t>
      </w:r>
    </w:p>
    <w:p w14:paraId="24550885">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2、由于不可抗力的原因，而不能履行合同或延迟履行合同的一方可视不可抗力的实际影响免除部分或全部违约责任。但受不可抗力影响的一方应立即通知对方，并于不可抗力发生结束后10日内提供相关证明文件。</w:t>
      </w:r>
    </w:p>
    <w:p w14:paraId="503C25EC">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3、由于不可抗力的原因，致使合同无法按期履行或不能履行的，所造成的的损失有双方各自承担，受不可抗力影响的一方应当采取合理的措施防止损失的扩大，否则应就扩大的损失负赔偿责任。</w:t>
      </w:r>
    </w:p>
    <w:p w14:paraId="2726AD3F">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 合同变更与解除</w:t>
      </w:r>
    </w:p>
    <w:p w14:paraId="21CF7690">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本合同期限自签订之日起到合同终止日期。合同到期甲乙双方均未提出新的意向，合同自行终止。合作期内任何一方不得擅自停止协议，否则应负担所造成的一切损失。</w:t>
      </w:r>
    </w:p>
    <w:p w14:paraId="36F5C34C">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在下列情况发生时，甲方有权提前解除合同并就实际损失向乙方提出索赔：</w:t>
      </w:r>
    </w:p>
    <w:p w14:paraId="6056E342">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乙方服务质量考核不合格；</w:t>
      </w:r>
    </w:p>
    <w:p w14:paraId="2AA63FA1">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乙方未得到甲方同意，擅自更换服务人员。</w:t>
      </w:r>
    </w:p>
    <w:p w14:paraId="5341F071">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乙方因故需终止合同，必须提前</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天书面通知甲方，经甲方同意后，方可终止。</w:t>
      </w:r>
    </w:p>
    <w:p w14:paraId="1CAF065F">
      <w:pPr>
        <w:pStyle w:val="4"/>
        <w:numPr>
          <w:ilvl w:val="0"/>
          <w:numId w:val="13"/>
        </w:numPr>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 合同争议解决</w:t>
      </w:r>
    </w:p>
    <w:p w14:paraId="63CCF997">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因履行合同引起的或与本合同有关的争议，甲乙双方首先通过友好协商解决，如双方协商不能解决时，选择下列第</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种方式解决：</w:t>
      </w:r>
    </w:p>
    <w:p w14:paraId="0CBDB209">
      <w:pPr>
        <w:spacing w:line="240" w:lineRule="auto"/>
        <w:ind w:firstLine="260" w:firstLineChars="100"/>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（1）向</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pacing w:val="10"/>
          <w:sz w:val="24"/>
          <w:szCs w:val="24"/>
          <w:highlight w:val="none"/>
        </w:rPr>
        <w:t>仲裁委员会申请仲裁。</w:t>
      </w:r>
    </w:p>
    <w:p w14:paraId="7C0649EF">
      <w:pPr>
        <w:pStyle w:val="40"/>
        <w:spacing w:line="240" w:lineRule="auto"/>
        <w:ind w:firstLine="260" w:firstLineChars="1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（2）向</w:t>
      </w:r>
      <w:r>
        <w:rPr>
          <w:rFonts w:hint="eastAsia" w:ascii="仿宋" w:hAnsi="仿宋" w:eastAsia="仿宋" w:cs="仿宋"/>
          <w:color w:val="auto"/>
          <w:spacing w:val="10"/>
          <w:sz w:val="24"/>
          <w:szCs w:val="24"/>
          <w:highlight w:val="none"/>
          <w:u w:val="single"/>
        </w:rPr>
        <w:t xml:space="preserve">      </w:t>
      </w:r>
      <w:r>
        <w:rPr>
          <w:rFonts w:hint="eastAsia" w:ascii="仿宋" w:hAnsi="仿宋" w:eastAsia="仿宋" w:cs="仿宋"/>
          <w:color w:val="auto"/>
          <w:sz w:val="24"/>
          <w:szCs w:val="24"/>
          <w:highlight w:val="none"/>
        </w:rPr>
        <w:t>有管辖权的人民法院提起诉讼。</w:t>
      </w:r>
    </w:p>
    <w:p w14:paraId="2362AD85">
      <w:pPr>
        <w:pStyle w:val="40"/>
        <w:spacing w:line="240" w:lineRule="auto"/>
        <w:ind w:firstLine="520" w:firstLineChars="20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在起诉或仲裁期间，除正在进行的起诉或仲裁部分外，合同其他部分继续执行。</w:t>
      </w:r>
    </w:p>
    <w:p w14:paraId="6937984F">
      <w:pPr>
        <w:pStyle w:val="4"/>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第十三条  合同生效及其他</w:t>
      </w:r>
    </w:p>
    <w:p w14:paraId="3A27E964">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1、合同由甲、乙双方法定代表人或授权代表签字并加盖公章或合同专用章之日起生效。</w:t>
      </w:r>
    </w:p>
    <w:p w14:paraId="7708944D">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2、本合同一式（</w:t>
      </w:r>
      <w:r>
        <w:rPr>
          <w:rFonts w:hint="eastAsia" w:ascii="仿宋" w:hAnsi="仿宋" w:eastAsia="仿宋" w:cs="仿宋"/>
          <w:color w:val="auto"/>
          <w:spacing w:val="6"/>
          <w:sz w:val="24"/>
          <w:szCs w:val="24"/>
          <w:highlight w:val="none"/>
        </w:rPr>
        <w:t>____</w:t>
      </w:r>
      <w:r>
        <w:rPr>
          <w:rFonts w:hint="eastAsia" w:ascii="仿宋" w:hAnsi="仿宋" w:eastAsia="仿宋" w:cs="仿宋"/>
          <w:color w:val="auto"/>
          <w:sz w:val="24"/>
          <w:szCs w:val="24"/>
          <w:highlight w:val="none"/>
        </w:rPr>
        <w:t>）份，甲乙双方各执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份，每份具有同等法律效力。</w:t>
      </w:r>
    </w:p>
    <w:p w14:paraId="5B456B25">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3、合同执行过程中出现的未尽事宜，双方在不违背合同和磋商文件的前提下协商解决。协商结果以“纪要”形式甲乙双方签字盖章确认，作为合同附件，与合同具有同等效力。</w:t>
      </w:r>
    </w:p>
    <w:p w14:paraId="7EBCBC36">
      <w:pPr>
        <w:pStyle w:val="4"/>
        <w:pBdr>
          <w:top w:val="none" w:color="auto" w:sz="0" w:space="1"/>
          <w:left w:val="none" w:color="auto" w:sz="0" w:space="4"/>
          <w:bottom w:val="none" w:color="auto" w:sz="0" w:space="1"/>
          <w:right w:val="none" w:color="auto" w:sz="0" w:space="4"/>
        </w:pBdr>
        <w:spacing w:before="360" w:beforeLines="150" w:after="0" w:line="24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 第十四条  下列文件为本合同不可分割部分</w:t>
      </w:r>
    </w:p>
    <w:p w14:paraId="1836F2B3">
      <w:pPr>
        <w:spacing w:line="24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1、成交通知书</w:t>
      </w:r>
    </w:p>
    <w:p w14:paraId="35D67B9D">
      <w:pPr>
        <w:spacing w:line="24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2、响应文件（含澄清或说明文件）</w:t>
      </w:r>
    </w:p>
    <w:p w14:paraId="41FDE7B6">
      <w:pPr>
        <w:spacing w:line="24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文件（含澄清或修改文件）</w:t>
      </w:r>
    </w:p>
    <w:p w14:paraId="123B031F">
      <w:pPr>
        <w:spacing w:line="24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报价人</w:t>
      </w:r>
      <w:r>
        <w:rPr>
          <w:rFonts w:hint="eastAsia" w:ascii="仿宋" w:hAnsi="仿宋" w:eastAsia="仿宋" w:cs="仿宋"/>
          <w:color w:val="auto"/>
          <w:sz w:val="24"/>
          <w:szCs w:val="24"/>
          <w:highlight w:val="none"/>
        </w:rPr>
        <w:t>所做的其他承诺</w:t>
      </w:r>
    </w:p>
    <w:p w14:paraId="2EE1A857">
      <w:pPr>
        <w:pStyle w:val="17"/>
        <w:spacing w:line="240" w:lineRule="auto"/>
        <w:ind w:left="0" w:leftChars="0" w:firstLine="0" w:firstLineChars="0"/>
        <w:rPr>
          <w:rFonts w:hint="eastAsia" w:ascii="仿宋" w:hAnsi="仿宋" w:eastAsia="仿宋" w:cs="仿宋"/>
          <w:color w:val="auto"/>
          <w:sz w:val="24"/>
          <w:szCs w:val="24"/>
        </w:rPr>
      </w:pPr>
    </w:p>
    <w:p w14:paraId="31E2E88F">
      <w:pPr>
        <w:spacing w:line="24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甲方（章）：                            乙方（章）：            </w:t>
      </w:r>
    </w:p>
    <w:p w14:paraId="219B2AF1">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14:paraId="3374FFD1">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委托代理人：                            委托代理人：               </w:t>
      </w:r>
    </w:p>
    <w:p w14:paraId="3A4D91F2">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                                 地 址：                   </w:t>
      </w:r>
    </w:p>
    <w:p w14:paraId="5087DF50">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 话：                                 电 话：                    </w:t>
      </w:r>
    </w:p>
    <w:p w14:paraId="2441961E">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07EA1666">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账 号：                                 账 号：                      </w:t>
      </w:r>
    </w:p>
    <w:p w14:paraId="73772C71">
      <w:p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日 期：    年    月    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 期：    年    月    日</w:t>
      </w:r>
    </w:p>
    <w:p w14:paraId="3E9EB567">
      <w:pPr>
        <w:spacing w:line="240" w:lineRule="auto"/>
        <w:jc w:val="center"/>
        <w:rPr>
          <w:rFonts w:hint="eastAsia" w:ascii="仿宋" w:hAnsi="仿宋" w:eastAsia="仿宋" w:cs="仿宋"/>
          <w:color w:val="auto"/>
          <w:sz w:val="24"/>
          <w:szCs w:val="24"/>
          <w:highlight w:val="none"/>
        </w:rPr>
      </w:pPr>
    </w:p>
    <w:p w14:paraId="71E49202">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本合同的签署地：</w:t>
      </w:r>
    </w:p>
    <w:p w14:paraId="67B4AC26">
      <w:pPr>
        <w:pStyle w:val="40"/>
        <w:spacing w:line="240" w:lineRule="auto"/>
        <w:rPr>
          <w:rFonts w:hint="eastAsia" w:ascii="仿宋" w:hAnsi="仿宋" w:eastAsia="仿宋" w:cs="仿宋"/>
          <w:b/>
          <w:bCs/>
          <w:spacing w:val="4"/>
          <w:sz w:val="43"/>
          <w:szCs w:val="43"/>
        </w:rPr>
      </w:pPr>
      <w:r>
        <w:rPr>
          <w:rFonts w:hint="eastAsia" w:ascii="仿宋" w:hAnsi="仿宋" w:eastAsia="仿宋" w:cs="仿宋"/>
          <w:b/>
          <w:bCs/>
          <w:color w:val="auto"/>
          <w:sz w:val="24"/>
          <w:szCs w:val="24"/>
          <w:highlight w:val="none"/>
        </w:rPr>
        <w:t>注：本合同仅为参考格式，也可自拟，如国家或行业内有固定格式，则采用其固定格式。</w:t>
      </w:r>
    </w:p>
    <w:p w14:paraId="0BB5EBD8">
      <w:pPr>
        <w:pStyle w:val="3"/>
        <w:numPr>
          <w:ilvl w:val="0"/>
          <w:numId w:val="5"/>
        </w:numPr>
        <w:bidi w:val="0"/>
        <w:jc w:val="center"/>
        <w:rPr>
          <w:rFonts w:hint="eastAsia" w:ascii="仿宋_GB2312" w:hAnsi="仿宋_GB2312" w:eastAsia="仿宋_GB2312" w:cs="仿宋_GB2312"/>
          <w:color w:val="auto"/>
          <w:sz w:val="32"/>
          <w:szCs w:val="32"/>
          <w:lang w:val="en-US" w:eastAsia="zh-CN"/>
        </w:rPr>
      </w:pPr>
      <w:bookmarkStart w:id="18" w:name="_Toc8038"/>
      <w:r>
        <w:rPr>
          <w:rFonts w:hint="eastAsia" w:ascii="仿宋_GB2312" w:hAnsi="仿宋_GB2312" w:eastAsia="仿宋_GB2312" w:cs="仿宋_GB2312"/>
          <w:color w:val="auto"/>
          <w:sz w:val="32"/>
          <w:szCs w:val="32"/>
          <w:lang w:val="en-US" w:eastAsia="zh-CN"/>
        </w:rPr>
        <w:t>采购需求</w:t>
      </w:r>
      <w:bookmarkEnd w:id="18"/>
    </w:p>
    <w:p w14:paraId="5177B069">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一、服务范围</w:t>
      </w:r>
    </w:p>
    <w:p w14:paraId="77B82A73">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紧密结合党中央、国务院决策部署和自治区党委、人民政府安排要求，对《自治区市场监管“十四五”规划》（以下简称“《规划》”）开展全面总结评估，评估内容包括《规划》中发展目标、主要指标、重要任务、重点项目、重大改革等的实施进展情况、取得的成效，深入剖析存在的问题和不足，提出下一步对策建议，为自治区市场监管“十五五”规划编制做好前期准备。</w:t>
      </w:r>
    </w:p>
    <w:p w14:paraId="195A5F7F">
      <w:pPr>
        <w:ind w:firstLine="480" w:firstLineChars="200"/>
        <w:rPr>
          <w:rFonts w:hint="eastAsia" w:ascii="仿宋" w:hAnsi="仿宋" w:eastAsia="仿宋" w:cs="仿宋"/>
          <w:b w:val="0"/>
          <w:bCs w:val="0"/>
          <w:color w:val="auto"/>
          <w:sz w:val="24"/>
          <w:szCs w:val="24"/>
          <w:lang w:val="en-US" w:eastAsia="zh-CN"/>
        </w:rPr>
      </w:pPr>
    </w:p>
    <w:p w14:paraId="4261F5A8">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二、成果资料</w:t>
      </w:r>
    </w:p>
    <w:p w14:paraId="0B84BBEE">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结合收集到的《规划》主要指标、重要任务、重点项目、重大改革等材料，形成《自治区市场监管“十四五”规划》总结评估报告。</w:t>
      </w:r>
    </w:p>
    <w:p w14:paraId="5DC613D4">
      <w:pPr>
        <w:rPr>
          <w:rFonts w:hint="eastAsia" w:ascii="仿宋" w:hAnsi="仿宋" w:eastAsia="仿宋" w:cs="仿宋"/>
          <w:b/>
          <w:bCs/>
          <w:color w:val="auto"/>
          <w:sz w:val="24"/>
          <w:szCs w:val="24"/>
          <w:lang w:val="en-US" w:eastAsia="zh-CN"/>
        </w:rPr>
      </w:pPr>
    </w:p>
    <w:p w14:paraId="34319D5D">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三、服务要求</w:t>
      </w:r>
    </w:p>
    <w:p w14:paraId="2907AF87">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评估工作遵循系统全面、客观公正、突出重点和科学严谨的原则。评估工作不仅要全面评估《规划》明确的目标任务推进情况，还要重点关注主要指标的达标情况，重要任务、重点项目、重大改革的成效情况，分析存在的问题以及下一步改进措施等。总结评估项目编制成果应顺应全国市场监管发展趋势，契合我区市场监管工作实际需求。</w:t>
      </w:r>
    </w:p>
    <w:p w14:paraId="5EDB275E">
      <w:pPr>
        <w:ind w:firstLine="480" w:firstLineChars="200"/>
        <w:rPr>
          <w:rFonts w:hint="eastAsia" w:ascii="仿宋" w:hAnsi="仿宋" w:eastAsia="仿宋" w:cs="仿宋"/>
          <w:b w:val="0"/>
          <w:bCs w:val="0"/>
          <w:color w:val="auto"/>
          <w:sz w:val="24"/>
          <w:szCs w:val="24"/>
          <w:lang w:val="en-US" w:eastAsia="zh-CN"/>
        </w:rPr>
      </w:pPr>
    </w:p>
    <w:p w14:paraId="25D6E5F9">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四、服务标准</w:t>
      </w:r>
    </w:p>
    <w:p w14:paraId="33DCAAB4">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符合国家相关行业标准，参与过相关类规划的编制、评估等工作，且能够完成响应采购需求。</w:t>
      </w:r>
    </w:p>
    <w:p w14:paraId="64E661C4">
      <w:pPr>
        <w:rPr>
          <w:rFonts w:hint="eastAsia" w:ascii="仿宋" w:hAnsi="仿宋" w:eastAsia="仿宋" w:cs="仿宋"/>
          <w:b/>
          <w:bCs/>
          <w:color w:val="auto"/>
          <w:sz w:val="24"/>
          <w:szCs w:val="24"/>
          <w:lang w:val="en-US" w:eastAsia="zh-CN"/>
        </w:rPr>
      </w:pPr>
    </w:p>
    <w:p w14:paraId="6FF37A63">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五、合同履约期限</w:t>
      </w:r>
    </w:p>
    <w:p w14:paraId="6A934324">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自合同签订之日起到2025年10月底，完成《自治区市场监管“十四五”规划总结评估报告》初稿，内部征求意见并修改完善。</w:t>
      </w:r>
    </w:p>
    <w:p w14:paraId="2681A26B">
      <w:pPr>
        <w:rPr>
          <w:rFonts w:hint="eastAsia" w:ascii="仿宋" w:hAnsi="仿宋" w:eastAsia="仿宋" w:cs="仿宋"/>
          <w:b w:val="0"/>
          <w:bCs w:val="0"/>
          <w:color w:val="auto"/>
          <w:sz w:val="24"/>
          <w:szCs w:val="24"/>
          <w:lang w:val="en-US" w:eastAsia="zh-CN"/>
        </w:rPr>
      </w:pPr>
    </w:p>
    <w:p w14:paraId="6D5E4F9F">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六、其他要求</w:t>
      </w:r>
    </w:p>
    <w:p w14:paraId="523A65CB">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（一）承接单位须具备类似项目执行经验，应保证足够的项目组成人员，独立开展项目调研、总结起草等工作，若确有必要，采购人可提供协调沟通帮助。</w:t>
      </w:r>
    </w:p>
    <w:p w14:paraId="5E393A7E">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（二）采购人有权对项目进度、质量进行全过程监督，如发现问题，采购人有权提出纠正意见。在本项目执行过程中，采购人在不妨碍承接方正常工作的情况下，有权检查任何原始资料。</w:t>
      </w:r>
    </w:p>
    <w:p w14:paraId="163FE83D">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三）承接方对项目涉及内容负有保密责任，未经采购人授权，不得向任何第三方提供项目内容。本协议项下工作成果归采购人所有，未经采购人同意，承接方不得以任何形式利用该工作成果。承接方保证其提交的工作成果不侵犯任何其他方的商业秘密、所有权和知识产权及其他合法权益，否则一切法律责任由承接方承担。</w:t>
      </w:r>
    </w:p>
    <w:p w14:paraId="07415422">
      <w:pPr>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（四）结项后，为衔接“十四五”时期工作的整体情况、指标数据、市场监管总局市场监管规划和自治区规划纲要，承接方需负责进一步修改完善至定稿。</w:t>
      </w:r>
    </w:p>
    <w:p w14:paraId="1F7B5B50">
      <w:pPr>
        <w:rPr>
          <w:rFonts w:hint="eastAsia"/>
          <w:color w:val="auto"/>
          <w:lang w:val="en-US" w:eastAsia="zh-CN"/>
        </w:rPr>
      </w:pPr>
      <w:r>
        <w:rPr>
          <w:rFonts w:hint="eastAsia" w:ascii="仿宋" w:hAnsi="仿宋" w:eastAsia="仿宋" w:cs="仿宋"/>
          <w:b w:val="0"/>
          <w:bCs w:val="0"/>
          <w:color w:val="auto"/>
          <w:sz w:val="24"/>
          <w:szCs w:val="24"/>
          <w:lang w:val="en-US" w:eastAsia="zh-CN"/>
        </w:rPr>
        <w:br w:type="page"/>
      </w:r>
    </w:p>
    <w:p w14:paraId="2BCBA9B3">
      <w:pPr>
        <w:pStyle w:val="3"/>
        <w:numPr>
          <w:ilvl w:val="0"/>
          <w:numId w:val="5"/>
        </w:numPr>
        <w:bidi w:val="0"/>
        <w:jc w:val="center"/>
        <w:rPr>
          <w:rFonts w:hint="eastAsia" w:ascii="仿宋" w:hAnsi="仿宋" w:eastAsia="仿宋" w:cs="仿宋"/>
          <w:b/>
          <w:bCs/>
          <w:sz w:val="32"/>
          <w:szCs w:val="32"/>
          <w:lang w:val="en-US" w:eastAsia="zh-CN"/>
        </w:rPr>
      </w:pPr>
      <w:bookmarkStart w:id="19" w:name="_Toc27718"/>
      <w:r>
        <w:rPr>
          <w:rFonts w:hint="eastAsia" w:ascii="仿宋" w:hAnsi="仿宋" w:eastAsia="仿宋" w:cs="仿宋"/>
          <w:sz w:val="32"/>
          <w:szCs w:val="32"/>
          <w:lang w:val="en-US" w:eastAsia="zh-CN"/>
        </w:rPr>
        <w:t>评标程序、评标方法和评标标准</w:t>
      </w:r>
      <w:bookmarkEnd w:id="19"/>
    </w:p>
    <w:p w14:paraId="1CEE509B">
      <w:pPr>
        <w:keepNext w:val="0"/>
        <w:keepLines w:val="0"/>
        <w:pageBreakBefore w:val="0"/>
        <w:widowControl w:val="0"/>
        <w:numPr>
          <w:ilvl w:val="0"/>
          <w:numId w:val="14"/>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lang w:val="en-US" w:eastAsia="zh-CN"/>
        </w:rPr>
      </w:pPr>
      <w:bookmarkStart w:id="20" w:name="_Toc21122"/>
      <w:r>
        <w:rPr>
          <w:rFonts w:hint="eastAsia" w:ascii="仿宋" w:hAnsi="仿宋" w:eastAsia="仿宋" w:cs="仿宋"/>
          <w:b/>
          <w:bCs/>
          <w:sz w:val="24"/>
          <w:szCs w:val="24"/>
          <w:lang w:val="en-US" w:eastAsia="zh-CN"/>
        </w:rPr>
        <w:t>评标方法</w:t>
      </w:r>
      <w:bookmarkEnd w:id="20"/>
      <w:r>
        <w:rPr>
          <w:rFonts w:hint="eastAsia" w:ascii="仿宋" w:hAnsi="仿宋" w:eastAsia="仿宋" w:cs="仿宋"/>
          <w:b/>
          <w:bCs/>
          <w:sz w:val="24"/>
          <w:szCs w:val="24"/>
          <w:lang w:val="en-US" w:eastAsia="zh-CN"/>
        </w:rPr>
        <w:t xml:space="preserve"> </w:t>
      </w:r>
    </w:p>
    <w:p w14:paraId="6DDA1C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次评标采用综合评分法。是指经磋商确定最终采购需求和提交最后报价的投标人后，由磋商小组采用综合评分法对提交最后报价的投标人的响应文件和最后报价进行综合评分。评审得分最高的投标人为成交候选人的评标方法。</w:t>
      </w:r>
    </w:p>
    <w:p w14:paraId="6D376171">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1" w:name="_Toc1193"/>
      <w:r>
        <w:rPr>
          <w:rFonts w:hint="eastAsia" w:ascii="仿宋" w:hAnsi="仿宋" w:eastAsia="仿宋" w:cs="仿宋"/>
          <w:b/>
          <w:bCs/>
          <w:sz w:val="24"/>
          <w:szCs w:val="24"/>
          <w:lang w:val="en-US" w:eastAsia="zh-CN"/>
        </w:rPr>
        <w:t>评标原则</w:t>
      </w:r>
      <w:bookmarkEnd w:id="21"/>
    </w:p>
    <w:p w14:paraId="548D8EFD">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评标活动遵循公平、公正、科学和择优的原则，以采购文件和响应文件为评标的基本依据，并按照采购文件规定的评标方法和评标标准进行评标。</w:t>
      </w:r>
    </w:p>
    <w:p w14:paraId="08727285">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具体评标事项由磋商小组负责，并按采购文件的规定办法进行评审。对采购文件中描述有歧义或前后不一致的地方，磋商小组有权按法律法规的规定进行评判，但对同一条款的评判应适用于每个响应投标人。</w:t>
      </w:r>
    </w:p>
    <w:p w14:paraId="086BBF71">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2" w:name="_Toc7505"/>
      <w:r>
        <w:rPr>
          <w:rFonts w:hint="eastAsia" w:ascii="仿宋" w:hAnsi="仿宋" w:eastAsia="仿宋" w:cs="仿宋"/>
          <w:b/>
          <w:bCs/>
          <w:sz w:val="24"/>
          <w:szCs w:val="24"/>
          <w:lang w:val="en-US" w:eastAsia="zh-CN"/>
        </w:rPr>
        <w:t>资格审查</w:t>
      </w:r>
      <w:bookmarkEnd w:id="22"/>
    </w:p>
    <w:p w14:paraId="08CB2BDA">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磋商小组依据采购文件，对响应文件中的资格证明文件等进行审查，以确定投标人是否具备磋商资格。资格性审查中凡有其中任意一项未通过的，评审结果为未通过，未通过资格性审查的投标人按无效响应处理，不进入符合性审查。审查内容如下：</w:t>
      </w:r>
    </w:p>
    <w:p w14:paraId="5E5E880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资格审查要求</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77F2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E322E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2536" w:type="dxa"/>
            <w:vAlign w:val="center"/>
          </w:tcPr>
          <w:p w14:paraId="7A05834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44BCC74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41A1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B651C5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2536" w:type="dxa"/>
            <w:vAlign w:val="center"/>
          </w:tcPr>
          <w:p w14:paraId="1F2B3D6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2AE2F89E">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795E452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1C55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311436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2536" w:type="dxa"/>
            <w:vAlign w:val="center"/>
          </w:tcPr>
          <w:p w14:paraId="6C08FFE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71D43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本单位上一年度由会计师事务所出具的财务审计报告（当上一年度审计报告未出来时（每年6月前），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1952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80B58F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2536" w:type="dxa"/>
            <w:vAlign w:val="center"/>
          </w:tcPr>
          <w:p w14:paraId="1F01753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4232BC7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须提供具备履行合同所必需的设备和专业技术能力的书面声明原件</w:t>
            </w:r>
          </w:p>
        </w:tc>
      </w:tr>
      <w:tr w14:paraId="037A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CFF70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2536" w:type="dxa"/>
            <w:vAlign w:val="center"/>
          </w:tcPr>
          <w:p w14:paraId="25F0CE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1616DD8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响应文件递交截止日期之前六个月内任何一期的纳税记录（如投标人缴纳的增值税、所得税、印花税等我国现行税种中任意一项即可）或证明文件原件或复印件加盖公章（依法免税的应提供相应文件说明）</w:t>
            </w:r>
          </w:p>
          <w:p w14:paraId="41F7E7A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0EAB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BFAEB4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2536" w:type="dxa"/>
            <w:vAlign w:val="center"/>
          </w:tcPr>
          <w:p w14:paraId="2157F61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60E690C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须提供声明函原件</w:t>
            </w:r>
          </w:p>
        </w:tc>
      </w:tr>
      <w:tr w14:paraId="496A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FA069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2536" w:type="dxa"/>
            <w:vAlign w:val="center"/>
          </w:tcPr>
          <w:p w14:paraId="500EAAD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w:t>
            </w:r>
          </w:p>
        </w:tc>
        <w:tc>
          <w:tcPr>
            <w:tcW w:w="5228" w:type="dxa"/>
            <w:vAlign w:val="center"/>
          </w:tcPr>
          <w:p w14:paraId="4A611C2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查询渠道：信用中国网站和中国政府采购网</w:t>
            </w:r>
          </w:p>
          <w:p w14:paraId="7D41DCF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查询时间：响应截止时间后至资格审查阶段完成；</w:t>
            </w:r>
          </w:p>
          <w:p w14:paraId="7D30376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投标人，其响应无效。联合体形式投标的，联合体成员存在不良信用记录，视同联合体存在不良信用记录。无须投标人提供，由采购人或采购代理机构查询结果为准。</w:t>
            </w:r>
          </w:p>
        </w:tc>
      </w:tr>
      <w:tr w14:paraId="2E6A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04DF2BCE">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2536" w:type="dxa"/>
            <w:vAlign w:val="center"/>
          </w:tcPr>
          <w:p w14:paraId="4B3ECB8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落实政府采购政策</w:t>
            </w:r>
          </w:p>
          <w:p w14:paraId="0059490E">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的资格要求</w:t>
            </w:r>
          </w:p>
        </w:tc>
        <w:tc>
          <w:tcPr>
            <w:tcW w:w="5228" w:type="dxa"/>
            <w:vAlign w:val="center"/>
          </w:tcPr>
          <w:p w14:paraId="39BBE62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本项目为专门面向中小企业采购，提供服务的承接商应符合《政府采购促进中小企业发展管理办法》(财库〔2020〕46号) 第四条规定的情形，且应当提供《政府采购促进中小企业发展管理办法》(财库〔2020〕46号)规定的《中小企业声明函》。</w:t>
            </w:r>
          </w:p>
        </w:tc>
      </w:tr>
    </w:tbl>
    <w:p w14:paraId="1D7E6DD0">
      <w:pPr>
        <w:pStyle w:val="25"/>
        <w:widowControl w:val="0"/>
        <w:numPr>
          <w:ilvl w:val="0"/>
          <w:numId w:val="0"/>
        </w:numPr>
        <w:autoSpaceDE w:val="0"/>
        <w:autoSpaceDN w:val="0"/>
        <w:spacing w:before="0" w:after="0" w:line="240" w:lineRule="auto"/>
        <w:ind w:right="0" w:rightChars="0"/>
        <w:jc w:val="left"/>
        <w:rPr>
          <w:rFonts w:hint="eastAsia" w:ascii="仿宋" w:hAnsi="仿宋" w:eastAsia="仿宋" w:cs="仿宋"/>
          <w:b/>
          <w:bCs/>
          <w:lang w:val="en-US" w:eastAsia="zh-CN"/>
        </w:rPr>
      </w:pPr>
    </w:p>
    <w:p w14:paraId="3B134F85">
      <w:pPr>
        <w:pStyle w:val="25"/>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仿宋" w:hAnsi="仿宋" w:eastAsia="仿宋" w:cs="仿宋"/>
          <w:lang w:val="en-US" w:eastAsia="zh-CN"/>
        </w:rPr>
      </w:pPr>
      <w:bookmarkStart w:id="23" w:name="_Toc27889"/>
      <w:r>
        <w:rPr>
          <w:rFonts w:hint="eastAsia" w:ascii="仿宋" w:hAnsi="仿宋" w:eastAsia="仿宋" w:cs="仿宋"/>
          <w:b/>
          <w:bCs/>
          <w:sz w:val="24"/>
          <w:szCs w:val="24"/>
          <w:lang w:val="en-US" w:eastAsia="zh-CN"/>
        </w:rPr>
        <w:t>符合性审查</w:t>
      </w:r>
      <w:bookmarkEnd w:id="23"/>
    </w:p>
    <w:p w14:paraId="73AEE0F2">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依据采购文件，对响应文件的有效性、完整性和对采购文件的响应程度进行审查，以确定投标人是否对采购文件的实质性要求做出响应。符合性审查中凡有其中任意一项未通过的，评审结果为未通过，未通过符合性审查的投标人，不进入详细评审。审查内容如下：</w:t>
      </w:r>
    </w:p>
    <w:p w14:paraId="55D3C0B4">
      <w:pPr>
        <w:pStyle w:val="25"/>
        <w:jc w:val="center"/>
        <w:rPr>
          <w:rFonts w:hint="eastAsia" w:ascii="仿宋" w:hAnsi="仿宋" w:eastAsia="仿宋" w:cs="仿宋"/>
          <w:b/>
          <w:bCs/>
          <w:lang w:val="en-US" w:eastAsia="zh-CN"/>
        </w:rPr>
      </w:pPr>
      <w:r>
        <w:rPr>
          <w:rFonts w:hint="eastAsia" w:ascii="仿宋" w:hAnsi="仿宋" w:eastAsia="仿宋" w:cs="仿宋"/>
          <w:b/>
          <w:bCs/>
          <w:lang w:val="en-US" w:eastAsia="zh-CN"/>
        </w:rPr>
        <w:t>符合性审查要求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20CD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54582F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序号</w:t>
            </w:r>
          </w:p>
        </w:tc>
        <w:tc>
          <w:tcPr>
            <w:tcW w:w="2132" w:type="dxa"/>
            <w:vAlign w:val="center"/>
          </w:tcPr>
          <w:p w14:paraId="1D32929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审查因素</w:t>
            </w:r>
          </w:p>
        </w:tc>
        <w:tc>
          <w:tcPr>
            <w:tcW w:w="5573" w:type="dxa"/>
            <w:vAlign w:val="center"/>
          </w:tcPr>
          <w:p w14:paraId="6ADBAEF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审查内容</w:t>
            </w:r>
          </w:p>
        </w:tc>
      </w:tr>
      <w:tr w14:paraId="1502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5EB632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2132" w:type="dxa"/>
            <w:vAlign w:val="center"/>
          </w:tcPr>
          <w:p w14:paraId="2DA6B7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授权委托书</w:t>
            </w:r>
          </w:p>
        </w:tc>
        <w:tc>
          <w:tcPr>
            <w:tcW w:w="5573" w:type="dxa"/>
            <w:vAlign w:val="center"/>
          </w:tcPr>
          <w:p w14:paraId="0F34269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3905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17" w:type="dxa"/>
            <w:vAlign w:val="center"/>
          </w:tcPr>
          <w:p w14:paraId="763B402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2132" w:type="dxa"/>
            <w:vAlign w:val="center"/>
          </w:tcPr>
          <w:p w14:paraId="5A6CF1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响应完整性</w:t>
            </w:r>
          </w:p>
        </w:tc>
        <w:tc>
          <w:tcPr>
            <w:tcW w:w="5573" w:type="dxa"/>
            <w:vAlign w:val="center"/>
          </w:tcPr>
          <w:p w14:paraId="6951EF0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未将一个采购包中的内容拆开响应</w:t>
            </w:r>
          </w:p>
        </w:tc>
      </w:tr>
      <w:tr w14:paraId="4382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8A753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2132" w:type="dxa"/>
            <w:vAlign w:val="center"/>
          </w:tcPr>
          <w:p w14:paraId="6E3876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响应报价</w:t>
            </w:r>
          </w:p>
        </w:tc>
        <w:tc>
          <w:tcPr>
            <w:tcW w:w="5573" w:type="dxa"/>
            <w:vAlign w:val="center"/>
          </w:tcPr>
          <w:p w14:paraId="3F1EE27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最后报价未超过磋商文件中规定的采购品目单价预算金额/单价最高限价或项目/采购包预算金额或者项目/采购包最高限价；</w:t>
            </w:r>
          </w:p>
        </w:tc>
      </w:tr>
      <w:tr w14:paraId="1E01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63F0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2132" w:type="dxa"/>
            <w:vAlign w:val="center"/>
          </w:tcPr>
          <w:p w14:paraId="32942D0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报价唯一性</w:t>
            </w:r>
          </w:p>
        </w:tc>
        <w:tc>
          <w:tcPr>
            <w:tcW w:w="5573" w:type="dxa"/>
            <w:vAlign w:val="center"/>
          </w:tcPr>
          <w:p w14:paraId="05E64E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响应文件未出现可选择性或可调整的报价（采购文件另有规定的除外）</w:t>
            </w:r>
          </w:p>
        </w:tc>
      </w:tr>
      <w:tr w14:paraId="235E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82A2CF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2132" w:type="dxa"/>
            <w:vAlign w:val="center"/>
          </w:tcPr>
          <w:p w14:paraId="0A38719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响应有效期</w:t>
            </w:r>
          </w:p>
        </w:tc>
        <w:tc>
          <w:tcPr>
            <w:tcW w:w="5573" w:type="dxa"/>
            <w:vAlign w:val="center"/>
          </w:tcPr>
          <w:p w14:paraId="5BFE5D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响应文件中承诺的响应有效期满足采购文件中载明的响应有效期的</w:t>
            </w:r>
          </w:p>
        </w:tc>
      </w:tr>
      <w:tr w14:paraId="1CB8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FD13AE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6</w:t>
            </w:r>
          </w:p>
        </w:tc>
        <w:tc>
          <w:tcPr>
            <w:tcW w:w="2132" w:type="dxa"/>
            <w:vAlign w:val="center"/>
          </w:tcPr>
          <w:p w14:paraId="30C46A3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签署、盖章</w:t>
            </w:r>
          </w:p>
        </w:tc>
        <w:tc>
          <w:tcPr>
            <w:tcW w:w="5573" w:type="dxa"/>
            <w:vAlign w:val="center"/>
          </w:tcPr>
          <w:p w14:paraId="43F48E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按照采购文件要求签署、盖章的</w:t>
            </w:r>
          </w:p>
        </w:tc>
      </w:tr>
      <w:tr w14:paraId="14C4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8103D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7</w:t>
            </w:r>
          </w:p>
        </w:tc>
        <w:tc>
          <w:tcPr>
            <w:tcW w:w="2132" w:type="dxa"/>
            <w:vAlign w:val="center"/>
          </w:tcPr>
          <w:p w14:paraId="712D94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报价合理性</w:t>
            </w:r>
          </w:p>
        </w:tc>
        <w:tc>
          <w:tcPr>
            <w:tcW w:w="5573" w:type="dxa"/>
            <w:vAlign w:val="center"/>
          </w:tcPr>
          <w:p w14:paraId="74247C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报价合理，或供应商的报价明显低于其他通过符合性审查供应商的报价，有可能影响产品质量或者不能诚信履约的，能够应磋商小组要求在规定时间内证明其报价合理性的</w:t>
            </w:r>
          </w:p>
        </w:tc>
      </w:tr>
      <w:tr w14:paraId="1C66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D5447E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w:t>
            </w:r>
          </w:p>
        </w:tc>
        <w:tc>
          <w:tcPr>
            <w:tcW w:w="2132" w:type="dxa"/>
            <w:vAlign w:val="center"/>
          </w:tcPr>
          <w:p w14:paraId="049BCFF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附加条件</w:t>
            </w:r>
          </w:p>
        </w:tc>
        <w:tc>
          <w:tcPr>
            <w:tcW w:w="5573" w:type="dxa"/>
            <w:vAlign w:val="center"/>
          </w:tcPr>
          <w:p w14:paraId="0E586D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响应文件未含有采购人不能接受的附加条件的</w:t>
            </w:r>
          </w:p>
        </w:tc>
      </w:tr>
      <w:tr w14:paraId="179C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448DD5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9</w:t>
            </w:r>
          </w:p>
        </w:tc>
        <w:tc>
          <w:tcPr>
            <w:tcW w:w="2132" w:type="dxa"/>
            <w:vAlign w:val="center"/>
          </w:tcPr>
          <w:p w14:paraId="7AFA61A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其他</w:t>
            </w:r>
          </w:p>
        </w:tc>
        <w:tc>
          <w:tcPr>
            <w:tcW w:w="5573" w:type="dxa"/>
            <w:vAlign w:val="center"/>
          </w:tcPr>
          <w:p w14:paraId="05997F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响应文件中不存在违反国家法律、法规和采购文件规定的其他无效情形</w:t>
            </w:r>
          </w:p>
        </w:tc>
      </w:tr>
      <w:tr w14:paraId="309A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BB0F5C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c>
          <w:tcPr>
            <w:tcW w:w="2132" w:type="dxa"/>
            <w:vAlign w:val="center"/>
          </w:tcPr>
          <w:p w14:paraId="2AF655E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磋商保证金</w:t>
            </w:r>
          </w:p>
        </w:tc>
        <w:tc>
          <w:tcPr>
            <w:tcW w:w="5573" w:type="dxa"/>
            <w:vAlign w:val="center"/>
          </w:tcPr>
          <w:p w14:paraId="300DBEA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按照采购文件的规定提交磋商保证金</w:t>
            </w:r>
          </w:p>
        </w:tc>
      </w:tr>
    </w:tbl>
    <w:p w14:paraId="3AF34BCF">
      <w:pPr>
        <w:pStyle w:val="25"/>
        <w:ind w:left="0" w:leftChars="0" w:firstLine="0" w:firstLineChars="0"/>
        <w:rPr>
          <w:rFonts w:hint="eastAsia" w:ascii="仿宋" w:hAnsi="仿宋" w:eastAsia="仿宋" w:cs="仿宋"/>
          <w:lang w:val="en-US" w:eastAsia="zh-CN"/>
        </w:rPr>
      </w:pPr>
    </w:p>
    <w:p w14:paraId="2E17C375">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lang w:val="en-US" w:eastAsia="zh-CN"/>
        </w:rPr>
      </w:pPr>
      <w:bookmarkStart w:id="24" w:name="_Toc31864"/>
      <w:r>
        <w:rPr>
          <w:rFonts w:hint="eastAsia" w:ascii="仿宋" w:hAnsi="仿宋" w:eastAsia="仿宋" w:cs="仿宋"/>
          <w:b/>
          <w:bCs/>
          <w:sz w:val="24"/>
          <w:szCs w:val="24"/>
          <w:lang w:val="en-US" w:eastAsia="zh-CN"/>
        </w:rPr>
        <w:t>响应文件澄清</w:t>
      </w:r>
      <w:bookmarkEnd w:id="24"/>
    </w:p>
    <w:p w14:paraId="4D4BB77E">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响应文件中含义不明确、同类问题表述不一致或者有明显文字和计算错误的内容，磋商小组可在评审过程中发起在线澄清，要求投标人针对价格或内容做出必要的澄清、说明或补正。代理机构可根据开启环节记录的</w:t>
      </w:r>
      <w:r>
        <w:rPr>
          <w:rFonts w:hint="eastAsia" w:ascii="仿宋" w:hAnsi="仿宋" w:eastAsia="仿宋" w:cs="仿宋"/>
          <w:b/>
          <w:bCs/>
          <w:sz w:val="24"/>
          <w:szCs w:val="24"/>
          <w:lang w:val="en-US" w:eastAsia="zh-CN"/>
        </w:rPr>
        <w:t>授权代表人联系方式</w:t>
      </w:r>
      <w:r>
        <w:rPr>
          <w:rFonts w:hint="eastAsia" w:ascii="仿宋" w:hAnsi="仿宋" w:eastAsia="仿宋" w:cs="仿宋"/>
          <w:sz w:val="24"/>
          <w:szCs w:val="24"/>
          <w:lang w:val="en-US" w:eastAsia="zh-CN"/>
        </w:rPr>
        <w:t>发送短信提醒或电话告知。</w:t>
      </w:r>
    </w:p>
    <w:p w14:paraId="189E7344">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投标人需登录电子招投标系统平台项目采购系统的等候大厅，在规定时间内完成澄清（响应），并加盖电子印章。</w:t>
      </w:r>
    </w:p>
    <w:p w14:paraId="3D044FE1">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若因投标人联系方式错误未接收短信、未接听电话或超时未进行澄清（响应）造成的不利后果由投标人自行承担。投标人的澄清、说明或者补正不得超出响应文件的范围或者改变响应文件的实质性内容。</w:t>
      </w:r>
    </w:p>
    <w:p w14:paraId="5DF684C5">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磋商小组不接受投标人主动提出的澄清、说明或补正。</w:t>
      </w:r>
    </w:p>
    <w:p w14:paraId="6AD6EFA5">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磋商小组对投标人提交的澄清、说明或补正有疑问的，可以要求投标人进一步澄清、说明或补正。</w:t>
      </w:r>
    </w:p>
    <w:p w14:paraId="46E527FB">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sz w:val="24"/>
          <w:szCs w:val="24"/>
          <w:lang w:val="en-US" w:eastAsia="zh-CN"/>
        </w:rPr>
      </w:pPr>
      <w:bookmarkStart w:id="25" w:name="_Toc12580"/>
      <w:r>
        <w:rPr>
          <w:rFonts w:hint="eastAsia" w:ascii="仿宋" w:hAnsi="仿宋" w:eastAsia="仿宋" w:cs="仿宋"/>
          <w:b/>
          <w:bCs/>
          <w:sz w:val="24"/>
          <w:szCs w:val="24"/>
          <w:lang w:val="en-US" w:eastAsia="zh-CN"/>
        </w:rPr>
        <w:t>磋商</w:t>
      </w:r>
      <w:bookmarkEnd w:id="25"/>
    </w:p>
    <w:p w14:paraId="7C1CC63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磋商小组所有成员应当集中与单一投标人分别进行磋商，并给予所有参加磋商的投标人平等的磋商机会。</w:t>
      </w:r>
    </w:p>
    <w:p w14:paraId="4A34BA06">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47FD4798">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对采购文件作出的实质性变动是采购文件的有效组成部分，磋商小组应当及时、同时通知所有参加磋商的投标人。</w:t>
      </w:r>
    </w:p>
    <w:p w14:paraId="20807D57">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应当按照采购文件的变动情况和磋商小组的要求进行最后报价或重新提交响应文件，并由其法定代表人或授权代表签字或者加盖公章。由授权代表签字的，应当附法定代表人授权书。投标人为自然人的，应当由本人签字并附身份证明。</w:t>
      </w:r>
    </w:p>
    <w:p w14:paraId="396BD353">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lang w:val="en-US" w:eastAsia="zh-CN"/>
        </w:rPr>
      </w:pPr>
      <w:bookmarkStart w:id="26" w:name="_Toc3596"/>
      <w:r>
        <w:rPr>
          <w:rFonts w:hint="eastAsia" w:ascii="仿宋" w:hAnsi="仿宋" w:eastAsia="仿宋" w:cs="仿宋"/>
          <w:b/>
          <w:bCs/>
          <w:sz w:val="24"/>
          <w:szCs w:val="24"/>
          <w:lang w:val="en-US" w:eastAsia="zh-CN"/>
        </w:rPr>
        <w:t>最后报价</w:t>
      </w:r>
      <w:bookmarkEnd w:id="26"/>
    </w:p>
    <w:p w14:paraId="17A5FEE4">
      <w:pPr>
        <w:pStyle w:val="25"/>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磋商结束后，磋商小组应当要求所有实质性响应的投标人在规定时间内提交最后报价。最后报价是投标人响应文件的有效组成部分。未在规定的时间内提交最后报价的投标人将视为自愿退出本次磋商。</w:t>
      </w:r>
    </w:p>
    <w:p w14:paraId="4B4968E6">
      <w:pPr>
        <w:pStyle w:val="25"/>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已提交响应文件的投标人，在提交最后报价之前，可以根据磋商情况退出磋商。</w:t>
      </w:r>
    </w:p>
    <w:p w14:paraId="7CEF29FF">
      <w:pPr>
        <w:pStyle w:val="25"/>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除法规规定的特殊性情形外，提交最后报价的投标人不得少于3家。</w:t>
      </w:r>
    </w:p>
    <w:p w14:paraId="1E2C97B8">
      <w:pPr>
        <w:pStyle w:val="25"/>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最后报价须包含竞争性磋商文件全部内容，如最后分项报价表有缺漏视为已 含在其他各项报价中，将不对最后报价总价进行调整。磋商小组有权要求投标人在评审现场合理的时间内对此进行书面确认，投标人不确认的，视为将一个采购包中的内容拆开响应，其</w:t>
      </w:r>
      <w:r>
        <w:rPr>
          <w:rFonts w:hint="eastAsia" w:ascii="仿宋" w:hAnsi="仿宋" w:eastAsia="仿宋" w:cs="仿宋"/>
          <w:b/>
          <w:bCs/>
          <w:lang w:val="en-US" w:eastAsia="zh-CN"/>
        </w:rPr>
        <w:t>响应无效</w:t>
      </w:r>
      <w:r>
        <w:rPr>
          <w:rFonts w:hint="eastAsia" w:ascii="仿宋" w:hAnsi="仿宋" w:eastAsia="仿宋" w:cs="仿宋"/>
          <w:lang w:val="en-US" w:eastAsia="zh-CN"/>
        </w:rPr>
        <w:t>。</w:t>
      </w:r>
    </w:p>
    <w:p w14:paraId="38D80BA2">
      <w:pPr>
        <w:keepNext w:val="0"/>
        <w:keepLines w:val="0"/>
        <w:pageBreakBefore w:val="0"/>
        <w:widowControl w:val="0"/>
        <w:numPr>
          <w:ilvl w:val="0"/>
          <w:numId w:val="14"/>
        </w:numPr>
        <w:kinsoku/>
        <w:wordWrap/>
        <w:overflowPunct/>
        <w:topLinePunct w:val="0"/>
        <w:bidi w:val="0"/>
        <w:adjustRightInd/>
        <w:snapToGrid/>
        <w:spacing w:line="500" w:lineRule="exact"/>
        <w:ind w:left="0" w:leftChars="0" w:firstLine="0" w:firstLineChars="0"/>
        <w:textAlignment w:val="auto"/>
        <w:outlineLvl w:val="1"/>
        <w:rPr>
          <w:rFonts w:hint="eastAsia" w:ascii="仿宋" w:hAnsi="仿宋" w:eastAsia="仿宋" w:cs="仿宋"/>
          <w:b/>
          <w:bCs/>
          <w:sz w:val="24"/>
          <w:szCs w:val="24"/>
          <w:lang w:val="en-US" w:eastAsia="zh-CN"/>
        </w:rPr>
      </w:pPr>
      <w:bookmarkStart w:id="27" w:name="_Toc22657"/>
      <w:r>
        <w:rPr>
          <w:rFonts w:hint="eastAsia" w:ascii="仿宋" w:hAnsi="仿宋" w:eastAsia="仿宋" w:cs="仿宋"/>
          <w:b/>
          <w:bCs/>
          <w:sz w:val="24"/>
          <w:szCs w:val="24"/>
          <w:lang w:val="en-US" w:eastAsia="zh-CN"/>
        </w:rPr>
        <w:t>详细评审</w:t>
      </w:r>
      <w:bookmarkEnd w:id="27"/>
    </w:p>
    <w:p w14:paraId="454D0F61">
      <w:pPr>
        <w:pStyle w:val="25"/>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lang w:val="en-US" w:eastAsia="zh-CN"/>
        </w:rPr>
      </w:pPr>
      <w:r>
        <w:rPr>
          <w:rFonts w:hint="eastAsia" w:ascii="仿宋" w:hAnsi="仿宋" w:eastAsia="仿宋" w:cs="仿宋"/>
          <w:lang w:val="en-US" w:eastAsia="zh-CN"/>
        </w:rPr>
        <w:t>磋商小组对提交最后报价的投标人的响应文件和最后报价，对其技术部分、</w:t>
      </w:r>
      <w:r>
        <w:rPr>
          <w:rFonts w:hint="eastAsia" w:ascii="仿宋" w:hAnsi="仿宋" w:eastAsia="仿宋" w:cs="仿宋"/>
          <w:color w:val="auto"/>
          <w:lang w:val="en-US" w:eastAsia="zh-CN"/>
        </w:rPr>
        <w:t>商务部分及报价部分作进一步的综合比较和评价。详细评审标准如下：</w:t>
      </w:r>
    </w:p>
    <w:p w14:paraId="6937DA36">
      <w:pPr>
        <w:adjustRightInd w:val="0"/>
        <w:snapToGrid w:val="0"/>
        <w:spacing w:line="320" w:lineRule="exact"/>
        <w:ind w:right="313"/>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商务技术部分评分标准（90分）</w:t>
      </w:r>
    </w:p>
    <w:p w14:paraId="79467DAA">
      <w:pPr>
        <w:rPr>
          <w:rFonts w:hint="eastAsia" w:ascii="仿宋" w:hAnsi="仿宋" w:eastAsia="仿宋" w:cs="仿宋"/>
          <w:color w:val="auto"/>
          <w:highlight w:val="none"/>
        </w:rPr>
      </w:pPr>
    </w:p>
    <w:tbl>
      <w:tblPr>
        <w:tblStyle w:val="27"/>
        <w:tblW w:w="9743" w:type="dxa"/>
        <w:tblInd w:w="-245" w:type="dxa"/>
        <w:tblLayout w:type="autofit"/>
        <w:tblCellMar>
          <w:top w:w="0" w:type="dxa"/>
          <w:left w:w="108" w:type="dxa"/>
          <w:bottom w:w="0" w:type="dxa"/>
          <w:right w:w="108" w:type="dxa"/>
        </w:tblCellMar>
      </w:tblPr>
      <w:tblGrid>
        <w:gridCol w:w="1107"/>
        <w:gridCol w:w="613"/>
        <w:gridCol w:w="1280"/>
        <w:gridCol w:w="1065"/>
        <w:gridCol w:w="5678"/>
      </w:tblGrid>
      <w:tr w14:paraId="28EB1B51">
        <w:tblPrEx>
          <w:tblCellMar>
            <w:top w:w="0" w:type="dxa"/>
            <w:left w:w="108" w:type="dxa"/>
            <w:bottom w:w="0" w:type="dxa"/>
            <w:right w:w="108" w:type="dxa"/>
          </w:tblCellMar>
        </w:tblPrEx>
        <w:trPr>
          <w:trHeight w:val="624" w:hRule="atLeast"/>
        </w:trPr>
        <w:tc>
          <w:tcPr>
            <w:tcW w:w="1107" w:type="dxa"/>
            <w:tcBorders>
              <w:top w:val="single" w:color="000000" w:sz="4" w:space="0"/>
              <w:left w:val="single" w:color="000000" w:sz="4" w:space="0"/>
              <w:bottom w:val="single" w:color="auto" w:sz="4" w:space="0"/>
              <w:right w:val="single" w:color="000000" w:sz="4" w:space="0"/>
            </w:tcBorders>
            <w:noWrap w:val="0"/>
            <w:vAlign w:val="center"/>
          </w:tcPr>
          <w:p w14:paraId="1726DB75">
            <w:pPr>
              <w:widowControl/>
              <w:jc w:val="center"/>
              <w:textAlignment w:val="center"/>
              <w:rPr>
                <w:rFonts w:hint="eastAsia"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lang w:bidi="ar"/>
              </w:rPr>
              <w:t>评审</w:t>
            </w:r>
          </w:p>
          <w:p w14:paraId="3A91989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内容</w:t>
            </w: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78DA34FB">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序号</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1F817D35">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评审因素</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4D7E42F4">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分值（分）</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609D9081">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评分标准</w:t>
            </w:r>
          </w:p>
        </w:tc>
      </w:tr>
      <w:tr w14:paraId="40E46902">
        <w:tblPrEx>
          <w:tblCellMar>
            <w:top w:w="0" w:type="dxa"/>
            <w:left w:w="108" w:type="dxa"/>
            <w:bottom w:w="0" w:type="dxa"/>
            <w:right w:w="108" w:type="dxa"/>
          </w:tblCellMar>
        </w:tblPrEx>
        <w:trPr>
          <w:trHeight w:val="2000" w:hRule="atLeast"/>
        </w:trPr>
        <w:tc>
          <w:tcPr>
            <w:tcW w:w="1107" w:type="dxa"/>
            <w:vMerge w:val="restart"/>
            <w:tcBorders>
              <w:top w:val="single" w:color="auto" w:sz="4" w:space="0"/>
              <w:left w:val="single" w:color="auto" w:sz="4" w:space="0"/>
              <w:bottom w:val="single" w:color="auto" w:sz="4" w:space="0"/>
              <w:right w:val="single" w:color="auto" w:sz="4" w:space="0"/>
            </w:tcBorders>
            <w:noWrap w:val="0"/>
            <w:vAlign w:val="center"/>
          </w:tcPr>
          <w:p w14:paraId="206E318D">
            <w:pPr>
              <w:widowControl/>
              <w:jc w:val="center"/>
              <w:textAlignment w:val="cente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商务部分（30分）</w:t>
            </w: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5E76D166">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52BDD6D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科研能力</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20AB128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4647476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根据报价人项目负责人学历、职称、工作经验、研究能力评分：</w:t>
            </w:r>
          </w:p>
          <w:p w14:paraId="153F3E7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1.作为项目负责人参与过类似项目或课题研究，每项得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分，最高得6分。（需提供采购合同首页和盖章页复印件并加盖公章，并针对项目提供能表明项目负责人为项目实施人员的内容资料，否则不得分）。</w:t>
            </w:r>
          </w:p>
          <w:p w14:paraId="51DAFDD3">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2.项目负责人具有</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年以上相关工作经验；具有</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领域</w:t>
            </w:r>
            <w:r>
              <w:rPr>
                <w:rFonts w:hint="eastAsia" w:ascii="仿宋" w:hAnsi="仿宋" w:eastAsia="仿宋" w:cs="仿宋"/>
                <w:color w:val="auto"/>
                <w:szCs w:val="21"/>
                <w:highlight w:val="none"/>
                <w:lang w:eastAsia="zh-CN"/>
              </w:rPr>
              <w:t>副</w:t>
            </w:r>
            <w:r>
              <w:rPr>
                <w:rFonts w:hint="eastAsia" w:ascii="仿宋" w:hAnsi="仿宋" w:eastAsia="仿宋" w:cs="仿宋"/>
                <w:color w:val="auto"/>
                <w:szCs w:val="21"/>
                <w:highlight w:val="none"/>
              </w:rPr>
              <w:t>高级</w:t>
            </w:r>
            <w:r>
              <w:rPr>
                <w:rFonts w:hint="eastAsia" w:ascii="仿宋" w:hAnsi="仿宋" w:eastAsia="仿宋" w:cs="仿宋"/>
                <w:color w:val="auto"/>
                <w:szCs w:val="21"/>
                <w:highlight w:val="none"/>
                <w:lang w:val="en-US" w:eastAsia="zh-CN"/>
              </w:rPr>
              <w:t>及以上</w:t>
            </w:r>
            <w:r>
              <w:rPr>
                <w:rFonts w:hint="eastAsia" w:ascii="仿宋" w:hAnsi="仿宋" w:eastAsia="仿宋" w:cs="仿宋"/>
                <w:color w:val="auto"/>
                <w:szCs w:val="21"/>
                <w:highlight w:val="none"/>
              </w:rPr>
              <w:t>职称</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每项2分，最高得4分，无相应内容不得分。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注：提供相关证书复印件加盖公章及相关履历证明材料</w:t>
            </w:r>
            <w:r>
              <w:rPr>
                <w:rFonts w:hint="eastAsia" w:ascii="仿宋" w:hAnsi="仿宋" w:eastAsia="仿宋" w:cs="仿宋"/>
                <w:color w:val="auto"/>
                <w:szCs w:val="21"/>
                <w:highlight w:val="none"/>
                <w:lang w:eastAsia="zh-CN"/>
              </w:rPr>
              <w:t>）</w:t>
            </w:r>
          </w:p>
        </w:tc>
      </w:tr>
      <w:tr w14:paraId="508E8DC3">
        <w:tblPrEx>
          <w:tblCellMar>
            <w:top w:w="0" w:type="dxa"/>
            <w:left w:w="108" w:type="dxa"/>
            <w:bottom w:w="0" w:type="dxa"/>
            <w:right w:w="108" w:type="dxa"/>
          </w:tblCellMar>
        </w:tblPrEx>
        <w:trPr>
          <w:trHeight w:val="1410" w:hRule="atLeast"/>
        </w:trPr>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49D66FDF">
            <w:pPr>
              <w:widowControl/>
              <w:jc w:val="center"/>
              <w:textAlignment w:val="center"/>
              <w:rPr>
                <w:rFonts w:hint="eastAsia" w:ascii="仿宋" w:hAnsi="仿宋" w:eastAsia="仿宋" w:cs="仿宋"/>
                <w:b/>
                <w:bCs/>
                <w:color w:val="auto"/>
                <w:kern w:val="0"/>
                <w:szCs w:val="21"/>
                <w:highlight w:val="none"/>
                <w:lang w:bidi="ar"/>
              </w:rPr>
            </w:pP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547CB9C8">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017DE881">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团队人员情况</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3E477C7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320326D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根据</w:t>
            </w:r>
            <w:r>
              <w:rPr>
                <w:rFonts w:hint="eastAsia" w:ascii="仿宋" w:hAnsi="仿宋" w:eastAsia="仿宋" w:cs="仿宋"/>
                <w:color w:val="auto"/>
                <w:kern w:val="0"/>
                <w:szCs w:val="21"/>
                <w:highlight w:val="none"/>
                <w:lang w:val="en-US" w:eastAsia="zh-CN" w:bidi="ar"/>
              </w:rPr>
              <w:t>投标人</w:t>
            </w:r>
            <w:r>
              <w:rPr>
                <w:rFonts w:hint="eastAsia" w:ascii="仿宋" w:hAnsi="仿宋" w:eastAsia="仿宋" w:cs="仿宋"/>
                <w:color w:val="auto"/>
                <w:kern w:val="0"/>
                <w:szCs w:val="21"/>
                <w:highlight w:val="none"/>
                <w:lang w:bidi="ar"/>
              </w:rPr>
              <w:t>项目团队成员职称、资质、工作经验、研究能力评分：</w:t>
            </w:r>
          </w:p>
          <w:p w14:paraId="5CDC565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1.团队成员有5年以上工作经验，</w:t>
            </w:r>
            <w:r>
              <w:rPr>
                <w:rFonts w:hint="eastAsia" w:ascii="仿宋" w:hAnsi="仿宋" w:eastAsia="仿宋" w:cs="仿宋"/>
                <w:color w:val="auto"/>
                <w:kern w:val="0"/>
                <w:szCs w:val="21"/>
                <w:highlight w:val="none"/>
                <w:lang w:eastAsia="zh-CN" w:bidi="ar"/>
              </w:rPr>
              <w:t>相关</w:t>
            </w:r>
            <w:r>
              <w:rPr>
                <w:rFonts w:hint="eastAsia" w:ascii="仿宋" w:hAnsi="仿宋" w:eastAsia="仿宋" w:cs="仿宋"/>
                <w:color w:val="auto"/>
                <w:kern w:val="0"/>
                <w:szCs w:val="21"/>
                <w:highlight w:val="none"/>
                <w:lang w:bidi="ar"/>
              </w:rPr>
              <w:t>领域副高级及以上职称，每人2分，本项最高4分。无相应内容不得分。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注：提供相关证书复印件加盖公章及相关履历证明材料</w:t>
            </w:r>
            <w:r>
              <w:rPr>
                <w:rFonts w:hint="eastAsia" w:ascii="仿宋" w:hAnsi="仿宋" w:eastAsia="仿宋" w:cs="仿宋"/>
                <w:color w:val="auto"/>
                <w:szCs w:val="21"/>
                <w:highlight w:val="none"/>
                <w:lang w:eastAsia="zh-CN"/>
              </w:rPr>
              <w:t>）</w:t>
            </w:r>
          </w:p>
          <w:p w14:paraId="6DCA584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2.团队成员具有相关研究经验，近五年承担过</w:t>
            </w:r>
            <w:r>
              <w:rPr>
                <w:rFonts w:hint="eastAsia" w:ascii="仿宋" w:hAnsi="仿宋" w:eastAsia="仿宋" w:cs="仿宋"/>
                <w:color w:val="auto"/>
                <w:szCs w:val="21"/>
                <w:highlight w:val="none"/>
              </w:rPr>
              <w:t>类似项目或课题</w:t>
            </w:r>
            <w:r>
              <w:rPr>
                <w:rFonts w:hint="eastAsia" w:ascii="仿宋" w:hAnsi="仿宋" w:eastAsia="仿宋" w:cs="仿宋"/>
                <w:color w:val="auto"/>
                <w:kern w:val="0"/>
                <w:szCs w:val="21"/>
                <w:highlight w:val="none"/>
                <w:lang w:bidi="ar"/>
              </w:rPr>
              <w:t>，每项得2分，本项最高4分。</w:t>
            </w:r>
            <w:r>
              <w:rPr>
                <w:rFonts w:hint="eastAsia" w:ascii="仿宋" w:hAnsi="仿宋" w:eastAsia="仿宋" w:cs="仿宋"/>
                <w:color w:val="auto"/>
                <w:szCs w:val="21"/>
                <w:highlight w:val="none"/>
              </w:rPr>
              <w:t>（需提供采购合同首页和盖章页复印件并加盖公章，并针对项目提供能表明该成员为项目实施人员的内容资料，否则不得分）</w:t>
            </w:r>
          </w:p>
        </w:tc>
      </w:tr>
      <w:tr w14:paraId="3889575C">
        <w:tblPrEx>
          <w:tblCellMar>
            <w:top w:w="0" w:type="dxa"/>
            <w:left w:w="108" w:type="dxa"/>
            <w:bottom w:w="0" w:type="dxa"/>
            <w:right w:w="108" w:type="dxa"/>
          </w:tblCellMar>
        </w:tblPrEx>
        <w:trPr>
          <w:trHeight w:val="1276" w:hRule="atLeast"/>
        </w:trPr>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0518F0E9">
            <w:pPr>
              <w:widowControl/>
              <w:jc w:val="center"/>
              <w:textAlignment w:val="center"/>
              <w:rPr>
                <w:rFonts w:hint="eastAsia" w:ascii="仿宋" w:hAnsi="仿宋" w:eastAsia="仿宋" w:cs="仿宋"/>
                <w:b/>
                <w:bCs/>
                <w:color w:val="auto"/>
                <w:kern w:val="0"/>
                <w:szCs w:val="21"/>
                <w:highlight w:val="none"/>
                <w:lang w:bidi="ar"/>
              </w:rPr>
            </w:pP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1157606A">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5839A473">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类似项目业绩</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1C504889">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0C2B06A9">
            <w:pPr>
              <w:keepNext w:val="0"/>
              <w:keepLines w:val="0"/>
              <w:pageBreakBefore w:val="0"/>
              <w:kinsoku/>
              <w:wordWrap/>
              <w:overflowPunct/>
              <w:topLinePunct w:val="0"/>
              <w:autoSpaceDE/>
              <w:autoSpaceDN/>
              <w:bidi w:val="0"/>
              <w:adjustRightInd/>
              <w:snapToGrid/>
              <w:spacing w:line="400" w:lineRule="exac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投标人自2020年1月1日</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以合同签订时间为准</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以来承担过并已完成的类似项目，每个项目得2分，最高得12分。（需提供采购合同首页和盖章页复印件并加盖公章）</w:t>
            </w:r>
          </w:p>
        </w:tc>
      </w:tr>
      <w:tr w14:paraId="31C2EEEF">
        <w:tblPrEx>
          <w:tblCellMar>
            <w:top w:w="0" w:type="dxa"/>
            <w:left w:w="108" w:type="dxa"/>
            <w:bottom w:w="0" w:type="dxa"/>
            <w:right w:w="108" w:type="dxa"/>
          </w:tblCellMar>
        </w:tblPrEx>
        <w:trPr>
          <w:trHeight w:val="894" w:hRule="atLeast"/>
        </w:trPr>
        <w:tc>
          <w:tcPr>
            <w:tcW w:w="1107" w:type="dxa"/>
            <w:vMerge w:val="restart"/>
            <w:tcBorders>
              <w:top w:val="single" w:color="auto" w:sz="4" w:space="0"/>
              <w:left w:val="single" w:color="auto" w:sz="4" w:space="0"/>
              <w:bottom w:val="single" w:color="auto" w:sz="4" w:space="0"/>
              <w:right w:val="single" w:color="auto" w:sz="4" w:space="0"/>
            </w:tcBorders>
            <w:noWrap w:val="0"/>
            <w:vAlign w:val="center"/>
          </w:tcPr>
          <w:p w14:paraId="4022E7D8">
            <w:pPr>
              <w:pStyle w:val="43"/>
              <w:jc w:val="center"/>
              <w:rPr>
                <w:rFonts w:hint="eastAsia"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lang w:bidi="ar"/>
              </w:rPr>
              <w:t>技术部分</w:t>
            </w:r>
          </w:p>
          <w:p w14:paraId="6B004517">
            <w:pPr>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（60分</w:t>
            </w:r>
            <w:r>
              <w:rPr>
                <w:rFonts w:hint="eastAsia" w:ascii="仿宋" w:hAnsi="仿宋" w:eastAsia="仿宋" w:cs="仿宋"/>
                <w:b/>
                <w:color w:val="auto"/>
                <w:spacing w:val="-10"/>
                <w:w w:val="95"/>
                <w:szCs w:val="21"/>
                <w:highlight w:val="none"/>
              </w:rPr>
              <w:t>）</w:t>
            </w: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1F88D622">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69F96926">
            <w:pPr>
              <w:pStyle w:val="43"/>
              <w:spacing w:before="181"/>
              <w:ind w:left="95" w:right="76"/>
              <w:jc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项目理解</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6D19C6CA">
            <w:pPr>
              <w:spacing w:line="500" w:lineRule="exact"/>
              <w:jc w:val="center"/>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val="en-US" w:eastAsia="zh-CN" w:bidi="ar"/>
              </w:rPr>
              <w:t>15</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1D056475">
            <w:pPr>
              <w:pStyle w:val="43"/>
              <w:keepNext w:val="0"/>
              <w:keepLines w:val="0"/>
              <w:pageBreakBefore w:val="0"/>
              <w:kinsoku/>
              <w:wordWrap/>
              <w:overflowPunct/>
              <w:topLinePunct w:val="0"/>
              <w:autoSpaceDE/>
              <w:autoSpaceDN/>
              <w:bidi w:val="0"/>
              <w:adjustRightInd/>
              <w:snapToGrid/>
              <w:spacing w:before="1" w:line="400" w:lineRule="exact"/>
              <w:ind w:left="99"/>
              <w:rPr>
                <w:rFonts w:hint="eastAsia" w:ascii="仿宋" w:hAnsi="仿宋" w:eastAsia="仿宋" w:cs="仿宋"/>
                <w:color w:val="auto"/>
                <w:kern w:val="0"/>
                <w:sz w:val="22"/>
                <w:szCs w:val="22"/>
                <w:vertAlign w:val="baseline"/>
                <w:lang w:val="en-US" w:eastAsia="zh-CN" w:bidi="zh-CN"/>
              </w:rPr>
            </w:pPr>
            <w:r>
              <w:rPr>
                <w:rFonts w:hint="eastAsia" w:ascii="仿宋" w:hAnsi="仿宋" w:eastAsia="仿宋" w:cs="仿宋"/>
                <w:color w:val="auto"/>
                <w:kern w:val="0"/>
                <w:szCs w:val="21"/>
                <w:highlight w:val="none"/>
                <w:lang w:bidi="ar"/>
              </w:rPr>
              <w:t>根据以往承担过类似项目的经验并结合本项目特点进行阐述</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包括但不限于：①针对本项目的理解分析；②对项目背景及现状情况的认识分析；</w:t>
            </w:r>
            <w:r>
              <w:rPr>
                <w:rFonts w:hint="eastAsia" w:ascii="仿宋" w:hAnsi="仿宋" w:eastAsia="仿宋" w:cs="仿宋"/>
                <w:color w:val="auto"/>
                <w:kern w:val="0"/>
                <w:sz w:val="22"/>
                <w:szCs w:val="22"/>
                <w:vertAlign w:val="baseline"/>
                <w:lang w:val="en-US" w:eastAsia="zh-CN" w:bidi="zh-CN"/>
              </w:rPr>
              <w:t>③工作思路分析等，以上3项内容无缺项、无漏项且无缺陷的得15分，其中每有一项内容存在缺项或漏项的扣5分，每有一处存在缺陷的扣2.5分，该项分值扣完为止，未提供不得分。</w:t>
            </w:r>
          </w:p>
          <w:p w14:paraId="1509CD0E">
            <w:pPr>
              <w:pStyle w:val="43"/>
              <w:keepNext w:val="0"/>
              <w:keepLines w:val="0"/>
              <w:pageBreakBefore w:val="0"/>
              <w:kinsoku/>
              <w:wordWrap/>
              <w:overflowPunct/>
              <w:topLinePunct w:val="0"/>
              <w:autoSpaceDE/>
              <w:autoSpaceDN/>
              <w:bidi w:val="0"/>
              <w:adjustRightInd/>
              <w:snapToGrid/>
              <w:spacing w:before="1" w:line="400" w:lineRule="exact"/>
              <w:ind w:left="99"/>
              <w:rPr>
                <w:rFonts w:hint="eastAsia" w:ascii="仿宋" w:hAnsi="仿宋" w:eastAsia="仿宋" w:cs="仿宋"/>
                <w:color w:val="auto"/>
                <w:kern w:val="0"/>
                <w:szCs w:val="21"/>
                <w:highlight w:val="none"/>
                <w:lang w:bidi="ar"/>
              </w:rPr>
            </w:pPr>
            <w:r>
              <w:rPr>
                <w:rFonts w:hint="eastAsia" w:ascii="仿宋" w:hAnsi="仿宋" w:eastAsia="仿宋" w:cs="仿宋"/>
                <w:color w:val="auto"/>
                <w:kern w:val="0"/>
                <w:sz w:val="22"/>
                <w:szCs w:val="22"/>
                <w:vertAlign w:val="baseline"/>
                <w:lang w:val="en-US" w:eastAsia="zh-CN" w:bidi="zh-CN"/>
              </w:rPr>
              <w:t>说明：本项目“缺陷”是指：方案内容不清晰或交叉混乱；方案与实际情况不匹配；引用科学原理错误；引用的法律法规、标准（方法）或其他规范性文件错误。</w:t>
            </w:r>
          </w:p>
        </w:tc>
      </w:tr>
      <w:tr w14:paraId="501BCB2D">
        <w:tblPrEx>
          <w:tblCellMar>
            <w:top w:w="0" w:type="dxa"/>
            <w:left w:w="108" w:type="dxa"/>
            <w:bottom w:w="0" w:type="dxa"/>
            <w:right w:w="108" w:type="dxa"/>
          </w:tblCellMar>
        </w:tblPrEx>
        <w:trPr>
          <w:trHeight w:val="1260" w:hRule="atLeast"/>
        </w:trPr>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6E399534">
            <w:pPr>
              <w:jc w:val="center"/>
              <w:rPr>
                <w:rFonts w:hint="eastAsia" w:ascii="仿宋" w:hAnsi="仿宋" w:eastAsia="仿宋" w:cs="仿宋"/>
                <w:b/>
                <w:bCs/>
                <w:color w:val="auto"/>
                <w:szCs w:val="21"/>
                <w:highlight w:val="none"/>
              </w:rPr>
            </w:pP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5E6568BC">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43DA605B">
            <w:pPr>
              <w:pStyle w:val="43"/>
              <w:spacing w:before="181"/>
              <w:ind w:left="95" w:right="76"/>
              <w:jc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实施方案</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4EED4E4D">
            <w:pPr>
              <w:pStyle w:val="16"/>
              <w:spacing w:line="500" w:lineRule="exact"/>
              <w:ind w:left="0" w:leftChars="0" w:firstLine="0" w:firstLineChars="0"/>
              <w:jc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4DAF3060">
            <w:pPr>
              <w:pStyle w:val="43"/>
              <w:keepNext w:val="0"/>
              <w:keepLines w:val="0"/>
              <w:pageBreakBefore w:val="0"/>
              <w:widowControl w:val="0"/>
              <w:kinsoku/>
              <w:wordWrap/>
              <w:overflowPunct/>
              <w:topLinePunct w:val="0"/>
              <w:autoSpaceDE/>
              <w:autoSpaceDN/>
              <w:bidi w:val="0"/>
              <w:adjustRightInd/>
              <w:snapToGrid/>
              <w:spacing w:before="1" w:line="400" w:lineRule="exact"/>
              <w:ind w:left="99"/>
              <w:textAlignment w:val="auto"/>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根据提供的整体服务方案（包括但不限于调研、资料搜集、报告撰写能力等方面）进行综合评审：</w:t>
            </w:r>
          </w:p>
          <w:p w14:paraId="50027FF4">
            <w:pPr>
              <w:pStyle w:val="43"/>
              <w:keepNext w:val="0"/>
              <w:keepLines w:val="0"/>
              <w:pageBreakBefore w:val="0"/>
              <w:widowControl w:val="0"/>
              <w:kinsoku/>
              <w:wordWrap/>
              <w:overflowPunct/>
              <w:topLinePunct w:val="0"/>
              <w:autoSpaceDE/>
              <w:autoSpaceDN/>
              <w:bidi w:val="0"/>
              <w:adjustRightInd/>
              <w:snapToGrid/>
              <w:spacing w:before="1" w:line="400" w:lineRule="exact"/>
              <w:ind w:left="99"/>
              <w:textAlignment w:val="auto"/>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实施方案内容完整详实、细致周全，资料搜集范围广，制定目标任务明确、技术路线正确、方法技术先进，符合项目实际需求，研究基础充分，理解透彻，工作方案内容科学合理，针对性和可操作性强得20分，每有一项缺失扣2分</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bidi="ar"/>
              </w:rPr>
              <w:t>每有一处内容不完整或有缺陷或与项目不匹配的扣1分，扣完为止。无相应内容不得分。</w:t>
            </w:r>
          </w:p>
        </w:tc>
      </w:tr>
      <w:tr w14:paraId="0DD2B6DA">
        <w:tblPrEx>
          <w:tblCellMar>
            <w:top w:w="0" w:type="dxa"/>
            <w:left w:w="108" w:type="dxa"/>
            <w:bottom w:w="0" w:type="dxa"/>
            <w:right w:w="108" w:type="dxa"/>
          </w:tblCellMar>
        </w:tblPrEx>
        <w:trPr>
          <w:trHeight w:val="1260" w:hRule="atLeast"/>
        </w:trPr>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34ECE85A">
            <w:pPr>
              <w:jc w:val="center"/>
              <w:rPr>
                <w:rFonts w:hint="eastAsia" w:ascii="仿宋" w:hAnsi="仿宋" w:eastAsia="仿宋" w:cs="仿宋"/>
                <w:b/>
                <w:bCs/>
                <w:color w:val="auto"/>
                <w:szCs w:val="21"/>
                <w:highlight w:val="none"/>
              </w:rPr>
            </w:pP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5DDAAAC7">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21A99675">
            <w:pPr>
              <w:pStyle w:val="43"/>
              <w:spacing w:before="181"/>
              <w:ind w:left="95" w:right="76"/>
              <w:jc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质量保障措施</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3C8DDDF6">
            <w:pPr>
              <w:pStyle w:val="43"/>
              <w:spacing w:before="181"/>
              <w:ind w:left="6"/>
              <w:jc w:val="center"/>
              <w:rPr>
                <w:rFonts w:hint="eastAsia" w:ascii="仿宋" w:hAnsi="仿宋" w:eastAsia="仿宋" w:cs="仿宋"/>
                <w:color w:val="auto"/>
                <w:kern w:val="0"/>
                <w:szCs w:val="21"/>
                <w:highlight w:val="none"/>
                <w:lang w:eastAsia="zh-CN" w:bidi="ar"/>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0</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328C010B">
            <w:pPr>
              <w:pStyle w:val="43"/>
              <w:keepNext w:val="0"/>
              <w:keepLines w:val="0"/>
              <w:pageBreakBefore w:val="0"/>
              <w:widowControl w:val="0"/>
              <w:kinsoku/>
              <w:wordWrap/>
              <w:overflowPunct/>
              <w:topLinePunct w:val="0"/>
              <w:autoSpaceDE/>
              <w:autoSpaceDN/>
              <w:bidi w:val="0"/>
              <w:adjustRightInd/>
              <w:snapToGrid/>
              <w:spacing w:before="1" w:line="400" w:lineRule="exact"/>
              <w:ind w:left="106" w:right="-29"/>
              <w:textAlignment w:val="auto"/>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bidi="ar"/>
              </w:rPr>
              <w:t>根据提供的相关保障方案，确保项目质量</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包括但不限于：①</w:t>
            </w:r>
            <w:r>
              <w:rPr>
                <w:rFonts w:hint="eastAsia" w:ascii="仿宋" w:hAnsi="仿宋" w:eastAsia="仿宋" w:cs="仿宋"/>
                <w:color w:val="auto"/>
                <w:kern w:val="0"/>
                <w:szCs w:val="21"/>
                <w:highlight w:val="none"/>
                <w:lang w:bidi="ar"/>
              </w:rPr>
              <w:t>服务质量保证措施</w:t>
            </w:r>
            <w:r>
              <w:rPr>
                <w:rFonts w:hint="eastAsia" w:ascii="仿宋" w:hAnsi="仿宋" w:eastAsia="仿宋" w:cs="仿宋"/>
                <w:color w:val="auto"/>
                <w:kern w:val="0"/>
                <w:szCs w:val="21"/>
                <w:highlight w:val="none"/>
                <w:lang w:val="en-US" w:eastAsia="zh-CN" w:bidi="ar"/>
              </w:rPr>
              <w:t>②应急预案等，以上2项内容无缺项、无漏项且无缺陷的得10分，其中每有一项内容存在缺项或漏项的扣5分，每有一处存在缺陷的扣2.5分，该项分值扣完为止，未提供不得分。</w:t>
            </w:r>
          </w:p>
          <w:p w14:paraId="7F007515">
            <w:pPr>
              <w:pStyle w:val="43"/>
              <w:keepNext w:val="0"/>
              <w:keepLines w:val="0"/>
              <w:pageBreakBefore w:val="0"/>
              <w:widowControl w:val="0"/>
              <w:kinsoku/>
              <w:wordWrap/>
              <w:overflowPunct/>
              <w:topLinePunct w:val="0"/>
              <w:autoSpaceDE/>
              <w:autoSpaceDN/>
              <w:bidi w:val="0"/>
              <w:adjustRightInd/>
              <w:snapToGrid/>
              <w:spacing w:before="1" w:line="400" w:lineRule="exact"/>
              <w:ind w:left="106" w:right="-29"/>
              <w:textAlignment w:val="auto"/>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val="en-US" w:eastAsia="zh-CN" w:bidi="ar"/>
              </w:rPr>
              <w:t>说明：本项目“缺陷”是指：方案内容不清晰或交叉混乱；方案与实际情况不匹配；引用科学原理错误；引用的法律法规、标准（方法）或其他规范性文件错误。</w:t>
            </w:r>
          </w:p>
        </w:tc>
      </w:tr>
      <w:tr w14:paraId="1ACD8D23">
        <w:tblPrEx>
          <w:tblCellMar>
            <w:top w:w="0" w:type="dxa"/>
            <w:left w:w="108" w:type="dxa"/>
            <w:bottom w:w="0" w:type="dxa"/>
            <w:right w:w="108" w:type="dxa"/>
          </w:tblCellMar>
        </w:tblPrEx>
        <w:trPr>
          <w:trHeight w:val="1260" w:hRule="atLeast"/>
        </w:trPr>
        <w:tc>
          <w:tcPr>
            <w:tcW w:w="1107" w:type="dxa"/>
            <w:vMerge w:val="continue"/>
            <w:tcBorders>
              <w:top w:val="single" w:color="auto" w:sz="4" w:space="0"/>
              <w:left w:val="single" w:color="auto" w:sz="4" w:space="0"/>
              <w:bottom w:val="single" w:color="auto" w:sz="4" w:space="0"/>
              <w:right w:val="single" w:color="auto" w:sz="4" w:space="0"/>
            </w:tcBorders>
            <w:noWrap w:val="0"/>
            <w:vAlign w:val="center"/>
          </w:tcPr>
          <w:p w14:paraId="3AFDDED9">
            <w:pPr>
              <w:jc w:val="center"/>
              <w:rPr>
                <w:rFonts w:hint="eastAsia" w:ascii="仿宋" w:hAnsi="仿宋" w:eastAsia="仿宋" w:cs="仿宋"/>
                <w:b/>
                <w:bCs/>
                <w:color w:val="auto"/>
                <w:szCs w:val="21"/>
                <w:highlight w:val="none"/>
              </w:rPr>
            </w:pP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245B6AEB">
            <w:pPr>
              <w:widowControl/>
              <w:jc w:val="center"/>
              <w:textAlignment w:val="center"/>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2337F061">
            <w:pPr>
              <w:pStyle w:val="43"/>
              <w:spacing w:before="181"/>
              <w:ind w:left="95" w:right="76"/>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进度安排</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3C97761F">
            <w:pPr>
              <w:pStyle w:val="43"/>
              <w:spacing w:before="181"/>
              <w:ind w:left="6"/>
              <w:jc w:val="center"/>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szCs w:val="21"/>
                <w:highlight w:val="none"/>
                <w:lang w:val="en-US" w:eastAsia="zh-CN"/>
              </w:rPr>
              <w:t>10</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62EB336D">
            <w:pPr>
              <w:pStyle w:val="43"/>
              <w:keepNext w:val="0"/>
              <w:keepLines w:val="0"/>
              <w:pageBreakBefore w:val="0"/>
              <w:kinsoku/>
              <w:wordWrap/>
              <w:overflowPunct/>
              <w:topLinePunct w:val="0"/>
              <w:autoSpaceDE/>
              <w:autoSpaceDN/>
              <w:bidi w:val="0"/>
              <w:adjustRightInd/>
              <w:snapToGrid/>
              <w:spacing w:before="1" w:line="400" w:lineRule="exact"/>
              <w:ind w:left="99"/>
              <w:rPr>
                <w:rFonts w:hint="eastAsia" w:ascii="仿宋" w:hAnsi="仿宋" w:eastAsia="仿宋" w:cs="仿宋"/>
                <w:color w:val="auto"/>
                <w:kern w:val="0"/>
                <w:sz w:val="22"/>
                <w:szCs w:val="22"/>
                <w:vertAlign w:val="baseline"/>
                <w:lang w:val="en-US" w:eastAsia="zh-CN" w:bidi="zh-CN"/>
              </w:rPr>
            </w:pPr>
            <w:r>
              <w:rPr>
                <w:rFonts w:hint="eastAsia" w:ascii="仿宋" w:hAnsi="仿宋" w:eastAsia="仿宋" w:cs="仿宋"/>
                <w:color w:val="auto"/>
                <w:kern w:val="0"/>
                <w:szCs w:val="21"/>
                <w:highlight w:val="none"/>
                <w:lang w:bidi="ar"/>
              </w:rPr>
              <w:t>针对本项目制定的工作部署及进度安排</w:t>
            </w:r>
            <w:r>
              <w:rPr>
                <w:rFonts w:hint="eastAsia" w:ascii="仿宋" w:hAnsi="仿宋" w:eastAsia="仿宋" w:cs="仿宋"/>
                <w:color w:val="auto"/>
                <w:kern w:val="0"/>
                <w:szCs w:val="21"/>
                <w:highlight w:val="none"/>
                <w:lang w:eastAsia="zh-CN" w:bidi="ar"/>
              </w:rPr>
              <w:t>，</w:t>
            </w:r>
            <w:r>
              <w:rPr>
                <w:rFonts w:hint="eastAsia" w:ascii="仿宋" w:hAnsi="仿宋" w:eastAsia="仿宋" w:cs="仿宋"/>
                <w:color w:val="auto"/>
                <w:kern w:val="0"/>
                <w:szCs w:val="21"/>
                <w:highlight w:val="none"/>
                <w:lang w:val="en-US" w:eastAsia="zh-CN" w:bidi="ar"/>
              </w:rPr>
              <w:t>包括但不限于：①各阶段进度计划与措施；②进度保障实施方案等，</w:t>
            </w:r>
            <w:r>
              <w:rPr>
                <w:rFonts w:hint="eastAsia" w:ascii="仿宋" w:hAnsi="仿宋" w:eastAsia="仿宋" w:cs="仿宋"/>
                <w:color w:val="auto"/>
                <w:kern w:val="0"/>
                <w:sz w:val="22"/>
                <w:szCs w:val="22"/>
                <w:vertAlign w:val="baseline"/>
                <w:lang w:val="en-US" w:eastAsia="zh-CN" w:bidi="zh-CN"/>
              </w:rPr>
              <w:t>以上2项内容无缺项、无漏项且无缺陷的得10分，其中每有一项内容存在缺项或漏项的扣5分，每有一处存在缺陷的扣2.5分，该项分值扣完为止，未提供不得分。</w:t>
            </w:r>
          </w:p>
          <w:p w14:paraId="2448C691">
            <w:pPr>
              <w:pStyle w:val="43"/>
              <w:keepNext w:val="0"/>
              <w:keepLines w:val="0"/>
              <w:pageBreakBefore w:val="0"/>
              <w:widowControl w:val="0"/>
              <w:kinsoku/>
              <w:wordWrap/>
              <w:overflowPunct/>
              <w:topLinePunct w:val="0"/>
              <w:autoSpaceDE/>
              <w:autoSpaceDN/>
              <w:bidi w:val="0"/>
              <w:adjustRightInd/>
              <w:snapToGrid/>
              <w:spacing w:before="1" w:line="400" w:lineRule="exact"/>
              <w:ind w:left="106" w:right="-29"/>
              <w:textAlignment w:val="auto"/>
              <w:rPr>
                <w:rFonts w:hint="eastAsia" w:ascii="仿宋" w:hAnsi="仿宋" w:eastAsia="仿宋" w:cs="仿宋"/>
                <w:color w:val="auto"/>
                <w:kern w:val="0"/>
                <w:szCs w:val="21"/>
                <w:highlight w:val="none"/>
                <w:lang w:bidi="ar"/>
              </w:rPr>
            </w:pPr>
            <w:r>
              <w:rPr>
                <w:rFonts w:hint="eastAsia" w:ascii="仿宋" w:hAnsi="仿宋" w:eastAsia="仿宋" w:cs="仿宋"/>
                <w:color w:val="auto"/>
                <w:kern w:val="0"/>
                <w:sz w:val="22"/>
                <w:szCs w:val="22"/>
                <w:vertAlign w:val="baseline"/>
                <w:lang w:val="en-US" w:eastAsia="zh-CN" w:bidi="zh-CN"/>
              </w:rPr>
              <w:t>说明：本项目“缺陷”是指：方案内容不清晰或交叉混乱；方案与实际情况不匹配；引用科学原理错误；引用的法律法规、标准（方法）或其他规范性文件错误。</w:t>
            </w:r>
          </w:p>
        </w:tc>
      </w:tr>
      <w:tr w14:paraId="20E4DF61">
        <w:tblPrEx>
          <w:tblCellMar>
            <w:top w:w="0" w:type="dxa"/>
            <w:left w:w="108" w:type="dxa"/>
            <w:bottom w:w="0" w:type="dxa"/>
            <w:right w:w="108" w:type="dxa"/>
          </w:tblCellMar>
        </w:tblPrEx>
        <w:trPr>
          <w:trHeight w:val="1260" w:hRule="atLeast"/>
        </w:trPr>
        <w:tc>
          <w:tcPr>
            <w:tcW w:w="1107" w:type="dxa"/>
            <w:tcBorders>
              <w:top w:val="single" w:color="auto" w:sz="4" w:space="0"/>
              <w:left w:val="single" w:color="auto" w:sz="4" w:space="0"/>
              <w:bottom w:val="single" w:color="auto" w:sz="4" w:space="0"/>
              <w:right w:val="single" w:color="auto" w:sz="4" w:space="0"/>
            </w:tcBorders>
            <w:noWrap w:val="0"/>
            <w:vAlign w:val="center"/>
          </w:tcPr>
          <w:p w14:paraId="0F164290">
            <w:pPr>
              <w:jc w:val="center"/>
              <w:rPr>
                <w:rFonts w:hint="eastAsia" w:ascii="仿宋" w:hAnsi="仿宋" w:eastAsia="仿宋" w:cs="仿宋"/>
                <w:b/>
                <w:bCs/>
                <w:color w:val="auto"/>
                <w:szCs w:val="21"/>
                <w:highlight w:val="none"/>
              </w:rPr>
            </w:pPr>
          </w:p>
        </w:tc>
        <w:tc>
          <w:tcPr>
            <w:tcW w:w="613" w:type="dxa"/>
            <w:tcBorders>
              <w:top w:val="single" w:color="000000" w:sz="4" w:space="0"/>
              <w:left w:val="single" w:color="auto" w:sz="4" w:space="0"/>
              <w:bottom w:val="single" w:color="000000" w:sz="4" w:space="0"/>
              <w:right w:val="single" w:color="000000" w:sz="4" w:space="0"/>
            </w:tcBorders>
            <w:noWrap w:val="0"/>
            <w:vAlign w:val="center"/>
          </w:tcPr>
          <w:p w14:paraId="38BE8A25">
            <w:pPr>
              <w:widowControl/>
              <w:jc w:val="center"/>
              <w:textAlignment w:val="center"/>
              <w:rPr>
                <w:rFonts w:hint="eastAsia" w:ascii="仿宋" w:hAnsi="仿宋" w:eastAsia="仿宋" w:cs="仿宋"/>
                <w:color w:val="auto"/>
                <w:kern w:val="0"/>
                <w:szCs w:val="21"/>
                <w:highlight w:val="none"/>
                <w:lang w:val="en-US" w:eastAsia="zh-CN" w:bidi="ar"/>
              </w:rPr>
            </w:pPr>
            <w:r>
              <w:rPr>
                <w:rFonts w:hint="eastAsia" w:ascii="仿宋" w:hAnsi="仿宋" w:eastAsia="仿宋" w:cs="仿宋"/>
                <w:color w:val="auto"/>
                <w:kern w:val="0"/>
                <w:szCs w:val="21"/>
                <w:highlight w:val="none"/>
                <w:lang w:val="en-US" w:eastAsia="zh-CN" w:bidi="ar"/>
              </w:rPr>
              <w:t>5</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14:paraId="62F19022">
            <w:pPr>
              <w:pStyle w:val="43"/>
              <w:spacing w:before="181"/>
              <w:ind w:left="95" w:right="76"/>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eastAsia="zh-CN" w:bidi="ar"/>
              </w:rPr>
              <w:t>服务承诺</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443A0E6D">
            <w:pPr>
              <w:pStyle w:val="43"/>
              <w:spacing w:before="181"/>
              <w:ind w:left="6"/>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5678" w:type="dxa"/>
            <w:tcBorders>
              <w:top w:val="single" w:color="000000" w:sz="4" w:space="0"/>
              <w:left w:val="single" w:color="000000" w:sz="4" w:space="0"/>
              <w:bottom w:val="single" w:color="000000" w:sz="4" w:space="0"/>
              <w:right w:val="single" w:color="000000" w:sz="4" w:space="0"/>
            </w:tcBorders>
            <w:noWrap w:val="0"/>
            <w:vAlign w:val="center"/>
          </w:tcPr>
          <w:p w14:paraId="1C6F56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lang w:eastAsia="zh-CN"/>
              </w:rPr>
            </w:pPr>
            <w:bookmarkStart w:id="67" w:name="_GoBack"/>
            <w:r>
              <w:rPr>
                <w:rFonts w:hint="eastAsia" w:ascii="仿宋" w:hAnsi="仿宋" w:eastAsia="仿宋" w:cs="仿宋"/>
                <w:color w:val="auto"/>
                <w:sz w:val="24"/>
              </w:rPr>
              <w:t>根据供应商提供的服务承诺、合理化建议、保密机制等方面进行赋分</w:t>
            </w:r>
            <w:r>
              <w:rPr>
                <w:rFonts w:hint="eastAsia" w:ascii="仿宋" w:hAnsi="仿宋" w:eastAsia="仿宋" w:cs="仿宋"/>
                <w:color w:val="auto"/>
                <w:sz w:val="24"/>
                <w:lang w:eastAsia="zh-CN"/>
              </w:rPr>
              <w:t>：</w:t>
            </w:r>
          </w:p>
          <w:p w14:paraId="07672A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rPr>
            </w:pPr>
            <w:r>
              <w:rPr>
                <w:rFonts w:hint="eastAsia" w:ascii="仿宋" w:hAnsi="仿宋" w:eastAsia="仿宋" w:cs="仿宋"/>
                <w:color w:val="auto"/>
                <w:kern w:val="0"/>
                <w:szCs w:val="21"/>
                <w:highlight w:val="none"/>
                <w:lang w:bidi="ar"/>
              </w:rPr>
              <w:t>①</w:t>
            </w:r>
            <w:r>
              <w:rPr>
                <w:rFonts w:hint="eastAsia" w:ascii="仿宋" w:hAnsi="仿宋" w:eastAsia="仿宋" w:cs="仿宋"/>
                <w:color w:val="auto"/>
                <w:sz w:val="24"/>
              </w:rPr>
              <w:t>承诺及建议符合本项目的要求，同时具有完整的可行性的保密机制得</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p w14:paraId="4A50BA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rPr>
            </w:pPr>
            <w:r>
              <w:rPr>
                <w:rFonts w:hint="eastAsia" w:ascii="仿宋" w:hAnsi="仿宋" w:eastAsia="仿宋" w:cs="仿宋"/>
                <w:color w:val="auto"/>
                <w:kern w:val="0"/>
                <w:szCs w:val="21"/>
                <w:highlight w:val="none"/>
                <w:lang w:bidi="ar"/>
              </w:rPr>
              <w:t>②</w:t>
            </w:r>
            <w:r>
              <w:rPr>
                <w:rFonts w:hint="eastAsia" w:ascii="仿宋" w:hAnsi="仿宋" w:eastAsia="仿宋" w:cs="仿宋"/>
                <w:color w:val="auto"/>
                <w:sz w:val="24"/>
              </w:rPr>
              <w:t>所提供的方案及保密机制基本符合项目需求，但存在瑕疵得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14:paraId="25373F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rPr>
            </w:pPr>
            <w:r>
              <w:rPr>
                <w:rFonts w:hint="eastAsia" w:ascii="仿宋" w:hAnsi="仿宋" w:eastAsia="仿宋" w:cs="仿宋"/>
                <w:color w:val="auto"/>
                <w:kern w:val="0"/>
                <w:szCs w:val="21"/>
                <w:highlight w:val="none"/>
                <w:lang w:bidi="ar"/>
              </w:rPr>
              <w:t>③</w:t>
            </w:r>
            <w:r>
              <w:rPr>
                <w:rFonts w:hint="eastAsia" w:ascii="仿宋" w:hAnsi="仿宋" w:eastAsia="仿宋" w:cs="仿宋"/>
                <w:color w:val="auto"/>
                <w:sz w:val="24"/>
              </w:rPr>
              <w:t>方案简单，可操作性不强，存在缺陷得1分。</w:t>
            </w:r>
          </w:p>
          <w:p w14:paraId="514394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rPr>
            </w:pPr>
            <w:r>
              <w:rPr>
                <w:rFonts w:hint="eastAsia" w:ascii="仿宋" w:hAnsi="仿宋" w:eastAsia="仿宋" w:cs="仿宋"/>
                <w:color w:val="auto"/>
                <w:kern w:val="0"/>
                <w:szCs w:val="21"/>
                <w:highlight w:val="none"/>
                <w:lang w:bidi="ar"/>
              </w:rPr>
              <w:t>④</w:t>
            </w:r>
            <w:r>
              <w:rPr>
                <w:rFonts w:hint="eastAsia" w:ascii="仿宋" w:hAnsi="仿宋" w:eastAsia="仿宋" w:cs="仿宋"/>
                <w:color w:val="auto"/>
                <w:sz w:val="24"/>
              </w:rPr>
              <w:t>未提供不得分。</w:t>
            </w:r>
          </w:p>
          <w:p w14:paraId="0646A115">
            <w:pPr>
              <w:pStyle w:val="43"/>
              <w:keepNext w:val="0"/>
              <w:keepLines w:val="0"/>
              <w:pageBreakBefore w:val="0"/>
              <w:widowControl w:val="0"/>
              <w:kinsoku/>
              <w:wordWrap/>
              <w:overflowPunct/>
              <w:topLinePunct w:val="0"/>
              <w:autoSpaceDE/>
              <w:autoSpaceDN/>
              <w:bidi w:val="0"/>
              <w:adjustRightInd/>
              <w:snapToGrid/>
              <w:spacing w:before="1" w:line="400" w:lineRule="exact"/>
              <w:ind w:left="106" w:right="-29"/>
              <w:textAlignment w:val="auto"/>
              <w:rPr>
                <w:rFonts w:hint="eastAsia" w:ascii="仿宋" w:hAnsi="仿宋" w:eastAsia="仿宋" w:cs="仿宋"/>
                <w:color w:val="auto"/>
                <w:kern w:val="0"/>
                <w:szCs w:val="21"/>
                <w:highlight w:val="none"/>
                <w:lang w:bidi="ar"/>
              </w:rPr>
            </w:pPr>
            <w:r>
              <w:rPr>
                <w:rFonts w:hint="eastAsia" w:ascii="仿宋" w:hAnsi="仿宋" w:eastAsia="仿宋" w:cs="仿宋"/>
                <w:color w:val="auto"/>
                <w:sz w:val="24"/>
              </w:rPr>
              <w:t>备注：瑕疵是指存在不完全满足评分标准，但项目仍可实施。缺陷是指为不满足评分标准，严重影响项目实施。</w:t>
            </w:r>
            <w:bookmarkEnd w:id="67"/>
          </w:p>
        </w:tc>
      </w:tr>
    </w:tbl>
    <w:p w14:paraId="1351B36B">
      <w:pPr>
        <w:rPr>
          <w:rFonts w:hint="eastAsia" w:ascii="仿宋" w:hAnsi="仿宋" w:eastAsia="仿宋" w:cs="仿宋"/>
          <w:bCs/>
          <w:color w:val="auto"/>
          <w:sz w:val="24"/>
          <w:szCs w:val="24"/>
          <w:highlight w:val="none"/>
          <w:lang w:eastAsia="zh-Hans"/>
        </w:rPr>
      </w:pPr>
    </w:p>
    <w:p w14:paraId="38AE71A5">
      <w:pPr>
        <w:pStyle w:val="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注：1.供应商须按所有打分项具体要求提供证明材料</w:t>
      </w:r>
      <w:r>
        <w:rPr>
          <w:rFonts w:hint="eastAsia" w:ascii="仿宋" w:hAnsi="仿宋" w:eastAsia="仿宋" w:cs="仿宋"/>
          <w:color w:val="auto"/>
          <w:kern w:val="0"/>
          <w:szCs w:val="21"/>
          <w:highlight w:val="none"/>
        </w:rPr>
        <w:t>彩色扫描件</w:t>
      </w:r>
      <w:r>
        <w:rPr>
          <w:rFonts w:hint="eastAsia" w:ascii="仿宋" w:hAnsi="仿宋" w:eastAsia="仿宋" w:cs="仿宋"/>
          <w:color w:val="auto"/>
          <w:szCs w:val="21"/>
          <w:highlight w:val="none"/>
        </w:rPr>
        <w:t>加盖公章，未提供证明材料或所提供的证明材料</w:t>
      </w:r>
      <w:r>
        <w:rPr>
          <w:rFonts w:hint="eastAsia" w:ascii="仿宋" w:hAnsi="仿宋" w:eastAsia="仿宋" w:cs="仿宋"/>
          <w:color w:val="auto"/>
          <w:kern w:val="0"/>
          <w:szCs w:val="21"/>
          <w:highlight w:val="none"/>
        </w:rPr>
        <w:t>彩色扫描件</w:t>
      </w:r>
      <w:r>
        <w:rPr>
          <w:rFonts w:hint="eastAsia" w:ascii="仿宋" w:hAnsi="仿宋" w:eastAsia="仿宋" w:cs="仿宋"/>
          <w:color w:val="auto"/>
          <w:szCs w:val="21"/>
          <w:highlight w:val="none"/>
        </w:rPr>
        <w:t>加盖公章，不能清晰辨别的，视为无效证明文件，均不得分；</w:t>
      </w:r>
    </w:p>
    <w:p w14:paraId="4C1479A3">
      <w:pPr>
        <w:pStyle w:val="2"/>
        <w:rPr>
          <w:rFonts w:hint="eastAsia" w:ascii="仿宋" w:hAnsi="仿宋" w:eastAsia="仿宋" w:cs="仿宋"/>
          <w:color w:val="auto"/>
          <w:szCs w:val="21"/>
          <w:highlight w:val="none"/>
        </w:rPr>
      </w:pPr>
    </w:p>
    <w:p w14:paraId="4F76FE11">
      <w:pPr>
        <w:adjustRightInd w:val="0"/>
        <w:snapToGrid w:val="0"/>
        <w:spacing w:line="320" w:lineRule="exact"/>
        <w:ind w:left="-2" w:leftChars="-1" w:right="391" w:rightChars="163" w:firstLine="111" w:firstLineChars="46"/>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投标价格部分评分标准（满分10分）</w:t>
      </w:r>
    </w:p>
    <w:p w14:paraId="51F9C6E5">
      <w:pPr>
        <w:spacing w:line="320" w:lineRule="exact"/>
        <w:ind w:firstLine="120"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tbl>
      <w:tblPr>
        <w:tblStyle w:val="27"/>
        <w:tblW w:w="52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016"/>
        <w:gridCol w:w="5928"/>
        <w:gridCol w:w="1143"/>
      </w:tblGrid>
      <w:tr w14:paraId="2B2A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462" w:type="pct"/>
            <w:noWrap w:val="0"/>
            <w:vAlign w:val="center"/>
          </w:tcPr>
          <w:p w14:paraId="478A6557">
            <w:pPr>
              <w:pStyle w:val="44"/>
              <w:spacing w:after="60" w:line="320" w:lineRule="exact"/>
              <w:ind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570" w:type="pct"/>
            <w:noWrap w:val="0"/>
            <w:vAlign w:val="center"/>
          </w:tcPr>
          <w:p w14:paraId="13142B38">
            <w:pPr>
              <w:pStyle w:val="44"/>
              <w:spacing w:before="0" w:after="0" w:line="320" w:lineRule="exact"/>
              <w:ind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评审项目</w:t>
            </w:r>
          </w:p>
        </w:tc>
        <w:tc>
          <w:tcPr>
            <w:tcW w:w="3325" w:type="pct"/>
            <w:noWrap w:val="0"/>
            <w:vAlign w:val="center"/>
          </w:tcPr>
          <w:p w14:paraId="67849F7F">
            <w:pPr>
              <w:pStyle w:val="44"/>
              <w:spacing w:before="0" w:after="0" w:line="320" w:lineRule="exact"/>
              <w:ind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评分标准</w:t>
            </w:r>
          </w:p>
        </w:tc>
        <w:tc>
          <w:tcPr>
            <w:tcW w:w="641" w:type="pct"/>
            <w:noWrap w:val="0"/>
            <w:vAlign w:val="center"/>
          </w:tcPr>
          <w:p w14:paraId="2E612150">
            <w:pPr>
              <w:pStyle w:val="44"/>
              <w:spacing w:before="0" w:after="0" w:line="320" w:lineRule="exact"/>
              <w:ind w:firstLine="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分值</w:t>
            </w:r>
          </w:p>
        </w:tc>
      </w:tr>
      <w:tr w14:paraId="14BB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6" w:hRule="atLeast"/>
          <w:jc w:val="center"/>
        </w:trPr>
        <w:tc>
          <w:tcPr>
            <w:tcW w:w="462" w:type="pct"/>
            <w:noWrap w:val="0"/>
            <w:vAlign w:val="center"/>
          </w:tcPr>
          <w:p w14:paraId="31BA76D1">
            <w:pPr>
              <w:snapToGrid w:val="0"/>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70" w:type="pct"/>
            <w:noWrap w:val="0"/>
            <w:vAlign w:val="center"/>
          </w:tcPr>
          <w:p w14:paraId="6B4FEB7D">
            <w:pPr>
              <w:snapToGrid w:val="0"/>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价格部分</w:t>
            </w:r>
          </w:p>
        </w:tc>
        <w:tc>
          <w:tcPr>
            <w:tcW w:w="3325" w:type="pct"/>
            <w:noWrap w:val="0"/>
            <w:vAlign w:val="center"/>
          </w:tcPr>
          <w:p w14:paraId="3C58B2EE">
            <w:pPr>
              <w:snapToGrid w:val="0"/>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价格分采用低价优先法计算，即满足采购文件要求且投标价格最低的投标报价为评标基准价，其价格分为满分。其他供应商的价格分统一按照下列公式计算：</w:t>
            </w:r>
          </w:p>
          <w:p w14:paraId="1B9724EA">
            <w:pPr>
              <w:snapToGrid w:val="0"/>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投标报价得分=评标基准价）／投标报价×价格分值×100% </w:t>
            </w:r>
          </w:p>
          <w:p w14:paraId="46F7079C">
            <w:pPr>
              <w:snapToGrid w:val="0"/>
              <w:spacing w:line="360" w:lineRule="exact"/>
              <w:rPr>
                <w:rFonts w:hint="eastAsia" w:ascii="仿宋" w:hAnsi="仿宋" w:eastAsia="仿宋" w:cs="仿宋"/>
                <w:color w:val="auto"/>
                <w:szCs w:val="21"/>
                <w:highlight w:val="none"/>
              </w:rPr>
            </w:pPr>
          </w:p>
          <w:p w14:paraId="27A58E66">
            <w:pPr>
              <w:snapToGrid w:val="0"/>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评审小组</w:t>
            </w:r>
            <w:r>
              <w:rPr>
                <w:rFonts w:hint="eastAsia" w:ascii="仿宋" w:hAnsi="仿宋" w:eastAsia="仿宋" w:cs="仿宋"/>
                <w:color w:val="auto"/>
                <w:szCs w:val="21"/>
                <w:highlight w:val="none"/>
              </w:rPr>
              <w:t>认为投标人的报价明显低于其他通过符合性审查投标人的报价，有可能不能诚信履约的，</w:t>
            </w:r>
            <w:r>
              <w:rPr>
                <w:rFonts w:hint="eastAsia" w:ascii="仿宋" w:hAnsi="仿宋" w:eastAsia="仿宋" w:cs="仿宋"/>
                <w:color w:val="auto"/>
                <w:szCs w:val="21"/>
                <w:highlight w:val="none"/>
                <w:lang w:val="en-US" w:eastAsia="zh-CN"/>
              </w:rPr>
              <w:t>评审小组</w:t>
            </w:r>
            <w:r>
              <w:rPr>
                <w:rFonts w:hint="eastAsia" w:ascii="仿宋" w:hAnsi="仿宋" w:eastAsia="仿宋" w:cs="仿宋"/>
                <w:color w:val="auto"/>
                <w:szCs w:val="21"/>
                <w:highlight w:val="none"/>
              </w:rPr>
              <w:t>要求其在评标现场合理的时间内提供书面说明，必要时提交相关证明材料；投标人如不能证明其报价合理性的，</w:t>
            </w:r>
            <w:r>
              <w:rPr>
                <w:rFonts w:hint="eastAsia" w:ascii="仿宋" w:hAnsi="仿宋" w:eastAsia="仿宋" w:cs="仿宋"/>
                <w:color w:val="auto"/>
                <w:szCs w:val="21"/>
                <w:highlight w:val="none"/>
                <w:lang w:val="en-US" w:eastAsia="zh-CN"/>
              </w:rPr>
              <w:t>评审小组</w:t>
            </w:r>
            <w:r>
              <w:rPr>
                <w:rFonts w:hint="eastAsia" w:ascii="仿宋" w:hAnsi="仿宋" w:eastAsia="仿宋" w:cs="仿宋"/>
                <w:color w:val="auto"/>
                <w:szCs w:val="21"/>
                <w:highlight w:val="none"/>
              </w:rPr>
              <w:t>应当将其作为无效投标处理。</w:t>
            </w:r>
          </w:p>
        </w:tc>
        <w:tc>
          <w:tcPr>
            <w:tcW w:w="641" w:type="pct"/>
            <w:noWrap w:val="0"/>
            <w:vAlign w:val="center"/>
          </w:tcPr>
          <w:p w14:paraId="369436A2">
            <w:pPr>
              <w:snapToGrid w:val="0"/>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10分</w:t>
            </w:r>
          </w:p>
        </w:tc>
      </w:tr>
    </w:tbl>
    <w:p w14:paraId="734A297C">
      <w:pPr>
        <w:rPr>
          <w:rFonts w:hint="eastAsia" w:ascii="仿宋" w:hAnsi="仿宋" w:eastAsia="仿宋" w:cs="仿宋"/>
          <w:lang w:val="en-US" w:eastAsia="zh-CN"/>
        </w:rPr>
      </w:pPr>
    </w:p>
    <w:p w14:paraId="5788D043">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评审标准中应考虑下列因素：</w:t>
      </w:r>
    </w:p>
    <w:p w14:paraId="440C7B03">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投标人，其最后报价扣除</w:t>
      </w:r>
      <w:r>
        <w:rPr>
          <w:rFonts w:hint="eastAsia" w:ascii="仿宋" w:hAnsi="仿宋" w:eastAsia="仿宋" w:cs="仿宋"/>
          <w:sz w:val="24"/>
          <w:szCs w:val="24"/>
          <w:u w:val="single"/>
          <w:lang w:val="en-US" w:eastAsia="zh-CN"/>
        </w:rPr>
        <w:t xml:space="preserve"> 10 % </w:t>
      </w:r>
      <w:r>
        <w:rPr>
          <w:rFonts w:hint="eastAsia" w:ascii="仿宋" w:hAnsi="仿宋" w:eastAsia="仿宋" w:cs="仿宋"/>
          <w:sz w:val="24"/>
          <w:szCs w:val="24"/>
          <w:lang w:val="en-US" w:eastAsia="zh-CN"/>
        </w:rPr>
        <w:t>后参与评审。对于同时属于小微企业、监狱企业或残疾人福利性单位的，不重复进行最后报价扣除。</w:t>
      </w:r>
    </w:p>
    <w:p w14:paraId="483B6A53">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u w:val="single"/>
          <w:lang w:val="en-US" w:eastAsia="zh-CN"/>
        </w:rPr>
        <w:t xml:space="preserve"> 30 %</w:t>
      </w:r>
      <w:r>
        <w:rPr>
          <w:rFonts w:hint="eastAsia" w:ascii="仿宋" w:hAnsi="仿宋" w:eastAsia="仿宋" w:cs="仿宋"/>
          <w:sz w:val="24"/>
          <w:szCs w:val="24"/>
          <w:lang w:val="en-US" w:eastAsia="zh-CN"/>
        </w:rPr>
        <w:t>以上的联合体或者大中型企业的报价给予</w:t>
      </w:r>
      <w:r>
        <w:rPr>
          <w:rFonts w:hint="eastAsia" w:ascii="仿宋" w:hAnsi="仿宋" w:eastAsia="仿宋" w:cs="仿宋"/>
          <w:sz w:val="24"/>
          <w:szCs w:val="24"/>
          <w:u w:val="single"/>
          <w:lang w:val="en-US" w:eastAsia="zh-CN"/>
        </w:rPr>
        <w:t xml:space="preserve"> 4% </w:t>
      </w:r>
      <w:r>
        <w:rPr>
          <w:rFonts w:hint="eastAsia" w:ascii="仿宋" w:hAnsi="仿宋" w:eastAsia="仿宋" w:cs="仿宋"/>
          <w:sz w:val="24"/>
          <w:szCs w:val="24"/>
          <w:lang w:val="en-US" w:eastAsia="zh-CN"/>
        </w:rPr>
        <w:t>的扣除，用扣除后的价格参加评审。</w:t>
      </w:r>
    </w:p>
    <w:p w14:paraId="195E2C52">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组成联合体或者接受分包的小微企业与联合体内其他企业、分包企业之间存在直接控股、管理关系的，不享受价格扣除优惠政策。</w:t>
      </w:r>
    </w:p>
    <w:p w14:paraId="6FA3146B">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价格扣除比例对小型企业和微型企业同等对待，不作区分。</w:t>
      </w:r>
    </w:p>
    <w:p w14:paraId="581EFCA9">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u w:val="single"/>
          <w:lang w:val="en-US" w:eastAsia="zh-CN"/>
        </w:rPr>
        <w:t>综合得分相同时排名优先。</w:t>
      </w:r>
    </w:p>
    <w:p w14:paraId="4B8FB74C">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投标人所投产品列入无线局域网产品清单，应提供相关证明，在评标时予以优先采购，具体优惠措施为：</w:t>
      </w:r>
      <w:r>
        <w:rPr>
          <w:rFonts w:hint="eastAsia" w:ascii="仿宋" w:hAnsi="仿宋" w:eastAsia="仿宋" w:cs="仿宋"/>
          <w:sz w:val="24"/>
          <w:szCs w:val="24"/>
          <w:u w:val="single"/>
          <w:lang w:val="en-US" w:eastAsia="zh-CN"/>
        </w:rPr>
        <w:t>综合得分相同时排名优先。</w:t>
      </w:r>
    </w:p>
    <w:p w14:paraId="5540B6CA">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如采购人所采购产品为政府强制采购的节能产品，投标人所投产品的品牌及型号必须为清单中有效期内产品并提供证明文件，否则其响应将作为无效响应被拒绝。</w:t>
      </w:r>
    </w:p>
    <w:p w14:paraId="5F7C5F61">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u w:val="single"/>
          <w:lang w:val="en-US" w:eastAsia="zh-CN"/>
        </w:rPr>
        <w:t xml:space="preserve">  综合得分相同时排名优先。</w:t>
      </w:r>
    </w:p>
    <w:p w14:paraId="73878D54">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同品牌同型号处理办法：</w:t>
      </w:r>
    </w:p>
    <w:p w14:paraId="0AE98F83">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综合评标法，则：提供相同品牌相同型号产品（单一产品或核心产品品牌型号相同）且通过资格审查、符合性审查且提交最后报价的不同投标人，按一家投标人计算，评审后得分最高的同品牌同型号投标人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投标人不作为成交候选人。</w:t>
      </w:r>
    </w:p>
    <w:p w14:paraId="003D118C">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如一个分包内包含多种产品的，采购人或采购代理机构将在</w:t>
      </w:r>
      <w:r>
        <w:rPr>
          <w:rFonts w:hint="eastAsia" w:ascii="仿宋" w:hAnsi="仿宋" w:eastAsia="仿宋" w:cs="仿宋"/>
          <w:sz w:val="24"/>
          <w:szCs w:val="24"/>
          <w:u w:val="single"/>
          <w:lang w:val="en-US" w:eastAsia="zh-CN"/>
        </w:rPr>
        <w:t>投标人须知前附表</w:t>
      </w:r>
      <w:r>
        <w:rPr>
          <w:rFonts w:hint="eastAsia" w:ascii="仿宋" w:hAnsi="仿宋" w:eastAsia="仿宋" w:cs="仿宋"/>
          <w:sz w:val="24"/>
          <w:szCs w:val="24"/>
          <w:lang w:val="en-US" w:eastAsia="zh-CN"/>
        </w:rPr>
        <w:t xml:space="preserve">中载明核心产品，多家投标人提供的所有核心产品品牌型号均相同的，按前款规定处理。 </w:t>
      </w:r>
    </w:p>
    <w:p w14:paraId="114FE234">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确定中标候选人名单</w:t>
      </w:r>
    </w:p>
    <w:p w14:paraId="7729CFF5">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综合评分法时，评标结果按评审后得分由高到低顺序排列。评审得分最高的投标人为排名第一的成交候选人。评审得分相同的，按照最后报价由低到高的顺序推荐。评审得分且最后报价相同的，按照技术指标优劣顺序推荐。</w:t>
      </w:r>
    </w:p>
    <w:p w14:paraId="67A125C8">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磋商小组要对评分汇总情况进行复核，特别是对排名第一的、报价最低的、响应文件被认定为无效的情形进行重点复核。</w:t>
      </w:r>
    </w:p>
    <w:p w14:paraId="37E77CDA">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磋商小组应当根据综合评分情况，按照评审得分由高到低顺序推荐3名以上成交候选投标人，并编写评审报告。符合《政府采购竞争性磋商采购方式管理暂行办法》（财库〔2014〕214号）第二十一条第三款情形的，可以推荐2家成交候选投标人。</w:t>
      </w:r>
    </w:p>
    <w:p w14:paraId="2C8F68D5">
      <w:pPr>
        <w:rPr>
          <w:rFonts w:hint="eastAsia" w:ascii="仿宋" w:hAnsi="仿宋" w:eastAsia="仿宋" w:cs="仿宋"/>
          <w:sz w:val="24"/>
          <w:szCs w:val="24"/>
          <w:lang w:val="en-US" w:eastAsia="zh-CN"/>
        </w:rPr>
      </w:pPr>
    </w:p>
    <w:p w14:paraId="374EE830">
      <w:pPr>
        <w:pStyle w:val="25"/>
        <w:rPr>
          <w:rFonts w:hint="eastAsia" w:ascii="仿宋" w:hAnsi="仿宋" w:eastAsia="仿宋" w:cs="仿宋"/>
          <w:sz w:val="24"/>
          <w:szCs w:val="24"/>
          <w:lang w:val="en-US" w:eastAsia="zh-CN"/>
        </w:rPr>
      </w:pPr>
    </w:p>
    <w:p w14:paraId="557862AA">
      <w:pPr>
        <w:rPr>
          <w:rFonts w:hint="eastAsia" w:ascii="仿宋" w:hAnsi="仿宋" w:eastAsia="仿宋" w:cs="仿宋"/>
          <w:lang w:val="en-US" w:eastAsia="zh-CN"/>
        </w:rPr>
      </w:pPr>
      <w:r>
        <w:rPr>
          <w:rFonts w:hint="eastAsia" w:ascii="仿宋" w:hAnsi="仿宋" w:eastAsia="仿宋" w:cs="仿宋"/>
          <w:lang w:val="en-US" w:eastAsia="zh-CN"/>
        </w:rPr>
        <w:br w:type="page"/>
      </w:r>
    </w:p>
    <w:p w14:paraId="67393D39">
      <w:pPr>
        <w:pStyle w:val="25"/>
        <w:numPr>
          <w:ilvl w:val="0"/>
          <w:numId w:val="5"/>
        </w:numPr>
        <w:bidi w:val="0"/>
        <w:jc w:val="center"/>
        <w:outlineLvl w:val="0"/>
        <w:rPr>
          <w:rFonts w:hint="eastAsia" w:ascii="仿宋" w:hAnsi="仿宋" w:eastAsia="仿宋" w:cs="仿宋"/>
          <w:b/>
          <w:bCs/>
          <w:sz w:val="32"/>
          <w:szCs w:val="32"/>
          <w:lang w:val="en-US" w:eastAsia="zh-CN"/>
        </w:rPr>
      </w:pPr>
      <w:bookmarkStart w:id="28" w:name="_Toc8139"/>
      <w:r>
        <w:rPr>
          <w:rFonts w:hint="eastAsia" w:ascii="仿宋" w:hAnsi="仿宋" w:eastAsia="仿宋" w:cs="仿宋"/>
          <w:b/>
          <w:bCs/>
          <w:sz w:val="32"/>
          <w:szCs w:val="32"/>
          <w:lang w:val="en-US" w:eastAsia="zh-CN"/>
        </w:rPr>
        <w:t>响应文件格式</w:t>
      </w:r>
      <w:bookmarkEnd w:id="28"/>
    </w:p>
    <w:p w14:paraId="60913828">
      <w:pPr>
        <w:pStyle w:val="25"/>
        <w:rPr>
          <w:rFonts w:hint="eastAsia" w:ascii="仿宋" w:hAnsi="仿宋" w:eastAsia="仿宋" w:cs="仿宋"/>
          <w:lang w:val="en-US" w:eastAsia="zh-CN"/>
        </w:rPr>
      </w:pPr>
    </w:p>
    <w:p w14:paraId="33A2FCA8">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lang w:val="en-US" w:eastAsia="zh-CN"/>
        </w:rPr>
      </w:pPr>
      <w:r>
        <w:rPr>
          <w:rFonts w:hint="eastAsia" w:ascii="仿宋" w:hAnsi="仿宋" w:eastAsia="仿宋" w:cs="仿宋"/>
          <w:b/>
          <w:bCs/>
          <w:lang w:val="en-US" w:eastAsia="zh-CN"/>
        </w:rPr>
        <w:t>投标人编制文件须知</w:t>
      </w:r>
    </w:p>
    <w:p w14:paraId="14A20E61">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1.为保证评标工作的顺利进行，各投标人需参照如下的格式，认真进行响应文件的编写工作。需建立详细的目录。</w:t>
      </w:r>
    </w:p>
    <w:p w14:paraId="1603284A">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2.各投标人提交文件中涉及商业机密的，应明确标明，采购人及最终用户将给予保密处理，否则视为公开资料。</w:t>
      </w:r>
    </w:p>
    <w:p w14:paraId="25E0057D">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3.本采购文件中所要求加盖的投标人公章是指与投标人名称全称相一致的“行政公章”，不得加盖其它“合同专用章、投标专用章、财务专用章”等非行政公章；“签字”是指投标人法定代表人（单位负责人）或授权委托人在采购文件规定处亲笔写上本人姓名（含电子签名）；“法定代表人（单位负责人）签章或印鉴”是指投标人法定代表人（单位负责人）在磋商文件规定处加盖个人名章、手签章、印鉴等。</w:t>
      </w:r>
    </w:p>
    <w:p w14:paraId="54A09B08">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4.“法定代表人（单位负责人）”指投标人营业执照或登记证书载明的“法定代表人”、“负责人”、“执行事务合伙人”、“投资人”等。</w:t>
      </w:r>
    </w:p>
    <w:p w14:paraId="56FE14D8">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5.全部声明和问题的回答及所附材料必须是真实的、准确的和完整的。</w:t>
      </w:r>
    </w:p>
    <w:p w14:paraId="50E5FE92">
      <w:pPr>
        <w:pStyle w:val="25"/>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t>6.以联合体参加的，除采购文件格式中要求外，采购文件要求的投标人盖章处应按加盖联合体协议中约定的联合体牵头人公章或所有联合体成员公章。</w:t>
      </w:r>
    </w:p>
    <w:p w14:paraId="7FE36887">
      <w:pPr>
        <w:rPr>
          <w:rFonts w:hint="eastAsia" w:ascii="仿宋" w:hAnsi="仿宋" w:eastAsia="仿宋" w:cs="仿宋"/>
          <w:lang w:val="en-US" w:eastAsia="zh-CN"/>
        </w:rPr>
      </w:pPr>
    </w:p>
    <w:p w14:paraId="1BD31A0C">
      <w:pPr>
        <w:pStyle w:val="25"/>
        <w:rPr>
          <w:rFonts w:hint="eastAsia" w:ascii="仿宋" w:hAnsi="仿宋" w:eastAsia="仿宋" w:cs="仿宋"/>
          <w:lang w:val="en-US" w:eastAsia="zh-CN"/>
        </w:rPr>
      </w:pPr>
    </w:p>
    <w:p w14:paraId="58042F73">
      <w:pPr>
        <w:rPr>
          <w:rFonts w:hint="eastAsia" w:ascii="仿宋" w:hAnsi="仿宋" w:eastAsia="仿宋" w:cs="仿宋"/>
          <w:lang w:val="en-US" w:eastAsia="zh-CN"/>
        </w:rPr>
      </w:pPr>
      <w:r>
        <w:rPr>
          <w:rFonts w:hint="eastAsia" w:ascii="仿宋" w:hAnsi="仿宋" w:eastAsia="仿宋" w:cs="仿宋"/>
          <w:lang w:val="en-US" w:eastAsia="zh-CN"/>
        </w:rPr>
        <w:br w:type="page"/>
      </w:r>
    </w:p>
    <w:p w14:paraId="526BD92C">
      <w:pPr>
        <w:keepNext w:val="0"/>
        <w:keepLines w:val="0"/>
        <w:widowControl/>
        <w:suppressLineNumbers w:val="0"/>
        <w:jc w:val="left"/>
        <w:outlineLvl w:val="1"/>
        <w:rPr>
          <w:rFonts w:hint="eastAsia" w:ascii="仿宋" w:hAnsi="仿宋" w:eastAsia="仿宋" w:cs="仿宋"/>
          <w:b/>
          <w:bCs/>
          <w:color w:val="000000"/>
          <w:kern w:val="0"/>
          <w:sz w:val="24"/>
          <w:szCs w:val="24"/>
          <w:lang w:val="en-US" w:eastAsia="zh-CN" w:bidi="ar"/>
        </w:rPr>
      </w:pPr>
      <w:bookmarkStart w:id="29" w:name="_Toc14175"/>
      <w:bookmarkStart w:id="30" w:name="_Toc24875"/>
      <w:r>
        <w:rPr>
          <w:rFonts w:hint="eastAsia" w:ascii="仿宋" w:hAnsi="仿宋" w:eastAsia="仿宋" w:cs="仿宋"/>
          <w:b/>
          <w:bCs/>
          <w:color w:val="000000"/>
          <w:kern w:val="0"/>
          <w:sz w:val="24"/>
          <w:szCs w:val="24"/>
          <w:lang w:val="en-US" w:eastAsia="zh-CN" w:bidi="ar"/>
        </w:rPr>
        <w:t>投标文件封面（参考格式）</w:t>
      </w:r>
      <w:bookmarkEnd w:id="29"/>
      <w:bookmarkEnd w:id="30"/>
    </w:p>
    <w:p w14:paraId="66AF371C">
      <w:pPr>
        <w:keepNext w:val="0"/>
        <w:keepLines w:val="0"/>
        <w:widowControl/>
        <w:suppressLineNumbers w:val="0"/>
        <w:jc w:val="left"/>
        <w:rPr>
          <w:rFonts w:hint="eastAsia" w:ascii="仿宋" w:hAnsi="仿宋" w:eastAsia="仿宋" w:cs="仿宋"/>
          <w:b/>
          <w:bCs/>
          <w:color w:val="000000"/>
          <w:kern w:val="0"/>
          <w:sz w:val="84"/>
          <w:szCs w:val="84"/>
          <w:lang w:val="en-US" w:eastAsia="zh-CN" w:bidi="ar"/>
        </w:rPr>
      </w:pPr>
    </w:p>
    <w:p w14:paraId="02150F5A">
      <w:pPr>
        <w:pStyle w:val="26"/>
        <w:rPr>
          <w:rFonts w:hint="eastAsia" w:ascii="仿宋" w:hAnsi="仿宋" w:eastAsia="仿宋" w:cs="仿宋"/>
          <w:lang w:val="en-US" w:eastAsia="zh-CN"/>
        </w:rPr>
      </w:pPr>
    </w:p>
    <w:p w14:paraId="0044DFD9">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84"/>
          <w:szCs w:val="84"/>
          <w:lang w:val="en-US" w:eastAsia="zh-CN" w:bidi="ar"/>
        </w:rPr>
        <w:t>响应文件</w:t>
      </w:r>
    </w:p>
    <w:p w14:paraId="09D25EB7">
      <w:pPr>
        <w:keepNext w:val="0"/>
        <w:keepLines w:val="0"/>
        <w:widowControl/>
        <w:suppressLineNumbers w:val="0"/>
        <w:jc w:val="left"/>
        <w:rPr>
          <w:rFonts w:hint="eastAsia" w:ascii="仿宋" w:hAnsi="仿宋" w:eastAsia="仿宋" w:cs="仿宋"/>
          <w:b/>
          <w:bCs/>
          <w:color w:val="000000"/>
          <w:kern w:val="0"/>
          <w:sz w:val="52"/>
          <w:szCs w:val="52"/>
          <w:lang w:val="en-US" w:eastAsia="zh-CN" w:bidi="ar"/>
        </w:rPr>
      </w:pPr>
    </w:p>
    <w:p w14:paraId="48F9C9FC">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52"/>
          <w:szCs w:val="52"/>
          <w:lang w:val="en-US" w:eastAsia="zh-CN" w:bidi="ar"/>
        </w:rPr>
        <w:t xml:space="preserve"> </w:t>
      </w:r>
    </w:p>
    <w:p w14:paraId="32D694B2">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34D0921D">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72A94B92">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67534F87">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31"/>
          <w:szCs w:val="31"/>
          <w:lang w:val="en-US" w:eastAsia="zh-CN" w:bidi="ar"/>
        </w:rPr>
        <w:t xml:space="preserve">项目名称: </w:t>
      </w:r>
    </w:p>
    <w:p w14:paraId="124315B3">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31"/>
          <w:szCs w:val="31"/>
          <w:lang w:val="en-US" w:eastAsia="zh-CN" w:bidi="ar"/>
        </w:rPr>
        <w:t xml:space="preserve">项目编号/包号： </w:t>
      </w:r>
    </w:p>
    <w:p w14:paraId="6872144E">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1A2BDA32">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00CB0A0A">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47BAAD2C">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投标人名称（盖公章）：</w:t>
      </w:r>
    </w:p>
    <w:p w14:paraId="4E15BB61">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法定代表人或其授权代表（签字或印鉴）：</w:t>
      </w:r>
    </w:p>
    <w:p w14:paraId="6DEFA113">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14:paraId="18E6974D">
      <w:pPr>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br w:type="page"/>
      </w:r>
    </w:p>
    <w:p w14:paraId="17BC855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   满足《中华人民共和国政府采购法》第二十二条规定及法律法规的其他规定 </w:t>
      </w:r>
    </w:p>
    <w:p w14:paraId="3D0EC6C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lang w:val="en-US" w:eastAsia="zh-CN" w:bidi="ar"/>
        </w:rPr>
      </w:pPr>
    </w:p>
    <w:p w14:paraId="594BC9C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附件 1-1 法人或者其他组织的营业执照等证明文件或自然人的身份证明复印件;</w:t>
      </w:r>
    </w:p>
    <w:p w14:paraId="5D58B1C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p>
    <w:p w14:paraId="68D7436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p>
    <w:p w14:paraId="4FB6A111">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1C17E3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 xml:space="preserve">附件 </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2</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eastAsia="zh-CN" w:bidi="ar"/>
        </w:rPr>
        <w:t>投标人</w:t>
      </w:r>
      <w:r>
        <w:rPr>
          <w:rFonts w:hint="eastAsia" w:ascii="仿宋" w:hAnsi="仿宋" w:eastAsia="仿宋" w:cs="仿宋"/>
          <w:color w:val="000000"/>
          <w:kern w:val="0"/>
          <w:sz w:val="24"/>
          <w:u w:val="none"/>
          <w:lang w:bidi="ar"/>
        </w:rPr>
        <w:t>具有良好的商业信誉和健全的财务会计制度的证明文件</w:t>
      </w:r>
    </w:p>
    <w:p w14:paraId="0EA859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14:paraId="0478F24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1" w:name="_Toc17403"/>
      <w:bookmarkStart w:id="32" w:name="_Toc29059"/>
      <w:r>
        <w:rPr>
          <w:rFonts w:hint="eastAsia" w:ascii="仿宋" w:hAnsi="仿宋" w:eastAsia="仿宋" w:cs="仿宋"/>
          <w:color w:val="000000"/>
          <w:kern w:val="0"/>
          <w:sz w:val="24"/>
          <w:u w:val="none"/>
          <w:lang w:bidi="ar"/>
        </w:rPr>
        <w:t>1、复印件并加盖本单位公章</w:t>
      </w:r>
      <w:bookmarkEnd w:id="31"/>
      <w:bookmarkEnd w:id="32"/>
    </w:p>
    <w:p w14:paraId="2CAF67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14:paraId="474AD86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3" w:name="_Toc14987"/>
      <w:bookmarkStart w:id="34" w:name="_Toc4372"/>
      <w:r>
        <w:rPr>
          <w:rFonts w:hint="eastAsia" w:ascii="仿宋" w:hAnsi="仿宋" w:eastAsia="仿宋" w:cs="仿宋"/>
          <w:color w:val="000000"/>
          <w:kern w:val="0"/>
          <w:sz w:val="24"/>
          <w:u w:val="none"/>
          <w:lang w:bidi="ar"/>
        </w:rPr>
        <w:t>3、如果是联合体</w:t>
      </w:r>
      <w:r>
        <w:rPr>
          <w:rFonts w:hint="eastAsia" w:ascii="仿宋" w:hAnsi="仿宋" w:eastAsia="仿宋" w:cs="仿宋"/>
          <w:color w:val="000000"/>
          <w:kern w:val="0"/>
          <w:sz w:val="24"/>
          <w:u w:val="none"/>
          <w:lang w:val="en-US" w:eastAsia="zh-CN" w:bidi="ar"/>
        </w:rPr>
        <w:t>响应</w:t>
      </w:r>
      <w:r>
        <w:rPr>
          <w:rFonts w:hint="eastAsia" w:ascii="仿宋" w:hAnsi="仿宋" w:eastAsia="仿宋" w:cs="仿宋"/>
          <w:color w:val="000000"/>
          <w:kern w:val="0"/>
          <w:sz w:val="24"/>
          <w:u w:val="none"/>
          <w:lang w:bidi="ar"/>
        </w:rPr>
        <w:t>，联合体各方均需提供上述证明。</w:t>
      </w:r>
      <w:bookmarkEnd w:id="33"/>
      <w:bookmarkEnd w:id="34"/>
    </w:p>
    <w:p w14:paraId="13A564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p>
    <w:p w14:paraId="726D10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br w:type="page"/>
      </w:r>
    </w:p>
    <w:p w14:paraId="05F32F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附件</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val="en-US" w:eastAsia="zh-CN" w:bidi="ar"/>
        </w:rPr>
        <w:t xml:space="preserve"> </w:t>
      </w:r>
      <w:r>
        <w:rPr>
          <w:rFonts w:hint="eastAsia" w:ascii="仿宋" w:hAnsi="仿宋" w:eastAsia="仿宋" w:cs="仿宋"/>
          <w:color w:val="000000"/>
          <w:kern w:val="0"/>
          <w:sz w:val="24"/>
          <w:u w:val="none"/>
          <w:lang w:eastAsia="zh-CN" w:bidi="ar"/>
        </w:rPr>
        <w:t>投标人</w:t>
      </w:r>
      <w:r>
        <w:rPr>
          <w:rFonts w:hint="eastAsia" w:ascii="仿宋" w:hAnsi="仿宋" w:eastAsia="仿宋" w:cs="仿宋"/>
          <w:color w:val="000000"/>
          <w:kern w:val="0"/>
          <w:sz w:val="24"/>
          <w:u w:val="none"/>
          <w:lang w:bidi="ar"/>
        </w:rPr>
        <w:t>缴纳税收的证明</w:t>
      </w:r>
    </w:p>
    <w:p w14:paraId="621210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14:paraId="1CB821F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5" w:name="_Toc7925"/>
      <w:bookmarkStart w:id="36" w:name="_Toc18995"/>
      <w:r>
        <w:rPr>
          <w:rFonts w:hint="eastAsia" w:ascii="仿宋" w:hAnsi="仿宋" w:eastAsia="仿宋" w:cs="仿宋"/>
          <w:color w:val="000000"/>
          <w:kern w:val="0"/>
          <w:sz w:val="24"/>
          <w:u w:val="none"/>
          <w:lang w:bidi="ar"/>
        </w:rPr>
        <w:t>1、复印件并加盖本单位公章</w:t>
      </w:r>
      <w:bookmarkEnd w:id="35"/>
      <w:bookmarkEnd w:id="36"/>
    </w:p>
    <w:p w14:paraId="51C2851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14:paraId="26F4570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7" w:name="_Toc4614"/>
      <w:bookmarkStart w:id="38" w:name="_Toc27172"/>
      <w:r>
        <w:rPr>
          <w:rFonts w:hint="eastAsia" w:ascii="仿宋" w:hAnsi="仿宋" w:eastAsia="仿宋" w:cs="仿宋"/>
          <w:color w:val="000000"/>
          <w:kern w:val="0"/>
          <w:sz w:val="24"/>
          <w:u w:val="none"/>
          <w:lang w:bidi="ar"/>
        </w:rPr>
        <w:t>3、如果是联合体</w:t>
      </w:r>
      <w:r>
        <w:rPr>
          <w:rFonts w:hint="eastAsia" w:ascii="仿宋" w:hAnsi="仿宋" w:eastAsia="仿宋" w:cs="仿宋"/>
          <w:color w:val="000000"/>
          <w:kern w:val="0"/>
          <w:sz w:val="24"/>
          <w:u w:val="none"/>
          <w:lang w:val="en-US" w:eastAsia="zh-CN" w:bidi="ar"/>
        </w:rPr>
        <w:t>响应</w:t>
      </w:r>
      <w:r>
        <w:rPr>
          <w:rFonts w:hint="eastAsia" w:ascii="仿宋" w:hAnsi="仿宋" w:eastAsia="仿宋" w:cs="仿宋"/>
          <w:color w:val="000000"/>
          <w:kern w:val="0"/>
          <w:sz w:val="24"/>
          <w:u w:val="none"/>
          <w:lang w:bidi="ar"/>
        </w:rPr>
        <w:t>，联合体各方均需提供上述证明。</w:t>
      </w:r>
      <w:r>
        <w:rPr>
          <w:rFonts w:hint="eastAsia" w:ascii="仿宋" w:hAnsi="仿宋" w:eastAsia="仿宋" w:cs="仿宋"/>
          <w:color w:val="000000"/>
          <w:kern w:val="0"/>
          <w:sz w:val="24"/>
          <w:u w:val="none"/>
          <w:lang w:bidi="ar"/>
        </w:rPr>
        <w:br w:type="page"/>
      </w:r>
      <w:bookmarkEnd w:id="37"/>
      <w:bookmarkEnd w:id="38"/>
    </w:p>
    <w:p w14:paraId="643017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附件</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val="en-US" w:eastAsia="zh-CN" w:bidi="ar"/>
        </w:rPr>
        <w:t xml:space="preserve"> </w:t>
      </w:r>
      <w:r>
        <w:rPr>
          <w:rFonts w:hint="eastAsia" w:ascii="仿宋" w:hAnsi="仿宋" w:eastAsia="仿宋" w:cs="仿宋"/>
          <w:color w:val="000000"/>
          <w:kern w:val="0"/>
          <w:sz w:val="24"/>
          <w:u w:val="none"/>
          <w:lang w:eastAsia="zh-CN" w:bidi="ar"/>
        </w:rPr>
        <w:t>投标人</w:t>
      </w:r>
      <w:r>
        <w:rPr>
          <w:rFonts w:hint="eastAsia" w:ascii="仿宋" w:hAnsi="仿宋" w:eastAsia="仿宋" w:cs="仿宋"/>
          <w:color w:val="000000"/>
          <w:kern w:val="0"/>
          <w:sz w:val="24"/>
          <w:u w:val="none"/>
          <w:lang w:bidi="ar"/>
        </w:rPr>
        <w:t>为职工缴纳社会保险的证明</w:t>
      </w:r>
    </w:p>
    <w:p w14:paraId="7AA554F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14:paraId="2A9D5BF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9" w:name="_Toc14978"/>
      <w:bookmarkStart w:id="40" w:name="_Toc9131"/>
      <w:r>
        <w:rPr>
          <w:rFonts w:hint="eastAsia" w:ascii="仿宋" w:hAnsi="仿宋" w:eastAsia="仿宋" w:cs="仿宋"/>
          <w:color w:val="000000"/>
          <w:kern w:val="0"/>
          <w:sz w:val="24"/>
          <w:u w:val="none"/>
          <w:lang w:bidi="ar"/>
        </w:rPr>
        <w:t>1、复印件并加盖本单位公章</w:t>
      </w:r>
      <w:bookmarkEnd w:id="39"/>
      <w:bookmarkEnd w:id="40"/>
    </w:p>
    <w:p w14:paraId="5DFDCB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14:paraId="4412905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41" w:name="_Toc11092"/>
      <w:bookmarkStart w:id="42" w:name="_Toc8733"/>
      <w:r>
        <w:rPr>
          <w:rFonts w:hint="eastAsia" w:ascii="仿宋" w:hAnsi="仿宋" w:eastAsia="仿宋" w:cs="仿宋"/>
          <w:color w:val="000000"/>
          <w:kern w:val="0"/>
          <w:sz w:val="24"/>
          <w:u w:val="none"/>
          <w:lang w:bidi="ar"/>
        </w:rPr>
        <w:t>3、如果是联合体</w:t>
      </w:r>
      <w:r>
        <w:rPr>
          <w:rFonts w:hint="eastAsia" w:ascii="仿宋" w:hAnsi="仿宋" w:eastAsia="仿宋" w:cs="仿宋"/>
          <w:color w:val="000000"/>
          <w:kern w:val="0"/>
          <w:sz w:val="24"/>
          <w:u w:val="none"/>
          <w:lang w:val="en-US" w:eastAsia="zh-CN" w:bidi="ar"/>
        </w:rPr>
        <w:t>响应</w:t>
      </w:r>
      <w:r>
        <w:rPr>
          <w:rFonts w:hint="eastAsia" w:ascii="仿宋" w:hAnsi="仿宋" w:eastAsia="仿宋" w:cs="仿宋"/>
          <w:color w:val="000000"/>
          <w:kern w:val="0"/>
          <w:sz w:val="24"/>
          <w:u w:val="none"/>
          <w:lang w:bidi="ar"/>
        </w:rPr>
        <w:t>，联合体各方均需提供上述证明。</w:t>
      </w:r>
      <w:bookmarkEnd w:id="41"/>
      <w:bookmarkEnd w:id="42"/>
    </w:p>
    <w:p w14:paraId="5EC93469">
      <w:pPr>
        <w:rPr>
          <w:rFonts w:hint="eastAsia" w:ascii="仿宋" w:hAnsi="仿宋" w:eastAsia="仿宋" w:cs="仿宋"/>
          <w:color w:val="000000"/>
          <w:kern w:val="0"/>
          <w:sz w:val="24"/>
          <w:u w:val="none"/>
          <w:lang w:bidi="ar"/>
        </w:rPr>
      </w:pPr>
    </w:p>
    <w:p w14:paraId="7A2F719D">
      <w:pP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br w:type="page"/>
      </w:r>
    </w:p>
    <w:p w14:paraId="46365190">
      <w:pP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 xml:space="preserve">附件 </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eastAsia="zh-CN" w:bidi="ar"/>
        </w:rPr>
        <w:t>投标人</w:t>
      </w:r>
      <w:r>
        <w:rPr>
          <w:rFonts w:hint="eastAsia" w:ascii="仿宋" w:hAnsi="仿宋" w:eastAsia="仿宋" w:cs="仿宋"/>
          <w:color w:val="000000"/>
          <w:kern w:val="0"/>
          <w:sz w:val="24"/>
          <w:u w:val="none"/>
          <w:lang w:bidi="ar"/>
        </w:rPr>
        <w:t>资格声明书</w:t>
      </w:r>
    </w:p>
    <w:p w14:paraId="2813AB42">
      <w:pPr>
        <w:rPr>
          <w:rFonts w:hint="eastAsia" w:ascii="仿宋" w:hAnsi="仿宋" w:eastAsia="仿宋" w:cs="仿宋"/>
          <w:color w:val="000000"/>
          <w:kern w:val="0"/>
          <w:sz w:val="24"/>
          <w:u w:val="none"/>
          <w:lang w:bidi="ar"/>
        </w:rPr>
      </w:pPr>
    </w:p>
    <w:p w14:paraId="3EB74677">
      <w:pPr>
        <w:keepNext w:val="0"/>
        <w:keepLines w:val="0"/>
        <w:widowControl/>
        <w:suppressLineNumbers w:val="0"/>
        <w:jc w:val="center"/>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投标人资格声明书</w:t>
      </w:r>
    </w:p>
    <w:p w14:paraId="4D0E70A9">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1E803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 xml:space="preserve">采购人或采购代理机构 </w:t>
      </w:r>
    </w:p>
    <w:p w14:paraId="786569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在参与本次项目采购活动中，我单位承诺： </w:t>
      </w:r>
    </w:p>
    <w:p w14:paraId="064BD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（一）具有良好的商业信誉和健全的财务会计制度； </w:t>
      </w:r>
    </w:p>
    <w:p w14:paraId="02D9DC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（二）具有履行合同所必需的设备和专业技术能力； </w:t>
      </w:r>
    </w:p>
    <w:p w14:paraId="3961912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（三）有依法缴纳税收和社会保障资金的良好记录； </w:t>
      </w:r>
    </w:p>
    <w:p w14:paraId="034837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326588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30BC362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65BD6EF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29F5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DAFB411">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序号</w:t>
            </w:r>
          </w:p>
        </w:tc>
        <w:tc>
          <w:tcPr>
            <w:tcW w:w="3798" w:type="dxa"/>
            <w:vAlign w:val="center"/>
          </w:tcPr>
          <w:p w14:paraId="49843399">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单位名称</w:t>
            </w:r>
          </w:p>
        </w:tc>
        <w:tc>
          <w:tcPr>
            <w:tcW w:w="3406" w:type="dxa"/>
            <w:vAlign w:val="center"/>
          </w:tcPr>
          <w:p w14:paraId="61368649">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相互关系</w:t>
            </w:r>
          </w:p>
        </w:tc>
      </w:tr>
      <w:tr w14:paraId="5DDE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6708BDF">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1</w:t>
            </w:r>
          </w:p>
        </w:tc>
        <w:tc>
          <w:tcPr>
            <w:tcW w:w="3798" w:type="dxa"/>
          </w:tcPr>
          <w:p w14:paraId="07C94B3C">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14:paraId="7268A518">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r w14:paraId="521A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63D4EA1">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2</w:t>
            </w:r>
          </w:p>
        </w:tc>
        <w:tc>
          <w:tcPr>
            <w:tcW w:w="3798" w:type="dxa"/>
          </w:tcPr>
          <w:p w14:paraId="082C2774">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14:paraId="3A80B514">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r w14:paraId="6C0F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6076B70">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w:t>
            </w:r>
          </w:p>
        </w:tc>
        <w:tc>
          <w:tcPr>
            <w:tcW w:w="3798" w:type="dxa"/>
          </w:tcPr>
          <w:p w14:paraId="790B0CF5">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14:paraId="02062206">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bl>
    <w:p w14:paraId="43423D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上述声明真实有效，否则我方负全部责任。 </w:t>
      </w:r>
    </w:p>
    <w:p w14:paraId="3E7BDA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1F6121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679DB9A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投标人名称：  </w:t>
      </w:r>
      <w:r>
        <w:rPr>
          <w:rFonts w:hint="eastAsia" w:ascii="仿宋" w:hAnsi="仿宋" w:eastAsia="仿宋" w:cs="仿宋"/>
          <w:i w:val="0"/>
          <w:iCs w:val="0"/>
          <w:color w:val="000000"/>
          <w:kern w:val="0"/>
          <w:sz w:val="24"/>
          <w:szCs w:val="24"/>
          <w:u w:val="single"/>
          <w:lang w:val="en-US" w:eastAsia="zh-CN" w:bidi="ar"/>
        </w:rPr>
        <w:t xml:space="preserve">                       </w:t>
      </w:r>
      <w:r>
        <w:rPr>
          <w:rFonts w:hint="eastAsia" w:ascii="仿宋" w:hAnsi="仿宋" w:eastAsia="仿宋" w:cs="仿宋"/>
          <w:color w:val="000000"/>
          <w:kern w:val="0"/>
          <w:sz w:val="24"/>
          <w:szCs w:val="24"/>
          <w:u w:val="single"/>
          <w:lang w:val="en-US" w:eastAsia="zh-CN" w:bidi="ar"/>
        </w:rPr>
        <w:t>（加盖公章）</w:t>
      </w:r>
    </w:p>
    <w:p w14:paraId="11C28C7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法定代表人或其授权代理人：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u w:val="single"/>
          <w:lang w:val="en-US" w:eastAsia="zh-CN" w:bidi="ar"/>
        </w:rPr>
        <w:tab/>
      </w:r>
      <w:r>
        <w:rPr>
          <w:rFonts w:hint="eastAsia" w:ascii="仿宋" w:hAnsi="仿宋" w:eastAsia="仿宋" w:cs="仿宋"/>
          <w:color w:val="000000"/>
          <w:kern w:val="0"/>
          <w:sz w:val="24"/>
          <w:szCs w:val="24"/>
          <w:u w:val="single"/>
          <w:lang w:val="en-US" w:eastAsia="zh-CN" w:bidi="ar"/>
        </w:rPr>
        <w:t>（签字或印鉴）</w:t>
      </w:r>
      <w:r>
        <w:rPr>
          <w:rFonts w:hint="eastAsia" w:ascii="仿宋" w:hAnsi="仿宋" w:eastAsia="仿宋" w:cs="仿宋"/>
          <w:color w:val="000000"/>
          <w:kern w:val="0"/>
          <w:sz w:val="24"/>
          <w:szCs w:val="24"/>
          <w:lang w:val="en-US" w:eastAsia="zh-CN" w:bidi="ar"/>
        </w:rPr>
        <w:tab/>
      </w:r>
    </w:p>
    <w:p w14:paraId="2D7989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14:paraId="4C8D670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p>
    <w:p w14:paraId="562D30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说明：（1）单位负责人为同一人或者存在直接控股、管理关系的不同投标人，不得参加同一合同项下的政府采购活动。</w:t>
      </w:r>
    </w:p>
    <w:p w14:paraId="1F2901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（2）本条所指单位负责人为同一人指单位法定代表人或者法律、行政法规规定代表单位行使职权的主要负责人。</w:t>
      </w:r>
    </w:p>
    <w:p w14:paraId="38BD8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（3）本条所指控股关系指单位或股东的控股关系。控股股东指:</w:t>
      </w:r>
    </w:p>
    <w:p w14:paraId="276CFA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a.出资额占有限责任公司资本总额百分之五十以上或者其持有的股份占股份有限公司股本总额百分之五十以上的股东；</w:t>
      </w:r>
    </w:p>
    <w:p w14:paraId="10976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b.出资额或者持有股份的比例不足百分之五十，但其出资额或者持有的股份所享有的表决权已足以对股东会、股东大会的决议产生重大影响的股东。</w:t>
      </w:r>
    </w:p>
    <w:p w14:paraId="290FB17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（4）本条所指管理关系指不具有出资持股关系的其他单位之间存在的管理与被管理关系。</w:t>
      </w:r>
    </w:p>
    <w:p w14:paraId="76720E3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（5）本条所指的控股、管理关系仅限于直接控股、直接管理关系，不包括间接控股或管理关系。</w:t>
      </w:r>
    </w:p>
    <w:p w14:paraId="10991FC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（6）如无相关情况，请在相应栏填写“无”。</w:t>
      </w:r>
    </w:p>
    <w:p w14:paraId="37D49D75">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5AD0E5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43" w:name="_Toc14014"/>
      <w:bookmarkStart w:id="44" w:name="_Toc21978"/>
      <w:r>
        <w:rPr>
          <w:rFonts w:hint="eastAsia" w:ascii="仿宋" w:hAnsi="仿宋" w:eastAsia="仿宋" w:cs="仿宋"/>
          <w:color w:val="000000"/>
          <w:kern w:val="0"/>
          <w:sz w:val="24"/>
          <w:szCs w:val="24"/>
          <w:lang w:val="en-US" w:eastAsia="zh-CN" w:bidi="ar"/>
        </w:rPr>
        <w:t>2 落实政府采购政策需满足的资格要求（如有）</w:t>
      </w:r>
      <w:bookmarkEnd w:id="43"/>
      <w:bookmarkEnd w:id="44"/>
      <w:r>
        <w:rPr>
          <w:rFonts w:hint="eastAsia" w:ascii="仿宋" w:hAnsi="仿宋" w:eastAsia="仿宋" w:cs="仿宋"/>
          <w:color w:val="000000"/>
          <w:kern w:val="0"/>
          <w:sz w:val="24"/>
          <w:szCs w:val="24"/>
          <w:lang w:val="en-US" w:eastAsia="zh-CN" w:bidi="ar"/>
        </w:rPr>
        <w:t xml:space="preserve"> </w:t>
      </w:r>
    </w:p>
    <w:p w14:paraId="67C119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2-1 中小企业声明函 </w:t>
      </w:r>
    </w:p>
    <w:p w14:paraId="1B2B605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说明： </w:t>
      </w:r>
    </w:p>
    <w:p w14:paraId="77905EE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（1）如本项目（包）不专门面向中小企业预留采购份额，资格证明文件部分无需提供《中小企业声明函》。 </w:t>
      </w:r>
    </w:p>
    <w:p w14:paraId="1D0DCF5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投标人根据项目属性选择申明函格式。 </w:t>
      </w:r>
    </w:p>
    <w:p w14:paraId="3FDA669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3）如本项目（包）预留部分采购项目预算专门面向中小企业采购，且要求获得采购合同的投标人将采购项目中的一定比例分包给一家或者多家中小企业的，投标文件中除须提供《中小企业声明函》或《残疾人福利性单位声明函》或由省</w:t>
      </w:r>
    </w:p>
    <w:p w14:paraId="2837155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级以上监狱管理局、戒毒管理局（含新疆生产建设兵团）出具的属于监狱企业</w:t>
      </w:r>
    </w:p>
    <w:p w14:paraId="027F65A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的证明文件，还须同时提供《拟分包情况说明》及《分包意向协议》，且建议</w:t>
      </w:r>
    </w:p>
    <w:p w14:paraId="0369F5C4">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在资格证明文件部分提供。 </w:t>
      </w:r>
    </w:p>
    <w:p w14:paraId="750B404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（4）如本项目（包）预留部分采购项目预算专门面向中小企业采购，且要求投标人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4E81FE2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（5）中小企业声明函填写注意事项 </w:t>
      </w:r>
    </w:p>
    <w:p w14:paraId="6C1148A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19998F7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2）对于联合体中由中小企业承担的部分，或者分包给中小企业的部分，必须全</w:t>
      </w:r>
    </w:p>
    <w:p w14:paraId="569D3C2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部由中小企业制造、承建或者承接。投标人应当在声明函“标的名称”部分标明</w:t>
      </w:r>
    </w:p>
    <w:p w14:paraId="0A2A0BA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联合体中中小企业承担的具体内容或者中小企业的具体分包内容。 </w:t>
      </w:r>
    </w:p>
    <w:p w14:paraId="5247DC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3）对于多标的的采购项目，投标人应充分、准确地了解所投产品制造企业、提供服务的承接企业、工程承接企业信息。对相关情况了解不清楚的，不建议填报本声明函。 </w:t>
      </w:r>
    </w:p>
    <w:p w14:paraId="619A21D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CD9B82C">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2F9FBB3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中小企业声明函（工程、服务）</w:t>
      </w:r>
    </w:p>
    <w:p w14:paraId="763AFD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377F75C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本公司（联合体）郑重声明，根据《政府采购促进中小企业发展管理办法》 </w:t>
      </w:r>
    </w:p>
    <w:p w14:paraId="03C6657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（财库﹝2020﹞46号）的规定，本公司（联合体）参加</w:t>
      </w:r>
      <w:r>
        <w:rPr>
          <w:rFonts w:hint="eastAsia" w:ascii="仿宋" w:hAnsi="仿宋" w:eastAsia="仿宋" w:cs="仿宋"/>
          <w:i/>
          <w:iCs/>
          <w:color w:val="000000"/>
          <w:kern w:val="0"/>
          <w:sz w:val="24"/>
          <w:szCs w:val="24"/>
          <w:u w:val="single"/>
          <w:lang w:val="en-US" w:eastAsia="zh-CN" w:bidi="ar"/>
        </w:rPr>
        <w:t>（单位名称）</w:t>
      </w:r>
      <w:r>
        <w:rPr>
          <w:rFonts w:hint="eastAsia" w:ascii="仿宋" w:hAnsi="仿宋" w:eastAsia="仿宋" w:cs="仿宋"/>
          <w:color w:val="000000"/>
          <w:kern w:val="0"/>
          <w:sz w:val="24"/>
          <w:szCs w:val="24"/>
          <w:lang w:val="en-US" w:eastAsia="zh-CN" w:bidi="ar"/>
        </w:rPr>
        <w:t>的</w:t>
      </w:r>
      <w:r>
        <w:rPr>
          <w:rFonts w:hint="eastAsia" w:ascii="仿宋" w:hAnsi="仿宋" w:eastAsia="仿宋" w:cs="仿宋"/>
          <w:i/>
          <w:iCs/>
          <w:color w:val="000000"/>
          <w:kern w:val="0"/>
          <w:sz w:val="24"/>
          <w:szCs w:val="24"/>
          <w:u w:val="single"/>
          <w:lang w:val="en-US" w:eastAsia="zh-CN" w:bidi="ar"/>
        </w:rPr>
        <w:t>（项目名称）</w:t>
      </w:r>
      <w:r>
        <w:rPr>
          <w:rFonts w:hint="eastAsia" w:ascii="仿宋" w:hAnsi="仿宋" w:eastAsia="仿宋" w:cs="仿宋"/>
          <w:color w:val="000000"/>
          <w:kern w:val="0"/>
          <w:sz w:val="24"/>
          <w:szCs w:val="24"/>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EB8E3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 </w:t>
      </w:r>
      <w:r>
        <w:rPr>
          <w:rFonts w:hint="eastAsia" w:ascii="仿宋" w:hAnsi="仿宋" w:eastAsia="仿宋" w:cs="仿宋"/>
          <w:i/>
          <w:iCs/>
          <w:color w:val="000000"/>
          <w:kern w:val="0"/>
          <w:sz w:val="24"/>
          <w:szCs w:val="24"/>
          <w:u w:val="single"/>
          <w:lang w:val="en-US" w:eastAsia="zh-CN" w:bidi="ar"/>
        </w:rPr>
        <w:t>（标的名称）</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i/>
          <w:iCs/>
          <w:color w:val="000000"/>
          <w:kern w:val="0"/>
          <w:sz w:val="24"/>
          <w:szCs w:val="24"/>
          <w:u w:val="single"/>
          <w:lang w:val="en-US" w:eastAsia="zh-CN" w:bidi="ar"/>
        </w:rPr>
        <w:t>（采购文件中明确的所属行业）</w:t>
      </w:r>
      <w:r>
        <w:rPr>
          <w:rFonts w:hint="eastAsia" w:ascii="仿宋" w:hAnsi="仿宋" w:eastAsia="仿宋" w:cs="仿宋"/>
          <w:color w:val="000000"/>
          <w:kern w:val="0"/>
          <w:sz w:val="24"/>
          <w:szCs w:val="24"/>
          <w:lang w:val="en-US" w:eastAsia="zh-CN" w:bidi="ar"/>
        </w:rPr>
        <w:t xml:space="preserve">；承建（承接）企业 </w:t>
      </w:r>
    </w:p>
    <w:p w14:paraId="752B21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为</w:t>
      </w:r>
      <w:r>
        <w:rPr>
          <w:rFonts w:hint="eastAsia" w:ascii="仿宋" w:hAnsi="仿宋" w:eastAsia="仿宋" w:cs="仿宋"/>
          <w:i/>
          <w:iCs/>
          <w:color w:val="000000"/>
          <w:kern w:val="0"/>
          <w:sz w:val="24"/>
          <w:szCs w:val="24"/>
          <w:u w:val="single"/>
          <w:lang w:val="en-US" w:eastAsia="zh-CN" w:bidi="ar"/>
        </w:rPr>
        <w:t>（企业名称）</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为万元，属于</w:t>
      </w:r>
      <w:r>
        <w:rPr>
          <w:rFonts w:hint="eastAsia" w:ascii="仿宋" w:hAnsi="仿宋" w:eastAsia="仿宋" w:cs="仿宋"/>
          <w:i/>
          <w:iCs/>
          <w:color w:val="000000"/>
          <w:kern w:val="0"/>
          <w:sz w:val="24"/>
          <w:szCs w:val="24"/>
          <w:u w:val="single"/>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14:paraId="18B35C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 </w:t>
      </w:r>
      <w:r>
        <w:rPr>
          <w:rFonts w:hint="eastAsia" w:ascii="仿宋" w:hAnsi="仿宋" w:eastAsia="仿宋" w:cs="仿宋"/>
          <w:i/>
          <w:iCs/>
          <w:color w:val="000000"/>
          <w:kern w:val="0"/>
          <w:sz w:val="24"/>
          <w:szCs w:val="24"/>
          <w:u w:val="single"/>
          <w:lang w:val="en-US" w:eastAsia="zh-CN" w:bidi="ar"/>
        </w:rPr>
        <w:t>（标的名称）</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i/>
          <w:iCs/>
          <w:color w:val="000000"/>
          <w:kern w:val="0"/>
          <w:sz w:val="24"/>
          <w:szCs w:val="24"/>
          <w:u w:val="single"/>
          <w:lang w:val="en-US" w:eastAsia="zh-CN" w:bidi="ar"/>
        </w:rPr>
        <w:t>（采购文件中明确的所属行业）</w:t>
      </w:r>
      <w:r>
        <w:rPr>
          <w:rFonts w:hint="eastAsia" w:ascii="仿宋" w:hAnsi="仿宋" w:eastAsia="仿宋" w:cs="仿宋"/>
          <w:color w:val="000000"/>
          <w:kern w:val="0"/>
          <w:sz w:val="24"/>
          <w:szCs w:val="24"/>
          <w:lang w:val="en-US" w:eastAsia="zh-CN" w:bidi="ar"/>
        </w:rPr>
        <w:t>；承建（承接）企业</w:t>
      </w:r>
    </w:p>
    <w:p w14:paraId="385FA5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为</w:t>
      </w:r>
      <w:r>
        <w:rPr>
          <w:rFonts w:hint="eastAsia" w:ascii="仿宋" w:hAnsi="仿宋" w:eastAsia="仿宋" w:cs="仿宋"/>
          <w:i/>
          <w:iCs/>
          <w:color w:val="000000"/>
          <w:kern w:val="0"/>
          <w:sz w:val="24"/>
          <w:szCs w:val="24"/>
          <w:u w:val="single"/>
          <w:lang w:val="en-US" w:eastAsia="zh-CN" w:bidi="ar"/>
        </w:rPr>
        <w:t>（企业名称）</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为万元，属于</w:t>
      </w:r>
      <w:r>
        <w:rPr>
          <w:rFonts w:hint="eastAsia" w:ascii="仿宋" w:hAnsi="仿宋" w:eastAsia="仿宋" w:cs="仿宋"/>
          <w:i/>
          <w:iCs/>
          <w:color w:val="000000"/>
          <w:kern w:val="0"/>
          <w:sz w:val="24"/>
          <w:szCs w:val="24"/>
          <w:u w:val="single"/>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14:paraId="3BA1C99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w:t>
      </w:r>
    </w:p>
    <w:p w14:paraId="2839765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以上企业，不属于大企业的分支机构，不存在控股股东为大企业的情形， </w:t>
      </w:r>
    </w:p>
    <w:p w14:paraId="5726C8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也不存在与大企业的负责人为同一人的情形。 </w:t>
      </w:r>
    </w:p>
    <w:p w14:paraId="6317E7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本企业对上述声明内容的真实性负责。如有虚假，将依法承担相应责任。</w:t>
      </w:r>
    </w:p>
    <w:p w14:paraId="2FBA9998">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 xml:space="preserve"> </w:t>
      </w:r>
    </w:p>
    <w:p w14:paraId="70031073">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u w:val="single"/>
          <w:lang w:val="en-US" w:eastAsia="zh-CN"/>
        </w:rPr>
      </w:pPr>
      <w:r>
        <w:rPr>
          <w:rFonts w:hint="eastAsia" w:ascii="仿宋" w:hAnsi="仿宋" w:eastAsia="仿宋" w:cs="仿宋"/>
          <w:i w:val="0"/>
          <w:iCs w:val="0"/>
          <w:caps w:val="0"/>
          <w:color w:val="000000"/>
          <w:spacing w:val="0"/>
          <w:sz w:val="24"/>
          <w:szCs w:val="24"/>
          <w:lang w:val="en-US" w:eastAsia="zh-CN"/>
        </w:rPr>
        <w:t xml:space="preserve">             </w:t>
      </w:r>
      <w:r>
        <w:rPr>
          <w:rFonts w:hint="eastAsia" w:ascii="仿宋" w:hAnsi="仿宋" w:eastAsia="仿宋" w:cs="仿宋"/>
          <w:i w:val="0"/>
          <w:iCs w:val="0"/>
          <w:caps w:val="0"/>
          <w:color w:val="000000"/>
          <w:spacing w:val="0"/>
          <w:sz w:val="24"/>
          <w:szCs w:val="24"/>
        </w:rPr>
        <w:t>企业名称（盖章）：</w:t>
      </w:r>
      <w:r>
        <w:rPr>
          <w:rFonts w:hint="eastAsia" w:ascii="仿宋" w:hAnsi="仿宋" w:eastAsia="仿宋" w:cs="仿宋"/>
          <w:i w:val="0"/>
          <w:iCs w:val="0"/>
          <w:caps w:val="0"/>
          <w:color w:val="000000"/>
          <w:spacing w:val="0"/>
          <w:sz w:val="24"/>
          <w:szCs w:val="24"/>
          <w:u w:val="single"/>
          <w:lang w:val="en-US" w:eastAsia="zh-CN"/>
        </w:rPr>
        <w:t xml:space="preserve">          </w:t>
      </w:r>
    </w:p>
    <w:p w14:paraId="74438741">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000000"/>
          <w:spacing w:val="0"/>
          <w:sz w:val="27"/>
          <w:szCs w:val="27"/>
          <w:u w:val="single"/>
          <w:lang w:val="en-US" w:eastAsia="zh-CN"/>
        </w:rPr>
      </w:pPr>
      <w:r>
        <w:rPr>
          <w:rFonts w:hint="eastAsia" w:ascii="仿宋" w:hAnsi="仿宋" w:eastAsia="仿宋" w:cs="仿宋"/>
          <w:i w:val="0"/>
          <w:iCs w:val="0"/>
          <w:caps w:val="0"/>
          <w:color w:val="000000"/>
          <w:spacing w:val="0"/>
          <w:sz w:val="24"/>
          <w:szCs w:val="24"/>
        </w:rPr>
        <w:t>日期：</w:t>
      </w:r>
      <w:r>
        <w:rPr>
          <w:rFonts w:hint="eastAsia" w:ascii="仿宋" w:hAnsi="仿宋" w:eastAsia="仿宋" w:cs="仿宋"/>
          <w:i w:val="0"/>
          <w:iCs w:val="0"/>
          <w:caps w:val="0"/>
          <w:color w:val="000000"/>
          <w:spacing w:val="0"/>
          <w:sz w:val="24"/>
          <w:szCs w:val="24"/>
          <w:u w:val="single"/>
          <w:lang w:val="en-US" w:eastAsia="zh-CN"/>
        </w:rPr>
        <w:t xml:space="preserve">         </w:t>
      </w:r>
    </w:p>
    <w:p w14:paraId="1ADCB36D">
      <w:pPr>
        <w:rPr>
          <w:rFonts w:hint="eastAsia" w:ascii="仿宋" w:hAnsi="仿宋" w:eastAsia="仿宋" w:cs="仿宋"/>
          <w:b w:val="0"/>
          <w:bCs w:val="0"/>
          <w:color w:val="000000"/>
          <w:kern w:val="0"/>
          <w:sz w:val="21"/>
          <w:szCs w:val="21"/>
          <w:lang w:val="en-US" w:eastAsia="zh-CN" w:bidi="ar"/>
        </w:rPr>
      </w:pPr>
    </w:p>
    <w:p w14:paraId="1117D91F">
      <w:pPr>
        <w:rPr>
          <w:rFonts w:hint="eastAsia" w:ascii="仿宋" w:hAnsi="仿宋" w:eastAsia="仿宋" w:cs="仿宋"/>
          <w:b w:val="0"/>
          <w:bCs w:val="0"/>
          <w:color w:val="000000"/>
          <w:kern w:val="0"/>
          <w:sz w:val="21"/>
          <w:szCs w:val="21"/>
          <w:lang w:val="en-US" w:eastAsia="zh-CN" w:bidi="ar"/>
        </w:rPr>
      </w:pPr>
    </w:p>
    <w:p w14:paraId="332ED7D6">
      <w:pPr>
        <w:rPr>
          <w:rFonts w:hint="eastAsia" w:ascii="仿宋" w:hAnsi="仿宋" w:eastAsia="仿宋" w:cs="仿宋"/>
          <w:b w:val="0"/>
          <w:bCs w:val="0"/>
          <w:color w:val="000000"/>
          <w:kern w:val="0"/>
          <w:sz w:val="21"/>
          <w:szCs w:val="21"/>
          <w:lang w:val="en-US" w:eastAsia="zh-CN" w:bidi="ar"/>
        </w:rPr>
      </w:pPr>
    </w:p>
    <w:p w14:paraId="5384C3AA">
      <w:pPr>
        <w:rPr>
          <w:rFonts w:hint="eastAsia" w:ascii="仿宋" w:hAnsi="仿宋" w:eastAsia="仿宋" w:cs="仿宋"/>
          <w:b w:val="0"/>
          <w:bCs w:val="0"/>
          <w:color w:val="000000"/>
          <w:kern w:val="0"/>
          <w:sz w:val="21"/>
          <w:szCs w:val="21"/>
          <w:lang w:val="en-US" w:eastAsia="zh-CN" w:bidi="ar"/>
        </w:rPr>
      </w:pPr>
    </w:p>
    <w:p w14:paraId="2F662727">
      <w:pPr>
        <w:rPr>
          <w:rFonts w:hint="eastAsia" w:ascii="仿宋" w:hAnsi="仿宋" w:eastAsia="仿宋" w:cs="仿宋"/>
          <w:b w:val="0"/>
          <w:bCs w:val="0"/>
          <w:color w:val="000000"/>
          <w:kern w:val="0"/>
          <w:sz w:val="21"/>
          <w:szCs w:val="21"/>
          <w:lang w:val="en-US" w:eastAsia="zh-CN" w:bidi="ar"/>
        </w:rPr>
      </w:pPr>
    </w:p>
    <w:p w14:paraId="4B4A7ADC">
      <w:pPr>
        <w:rPr>
          <w:rFonts w:hint="eastAsia" w:ascii="仿宋" w:hAnsi="仿宋" w:eastAsia="仿宋" w:cs="仿宋"/>
          <w:b w:val="0"/>
          <w:bCs w:val="0"/>
          <w:color w:val="000000"/>
          <w:kern w:val="0"/>
          <w:sz w:val="21"/>
          <w:szCs w:val="21"/>
          <w:lang w:val="en-US" w:eastAsia="zh-CN" w:bidi="ar"/>
        </w:rPr>
      </w:pPr>
    </w:p>
    <w:p w14:paraId="72BB758F">
      <w:pPr>
        <w:rPr>
          <w:rFonts w:hint="eastAsia" w:ascii="仿宋" w:hAnsi="仿宋" w:eastAsia="仿宋" w:cs="仿宋"/>
          <w:b w:val="0"/>
          <w:bCs w:val="0"/>
          <w:color w:val="000000"/>
          <w:kern w:val="0"/>
          <w:sz w:val="21"/>
          <w:szCs w:val="21"/>
          <w:lang w:val="en-US" w:eastAsia="zh-CN" w:bidi="ar"/>
        </w:rPr>
      </w:pPr>
    </w:p>
    <w:p w14:paraId="0F320CD9">
      <w:pPr>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从业人员、营业收入、资产总额填报上一年度数据，无上一年度数据的新成立企业可不填报。</w:t>
      </w:r>
    </w:p>
    <w:p w14:paraId="4C2D5896">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34C72D3A">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残疾人福利性单位声明函格式</w:t>
      </w:r>
    </w:p>
    <w:p w14:paraId="50302F1F">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p>
    <w:p w14:paraId="3D8DDD4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lang w:val="en-US" w:eastAsia="zh-CN" w:bidi="ar"/>
        </w:rPr>
        <w:t>（请进行勾选）</w:t>
      </w:r>
      <w:r>
        <w:rPr>
          <w:rFonts w:hint="eastAsia" w:ascii="仿宋" w:hAnsi="仿宋" w:eastAsia="仿宋" w:cs="仿宋"/>
          <w:color w:val="000000"/>
          <w:kern w:val="0"/>
          <w:sz w:val="24"/>
          <w:szCs w:val="24"/>
          <w:lang w:val="en-US" w:eastAsia="zh-CN" w:bidi="ar"/>
        </w:rPr>
        <w:t xml:space="preserve">： </w:t>
      </w:r>
    </w:p>
    <w:p w14:paraId="4244699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□不属于符合条件的残疾人福利性单位。 </w:t>
      </w:r>
    </w:p>
    <w:p w14:paraId="7AB57325">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□属于符合条件的残疾人福利性单位，</w:t>
      </w:r>
      <w:r>
        <w:rPr>
          <w:rFonts w:hint="eastAsia" w:ascii="仿宋" w:hAnsi="仿宋" w:eastAsia="仿宋" w:cs="仿宋"/>
          <w:color w:val="000000"/>
          <w:kern w:val="0"/>
          <w:sz w:val="24"/>
          <w:szCs w:val="24"/>
          <w:lang w:val="en-US" w:eastAsia="zh-CN" w:bidi="ar"/>
        </w:rPr>
        <w:t>且本单位参加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单位的</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67005B5B">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本单位对上述声明的真实性负责。如有虚假，将依法承担相应责任。 </w:t>
      </w:r>
    </w:p>
    <w:p w14:paraId="26FD92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457E75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217A30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单位名称（盖章）：</w:t>
      </w:r>
    </w:p>
    <w:p w14:paraId="595C441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日期：</w:t>
      </w:r>
    </w:p>
    <w:p w14:paraId="5CBC64AC">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7C8382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2-2 拟分包情况说明及分包意向协议 </w:t>
      </w:r>
    </w:p>
    <w:p w14:paraId="3C3A9E5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14:paraId="134C122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拟分包情况说明</w:t>
      </w:r>
    </w:p>
    <w:p w14:paraId="415FCE1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14:paraId="7CC3D4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（采购人或采购代理机构）</w:t>
      </w:r>
      <w:r>
        <w:rPr>
          <w:rFonts w:hint="eastAsia" w:ascii="仿宋" w:hAnsi="仿宋" w:eastAsia="仿宋" w:cs="仿宋"/>
          <w:color w:val="000000"/>
          <w:kern w:val="0"/>
          <w:sz w:val="24"/>
          <w:szCs w:val="24"/>
          <w:lang w:val="en-US" w:eastAsia="zh-CN" w:bidi="ar"/>
        </w:rPr>
        <w:t xml:space="preserve"> </w:t>
      </w:r>
    </w:p>
    <w:p w14:paraId="562FDB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我单位参加贵单位组织的项目编号为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的</w:t>
      </w:r>
      <w:r>
        <w:rPr>
          <w:rFonts w:hint="eastAsia" w:ascii="仿宋" w:hAnsi="仿宋" w:eastAsia="仿宋" w:cs="仿宋"/>
          <w:color w:val="000000"/>
          <w:kern w:val="0"/>
          <w:sz w:val="24"/>
          <w:szCs w:val="24"/>
          <w:u w:val="single"/>
          <w:lang w:val="en-US" w:eastAsia="zh-CN" w:bidi="ar"/>
        </w:rPr>
        <w:t xml:space="preserve"> （填写采购项目名称）  </w:t>
      </w:r>
      <w:r>
        <w:rPr>
          <w:rFonts w:hint="eastAsia" w:ascii="仿宋" w:hAnsi="仿宋" w:eastAsia="仿宋" w:cs="仿宋"/>
          <w:color w:val="000000"/>
          <w:kern w:val="0"/>
          <w:sz w:val="24"/>
          <w:szCs w:val="24"/>
          <w:lang w:val="en-US" w:eastAsia="zh-CN" w:bidi="ar"/>
        </w:rPr>
        <w:t>项目中</w:t>
      </w:r>
      <w:r>
        <w:rPr>
          <w:rFonts w:hint="eastAsia" w:ascii="仿宋" w:hAnsi="仿宋" w:eastAsia="仿宋" w:cs="仿宋"/>
          <w:color w:val="000000"/>
          <w:kern w:val="0"/>
          <w:sz w:val="24"/>
          <w:szCs w:val="24"/>
          <w:u w:val="single"/>
          <w:lang w:val="en-US" w:eastAsia="zh-CN" w:bidi="ar"/>
        </w:rPr>
        <w:t xml:space="preserve"> （填写包号） </w:t>
      </w:r>
      <w:r>
        <w:rPr>
          <w:rFonts w:hint="eastAsia" w:ascii="仿宋" w:hAnsi="仿宋" w:eastAsia="仿宋" w:cs="仿宋"/>
          <w:color w:val="000000"/>
          <w:kern w:val="0"/>
          <w:sz w:val="24"/>
          <w:szCs w:val="24"/>
          <w:lang w:val="en-US" w:eastAsia="zh-CN" w:bidi="ar"/>
        </w:rPr>
        <w:t xml:space="preserve">包的采购活动。拟签订分包合同的单位情况如下表所示，我单 </w:t>
      </w:r>
    </w:p>
    <w:p w14:paraId="694400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5456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3AF738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序号</w:t>
            </w:r>
          </w:p>
        </w:tc>
        <w:tc>
          <w:tcPr>
            <w:tcW w:w="1323" w:type="dxa"/>
            <w:vAlign w:val="center"/>
          </w:tcPr>
          <w:p w14:paraId="5298B66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分包承担</w:t>
            </w:r>
          </w:p>
          <w:p w14:paraId="2366998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主体名称</w:t>
            </w:r>
          </w:p>
        </w:tc>
        <w:tc>
          <w:tcPr>
            <w:tcW w:w="1338" w:type="dxa"/>
            <w:vAlign w:val="center"/>
          </w:tcPr>
          <w:p w14:paraId="27002C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分包承担</w:t>
            </w:r>
          </w:p>
          <w:p w14:paraId="3F788E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主体类型</w:t>
            </w:r>
          </w:p>
          <w:p w14:paraId="06474A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（勾选）</w:t>
            </w:r>
          </w:p>
        </w:tc>
        <w:tc>
          <w:tcPr>
            <w:tcW w:w="1123" w:type="dxa"/>
            <w:vAlign w:val="center"/>
          </w:tcPr>
          <w:p w14:paraId="75150A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资质等级</w:t>
            </w:r>
          </w:p>
        </w:tc>
        <w:tc>
          <w:tcPr>
            <w:tcW w:w="1154" w:type="dxa"/>
            <w:vAlign w:val="center"/>
          </w:tcPr>
          <w:p w14:paraId="44A6AA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拟分包</w:t>
            </w:r>
          </w:p>
          <w:p w14:paraId="4F7B5A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合同内容</w:t>
            </w:r>
          </w:p>
        </w:tc>
        <w:tc>
          <w:tcPr>
            <w:tcW w:w="1439" w:type="dxa"/>
            <w:vAlign w:val="center"/>
          </w:tcPr>
          <w:p w14:paraId="555C54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拟分包</w:t>
            </w:r>
          </w:p>
          <w:p w14:paraId="15CDE8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合同金额</w:t>
            </w:r>
          </w:p>
          <w:p w14:paraId="32EB43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（人民币元）</w:t>
            </w:r>
          </w:p>
        </w:tc>
        <w:tc>
          <w:tcPr>
            <w:tcW w:w="1422" w:type="dxa"/>
            <w:vAlign w:val="center"/>
          </w:tcPr>
          <w:p w14:paraId="2543705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占该采购包</w:t>
            </w:r>
            <w:r>
              <w:rPr>
                <w:rFonts w:hint="eastAsia" w:ascii="仿宋" w:hAnsi="仿宋" w:eastAsia="仿宋" w:cs="仿宋"/>
                <w:b/>
                <w:bCs/>
                <w:color w:val="000000"/>
                <w:kern w:val="0"/>
                <w:sz w:val="21"/>
                <w:szCs w:val="21"/>
                <w:lang w:val="en-US" w:eastAsia="zh-CN" w:bidi="ar"/>
              </w:rPr>
              <w:t>预算金额的</w:t>
            </w:r>
            <w:r>
              <w:rPr>
                <w:rFonts w:hint="eastAsia" w:ascii="仿宋" w:hAnsi="仿宋" w:eastAsia="仿宋" w:cs="仿宋"/>
                <w:color w:val="000000"/>
                <w:kern w:val="0"/>
                <w:sz w:val="21"/>
                <w:szCs w:val="21"/>
                <w:lang w:val="en-US" w:eastAsia="zh-CN" w:bidi="ar"/>
              </w:rPr>
              <w:t>比例（%）</w:t>
            </w:r>
          </w:p>
        </w:tc>
      </w:tr>
      <w:tr w14:paraId="41B0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33A068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1</w:t>
            </w:r>
          </w:p>
        </w:tc>
        <w:tc>
          <w:tcPr>
            <w:tcW w:w="1323" w:type="dxa"/>
            <w:vAlign w:val="center"/>
          </w:tcPr>
          <w:p w14:paraId="5ED792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338" w:type="dxa"/>
            <w:vAlign w:val="center"/>
          </w:tcPr>
          <w:p w14:paraId="50573C21">
            <w:pPr>
              <w:keepNext w:val="0"/>
              <w:keepLines w:val="0"/>
              <w:widowControl/>
              <w:suppressLineNumbers w:val="0"/>
              <w:jc w:val="center"/>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□中型企业</w:t>
            </w:r>
          </w:p>
          <w:p w14:paraId="5EDDC7E7">
            <w:pPr>
              <w:keepNext w:val="0"/>
              <w:keepLines w:val="0"/>
              <w:widowControl/>
              <w:suppressLineNumbers w:val="0"/>
              <w:jc w:val="center"/>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□小微企业</w:t>
            </w:r>
          </w:p>
        </w:tc>
        <w:tc>
          <w:tcPr>
            <w:tcW w:w="1123" w:type="dxa"/>
            <w:vAlign w:val="center"/>
          </w:tcPr>
          <w:p w14:paraId="558A95A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154" w:type="dxa"/>
            <w:vAlign w:val="center"/>
          </w:tcPr>
          <w:p w14:paraId="003D4AD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39" w:type="dxa"/>
            <w:vAlign w:val="center"/>
          </w:tcPr>
          <w:p w14:paraId="20E0B8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22" w:type="dxa"/>
            <w:vAlign w:val="center"/>
          </w:tcPr>
          <w:p w14:paraId="289624B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r>
      <w:tr w14:paraId="6CAD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0454F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2</w:t>
            </w:r>
          </w:p>
        </w:tc>
        <w:tc>
          <w:tcPr>
            <w:tcW w:w="1323" w:type="dxa"/>
            <w:vAlign w:val="center"/>
          </w:tcPr>
          <w:p w14:paraId="060BA2A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338" w:type="dxa"/>
            <w:vAlign w:val="center"/>
          </w:tcPr>
          <w:p w14:paraId="295143CE">
            <w:pPr>
              <w:keepNext w:val="0"/>
              <w:keepLines w:val="0"/>
              <w:widowControl/>
              <w:suppressLineNumbers w:val="0"/>
              <w:jc w:val="center"/>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□中型企业</w:t>
            </w:r>
          </w:p>
          <w:p w14:paraId="6E3189B2">
            <w:pPr>
              <w:keepNext w:val="0"/>
              <w:keepLines w:val="0"/>
              <w:widowControl/>
              <w:suppressLineNumbers w:val="0"/>
              <w:jc w:val="center"/>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□小微企业</w:t>
            </w:r>
          </w:p>
        </w:tc>
        <w:tc>
          <w:tcPr>
            <w:tcW w:w="1123" w:type="dxa"/>
            <w:vAlign w:val="center"/>
          </w:tcPr>
          <w:p w14:paraId="404B08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154" w:type="dxa"/>
            <w:vAlign w:val="center"/>
          </w:tcPr>
          <w:p w14:paraId="1FA4DB8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39" w:type="dxa"/>
            <w:vAlign w:val="center"/>
          </w:tcPr>
          <w:p w14:paraId="22CE178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22" w:type="dxa"/>
            <w:vAlign w:val="center"/>
          </w:tcPr>
          <w:p w14:paraId="0E6E6B2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r>
      <w:tr w14:paraId="28C9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71943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w:t>
            </w:r>
          </w:p>
        </w:tc>
        <w:tc>
          <w:tcPr>
            <w:tcW w:w="1323" w:type="dxa"/>
            <w:vAlign w:val="center"/>
          </w:tcPr>
          <w:p w14:paraId="061E39B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338" w:type="dxa"/>
            <w:vAlign w:val="center"/>
          </w:tcPr>
          <w:p w14:paraId="727EC9F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123" w:type="dxa"/>
            <w:vAlign w:val="center"/>
          </w:tcPr>
          <w:p w14:paraId="5D28331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154" w:type="dxa"/>
            <w:vAlign w:val="center"/>
          </w:tcPr>
          <w:p w14:paraId="6B7CAC9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39" w:type="dxa"/>
            <w:vAlign w:val="center"/>
          </w:tcPr>
          <w:p w14:paraId="66A8486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22" w:type="dxa"/>
            <w:vAlign w:val="center"/>
          </w:tcPr>
          <w:p w14:paraId="1C0D489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r>
      <w:tr w14:paraId="683D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545C99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合计</w:t>
            </w:r>
          </w:p>
        </w:tc>
        <w:tc>
          <w:tcPr>
            <w:tcW w:w="1439" w:type="dxa"/>
            <w:vAlign w:val="center"/>
          </w:tcPr>
          <w:p w14:paraId="2256B09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c>
          <w:tcPr>
            <w:tcW w:w="1422" w:type="dxa"/>
            <w:vAlign w:val="center"/>
          </w:tcPr>
          <w:p w14:paraId="585B92A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p>
        </w:tc>
      </w:tr>
    </w:tbl>
    <w:p w14:paraId="30596C1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29E0FF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u w:val="single"/>
          <w:lang w:val="en-US"/>
        </w:rPr>
      </w:pPr>
      <w:r>
        <w:rPr>
          <w:rFonts w:hint="eastAsia" w:ascii="仿宋" w:hAnsi="仿宋" w:eastAsia="仿宋" w:cs="仿宋"/>
          <w:color w:val="000000"/>
          <w:kern w:val="0"/>
          <w:sz w:val="24"/>
          <w:szCs w:val="24"/>
          <w:lang w:val="en-US" w:eastAsia="zh-CN" w:bidi="ar"/>
        </w:rPr>
        <w:t>投标人名称（加盖公章）：</w:t>
      </w:r>
      <w:r>
        <w:rPr>
          <w:rFonts w:hint="eastAsia" w:ascii="仿宋" w:hAnsi="仿宋" w:eastAsia="仿宋" w:cs="仿宋"/>
          <w:color w:val="000000"/>
          <w:kern w:val="0"/>
          <w:sz w:val="24"/>
          <w:szCs w:val="24"/>
          <w:u w:val="single"/>
          <w:lang w:val="en-US" w:eastAsia="zh-CN" w:bidi="ar"/>
        </w:rPr>
        <w:t xml:space="preserve">               </w:t>
      </w:r>
    </w:p>
    <w:p w14:paraId="50E5423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14:paraId="208724E9">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7063848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说明： </w:t>
      </w:r>
    </w:p>
    <w:p w14:paraId="77CE8B62">
      <w:pPr>
        <w:keepNext w:val="0"/>
        <w:keepLines w:val="0"/>
        <w:pageBreakBefore w:val="0"/>
        <w:widowControl/>
        <w:numPr>
          <w:ilvl w:val="0"/>
          <w:numId w:val="15"/>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本表仅在投标人“为落实政府采购政策”而向中小企业分包时填写。</w:t>
      </w:r>
    </w:p>
    <w:p w14:paraId="6FDE8F47">
      <w:pPr>
        <w:keepNext w:val="0"/>
        <w:keepLines w:val="0"/>
        <w:pageBreakBefore w:val="0"/>
        <w:widowControl/>
        <w:numPr>
          <w:ilvl w:val="0"/>
          <w:numId w:val="15"/>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 w:hAnsi="仿宋" w:eastAsia="仿宋" w:cs="仿宋"/>
          <w:b/>
          <w:bCs/>
          <w:color w:val="000000"/>
          <w:kern w:val="0"/>
          <w:sz w:val="24"/>
          <w:szCs w:val="24"/>
          <w:lang w:val="en-US" w:eastAsia="zh-CN" w:bidi="ar"/>
        </w:rPr>
        <w:t>响应无效</w:t>
      </w:r>
      <w:r>
        <w:rPr>
          <w:rFonts w:hint="eastAsia" w:ascii="仿宋" w:hAnsi="仿宋" w:eastAsia="仿宋" w:cs="仿宋"/>
          <w:color w:val="000000"/>
          <w:kern w:val="0"/>
          <w:sz w:val="24"/>
          <w:szCs w:val="24"/>
          <w:lang w:val="en-US" w:eastAsia="zh-CN" w:bidi="ar"/>
        </w:rPr>
        <w:t xml:space="preserve">。 </w:t>
      </w:r>
    </w:p>
    <w:p w14:paraId="212A88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（3）投标人与上述拟分包承担主体签署的《分包意向协议》后附。</w:t>
      </w:r>
    </w:p>
    <w:p w14:paraId="36B8615F">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16063E54">
      <w:pPr>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附：分包意向协议（参考格式） </w:t>
      </w:r>
    </w:p>
    <w:p w14:paraId="3763CE5B">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6AED3EF">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6417F6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lang w:val="en-US" w:eastAsia="zh-CN" w:bidi="ar"/>
        </w:rPr>
        <w:t>甲方（投标人）：</w:t>
      </w:r>
      <w:r>
        <w:rPr>
          <w:rFonts w:hint="eastAsia" w:ascii="仿宋" w:hAnsi="仿宋" w:eastAsia="仿宋" w:cs="仿宋"/>
          <w:color w:val="000000"/>
          <w:kern w:val="0"/>
          <w:sz w:val="24"/>
          <w:szCs w:val="24"/>
          <w:u w:val="single"/>
          <w:lang w:val="en-US" w:eastAsia="zh-CN" w:bidi="ar"/>
        </w:rPr>
        <w:t xml:space="preserve">                 </w:t>
      </w:r>
    </w:p>
    <w:p w14:paraId="3D80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乙方（拟分包单位）：</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2650ED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甲方承诺，一旦在</w:t>
      </w:r>
      <w:r>
        <w:rPr>
          <w:rFonts w:hint="eastAsia" w:ascii="仿宋" w:hAnsi="仿宋" w:eastAsia="仿宋" w:cs="仿宋"/>
          <w:color w:val="000000"/>
          <w:kern w:val="0"/>
          <w:sz w:val="24"/>
          <w:szCs w:val="24"/>
          <w:u w:val="single"/>
          <w:lang w:val="en-US" w:eastAsia="zh-CN" w:bidi="ar"/>
        </w:rPr>
        <w:t xml:space="preserve">（采购项目名称）（项目编号/包号为：     </w:t>
      </w:r>
      <w:r>
        <w:rPr>
          <w:rFonts w:hint="eastAsia" w:ascii="仿宋" w:hAnsi="仿宋" w:eastAsia="仿宋" w:cs="仿宋"/>
          <w:color w:val="000000"/>
          <w:kern w:val="0"/>
          <w:sz w:val="24"/>
          <w:szCs w:val="24"/>
          <w:lang w:val="en-US" w:eastAsia="zh-CN" w:bidi="ar"/>
        </w:rPr>
        <w:t xml:space="preserve">）采购项目中获得采购合同，将按照下述约定将合同项下部分内容分包给乙方： </w:t>
      </w:r>
    </w:p>
    <w:p w14:paraId="7C125B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45" w:name="_Toc23780"/>
      <w:bookmarkStart w:id="46" w:name="_Toc25788"/>
      <w:r>
        <w:rPr>
          <w:rFonts w:hint="eastAsia" w:ascii="仿宋" w:hAnsi="仿宋" w:eastAsia="仿宋" w:cs="仿宋"/>
          <w:color w:val="000000"/>
          <w:kern w:val="0"/>
          <w:sz w:val="24"/>
          <w:szCs w:val="24"/>
          <w:lang w:val="en-US" w:eastAsia="zh-CN" w:bidi="ar"/>
        </w:rPr>
        <w:t>1.分包内容：</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w:t>
      </w:r>
      <w:bookmarkEnd w:id="45"/>
      <w:bookmarkEnd w:id="46"/>
      <w:r>
        <w:rPr>
          <w:rFonts w:hint="eastAsia" w:ascii="仿宋" w:hAnsi="仿宋" w:eastAsia="仿宋" w:cs="仿宋"/>
          <w:color w:val="000000"/>
          <w:kern w:val="0"/>
          <w:sz w:val="24"/>
          <w:szCs w:val="24"/>
          <w:lang w:val="en-US" w:eastAsia="zh-CN" w:bidi="ar"/>
        </w:rPr>
        <w:t xml:space="preserve"> </w:t>
      </w:r>
    </w:p>
    <w:p w14:paraId="16720E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2.分包金额：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，该金额占该采购包预算总金额的比例为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61668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乙方承诺将在上述情况下与甲方签订分包合同。 </w:t>
      </w:r>
    </w:p>
    <w:p w14:paraId="74633E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本协议自各方盖章之日起生效，如甲方未在该项目（采购包）中标，本协议自动终止。 </w:t>
      </w:r>
    </w:p>
    <w:p w14:paraId="2EBEAA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67A26A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甲方（盖章）：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乙方（盖章）：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74E5F6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日期： </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14:paraId="4524AF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14DEFF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说明：本协议仅在投标人“为落实政府采购政策”而向中小企业分包时必须提供，否则响应无效；且投标人须与所有拟分包单位分别签订《分包意向协议》，每单位签订一份，并在响应文件中提交全部协议原件的电子件，否则响应无效。</w:t>
      </w:r>
    </w:p>
    <w:p w14:paraId="0D44BEBF">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21DCD1F6">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2-3 其它落实政府采购政策的资格要求（如有）</w:t>
      </w:r>
    </w:p>
    <w:p w14:paraId="43CFFABB">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2CFAFD5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038802C3">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2F5BAFC9">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  本项目的特定资格要求（如有） </w:t>
      </w:r>
    </w:p>
    <w:p w14:paraId="1BEE7273">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72EBB07B">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51C3D756">
      <w:pPr>
        <w:keepNext w:val="0"/>
        <w:keepLines w:val="0"/>
        <w:widowControl/>
        <w:suppressLineNumbers w:val="0"/>
        <w:jc w:val="left"/>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4  投标保证金凭证/交款单据电子件/保函</w:t>
      </w:r>
    </w:p>
    <w:p w14:paraId="1D2DA5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2ED2A3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4A5C4C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14:paraId="6515EA72">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7C2DFE60">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5  投标书 </w:t>
      </w:r>
    </w:p>
    <w:p w14:paraId="1BD9CA2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14:paraId="4F3E6B6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投标书</w:t>
      </w:r>
    </w:p>
    <w:p w14:paraId="3F5408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63B70CF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（采购人或采购代理机构）</w:t>
      </w:r>
      <w:r>
        <w:rPr>
          <w:rFonts w:hint="eastAsia" w:ascii="仿宋" w:hAnsi="仿宋" w:eastAsia="仿宋" w:cs="仿宋"/>
          <w:color w:val="000000"/>
          <w:kern w:val="0"/>
          <w:sz w:val="24"/>
          <w:szCs w:val="24"/>
          <w:lang w:val="en-US" w:eastAsia="zh-CN" w:bidi="ar"/>
        </w:rPr>
        <w:t xml:space="preserve"> </w:t>
      </w:r>
    </w:p>
    <w:p w14:paraId="6AA5F06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我方参加你方就</w:t>
      </w:r>
      <w:r>
        <w:rPr>
          <w:rFonts w:hint="eastAsia" w:ascii="仿宋" w:hAnsi="仿宋" w:eastAsia="仿宋" w:cs="仿宋"/>
          <w:color w:val="000000"/>
          <w:kern w:val="0"/>
          <w:sz w:val="24"/>
          <w:szCs w:val="24"/>
          <w:u w:val="single"/>
          <w:lang w:val="en-US" w:eastAsia="zh-CN" w:bidi="ar"/>
        </w:rPr>
        <w:t>（项目名称，项目编号/包号）</w:t>
      </w:r>
      <w:r>
        <w:rPr>
          <w:rFonts w:hint="eastAsia" w:ascii="仿宋" w:hAnsi="仿宋" w:eastAsia="仿宋" w:cs="仿宋"/>
          <w:color w:val="000000"/>
          <w:kern w:val="0"/>
          <w:sz w:val="24"/>
          <w:szCs w:val="24"/>
          <w:lang w:val="en-US" w:eastAsia="zh-CN" w:bidi="ar"/>
        </w:rPr>
        <w:t xml:space="preserve">组织的采购活动，并对此项目进行投标响应。 </w:t>
      </w:r>
    </w:p>
    <w:p w14:paraId="1343DB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47" w:name="_Toc31541"/>
      <w:bookmarkStart w:id="48" w:name="_Toc962"/>
      <w:r>
        <w:rPr>
          <w:rFonts w:hint="eastAsia" w:ascii="仿宋" w:hAnsi="仿宋" w:eastAsia="仿宋" w:cs="仿宋"/>
          <w:color w:val="000000"/>
          <w:kern w:val="0"/>
          <w:sz w:val="24"/>
          <w:szCs w:val="24"/>
          <w:lang w:val="en-US" w:eastAsia="zh-CN" w:bidi="ar"/>
        </w:rPr>
        <w:t>1. 我方已详细审查全部采购文件，自愿参与投标响应并承诺如下：</w:t>
      </w:r>
      <w:bookmarkEnd w:id="47"/>
      <w:bookmarkEnd w:id="48"/>
      <w:r>
        <w:rPr>
          <w:rFonts w:hint="eastAsia" w:ascii="仿宋" w:hAnsi="仿宋" w:eastAsia="仿宋" w:cs="仿宋"/>
          <w:color w:val="000000"/>
          <w:kern w:val="0"/>
          <w:sz w:val="24"/>
          <w:szCs w:val="24"/>
          <w:lang w:val="en-US" w:eastAsia="zh-CN" w:bidi="ar"/>
        </w:rPr>
        <w:t xml:space="preserve"> </w:t>
      </w:r>
    </w:p>
    <w:p w14:paraId="70C56E8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（1）本响应有效期为自提交响应文件的截止之日起</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个日历日。 </w:t>
      </w:r>
    </w:p>
    <w:p w14:paraId="708457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（2）除合同条款及采购需求偏离表列出的偏离外，我方响应采购文件的全部要求。 </w:t>
      </w:r>
    </w:p>
    <w:p w14:paraId="7731FA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（3）我方已提供的全部文件资料是真实、准确的，并对此承担一切法律后果。 </w:t>
      </w:r>
    </w:p>
    <w:p w14:paraId="78A663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（4）如我方成交，我方将在法律规定的期限内与你方签订合同，按照采购文件要求提交履约保证金，并在合同约定的期限内完成合同规定的全部义务。 </w:t>
      </w:r>
    </w:p>
    <w:p w14:paraId="3F0FA1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49" w:name="_Toc7839"/>
      <w:bookmarkStart w:id="50" w:name="_Toc30568"/>
      <w:r>
        <w:rPr>
          <w:rFonts w:hint="eastAsia" w:ascii="仿宋" w:hAnsi="仿宋" w:eastAsia="仿宋" w:cs="仿宋"/>
          <w:color w:val="000000"/>
          <w:kern w:val="0"/>
          <w:sz w:val="24"/>
          <w:szCs w:val="24"/>
          <w:lang w:val="en-US" w:eastAsia="zh-CN" w:bidi="ar"/>
        </w:rPr>
        <w:t>2. 其他补充条款（如有）：</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w:t>
      </w:r>
      <w:bookmarkEnd w:id="49"/>
      <w:bookmarkEnd w:id="50"/>
      <w:r>
        <w:rPr>
          <w:rFonts w:hint="eastAsia" w:ascii="仿宋" w:hAnsi="仿宋" w:eastAsia="仿宋" w:cs="仿宋"/>
          <w:color w:val="000000"/>
          <w:kern w:val="0"/>
          <w:sz w:val="24"/>
          <w:szCs w:val="24"/>
          <w:lang w:val="en-US" w:eastAsia="zh-CN" w:bidi="ar"/>
        </w:rPr>
        <w:t xml:space="preserve"> </w:t>
      </w:r>
    </w:p>
    <w:p w14:paraId="57ADA14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与本投标有关的一切正式往来信函请寄： </w:t>
      </w:r>
    </w:p>
    <w:p w14:paraId="111BA2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地址</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传真</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31DCD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电话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电子函件</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74595C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08147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投标人名称（加盖公章） </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1207E7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14:paraId="3D1F26DC">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31C5CE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51" w:name="_Toc26890"/>
      <w:bookmarkStart w:id="52" w:name="_Toc19816"/>
      <w:r>
        <w:rPr>
          <w:rFonts w:hint="eastAsia" w:ascii="仿宋" w:hAnsi="仿宋" w:eastAsia="仿宋" w:cs="仿宋"/>
          <w:color w:val="000000"/>
          <w:kern w:val="0"/>
          <w:sz w:val="24"/>
          <w:szCs w:val="24"/>
          <w:lang w:val="en-US" w:eastAsia="zh-CN" w:bidi="ar"/>
        </w:rPr>
        <w:t>6  授权委托书</w:t>
      </w:r>
      <w:bookmarkEnd w:id="51"/>
      <w:bookmarkEnd w:id="52"/>
      <w:r>
        <w:rPr>
          <w:rFonts w:hint="eastAsia" w:ascii="仿宋" w:hAnsi="仿宋" w:eastAsia="仿宋" w:cs="仿宋"/>
          <w:color w:val="000000"/>
          <w:kern w:val="0"/>
          <w:sz w:val="24"/>
          <w:szCs w:val="24"/>
          <w:lang w:val="en-US" w:eastAsia="zh-CN" w:bidi="ar"/>
        </w:rPr>
        <w:t xml:space="preserve"> </w:t>
      </w:r>
    </w:p>
    <w:p w14:paraId="281CC86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lang w:val="en-US" w:eastAsia="zh-CN" w:bidi="ar"/>
        </w:rPr>
      </w:pPr>
    </w:p>
    <w:p w14:paraId="4D332B0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授权委托书</w:t>
      </w:r>
    </w:p>
    <w:p w14:paraId="4C5D280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14:paraId="3CA19BF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（姓名）系</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（投标人名称）的法定代表人（单位负责人），现委托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u w:val="single"/>
          <w:lang w:val="en-US" w:eastAsia="zh-CN" w:bidi="ar"/>
        </w:rPr>
        <w:t xml:space="preserve">           （项目名称）</w:t>
      </w:r>
      <w:r>
        <w:rPr>
          <w:rFonts w:hint="eastAsia" w:ascii="仿宋" w:hAnsi="仿宋" w:eastAsia="仿宋" w:cs="仿宋"/>
          <w:color w:val="000000"/>
          <w:kern w:val="0"/>
          <w:sz w:val="24"/>
          <w:szCs w:val="24"/>
          <w:lang w:val="en-US" w:eastAsia="zh-CN" w:bidi="ar"/>
        </w:rPr>
        <w:t xml:space="preserve">响应文件和处理有关事宜，其法律后果由我方承担。 </w:t>
      </w:r>
    </w:p>
    <w:p w14:paraId="0134187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委托期限：自本授权委托书签署之日起至响应有效期届满之日止。 </w:t>
      </w:r>
    </w:p>
    <w:p w14:paraId="3CC5EFE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代理人无转委托权。 </w:t>
      </w:r>
    </w:p>
    <w:p w14:paraId="6762FE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42C98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投标人名称（加盖公章）：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079B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法定代表人（单位负责人）（签字或印鉴）：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04A5FF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委托代理人（签字或印鉴）：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5E966B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14:paraId="74465A6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4C5BA1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9FE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2E995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c>
          <w:tcPr>
            <w:tcW w:w="4261" w:type="dxa"/>
          </w:tcPr>
          <w:p w14:paraId="61A88B2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r>
    </w:tbl>
    <w:p w14:paraId="1C81E5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委托代理人有效期内的身份证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230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C3AA4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c>
          <w:tcPr>
            <w:tcW w:w="4261" w:type="dxa"/>
          </w:tcPr>
          <w:p w14:paraId="4A6E4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r>
    </w:tbl>
    <w:p w14:paraId="4BD81C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说明：1.若投标人为事业单位或其他组织或分支机构（仅当招标文件注明允许分支机构投标的），则法定代表人（单位负责人）处的签署人可为单位负责人。 </w:t>
      </w:r>
    </w:p>
    <w:p w14:paraId="0FD3CA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1ACFE0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53" w:name="_Toc24165"/>
      <w:bookmarkStart w:id="54" w:name="_Toc19808"/>
      <w:r>
        <w:rPr>
          <w:rFonts w:hint="eastAsia" w:ascii="仿宋" w:hAnsi="仿宋" w:eastAsia="仿宋" w:cs="仿宋"/>
          <w:color w:val="000000"/>
          <w:kern w:val="0"/>
          <w:sz w:val="24"/>
          <w:szCs w:val="24"/>
          <w:lang w:val="en-US" w:eastAsia="zh-CN" w:bidi="ar"/>
        </w:rPr>
        <w:t>3.投标人为自然人的情形，可不提供本《授权委托书》。</w:t>
      </w:r>
      <w:bookmarkEnd w:id="53"/>
      <w:bookmarkEnd w:id="54"/>
    </w:p>
    <w:p w14:paraId="21288E2A">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14:paraId="231D50C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附：法定代表人（单位负责人）身份证明</w:t>
      </w:r>
    </w:p>
    <w:p w14:paraId="4E7640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7F175E4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 xml:space="preserve">（采购人或采购代理机构） </w:t>
      </w:r>
    </w:p>
    <w:p w14:paraId="79C79CF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兹证明， </w:t>
      </w:r>
    </w:p>
    <w:p w14:paraId="65D6D0C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lang w:val="en-US" w:eastAsia="zh-CN" w:bidi="ar"/>
        </w:rPr>
        <w:t>姓名：</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性别：</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年龄：</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职务：</w:t>
      </w:r>
      <w:r>
        <w:rPr>
          <w:rFonts w:hint="eastAsia" w:ascii="仿宋" w:hAnsi="仿宋" w:eastAsia="仿宋" w:cs="仿宋"/>
          <w:color w:val="000000"/>
          <w:kern w:val="0"/>
          <w:sz w:val="24"/>
          <w:szCs w:val="24"/>
          <w:u w:val="single"/>
          <w:lang w:val="en-US" w:eastAsia="zh-CN" w:bidi="ar"/>
        </w:rPr>
        <w:t xml:space="preserve">     </w:t>
      </w:r>
    </w:p>
    <w:p w14:paraId="3EF5D91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系</w:t>
      </w:r>
      <w:r>
        <w:rPr>
          <w:rFonts w:hint="eastAsia" w:ascii="仿宋" w:hAnsi="仿宋" w:eastAsia="仿宋" w:cs="仿宋"/>
          <w:color w:val="000000"/>
          <w:kern w:val="0"/>
          <w:sz w:val="24"/>
          <w:szCs w:val="24"/>
          <w:u w:val="single"/>
          <w:lang w:val="en-US" w:eastAsia="zh-CN" w:bidi="ar"/>
        </w:rPr>
        <w:t xml:space="preserve">       （投标人名称）</w:t>
      </w:r>
      <w:r>
        <w:rPr>
          <w:rFonts w:hint="eastAsia" w:ascii="仿宋" w:hAnsi="仿宋" w:eastAsia="仿宋" w:cs="仿宋"/>
          <w:color w:val="000000"/>
          <w:kern w:val="0"/>
          <w:sz w:val="24"/>
          <w:szCs w:val="24"/>
          <w:lang w:val="en-US" w:eastAsia="zh-CN" w:bidi="ar"/>
        </w:rPr>
        <w:t xml:space="preserve">的法定代表人（单位负责人）。 </w:t>
      </w:r>
    </w:p>
    <w:p w14:paraId="60BE22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7C7A9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14:paraId="4847173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附：法定代表人（单位负责人）有效期内的身份证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2AC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655577A8">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vertAlign w:val="baseline"/>
                <w:lang w:val="en-US" w:eastAsia="zh-CN" w:bidi="ar"/>
              </w:rPr>
            </w:pPr>
          </w:p>
        </w:tc>
        <w:tc>
          <w:tcPr>
            <w:tcW w:w="4261" w:type="dxa"/>
          </w:tcPr>
          <w:p w14:paraId="39C0CF3F">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vertAlign w:val="baseline"/>
                <w:lang w:val="en-US" w:eastAsia="zh-CN" w:bidi="ar"/>
              </w:rPr>
            </w:pPr>
          </w:p>
        </w:tc>
      </w:tr>
    </w:tbl>
    <w:p w14:paraId="2D671D9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5408311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0AA4E3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投标人名称（加盖公章）：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46241D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法定代表人（单位负责人）（签字或印鉴）：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14:paraId="0D3549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14:paraId="690EB92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14:paraId="4B913136">
      <w:pPr>
        <w:rPr>
          <w:rFonts w:hint="eastAsia" w:ascii="仿宋" w:hAnsi="仿宋" w:eastAsia="仿宋" w:cs="仿宋"/>
          <w:lang w:val="en-US" w:eastAsia="zh-CN"/>
        </w:rPr>
      </w:pPr>
      <w:r>
        <w:rPr>
          <w:rFonts w:hint="eastAsia" w:ascii="仿宋" w:hAnsi="仿宋" w:eastAsia="仿宋" w:cs="仿宋"/>
          <w:lang w:val="en-US" w:eastAsia="zh-CN"/>
        </w:rPr>
        <w:br w:type="page"/>
      </w:r>
    </w:p>
    <w:p w14:paraId="0DDBF161">
      <w:pPr>
        <w:outlineLvl w:val="1"/>
        <w:rPr>
          <w:rFonts w:hint="eastAsia" w:ascii="仿宋" w:hAnsi="仿宋" w:eastAsia="仿宋" w:cs="仿宋"/>
          <w:sz w:val="24"/>
          <w:szCs w:val="24"/>
          <w:lang w:val="en-US" w:eastAsia="zh-CN"/>
        </w:rPr>
      </w:pPr>
      <w:bookmarkStart w:id="55" w:name="_Toc26817"/>
      <w:bookmarkStart w:id="56" w:name="_Toc18742"/>
      <w:r>
        <w:rPr>
          <w:rFonts w:hint="eastAsia" w:ascii="仿宋" w:hAnsi="仿宋" w:eastAsia="仿宋" w:cs="仿宋"/>
          <w:sz w:val="24"/>
          <w:szCs w:val="24"/>
          <w:lang w:val="en-US" w:eastAsia="zh-CN"/>
        </w:rPr>
        <w:t>7  报价一览表</w:t>
      </w:r>
      <w:bookmarkEnd w:id="55"/>
      <w:bookmarkEnd w:id="56"/>
    </w:p>
    <w:p w14:paraId="06A7D9B0">
      <w:pPr>
        <w:rPr>
          <w:rFonts w:hint="eastAsia" w:ascii="仿宋" w:hAnsi="仿宋" w:eastAsia="仿宋" w:cs="仿宋"/>
          <w:lang w:val="en-US" w:eastAsia="zh-CN"/>
        </w:rPr>
      </w:pPr>
    </w:p>
    <w:p w14:paraId="090244F8">
      <w:pPr>
        <w:jc w:val="center"/>
        <w:rPr>
          <w:rFonts w:hint="eastAsia" w:ascii="仿宋" w:hAnsi="仿宋" w:eastAsia="仿宋" w:cs="仿宋"/>
          <w:lang w:val="en-US" w:eastAsia="zh-CN"/>
        </w:rPr>
      </w:pPr>
      <w:r>
        <w:rPr>
          <w:rFonts w:hint="eastAsia" w:ascii="仿宋" w:hAnsi="仿宋" w:eastAsia="仿宋" w:cs="仿宋"/>
          <w:b/>
          <w:bCs/>
          <w:sz w:val="32"/>
          <w:szCs w:val="32"/>
          <w:lang w:val="en-US" w:eastAsia="zh-CN"/>
        </w:rPr>
        <w:t>首次报价表</w:t>
      </w:r>
    </w:p>
    <w:p w14:paraId="0727AEC2">
      <w:pPr>
        <w:rPr>
          <w:rFonts w:hint="eastAsia" w:ascii="仿宋" w:hAnsi="仿宋" w:eastAsia="仿宋" w:cs="仿宋"/>
          <w:lang w:val="en-US" w:eastAsia="zh-CN"/>
        </w:rPr>
      </w:pPr>
    </w:p>
    <w:p w14:paraId="5DA0948A">
      <w:pPr>
        <w:rPr>
          <w:rFonts w:hint="eastAsia" w:ascii="仿宋" w:hAnsi="仿宋" w:eastAsia="仿宋" w:cs="仿宋"/>
          <w:lang w:val="en-US" w:eastAsia="zh-CN"/>
        </w:rPr>
      </w:pPr>
      <w:r>
        <w:rPr>
          <w:rFonts w:hint="eastAsia" w:ascii="仿宋" w:hAnsi="仿宋" w:eastAsia="仿宋" w:cs="仿宋"/>
          <w:lang w:val="en-US" w:eastAsia="zh-CN"/>
        </w:rPr>
        <w:t>项目编号/包号：</w:t>
      </w:r>
      <w:r>
        <w:rPr>
          <w:rFonts w:hint="eastAsia" w:ascii="仿宋" w:hAnsi="仿宋" w:eastAsia="仿宋" w:cs="仿宋"/>
          <w:u w:val="single"/>
          <w:lang w:val="en-US" w:eastAsia="zh-CN"/>
        </w:rPr>
        <w:t xml:space="preserve">                      </w:t>
      </w:r>
      <w:r>
        <w:rPr>
          <w:rFonts w:hint="eastAsia" w:ascii="仿宋" w:hAnsi="仿宋" w:eastAsia="仿宋" w:cs="仿宋"/>
          <w:u w:val="none"/>
          <w:lang w:val="en-US" w:eastAsia="zh-CN"/>
        </w:rPr>
        <w:t xml:space="preserve">     </w:t>
      </w:r>
      <w:r>
        <w:rPr>
          <w:rFonts w:hint="eastAsia" w:ascii="仿宋" w:hAnsi="仿宋" w:eastAsia="仿宋" w:cs="仿宋"/>
          <w:lang w:val="en-US" w:eastAsia="zh-CN"/>
        </w:rPr>
        <w:t>项目名称：</w:t>
      </w:r>
      <w:r>
        <w:rPr>
          <w:rFonts w:hint="eastAsia" w:ascii="仿宋" w:hAnsi="仿宋" w:eastAsia="仿宋" w:cs="仿宋"/>
          <w:u w:val="single"/>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4972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3B343D8A">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序号</w:t>
            </w:r>
          </w:p>
        </w:tc>
        <w:tc>
          <w:tcPr>
            <w:tcW w:w="2951" w:type="dxa"/>
            <w:vMerge w:val="restart"/>
            <w:vAlign w:val="center"/>
          </w:tcPr>
          <w:p w14:paraId="319C9B65">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投标人名称</w:t>
            </w:r>
          </w:p>
        </w:tc>
        <w:tc>
          <w:tcPr>
            <w:tcW w:w="4262" w:type="dxa"/>
            <w:gridSpan w:val="2"/>
            <w:vAlign w:val="center"/>
          </w:tcPr>
          <w:p w14:paraId="02685410">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响应报价（元）</w:t>
            </w:r>
          </w:p>
        </w:tc>
      </w:tr>
      <w:tr w14:paraId="3D6A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45147401">
            <w:pPr>
              <w:pStyle w:val="26"/>
              <w:jc w:val="center"/>
              <w:rPr>
                <w:rFonts w:hint="eastAsia" w:ascii="仿宋" w:hAnsi="仿宋" w:eastAsia="仿宋" w:cs="仿宋"/>
                <w:b/>
                <w:bCs/>
                <w:vertAlign w:val="baseline"/>
                <w:lang w:val="en-US" w:eastAsia="zh-CN"/>
              </w:rPr>
            </w:pPr>
          </w:p>
        </w:tc>
        <w:tc>
          <w:tcPr>
            <w:tcW w:w="2951" w:type="dxa"/>
            <w:vMerge w:val="continue"/>
            <w:vAlign w:val="center"/>
          </w:tcPr>
          <w:p w14:paraId="1E43A5C5">
            <w:pPr>
              <w:pStyle w:val="26"/>
              <w:jc w:val="center"/>
              <w:rPr>
                <w:rFonts w:hint="eastAsia" w:ascii="仿宋" w:hAnsi="仿宋" w:eastAsia="仿宋" w:cs="仿宋"/>
                <w:b/>
                <w:bCs/>
                <w:vertAlign w:val="baseline"/>
                <w:lang w:val="en-US" w:eastAsia="zh-CN"/>
              </w:rPr>
            </w:pPr>
          </w:p>
        </w:tc>
        <w:tc>
          <w:tcPr>
            <w:tcW w:w="2131" w:type="dxa"/>
            <w:vAlign w:val="center"/>
          </w:tcPr>
          <w:p w14:paraId="02521411">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大写</w:t>
            </w:r>
          </w:p>
        </w:tc>
        <w:tc>
          <w:tcPr>
            <w:tcW w:w="2131" w:type="dxa"/>
            <w:vAlign w:val="center"/>
          </w:tcPr>
          <w:p w14:paraId="0848A300">
            <w:pPr>
              <w:pStyle w:val="26"/>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小写</w:t>
            </w:r>
          </w:p>
        </w:tc>
      </w:tr>
      <w:tr w14:paraId="589C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3130F1AC">
            <w:pPr>
              <w:pStyle w:val="26"/>
              <w:jc w:val="center"/>
              <w:rPr>
                <w:rFonts w:hint="eastAsia" w:ascii="仿宋" w:hAnsi="仿宋" w:eastAsia="仿宋" w:cs="仿宋"/>
                <w:vertAlign w:val="baseline"/>
                <w:lang w:val="en-US" w:eastAsia="zh-CN"/>
              </w:rPr>
            </w:pPr>
          </w:p>
        </w:tc>
        <w:tc>
          <w:tcPr>
            <w:tcW w:w="2951" w:type="dxa"/>
            <w:vAlign w:val="center"/>
          </w:tcPr>
          <w:p w14:paraId="37A4B610">
            <w:pPr>
              <w:pStyle w:val="26"/>
              <w:jc w:val="center"/>
              <w:rPr>
                <w:rFonts w:hint="eastAsia" w:ascii="仿宋" w:hAnsi="仿宋" w:eastAsia="仿宋" w:cs="仿宋"/>
                <w:vertAlign w:val="baseline"/>
                <w:lang w:val="en-US" w:eastAsia="zh-CN"/>
              </w:rPr>
            </w:pPr>
          </w:p>
        </w:tc>
        <w:tc>
          <w:tcPr>
            <w:tcW w:w="2131" w:type="dxa"/>
            <w:vAlign w:val="center"/>
          </w:tcPr>
          <w:p w14:paraId="12D34E4F">
            <w:pPr>
              <w:pStyle w:val="26"/>
              <w:jc w:val="center"/>
              <w:rPr>
                <w:rFonts w:hint="eastAsia" w:ascii="仿宋" w:hAnsi="仿宋" w:eastAsia="仿宋" w:cs="仿宋"/>
                <w:vertAlign w:val="baseline"/>
                <w:lang w:val="en-US" w:eastAsia="zh-CN"/>
              </w:rPr>
            </w:pPr>
          </w:p>
        </w:tc>
        <w:tc>
          <w:tcPr>
            <w:tcW w:w="2131" w:type="dxa"/>
            <w:vAlign w:val="center"/>
          </w:tcPr>
          <w:p w14:paraId="00AD2046">
            <w:pPr>
              <w:pStyle w:val="26"/>
              <w:jc w:val="center"/>
              <w:rPr>
                <w:rFonts w:hint="eastAsia" w:ascii="仿宋" w:hAnsi="仿宋" w:eastAsia="仿宋" w:cs="仿宋"/>
                <w:vertAlign w:val="baseline"/>
                <w:lang w:val="en-US" w:eastAsia="zh-CN"/>
              </w:rPr>
            </w:pPr>
          </w:p>
        </w:tc>
      </w:tr>
    </w:tbl>
    <w:p w14:paraId="3E35ABDD">
      <w:pPr>
        <w:pStyle w:val="26"/>
        <w:ind w:left="0" w:leftChars="0" w:firstLine="0" w:firstLineChars="0"/>
        <w:rPr>
          <w:rFonts w:hint="eastAsia" w:ascii="仿宋" w:hAnsi="仿宋" w:eastAsia="仿宋" w:cs="仿宋"/>
          <w:lang w:val="en-US" w:eastAsia="zh-CN"/>
        </w:rPr>
      </w:pPr>
    </w:p>
    <w:p w14:paraId="42E548DF">
      <w:pPr>
        <w:widowControl w:val="0"/>
        <w:spacing w:line="360" w:lineRule="auto"/>
        <w:ind w:firstLine="210" w:firstLineChars="100"/>
        <w:jc w:val="both"/>
        <w:rPr>
          <w:rFonts w:hint="eastAsia" w:ascii="仿宋" w:hAnsi="仿宋" w:eastAsia="仿宋" w:cs="仿宋"/>
          <w:kern w:val="2"/>
          <w:sz w:val="21"/>
          <w:szCs w:val="24"/>
          <w:lang w:val="en-US" w:eastAsia="zh-CN" w:bidi="zh-CN"/>
        </w:rPr>
      </w:pPr>
      <w:r>
        <w:rPr>
          <w:rFonts w:hint="eastAsia" w:ascii="仿宋" w:hAnsi="仿宋" w:eastAsia="仿宋" w:cs="仿宋"/>
          <w:kern w:val="2"/>
          <w:sz w:val="21"/>
          <w:szCs w:val="24"/>
          <w:lang w:val="en-US" w:eastAsia="zh-CN" w:bidi="zh-CN"/>
        </w:rPr>
        <w:t>注：1.此表中，每包的响应报价应和《分项报价表》中的总价相一致。</w:t>
      </w:r>
    </w:p>
    <w:p w14:paraId="3DD1D2F1">
      <w:pPr>
        <w:widowControl w:val="0"/>
        <w:spacing w:line="360" w:lineRule="auto"/>
        <w:ind w:firstLine="210" w:firstLineChars="100"/>
        <w:jc w:val="both"/>
        <w:outlineLvl w:val="1"/>
        <w:rPr>
          <w:rFonts w:hint="eastAsia" w:ascii="仿宋" w:hAnsi="仿宋" w:eastAsia="仿宋" w:cs="仿宋"/>
          <w:kern w:val="2"/>
          <w:sz w:val="21"/>
          <w:szCs w:val="24"/>
          <w:lang w:val="en-US" w:eastAsia="zh-CN" w:bidi="zh-CN"/>
        </w:rPr>
      </w:pPr>
      <w:bookmarkStart w:id="57" w:name="_Toc28372"/>
      <w:bookmarkStart w:id="58" w:name="_Toc16486"/>
      <w:r>
        <w:rPr>
          <w:rFonts w:hint="eastAsia" w:ascii="仿宋" w:hAnsi="仿宋" w:eastAsia="仿宋" w:cs="仿宋"/>
          <w:kern w:val="2"/>
          <w:sz w:val="21"/>
          <w:szCs w:val="24"/>
          <w:lang w:val="en-US" w:eastAsia="zh-CN" w:bidi="zh-CN"/>
        </w:rPr>
        <w:t>2.本表必须按包分别填写。</w:t>
      </w:r>
      <w:bookmarkEnd w:id="57"/>
      <w:bookmarkEnd w:id="58"/>
    </w:p>
    <w:p w14:paraId="3000C607">
      <w:pPr>
        <w:widowControl w:val="0"/>
        <w:spacing w:line="360" w:lineRule="auto"/>
        <w:ind w:firstLine="210" w:firstLineChars="100"/>
        <w:jc w:val="both"/>
        <w:rPr>
          <w:rFonts w:hint="eastAsia" w:ascii="仿宋" w:hAnsi="仿宋" w:eastAsia="仿宋" w:cs="仿宋"/>
          <w:kern w:val="2"/>
          <w:sz w:val="21"/>
          <w:szCs w:val="24"/>
          <w:lang w:val="en-US" w:eastAsia="zh-CN" w:bidi="zh-CN"/>
        </w:rPr>
      </w:pPr>
    </w:p>
    <w:p w14:paraId="623E2A11">
      <w:pPr>
        <w:widowControl w:val="0"/>
        <w:spacing w:line="360" w:lineRule="auto"/>
        <w:ind w:firstLine="210" w:firstLineChars="100"/>
        <w:jc w:val="both"/>
        <w:rPr>
          <w:rFonts w:hint="eastAsia" w:ascii="仿宋" w:hAnsi="仿宋" w:eastAsia="仿宋" w:cs="仿宋"/>
          <w:kern w:val="2"/>
          <w:sz w:val="21"/>
          <w:szCs w:val="24"/>
          <w:lang w:val="en-US" w:eastAsia="zh-CN" w:bidi="zh-CN"/>
        </w:rPr>
      </w:pPr>
    </w:p>
    <w:p w14:paraId="147D4BE9">
      <w:pPr>
        <w:widowControl w:val="0"/>
        <w:spacing w:line="360" w:lineRule="auto"/>
        <w:ind w:firstLine="240" w:firstLineChars="100"/>
        <w:jc w:val="both"/>
        <w:rPr>
          <w:rFonts w:hint="eastAsia" w:ascii="仿宋" w:hAnsi="仿宋" w:eastAsia="仿宋" w:cs="仿宋"/>
          <w:kern w:val="2"/>
          <w:sz w:val="24"/>
          <w:szCs w:val="24"/>
          <w:u w:val="single"/>
          <w:lang w:val="en-US" w:eastAsia="zh-CN" w:bidi="zh-CN"/>
        </w:rPr>
      </w:pPr>
      <w:r>
        <w:rPr>
          <w:rFonts w:hint="eastAsia" w:ascii="仿宋" w:hAnsi="仿宋" w:eastAsia="仿宋" w:cs="仿宋"/>
          <w:kern w:val="2"/>
          <w:sz w:val="24"/>
          <w:szCs w:val="24"/>
          <w:lang w:val="en-US" w:eastAsia="zh-CN" w:bidi="zh-CN"/>
        </w:rPr>
        <w:t xml:space="preserve">投标人名称（加盖公章）： </w:t>
      </w:r>
      <w:r>
        <w:rPr>
          <w:rFonts w:hint="eastAsia" w:ascii="仿宋" w:hAnsi="仿宋" w:eastAsia="仿宋" w:cs="仿宋"/>
          <w:kern w:val="2"/>
          <w:sz w:val="24"/>
          <w:szCs w:val="24"/>
          <w:u w:val="single"/>
          <w:lang w:val="en-US" w:eastAsia="zh-CN" w:bidi="zh-CN"/>
        </w:rPr>
        <w:t xml:space="preserve">                </w:t>
      </w:r>
    </w:p>
    <w:p w14:paraId="173A800B">
      <w:pPr>
        <w:widowControl w:val="0"/>
        <w:spacing w:line="360" w:lineRule="auto"/>
        <w:ind w:firstLine="240" w:firstLineChars="100"/>
        <w:jc w:val="both"/>
        <w:rPr>
          <w:rFonts w:hint="eastAsia" w:ascii="仿宋" w:hAnsi="仿宋" w:eastAsia="仿宋" w:cs="仿宋"/>
          <w:kern w:val="2"/>
          <w:sz w:val="24"/>
          <w:szCs w:val="24"/>
          <w:lang w:val="en-US" w:eastAsia="zh-CN" w:bidi="zh-CN"/>
        </w:rPr>
      </w:pPr>
      <w:r>
        <w:rPr>
          <w:rFonts w:hint="eastAsia" w:ascii="仿宋" w:hAnsi="仿宋" w:eastAsia="仿宋" w:cs="仿宋"/>
          <w:kern w:val="2"/>
          <w:sz w:val="24"/>
          <w:szCs w:val="24"/>
          <w:lang w:val="en-US" w:eastAsia="zh-CN" w:bidi="zh-CN"/>
        </w:rPr>
        <w:t>日期：</w:t>
      </w:r>
      <w:r>
        <w:rPr>
          <w:rFonts w:hint="eastAsia" w:ascii="仿宋" w:hAnsi="仿宋" w:eastAsia="仿宋" w:cs="仿宋"/>
          <w:kern w:val="2"/>
          <w:sz w:val="24"/>
          <w:szCs w:val="24"/>
          <w:u w:val="single"/>
          <w:lang w:val="en-US" w:eastAsia="zh-CN" w:bidi="zh-CN"/>
        </w:rPr>
        <w:t xml:space="preserve">     年    月    日</w:t>
      </w:r>
    </w:p>
    <w:p w14:paraId="7A33024D">
      <w:pPr>
        <w:pStyle w:val="22"/>
        <w:rPr>
          <w:rFonts w:hint="eastAsia" w:ascii="仿宋" w:hAnsi="仿宋" w:eastAsia="仿宋" w:cs="仿宋"/>
          <w:lang w:val="en-US" w:eastAsia="zh-CN"/>
        </w:rPr>
      </w:pPr>
    </w:p>
    <w:p w14:paraId="6698FAA4">
      <w:pPr>
        <w:rPr>
          <w:rFonts w:hint="eastAsia" w:ascii="仿宋" w:hAnsi="仿宋" w:eastAsia="仿宋" w:cs="仿宋"/>
          <w:lang w:val="en-US" w:eastAsia="zh-CN"/>
        </w:rPr>
      </w:pPr>
      <w:r>
        <w:rPr>
          <w:rFonts w:hint="eastAsia" w:ascii="仿宋" w:hAnsi="仿宋" w:eastAsia="仿宋" w:cs="仿宋"/>
          <w:lang w:val="en-US" w:eastAsia="zh-CN"/>
        </w:rPr>
        <w:br w:type="page"/>
      </w:r>
    </w:p>
    <w:p w14:paraId="06AE3A84">
      <w:pPr>
        <w:pStyle w:val="26"/>
        <w:ind w:left="0" w:leftChars="0" w:firstLine="0" w:firstLineChars="0"/>
        <w:outlineLvl w:val="1"/>
        <w:rPr>
          <w:rFonts w:hint="eastAsia" w:ascii="仿宋" w:hAnsi="仿宋" w:eastAsia="仿宋" w:cs="仿宋"/>
          <w:sz w:val="24"/>
          <w:szCs w:val="24"/>
          <w:lang w:val="en-US" w:eastAsia="zh-CN"/>
        </w:rPr>
      </w:pPr>
      <w:bookmarkStart w:id="59" w:name="_Toc16619"/>
      <w:bookmarkStart w:id="60" w:name="_Toc32732"/>
      <w:r>
        <w:rPr>
          <w:rFonts w:hint="eastAsia" w:ascii="仿宋" w:hAnsi="仿宋" w:eastAsia="仿宋" w:cs="仿宋"/>
          <w:sz w:val="24"/>
          <w:szCs w:val="24"/>
          <w:lang w:val="en-US" w:eastAsia="zh-CN"/>
        </w:rPr>
        <w:t>7  分项报价表</w:t>
      </w:r>
      <w:bookmarkEnd w:id="59"/>
      <w:bookmarkEnd w:id="60"/>
    </w:p>
    <w:p w14:paraId="16185472">
      <w:pPr>
        <w:pStyle w:val="26"/>
        <w:ind w:left="0" w:leftChars="0" w:firstLine="0" w:firstLineChars="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分项报价表</w:t>
      </w:r>
    </w:p>
    <w:p w14:paraId="16B7B147">
      <w:pPr>
        <w:pStyle w:val="26"/>
        <w:ind w:left="0" w:leftChars="0" w:firstLine="0" w:firstLineChars="0"/>
        <w:jc w:val="center"/>
        <w:rPr>
          <w:rFonts w:hint="eastAsia" w:ascii="仿宋" w:hAnsi="仿宋" w:eastAsia="仿宋" w:cs="仿宋"/>
          <w:lang w:val="en-US" w:eastAsia="zh-CN"/>
        </w:rPr>
      </w:pPr>
    </w:p>
    <w:p w14:paraId="1FCA0B73">
      <w:pPr>
        <w:pStyle w:val="26"/>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项目编号/包号：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项目名称：</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报价单位：人民币元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503"/>
        <w:gridCol w:w="2106"/>
        <w:gridCol w:w="1954"/>
        <w:gridCol w:w="1824"/>
      </w:tblGrid>
      <w:tr w14:paraId="4B30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71" w:type="dxa"/>
            <w:vAlign w:val="center"/>
          </w:tcPr>
          <w:p w14:paraId="262DF7E8">
            <w:pPr>
              <w:widowControl w:val="0"/>
              <w:spacing w:line="360" w:lineRule="auto"/>
              <w:ind w:left="0" w:leftChars="0" w:firstLine="0" w:firstLineChars="0"/>
              <w:jc w:val="center"/>
              <w:rPr>
                <w:rFonts w:hint="eastAsia"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序号</w:t>
            </w:r>
          </w:p>
        </w:tc>
        <w:tc>
          <w:tcPr>
            <w:tcW w:w="1503" w:type="dxa"/>
            <w:vAlign w:val="center"/>
          </w:tcPr>
          <w:p w14:paraId="10635BE9">
            <w:pPr>
              <w:widowControl w:val="0"/>
              <w:spacing w:line="360" w:lineRule="auto"/>
              <w:ind w:left="0" w:leftChars="0" w:firstLine="0" w:firstLineChars="0"/>
              <w:jc w:val="center"/>
              <w:rPr>
                <w:rFonts w:hint="eastAsia"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分项名称</w:t>
            </w:r>
          </w:p>
        </w:tc>
        <w:tc>
          <w:tcPr>
            <w:tcW w:w="2106" w:type="dxa"/>
            <w:vAlign w:val="center"/>
          </w:tcPr>
          <w:p w14:paraId="7C05F901">
            <w:pPr>
              <w:widowControl w:val="0"/>
              <w:spacing w:line="360" w:lineRule="auto"/>
              <w:ind w:left="0" w:leftChars="0" w:firstLine="0" w:firstLineChars="0"/>
              <w:jc w:val="center"/>
              <w:rPr>
                <w:rFonts w:hint="eastAsia"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内容</w:t>
            </w:r>
          </w:p>
        </w:tc>
        <w:tc>
          <w:tcPr>
            <w:tcW w:w="1954" w:type="dxa"/>
            <w:vAlign w:val="center"/>
          </w:tcPr>
          <w:p w14:paraId="4CDC8DBF">
            <w:pPr>
              <w:widowControl w:val="0"/>
              <w:spacing w:line="360" w:lineRule="auto"/>
              <w:ind w:left="0" w:leftChars="0" w:firstLine="0" w:firstLineChars="0"/>
              <w:jc w:val="center"/>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报价</w:t>
            </w:r>
          </w:p>
        </w:tc>
        <w:tc>
          <w:tcPr>
            <w:tcW w:w="1824" w:type="dxa"/>
            <w:vAlign w:val="center"/>
          </w:tcPr>
          <w:p w14:paraId="2F2C00F1">
            <w:pPr>
              <w:widowControl w:val="0"/>
              <w:spacing w:line="360" w:lineRule="auto"/>
              <w:ind w:left="0" w:leftChars="0" w:firstLine="0" w:firstLineChars="0"/>
              <w:jc w:val="center"/>
              <w:rPr>
                <w:rFonts w:hint="eastAsia"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备注/说明</w:t>
            </w:r>
          </w:p>
        </w:tc>
      </w:tr>
      <w:tr w14:paraId="6B55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71" w:type="dxa"/>
            <w:vAlign w:val="center"/>
          </w:tcPr>
          <w:p w14:paraId="4FEF6DF1">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503" w:type="dxa"/>
            <w:vAlign w:val="center"/>
          </w:tcPr>
          <w:p w14:paraId="6A03B3ED">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2106" w:type="dxa"/>
            <w:vAlign w:val="center"/>
          </w:tcPr>
          <w:p w14:paraId="752B0D48">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954" w:type="dxa"/>
            <w:vAlign w:val="center"/>
          </w:tcPr>
          <w:p w14:paraId="6176E0A0">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824" w:type="dxa"/>
            <w:vAlign w:val="center"/>
          </w:tcPr>
          <w:p w14:paraId="03A9541A">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r>
      <w:tr w14:paraId="1F88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71" w:type="dxa"/>
            <w:vAlign w:val="center"/>
          </w:tcPr>
          <w:p w14:paraId="21F5FA48">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503" w:type="dxa"/>
            <w:vAlign w:val="center"/>
          </w:tcPr>
          <w:p w14:paraId="2ED5A3DD">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2106" w:type="dxa"/>
            <w:vAlign w:val="center"/>
          </w:tcPr>
          <w:p w14:paraId="47C7CAE0">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954" w:type="dxa"/>
            <w:vAlign w:val="center"/>
          </w:tcPr>
          <w:p w14:paraId="45A0FB75">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824" w:type="dxa"/>
            <w:vAlign w:val="center"/>
          </w:tcPr>
          <w:p w14:paraId="22485F1A">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r>
      <w:tr w14:paraId="2679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71" w:type="dxa"/>
            <w:vAlign w:val="center"/>
          </w:tcPr>
          <w:p w14:paraId="7F155F30">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503" w:type="dxa"/>
            <w:vAlign w:val="center"/>
          </w:tcPr>
          <w:p w14:paraId="16AED151">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2106" w:type="dxa"/>
            <w:vAlign w:val="center"/>
          </w:tcPr>
          <w:p w14:paraId="33B246B5">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954" w:type="dxa"/>
            <w:vAlign w:val="center"/>
          </w:tcPr>
          <w:p w14:paraId="5A3C9F47">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824" w:type="dxa"/>
            <w:vAlign w:val="center"/>
          </w:tcPr>
          <w:p w14:paraId="4244CD29">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r>
      <w:tr w14:paraId="2924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71" w:type="dxa"/>
            <w:vAlign w:val="center"/>
          </w:tcPr>
          <w:p w14:paraId="0BCB478C">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503" w:type="dxa"/>
            <w:vAlign w:val="center"/>
          </w:tcPr>
          <w:p w14:paraId="636D7C1A">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2106" w:type="dxa"/>
            <w:vAlign w:val="center"/>
          </w:tcPr>
          <w:p w14:paraId="756FF5A9">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954" w:type="dxa"/>
            <w:vAlign w:val="center"/>
          </w:tcPr>
          <w:p w14:paraId="790A4FD4">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c>
          <w:tcPr>
            <w:tcW w:w="1824" w:type="dxa"/>
            <w:vAlign w:val="center"/>
          </w:tcPr>
          <w:p w14:paraId="5F118692">
            <w:pPr>
              <w:widowControl w:val="0"/>
              <w:spacing w:line="360" w:lineRule="auto"/>
              <w:ind w:firstLine="210" w:firstLineChars="100"/>
              <w:jc w:val="center"/>
              <w:rPr>
                <w:rFonts w:hint="eastAsia" w:ascii="仿宋" w:hAnsi="仿宋" w:eastAsia="仿宋" w:cs="仿宋"/>
                <w:kern w:val="2"/>
                <w:sz w:val="21"/>
                <w:szCs w:val="21"/>
                <w:vertAlign w:val="baseline"/>
                <w:lang w:val="en-US" w:eastAsia="zh-CN" w:bidi="zh-CN"/>
              </w:rPr>
            </w:pPr>
          </w:p>
        </w:tc>
      </w:tr>
      <w:tr w14:paraId="1B42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158" w:type="dxa"/>
            <w:gridSpan w:val="5"/>
            <w:vAlign w:val="center"/>
          </w:tcPr>
          <w:p w14:paraId="00E85C39">
            <w:pPr>
              <w:widowControl w:val="0"/>
              <w:spacing w:line="360" w:lineRule="auto"/>
              <w:ind w:firstLine="210" w:firstLineChars="100"/>
              <w:jc w:val="center"/>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合计金额：</w:t>
            </w:r>
          </w:p>
        </w:tc>
      </w:tr>
    </w:tbl>
    <w:p w14:paraId="02B0D994">
      <w:pPr>
        <w:widowControl w:val="0"/>
        <w:spacing w:line="360" w:lineRule="auto"/>
        <w:ind w:left="0" w:leftChars="0" w:firstLine="0" w:firstLineChars="0"/>
        <w:jc w:val="both"/>
        <w:rPr>
          <w:rFonts w:hint="eastAsia" w:ascii="仿宋" w:hAnsi="仿宋" w:eastAsia="仿宋" w:cs="仿宋"/>
          <w:kern w:val="2"/>
          <w:sz w:val="21"/>
          <w:szCs w:val="24"/>
          <w:lang w:val="en-US" w:eastAsia="zh-CN" w:bidi="zh-CN"/>
        </w:rPr>
      </w:pPr>
    </w:p>
    <w:p w14:paraId="402872D1">
      <w:pPr>
        <w:pStyle w:val="22"/>
        <w:rPr>
          <w:rFonts w:hint="eastAsia" w:ascii="仿宋" w:hAnsi="仿宋" w:eastAsia="仿宋" w:cs="仿宋"/>
          <w:lang w:val="en-US" w:eastAsia="zh-CN"/>
        </w:rPr>
      </w:pPr>
    </w:p>
    <w:p w14:paraId="4BF3E1B1">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注：1.本表应按内容自行填写。</w:t>
      </w:r>
    </w:p>
    <w:p w14:paraId="013BCB20">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2.上</w:t>
      </w:r>
      <w:r>
        <w:rPr>
          <w:rFonts w:hint="eastAsia" w:ascii="仿宋" w:hAnsi="仿宋" w:eastAsia="仿宋" w:cs="仿宋"/>
          <w:sz w:val="24"/>
          <w:szCs w:val="24"/>
          <w:lang w:val="en-US" w:eastAsia="zh-CN"/>
        </w:rPr>
        <w:t>述各项的详细规格（如有），可另页描述。</w:t>
      </w:r>
    </w:p>
    <w:p w14:paraId="6AE2E5B1">
      <w:pPr>
        <w:spacing w:line="360" w:lineRule="auto"/>
        <w:rPr>
          <w:rFonts w:hint="eastAsia" w:ascii="仿宋" w:hAnsi="仿宋" w:eastAsia="仿宋" w:cs="仿宋"/>
          <w:sz w:val="24"/>
          <w:szCs w:val="24"/>
          <w:lang w:val="en-US" w:eastAsia="zh-CN"/>
        </w:rPr>
      </w:pPr>
    </w:p>
    <w:p w14:paraId="65A26A8C">
      <w:pPr>
        <w:spacing w:line="360" w:lineRule="auto"/>
        <w:rPr>
          <w:rFonts w:hint="eastAsia" w:ascii="仿宋" w:hAnsi="仿宋" w:eastAsia="仿宋" w:cs="仿宋"/>
          <w:sz w:val="24"/>
          <w:szCs w:val="24"/>
          <w:lang w:val="en-US" w:eastAsia="zh-CN"/>
        </w:rPr>
      </w:pPr>
    </w:p>
    <w:p w14:paraId="47F2FB2E">
      <w:pPr>
        <w:spacing w:line="360" w:lineRule="auto"/>
        <w:rPr>
          <w:rFonts w:hint="eastAsia" w:ascii="仿宋" w:hAnsi="仿宋" w:eastAsia="仿宋" w:cs="仿宋"/>
          <w:sz w:val="24"/>
          <w:szCs w:val="24"/>
          <w:u w:val="single"/>
          <w:lang w:val="en-US" w:eastAsia="zh-CN"/>
        </w:rPr>
      </w:pPr>
      <w:r>
        <w:rPr>
          <w:rFonts w:hint="eastAsia" w:ascii="仿宋" w:hAnsi="仿宋" w:eastAsia="仿宋" w:cs="仿宋"/>
          <w:sz w:val="24"/>
          <w:szCs w:val="24"/>
          <w:lang w:val="en-US" w:eastAsia="zh-CN"/>
        </w:rPr>
        <w:t>投标人名称（加盖公章）：</w:t>
      </w:r>
      <w:r>
        <w:rPr>
          <w:rFonts w:hint="eastAsia" w:ascii="仿宋" w:hAnsi="仿宋" w:eastAsia="仿宋" w:cs="仿宋"/>
          <w:sz w:val="24"/>
          <w:szCs w:val="24"/>
          <w:u w:val="single"/>
          <w:lang w:val="en-US" w:eastAsia="zh-CN"/>
        </w:rPr>
        <w:t xml:space="preserve">              </w:t>
      </w:r>
    </w:p>
    <w:p w14:paraId="30EACBD7">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年     月    日</w:t>
      </w:r>
    </w:p>
    <w:p w14:paraId="17999B4E">
      <w:pPr>
        <w:pStyle w:val="26"/>
        <w:rPr>
          <w:rFonts w:hint="eastAsia" w:ascii="仿宋" w:hAnsi="仿宋" w:eastAsia="仿宋" w:cs="仿宋"/>
          <w:sz w:val="24"/>
          <w:szCs w:val="24"/>
          <w:lang w:val="en-US" w:eastAsia="zh-CN"/>
        </w:rPr>
      </w:pPr>
    </w:p>
    <w:p w14:paraId="1FF95D65">
      <w:pPr>
        <w:rPr>
          <w:rFonts w:hint="eastAsia" w:ascii="仿宋" w:hAnsi="仿宋" w:eastAsia="仿宋" w:cs="仿宋"/>
          <w:lang w:val="en-US" w:eastAsia="zh-CN"/>
        </w:rPr>
      </w:pPr>
      <w:r>
        <w:rPr>
          <w:rFonts w:hint="eastAsia" w:ascii="仿宋" w:hAnsi="仿宋" w:eastAsia="仿宋" w:cs="仿宋"/>
          <w:lang w:val="en-US" w:eastAsia="zh-CN"/>
        </w:rPr>
        <w:br w:type="page"/>
      </w:r>
    </w:p>
    <w:p w14:paraId="40F2A84C">
      <w:pPr>
        <w:pStyle w:val="22"/>
        <w:ind w:left="0" w:leftChars="0" w:firstLine="0" w:firstLineChars="0"/>
        <w:jc w:val="left"/>
        <w:outlineLvl w:val="1"/>
        <w:rPr>
          <w:rFonts w:hint="eastAsia" w:ascii="仿宋" w:hAnsi="仿宋" w:eastAsia="仿宋" w:cs="仿宋"/>
          <w:sz w:val="24"/>
          <w:szCs w:val="24"/>
          <w:lang w:val="en-US" w:eastAsia="zh-CN"/>
        </w:rPr>
      </w:pPr>
      <w:bookmarkStart w:id="61" w:name="_Toc27376"/>
      <w:bookmarkStart w:id="62" w:name="_Toc23182"/>
      <w:r>
        <w:rPr>
          <w:rFonts w:hint="eastAsia" w:ascii="仿宋" w:hAnsi="仿宋" w:eastAsia="仿宋" w:cs="仿宋"/>
          <w:sz w:val="24"/>
          <w:szCs w:val="24"/>
          <w:lang w:val="en-US" w:eastAsia="zh-CN"/>
        </w:rPr>
        <w:t>8  合同条款偏离表</w:t>
      </w:r>
      <w:bookmarkEnd w:id="61"/>
      <w:bookmarkEnd w:id="62"/>
    </w:p>
    <w:p w14:paraId="7D036E7F">
      <w:pPr>
        <w:pStyle w:val="22"/>
        <w:ind w:left="0" w:leftChars="0" w:firstLine="0" w:firstLineChars="0"/>
        <w:jc w:val="center"/>
        <w:rPr>
          <w:rFonts w:hint="eastAsia" w:ascii="仿宋" w:hAnsi="仿宋" w:eastAsia="仿宋" w:cs="仿宋"/>
          <w:sz w:val="32"/>
          <w:szCs w:val="32"/>
          <w:lang w:val="en-US" w:eastAsia="zh-CN"/>
        </w:rPr>
      </w:pPr>
    </w:p>
    <w:p w14:paraId="6ADFDD62">
      <w:pPr>
        <w:pStyle w:val="22"/>
        <w:ind w:left="0" w:leftChars="0" w:firstLine="0" w:firstLineChars="0"/>
        <w:jc w:val="center"/>
        <w:rPr>
          <w:rFonts w:hint="eastAsia" w:ascii="仿宋" w:hAnsi="仿宋" w:eastAsia="仿宋" w:cs="仿宋"/>
          <w:b/>
          <w:bCs/>
          <w:i w:val="0"/>
          <w:iCs w:val="0"/>
          <w:sz w:val="32"/>
          <w:szCs w:val="32"/>
          <w:lang w:val="en-US" w:eastAsia="zh-CN"/>
        </w:rPr>
      </w:pPr>
      <w:r>
        <w:rPr>
          <w:rFonts w:hint="eastAsia" w:ascii="仿宋" w:hAnsi="仿宋" w:eastAsia="仿宋" w:cs="仿宋"/>
          <w:b/>
          <w:bCs/>
          <w:i w:val="0"/>
          <w:iCs w:val="0"/>
          <w:sz w:val="32"/>
          <w:szCs w:val="32"/>
          <w:lang w:val="en-US" w:eastAsia="zh-CN"/>
        </w:rPr>
        <w:t>合同条款偏离表</w:t>
      </w:r>
    </w:p>
    <w:p w14:paraId="288A67A3">
      <w:pPr>
        <w:rPr>
          <w:rFonts w:hint="eastAsia" w:ascii="仿宋" w:hAnsi="仿宋" w:eastAsia="仿宋" w:cs="仿宋"/>
          <w:lang w:val="en-US" w:eastAsia="zh-CN"/>
        </w:rPr>
      </w:pPr>
    </w:p>
    <w:p w14:paraId="50B33519">
      <w:pPr>
        <w:pStyle w:val="22"/>
        <w:ind w:left="0" w:leftChars="0" w:firstLine="0" w:firstLineChars="0"/>
        <w:jc w:val="left"/>
        <w:rPr>
          <w:rFonts w:hint="eastAsia" w:ascii="仿宋" w:hAnsi="仿宋" w:eastAsia="仿宋" w:cs="仿宋"/>
          <w:lang w:val="en-US" w:eastAsia="zh-CN"/>
        </w:rPr>
      </w:pPr>
      <w:r>
        <w:rPr>
          <w:rFonts w:hint="eastAsia" w:ascii="仿宋" w:hAnsi="仿宋" w:eastAsia="仿宋" w:cs="仿宋"/>
          <w:lang w:val="en-US" w:eastAsia="zh-CN"/>
        </w:rPr>
        <w:t>项目编号/包号：</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项目名称：</w:t>
      </w:r>
      <w:r>
        <w:rPr>
          <w:rFonts w:hint="eastAsia" w:ascii="仿宋" w:hAnsi="仿宋" w:eastAsia="仿宋" w:cs="仿宋"/>
          <w:u w:val="single"/>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6EC5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425186DB">
            <w:pPr>
              <w:spacing w:line="240" w:lineRule="auto"/>
              <w:rPr>
                <w:rFonts w:hint="eastAsia" w:ascii="仿宋" w:hAnsi="仿宋" w:eastAsia="仿宋" w:cs="仿宋"/>
                <w:sz w:val="24"/>
                <w:szCs w:val="24"/>
                <w:vertAlign w:val="baseline"/>
                <w:lang w:val="en-US" w:eastAsia="zh-CN"/>
              </w:rPr>
            </w:pPr>
            <w:r>
              <w:rPr>
                <w:rFonts w:hint="eastAsia" w:ascii="仿宋" w:hAnsi="仿宋" w:eastAsia="仿宋" w:cs="仿宋"/>
                <w:b/>
                <w:bCs/>
                <w:sz w:val="24"/>
                <w:szCs w:val="24"/>
                <w:vertAlign w:val="baseline"/>
                <w:lang w:val="en-US" w:eastAsia="zh-CN"/>
              </w:rPr>
              <w:t>对本项目合同条款的偏离情况（请进行勾选）：</w:t>
            </w:r>
          </w:p>
          <w:p w14:paraId="36FE20F3">
            <w:pPr>
              <w:spacing w:line="240" w:lineRule="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w:t>
            </w:r>
            <w:r>
              <w:rPr>
                <w:rFonts w:hint="eastAsia" w:ascii="仿宋" w:hAnsi="仿宋" w:eastAsia="仿宋" w:cs="仿宋"/>
                <w:b/>
                <w:bCs/>
                <w:sz w:val="24"/>
                <w:szCs w:val="24"/>
                <w:vertAlign w:val="baseline"/>
                <w:lang w:val="en-US" w:eastAsia="zh-CN"/>
              </w:rPr>
              <w:t>无偏离</w:t>
            </w:r>
            <w:r>
              <w:rPr>
                <w:rFonts w:hint="eastAsia" w:ascii="仿宋" w:hAnsi="仿宋" w:eastAsia="仿宋" w:cs="仿宋"/>
                <w:sz w:val="24"/>
                <w:szCs w:val="24"/>
                <w:vertAlign w:val="baseline"/>
                <w:lang w:val="en-US" w:eastAsia="zh-CN"/>
              </w:rPr>
              <w:t>（如无偏离，仅选择无偏离即可；无偏离即为对合同条款中的所有要求，均视作投标人已对之理解和响应。）</w:t>
            </w:r>
          </w:p>
          <w:p w14:paraId="4F1FF555">
            <w:pPr>
              <w:spacing w:line="240" w:lineRule="auto"/>
              <w:rPr>
                <w:rFonts w:hint="eastAsia" w:ascii="仿宋" w:hAnsi="仿宋" w:eastAsia="仿宋" w:cs="仿宋"/>
                <w:sz w:val="21"/>
                <w:szCs w:val="21"/>
                <w:vertAlign w:val="baseline"/>
                <w:lang w:val="en-US" w:eastAsia="zh-CN"/>
              </w:rPr>
            </w:pPr>
            <w:r>
              <w:rPr>
                <w:rFonts w:hint="eastAsia" w:ascii="仿宋" w:hAnsi="仿宋" w:eastAsia="仿宋" w:cs="仿宋"/>
                <w:sz w:val="24"/>
                <w:szCs w:val="24"/>
                <w:vertAlign w:val="baseline"/>
                <w:lang w:val="en-US" w:eastAsia="zh-CN"/>
              </w:rPr>
              <w:t>□</w:t>
            </w:r>
            <w:r>
              <w:rPr>
                <w:rFonts w:hint="eastAsia" w:ascii="仿宋" w:hAnsi="仿宋" w:eastAsia="仿宋" w:cs="仿宋"/>
                <w:b/>
                <w:bCs/>
                <w:sz w:val="24"/>
                <w:szCs w:val="24"/>
                <w:vertAlign w:val="baseline"/>
                <w:lang w:val="en-US" w:eastAsia="zh-CN"/>
              </w:rPr>
              <w:t>有偏离</w:t>
            </w:r>
            <w:r>
              <w:rPr>
                <w:rFonts w:hint="eastAsia" w:ascii="仿宋" w:hAnsi="仿宋" w:eastAsia="仿宋" w:cs="仿宋"/>
                <w:sz w:val="24"/>
                <w:szCs w:val="24"/>
                <w:vertAlign w:val="baseline"/>
                <w:lang w:val="en-US" w:eastAsia="zh-CN"/>
              </w:rPr>
              <w:t>（如有偏离，则应在本表中对偏离项逐一列明，否则投标无效；对合同条款中的所有要求，除本表列明的偏离外，均视作投标人已对之理解和响应。）</w:t>
            </w:r>
          </w:p>
        </w:tc>
      </w:tr>
      <w:tr w14:paraId="5FD5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1362DA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1421" w:type="dxa"/>
            <w:vAlign w:val="center"/>
          </w:tcPr>
          <w:p w14:paraId="767F122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w:t>
            </w:r>
          </w:p>
          <w:p w14:paraId="328F14D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条目号</w:t>
            </w:r>
          </w:p>
          <w:p w14:paraId="6A85226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（页码）</w:t>
            </w:r>
          </w:p>
        </w:tc>
        <w:tc>
          <w:tcPr>
            <w:tcW w:w="1901" w:type="dxa"/>
            <w:vAlign w:val="center"/>
          </w:tcPr>
          <w:p w14:paraId="740E073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采购文件要求</w:t>
            </w:r>
          </w:p>
        </w:tc>
        <w:tc>
          <w:tcPr>
            <w:tcW w:w="1753" w:type="dxa"/>
            <w:vAlign w:val="center"/>
          </w:tcPr>
          <w:p w14:paraId="54878F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响应文件内容</w:t>
            </w:r>
          </w:p>
        </w:tc>
        <w:tc>
          <w:tcPr>
            <w:tcW w:w="1561" w:type="dxa"/>
            <w:vAlign w:val="center"/>
          </w:tcPr>
          <w:p w14:paraId="745566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偏离情况</w:t>
            </w:r>
          </w:p>
        </w:tc>
        <w:tc>
          <w:tcPr>
            <w:tcW w:w="1052" w:type="dxa"/>
            <w:vAlign w:val="center"/>
          </w:tcPr>
          <w:p w14:paraId="2209A73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说明</w:t>
            </w:r>
          </w:p>
        </w:tc>
      </w:tr>
      <w:tr w14:paraId="28E9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67E3745D">
            <w:pPr>
              <w:rPr>
                <w:rFonts w:hint="eastAsia" w:ascii="仿宋" w:hAnsi="仿宋" w:eastAsia="仿宋" w:cs="仿宋"/>
                <w:sz w:val="21"/>
                <w:szCs w:val="21"/>
                <w:vertAlign w:val="baseline"/>
                <w:lang w:val="en-US" w:eastAsia="zh-CN"/>
              </w:rPr>
            </w:pPr>
          </w:p>
        </w:tc>
        <w:tc>
          <w:tcPr>
            <w:tcW w:w="1421" w:type="dxa"/>
          </w:tcPr>
          <w:p w14:paraId="79BD975D">
            <w:pPr>
              <w:rPr>
                <w:rFonts w:hint="eastAsia" w:ascii="仿宋" w:hAnsi="仿宋" w:eastAsia="仿宋" w:cs="仿宋"/>
                <w:sz w:val="21"/>
                <w:szCs w:val="21"/>
                <w:vertAlign w:val="baseline"/>
                <w:lang w:val="en-US" w:eastAsia="zh-CN"/>
              </w:rPr>
            </w:pPr>
          </w:p>
        </w:tc>
        <w:tc>
          <w:tcPr>
            <w:tcW w:w="1901" w:type="dxa"/>
          </w:tcPr>
          <w:p w14:paraId="5B97B422">
            <w:pPr>
              <w:rPr>
                <w:rFonts w:hint="eastAsia" w:ascii="仿宋" w:hAnsi="仿宋" w:eastAsia="仿宋" w:cs="仿宋"/>
                <w:sz w:val="21"/>
                <w:szCs w:val="21"/>
                <w:vertAlign w:val="baseline"/>
                <w:lang w:val="en-US" w:eastAsia="zh-CN"/>
              </w:rPr>
            </w:pPr>
          </w:p>
        </w:tc>
        <w:tc>
          <w:tcPr>
            <w:tcW w:w="1753" w:type="dxa"/>
          </w:tcPr>
          <w:p w14:paraId="093F9B69">
            <w:pPr>
              <w:rPr>
                <w:rFonts w:hint="eastAsia" w:ascii="仿宋" w:hAnsi="仿宋" w:eastAsia="仿宋" w:cs="仿宋"/>
                <w:sz w:val="21"/>
                <w:szCs w:val="21"/>
                <w:vertAlign w:val="baseline"/>
                <w:lang w:val="en-US" w:eastAsia="zh-CN"/>
              </w:rPr>
            </w:pPr>
          </w:p>
        </w:tc>
        <w:tc>
          <w:tcPr>
            <w:tcW w:w="1561" w:type="dxa"/>
          </w:tcPr>
          <w:p w14:paraId="2C56CB57">
            <w:pPr>
              <w:rPr>
                <w:rFonts w:hint="eastAsia" w:ascii="仿宋" w:hAnsi="仿宋" w:eastAsia="仿宋" w:cs="仿宋"/>
                <w:sz w:val="21"/>
                <w:szCs w:val="21"/>
                <w:vertAlign w:val="baseline"/>
                <w:lang w:val="en-US" w:eastAsia="zh-CN"/>
              </w:rPr>
            </w:pPr>
          </w:p>
        </w:tc>
        <w:tc>
          <w:tcPr>
            <w:tcW w:w="1052" w:type="dxa"/>
          </w:tcPr>
          <w:p w14:paraId="7389CCDF">
            <w:pPr>
              <w:rPr>
                <w:rFonts w:hint="eastAsia" w:ascii="仿宋" w:hAnsi="仿宋" w:eastAsia="仿宋" w:cs="仿宋"/>
                <w:sz w:val="21"/>
                <w:szCs w:val="21"/>
                <w:vertAlign w:val="baseline"/>
                <w:lang w:val="en-US" w:eastAsia="zh-CN"/>
              </w:rPr>
            </w:pPr>
          </w:p>
        </w:tc>
      </w:tr>
      <w:tr w14:paraId="2CD5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C2D59BB">
            <w:pPr>
              <w:rPr>
                <w:rFonts w:hint="eastAsia" w:ascii="仿宋" w:hAnsi="仿宋" w:eastAsia="仿宋" w:cs="仿宋"/>
                <w:sz w:val="21"/>
                <w:szCs w:val="21"/>
                <w:vertAlign w:val="baseline"/>
                <w:lang w:val="en-US" w:eastAsia="zh-CN"/>
              </w:rPr>
            </w:pPr>
          </w:p>
        </w:tc>
        <w:tc>
          <w:tcPr>
            <w:tcW w:w="1421" w:type="dxa"/>
          </w:tcPr>
          <w:p w14:paraId="5403E1EB">
            <w:pPr>
              <w:rPr>
                <w:rFonts w:hint="eastAsia" w:ascii="仿宋" w:hAnsi="仿宋" w:eastAsia="仿宋" w:cs="仿宋"/>
                <w:sz w:val="21"/>
                <w:szCs w:val="21"/>
                <w:vertAlign w:val="baseline"/>
                <w:lang w:val="en-US" w:eastAsia="zh-CN"/>
              </w:rPr>
            </w:pPr>
          </w:p>
        </w:tc>
        <w:tc>
          <w:tcPr>
            <w:tcW w:w="1901" w:type="dxa"/>
          </w:tcPr>
          <w:p w14:paraId="755833D7">
            <w:pPr>
              <w:rPr>
                <w:rFonts w:hint="eastAsia" w:ascii="仿宋" w:hAnsi="仿宋" w:eastAsia="仿宋" w:cs="仿宋"/>
                <w:sz w:val="21"/>
                <w:szCs w:val="21"/>
                <w:vertAlign w:val="baseline"/>
                <w:lang w:val="en-US" w:eastAsia="zh-CN"/>
              </w:rPr>
            </w:pPr>
          </w:p>
        </w:tc>
        <w:tc>
          <w:tcPr>
            <w:tcW w:w="1753" w:type="dxa"/>
          </w:tcPr>
          <w:p w14:paraId="0A36AEC5">
            <w:pPr>
              <w:rPr>
                <w:rFonts w:hint="eastAsia" w:ascii="仿宋" w:hAnsi="仿宋" w:eastAsia="仿宋" w:cs="仿宋"/>
                <w:sz w:val="21"/>
                <w:szCs w:val="21"/>
                <w:vertAlign w:val="baseline"/>
                <w:lang w:val="en-US" w:eastAsia="zh-CN"/>
              </w:rPr>
            </w:pPr>
          </w:p>
        </w:tc>
        <w:tc>
          <w:tcPr>
            <w:tcW w:w="1561" w:type="dxa"/>
          </w:tcPr>
          <w:p w14:paraId="636F2C8B">
            <w:pPr>
              <w:rPr>
                <w:rFonts w:hint="eastAsia" w:ascii="仿宋" w:hAnsi="仿宋" w:eastAsia="仿宋" w:cs="仿宋"/>
                <w:sz w:val="21"/>
                <w:szCs w:val="21"/>
                <w:vertAlign w:val="baseline"/>
                <w:lang w:val="en-US" w:eastAsia="zh-CN"/>
              </w:rPr>
            </w:pPr>
          </w:p>
        </w:tc>
        <w:tc>
          <w:tcPr>
            <w:tcW w:w="1052" w:type="dxa"/>
          </w:tcPr>
          <w:p w14:paraId="2E5E3395">
            <w:pPr>
              <w:rPr>
                <w:rFonts w:hint="eastAsia" w:ascii="仿宋" w:hAnsi="仿宋" w:eastAsia="仿宋" w:cs="仿宋"/>
                <w:sz w:val="21"/>
                <w:szCs w:val="21"/>
                <w:vertAlign w:val="baseline"/>
                <w:lang w:val="en-US" w:eastAsia="zh-CN"/>
              </w:rPr>
            </w:pPr>
          </w:p>
        </w:tc>
      </w:tr>
      <w:tr w14:paraId="33B9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07A59EB8">
            <w:pPr>
              <w:rPr>
                <w:rFonts w:hint="eastAsia" w:ascii="仿宋" w:hAnsi="仿宋" w:eastAsia="仿宋" w:cs="仿宋"/>
                <w:sz w:val="21"/>
                <w:szCs w:val="21"/>
                <w:vertAlign w:val="baseline"/>
                <w:lang w:val="en-US" w:eastAsia="zh-CN"/>
              </w:rPr>
            </w:pPr>
          </w:p>
        </w:tc>
        <w:tc>
          <w:tcPr>
            <w:tcW w:w="1421" w:type="dxa"/>
          </w:tcPr>
          <w:p w14:paraId="50D908B9">
            <w:pPr>
              <w:rPr>
                <w:rFonts w:hint="eastAsia" w:ascii="仿宋" w:hAnsi="仿宋" w:eastAsia="仿宋" w:cs="仿宋"/>
                <w:sz w:val="21"/>
                <w:szCs w:val="21"/>
                <w:vertAlign w:val="baseline"/>
                <w:lang w:val="en-US" w:eastAsia="zh-CN"/>
              </w:rPr>
            </w:pPr>
          </w:p>
        </w:tc>
        <w:tc>
          <w:tcPr>
            <w:tcW w:w="1901" w:type="dxa"/>
          </w:tcPr>
          <w:p w14:paraId="4A9D3945">
            <w:pPr>
              <w:rPr>
                <w:rFonts w:hint="eastAsia" w:ascii="仿宋" w:hAnsi="仿宋" w:eastAsia="仿宋" w:cs="仿宋"/>
                <w:sz w:val="21"/>
                <w:szCs w:val="21"/>
                <w:vertAlign w:val="baseline"/>
                <w:lang w:val="en-US" w:eastAsia="zh-CN"/>
              </w:rPr>
            </w:pPr>
          </w:p>
        </w:tc>
        <w:tc>
          <w:tcPr>
            <w:tcW w:w="1753" w:type="dxa"/>
          </w:tcPr>
          <w:p w14:paraId="5C318786">
            <w:pPr>
              <w:rPr>
                <w:rFonts w:hint="eastAsia" w:ascii="仿宋" w:hAnsi="仿宋" w:eastAsia="仿宋" w:cs="仿宋"/>
                <w:sz w:val="21"/>
                <w:szCs w:val="21"/>
                <w:vertAlign w:val="baseline"/>
                <w:lang w:val="en-US" w:eastAsia="zh-CN"/>
              </w:rPr>
            </w:pPr>
          </w:p>
        </w:tc>
        <w:tc>
          <w:tcPr>
            <w:tcW w:w="1561" w:type="dxa"/>
          </w:tcPr>
          <w:p w14:paraId="7E12A4D2">
            <w:pPr>
              <w:rPr>
                <w:rFonts w:hint="eastAsia" w:ascii="仿宋" w:hAnsi="仿宋" w:eastAsia="仿宋" w:cs="仿宋"/>
                <w:sz w:val="21"/>
                <w:szCs w:val="21"/>
                <w:vertAlign w:val="baseline"/>
                <w:lang w:val="en-US" w:eastAsia="zh-CN"/>
              </w:rPr>
            </w:pPr>
          </w:p>
        </w:tc>
        <w:tc>
          <w:tcPr>
            <w:tcW w:w="1052" w:type="dxa"/>
          </w:tcPr>
          <w:p w14:paraId="700F9B83">
            <w:pPr>
              <w:rPr>
                <w:rFonts w:hint="eastAsia" w:ascii="仿宋" w:hAnsi="仿宋" w:eastAsia="仿宋" w:cs="仿宋"/>
                <w:sz w:val="21"/>
                <w:szCs w:val="21"/>
                <w:vertAlign w:val="baseline"/>
                <w:lang w:val="en-US" w:eastAsia="zh-CN"/>
              </w:rPr>
            </w:pPr>
          </w:p>
        </w:tc>
      </w:tr>
      <w:tr w14:paraId="5921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35C5E2A6">
            <w:pPr>
              <w:rPr>
                <w:rFonts w:hint="eastAsia" w:ascii="仿宋" w:hAnsi="仿宋" w:eastAsia="仿宋" w:cs="仿宋"/>
                <w:sz w:val="21"/>
                <w:szCs w:val="21"/>
                <w:vertAlign w:val="baseline"/>
                <w:lang w:val="en-US" w:eastAsia="zh-CN"/>
              </w:rPr>
            </w:pPr>
          </w:p>
        </w:tc>
        <w:tc>
          <w:tcPr>
            <w:tcW w:w="1421" w:type="dxa"/>
          </w:tcPr>
          <w:p w14:paraId="77B66BA7">
            <w:pPr>
              <w:rPr>
                <w:rFonts w:hint="eastAsia" w:ascii="仿宋" w:hAnsi="仿宋" w:eastAsia="仿宋" w:cs="仿宋"/>
                <w:sz w:val="21"/>
                <w:szCs w:val="21"/>
                <w:vertAlign w:val="baseline"/>
                <w:lang w:val="en-US" w:eastAsia="zh-CN"/>
              </w:rPr>
            </w:pPr>
          </w:p>
        </w:tc>
        <w:tc>
          <w:tcPr>
            <w:tcW w:w="1901" w:type="dxa"/>
          </w:tcPr>
          <w:p w14:paraId="3CC99CD6">
            <w:pPr>
              <w:rPr>
                <w:rFonts w:hint="eastAsia" w:ascii="仿宋" w:hAnsi="仿宋" w:eastAsia="仿宋" w:cs="仿宋"/>
                <w:sz w:val="21"/>
                <w:szCs w:val="21"/>
                <w:vertAlign w:val="baseline"/>
                <w:lang w:val="en-US" w:eastAsia="zh-CN"/>
              </w:rPr>
            </w:pPr>
          </w:p>
        </w:tc>
        <w:tc>
          <w:tcPr>
            <w:tcW w:w="1753" w:type="dxa"/>
          </w:tcPr>
          <w:p w14:paraId="08A7F66A">
            <w:pPr>
              <w:rPr>
                <w:rFonts w:hint="eastAsia" w:ascii="仿宋" w:hAnsi="仿宋" w:eastAsia="仿宋" w:cs="仿宋"/>
                <w:sz w:val="21"/>
                <w:szCs w:val="21"/>
                <w:vertAlign w:val="baseline"/>
                <w:lang w:val="en-US" w:eastAsia="zh-CN"/>
              </w:rPr>
            </w:pPr>
          </w:p>
        </w:tc>
        <w:tc>
          <w:tcPr>
            <w:tcW w:w="1561" w:type="dxa"/>
          </w:tcPr>
          <w:p w14:paraId="2F9C6C02">
            <w:pPr>
              <w:rPr>
                <w:rFonts w:hint="eastAsia" w:ascii="仿宋" w:hAnsi="仿宋" w:eastAsia="仿宋" w:cs="仿宋"/>
                <w:sz w:val="21"/>
                <w:szCs w:val="21"/>
                <w:vertAlign w:val="baseline"/>
                <w:lang w:val="en-US" w:eastAsia="zh-CN"/>
              </w:rPr>
            </w:pPr>
          </w:p>
        </w:tc>
        <w:tc>
          <w:tcPr>
            <w:tcW w:w="1052" w:type="dxa"/>
          </w:tcPr>
          <w:p w14:paraId="5D664B21">
            <w:pPr>
              <w:rPr>
                <w:rFonts w:hint="eastAsia" w:ascii="仿宋" w:hAnsi="仿宋" w:eastAsia="仿宋" w:cs="仿宋"/>
                <w:sz w:val="21"/>
                <w:szCs w:val="21"/>
                <w:vertAlign w:val="baseline"/>
                <w:lang w:val="en-US" w:eastAsia="zh-CN"/>
              </w:rPr>
            </w:pPr>
          </w:p>
        </w:tc>
      </w:tr>
      <w:tr w14:paraId="0392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44CD4731">
            <w:pPr>
              <w:rPr>
                <w:rFonts w:hint="eastAsia" w:ascii="仿宋" w:hAnsi="仿宋" w:eastAsia="仿宋" w:cs="仿宋"/>
                <w:sz w:val="21"/>
                <w:szCs w:val="21"/>
                <w:vertAlign w:val="baseline"/>
                <w:lang w:val="en-US" w:eastAsia="zh-CN"/>
              </w:rPr>
            </w:pPr>
          </w:p>
        </w:tc>
        <w:tc>
          <w:tcPr>
            <w:tcW w:w="1421" w:type="dxa"/>
          </w:tcPr>
          <w:p w14:paraId="24CC6731">
            <w:pPr>
              <w:rPr>
                <w:rFonts w:hint="eastAsia" w:ascii="仿宋" w:hAnsi="仿宋" w:eastAsia="仿宋" w:cs="仿宋"/>
                <w:sz w:val="21"/>
                <w:szCs w:val="21"/>
                <w:vertAlign w:val="baseline"/>
                <w:lang w:val="en-US" w:eastAsia="zh-CN"/>
              </w:rPr>
            </w:pPr>
          </w:p>
        </w:tc>
        <w:tc>
          <w:tcPr>
            <w:tcW w:w="1901" w:type="dxa"/>
          </w:tcPr>
          <w:p w14:paraId="69F22C9A">
            <w:pPr>
              <w:rPr>
                <w:rFonts w:hint="eastAsia" w:ascii="仿宋" w:hAnsi="仿宋" w:eastAsia="仿宋" w:cs="仿宋"/>
                <w:sz w:val="21"/>
                <w:szCs w:val="21"/>
                <w:vertAlign w:val="baseline"/>
                <w:lang w:val="en-US" w:eastAsia="zh-CN"/>
              </w:rPr>
            </w:pPr>
          </w:p>
        </w:tc>
        <w:tc>
          <w:tcPr>
            <w:tcW w:w="1753" w:type="dxa"/>
          </w:tcPr>
          <w:p w14:paraId="6E65E728">
            <w:pPr>
              <w:rPr>
                <w:rFonts w:hint="eastAsia" w:ascii="仿宋" w:hAnsi="仿宋" w:eastAsia="仿宋" w:cs="仿宋"/>
                <w:sz w:val="21"/>
                <w:szCs w:val="21"/>
                <w:vertAlign w:val="baseline"/>
                <w:lang w:val="en-US" w:eastAsia="zh-CN"/>
              </w:rPr>
            </w:pPr>
          </w:p>
        </w:tc>
        <w:tc>
          <w:tcPr>
            <w:tcW w:w="1561" w:type="dxa"/>
          </w:tcPr>
          <w:p w14:paraId="69425E31">
            <w:pPr>
              <w:rPr>
                <w:rFonts w:hint="eastAsia" w:ascii="仿宋" w:hAnsi="仿宋" w:eastAsia="仿宋" w:cs="仿宋"/>
                <w:sz w:val="21"/>
                <w:szCs w:val="21"/>
                <w:vertAlign w:val="baseline"/>
                <w:lang w:val="en-US" w:eastAsia="zh-CN"/>
              </w:rPr>
            </w:pPr>
          </w:p>
        </w:tc>
        <w:tc>
          <w:tcPr>
            <w:tcW w:w="1052" w:type="dxa"/>
          </w:tcPr>
          <w:p w14:paraId="2BFBA7EA">
            <w:pPr>
              <w:rPr>
                <w:rFonts w:hint="eastAsia" w:ascii="仿宋" w:hAnsi="仿宋" w:eastAsia="仿宋" w:cs="仿宋"/>
                <w:sz w:val="21"/>
                <w:szCs w:val="21"/>
                <w:vertAlign w:val="baseline"/>
                <w:lang w:val="en-US" w:eastAsia="zh-CN"/>
              </w:rPr>
            </w:pPr>
          </w:p>
        </w:tc>
      </w:tr>
    </w:tbl>
    <w:p w14:paraId="11B1ED4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14:paraId="4D9D16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对合同条款中的所有要求，除本表所列明的所有偏离外，均视作投标人已对之理解和响应。</w:t>
      </w:r>
    </w:p>
    <w:p w14:paraId="3B7298F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lang w:val="en-US" w:eastAsia="zh-CN"/>
        </w:rPr>
      </w:pPr>
      <w:bookmarkStart w:id="63" w:name="_Toc5054"/>
      <w:bookmarkStart w:id="64" w:name="_Toc30559"/>
      <w:r>
        <w:rPr>
          <w:rFonts w:hint="eastAsia" w:ascii="仿宋" w:hAnsi="仿宋" w:eastAsia="仿宋" w:cs="仿宋"/>
          <w:sz w:val="24"/>
          <w:szCs w:val="24"/>
          <w:lang w:val="en-US" w:eastAsia="zh-CN"/>
        </w:rPr>
        <w:t>2. “偏离情况”列应据实填写“正偏离”或“负偏离”。</w:t>
      </w:r>
      <w:bookmarkEnd w:id="63"/>
      <w:bookmarkEnd w:id="64"/>
    </w:p>
    <w:p w14:paraId="7C36A0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14:paraId="6281DB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14:paraId="185E68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投标人名称（加盖公章）：</w:t>
      </w:r>
      <w:r>
        <w:rPr>
          <w:rFonts w:hint="eastAsia" w:ascii="仿宋" w:hAnsi="仿宋" w:eastAsia="仿宋" w:cs="仿宋"/>
          <w:sz w:val="24"/>
          <w:szCs w:val="24"/>
          <w:u w:val="single"/>
          <w:lang w:val="en-US" w:eastAsia="zh-CN"/>
        </w:rPr>
        <w:t xml:space="preserve">                 </w:t>
      </w:r>
    </w:p>
    <w:p w14:paraId="00015D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年     月     日</w:t>
      </w:r>
    </w:p>
    <w:p w14:paraId="04D63AE8">
      <w:pPr>
        <w:pStyle w:val="26"/>
        <w:rPr>
          <w:rFonts w:hint="eastAsia" w:ascii="仿宋" w:hAnsi="仿宋" w:eastAsia="仿宋" w:cs="仿宋"/>
          <w:sz w:val="24"/>
          <w:szCs w:val="24"/>
          <w:lang w:val="en-US" w:eastAsia="zh-CN"/>
        </w:rPr>
      </w:pPr>
    </w:p>
    <w:p w14:paraId="7860B730">
      <w:pPr>
        <w:rPr>
          <w:rFonts w:hint="eastAsia" w:ascii="仿宋" w:hAnsi="仿宋" w:eastAsia="仿宋" w:cs="仿宋"/>
          <w:lang w:val="en-US" w:eastAsia="zh-CN"/>
        </w:rPr>
      </w:pPr>
      <w:r>
        <w:rPr>
          <w:rFonts w:hint="eastAsia" w:ascii="仿宋" w:hAnsi="仿宋" w:eastAsia="仿宋" w:cs="仿宋"/>
          <w:lang w:val="en-US" w:eastAsia="zh-CN"/>
        </w:rPr>
        <w:br w:type="page"/>
      </w:r>
    </w:p>
    <w:p w14:paraId="2FFD0734">
      <w:pPr>
        <w:pStyle w:val="22"/>
        <w:ind w:left="0" w:leftChars="0" w:firstLine="0" w:firstLineChars="0"/>
        <w:outlineLvl w:val="1"/>
        <w:rPr>
          <w:rFonts w:hint="eastAsia" w:ascii="仿宋" w:hAnsi="仿宋" w:eastAsia="仿宋" w:cs="仿宋"/>
          <w:sz w:val="24"/>
          <w:szCs w:val="24"/>
          <w:lang w:val="en-US" w:eastAsia="zh-CN"/>
        </w:rPr>
      </w:pPr>
      <w:bookmarkStart w:id="65" w:name="_Toc12415"/>
      <w:bookmarkStart w:id="66" w:name="_Toc3795"/>
      <w:r>
        <w:rPr>
          <w:rFonts w:hint="eastAsia" w:ascii="仿宋" w:hAnsi="仿宋" w:eastAsia="仿宋" w:cs="仿宋"/>
          <w:sz w:val="24"/>
          <w:szCs w:val="24"/>
          <w:lang w:val="en-US" w:eastAsia="zh-CN"/>
        </w:rPr>
        <w:t>9  技术要求偏离表</w:t>
      </w:r>
      <w:bookmarkEnd w:id="65"/>
      <w:bookmarkEnd w:id="66"/>
    </w:p>
    <w:p w14:paraId="78EC2D13">
      <w:pPr>
        <w:pStyle w:val="22"/>
        <w:ind w:left="0" w:leftChars="0" w:firstLine="0" w:firstLineChars="0"/>
        <w:rPr>
          <w:rFonts w:hint="eastAsia" w:ascii="仿宋" w:hAnsi="仿宋" w:eastAsia="仿宋" w:cs="仿宋"/>
          <w:sz w:val="24"/>
          <w:szCs w:val="24"/>
          <w:lang w:val="en-US" w:eastAsia="zh-CN"/>
        </w:rPr>
      </w:pPr>
    </w:p>
    <w:p w14:paraId="110EECCF">
      <w:pPr>
        <w:pStyle w:val="22"/>
        <w:ind w:left="0" w:leftChars="0" w:firstLine="0" w:firstLineChars="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采购需求偏离表</w:t>
      </w:r>
    </w:p>
    <w:p w14:paraId="5CE98641">
      <w:pPr>
        <w:pStyle w:val="22"/>
        <w:ind w:left="0" w:leftChars="0" w:firstLine="0" w:firstLineChars="0"/>
        <w:rPr>
          <w:rFonts w:hint="eastAsia" w:ascii="仿宋" w:hAnsi="仿宋" w:eastAsia="仿宋" w:cs="仿宋"/>
          <w:sz w:val="24"/>
          <w:szCs w:val="24"/>
          <w:lang w:val="en-US" w:eastAsia="zh-CN"/>
        </w:rPr>
      </w:pPr>
    </w:p>
    <w:p w14:paraId="5F42B38A">
      <w:pPr>
        <w:pStyle w:val="22"/>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项目编号/包号：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项目名称：</w:t>
      </w:r>
      <w:r>
        <w:rPr>
          <w:rFonts w:hint="eastAsia" w:ascii="仿宋" w:hAnsi="仿宋" w:eastAsia="仿宋" w:cs="仿宋"/>
          <w:sz w:val="21"/>
          <w:szCs w:val="21"/>
          <w:u w:val="single"/>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46C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8EAFF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1422" w:type="dxa"/>
            <w:vAlign w:val="center"/>
          </w:tcPr>
          <w:p w14:paraId="2059CC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采购文件条</w:t>
            </w:r>
          </w:p>
          <w:p w14:paraId="5A4B34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目号(页码)</w:t>
            </w:r>
          </w:p>
        </w:tc>
        <w:tc>
          <w:tcPr>
            <w:tcW w:w="1805" w:type="dxa"/>
            <w:vAlign w:val="center"/>
          </w:tcPr>
          <w:p w14:paraId="74E95D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采购文件要求</w:t>
            </w:r>
          </w:p>
        </w:tc>
        <w:tc>
          <w:tcPr>
            <w:tcW w:w="1672" w:type="dxa"/>
            <w:vAlign w:val="center"/>
          </w:tcPr>
          <w:p w14:paraId="626C19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响应文件内容</w:t>
            </w:r>
          </w:p>
        </w:tc>
        <w:tc>
          <w:tcPr>
            <w:tcW w:w="1421" w:type="dxa"/>
            <w:vAlign w:val="center"/>
          </w:tcPr>
          <w:p w14:paraId="7DC5C5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偏离情况</w:t>
            </w:r>
          </w:p>
        </w:tc>
        <w:tc>
          <w:tcPr>
            <w:tcW w:w="1421" w:type="dxa"/>
            <w:vAlign w:val="center"/>
          </w:tcPr>
          <w:p w14:paraId="4BD4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说明</w:t>
            </w:r>
          </w:p>
        </w:tc>
      </w:tr>
      <w:tr w14:paraId="536C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C2EF36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1771FE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1EAECB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011010C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A6695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7F0D33A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4FB2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43AE9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30EC52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763BA9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355DF1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68AAF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104A80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2FC1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172A5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2813C8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73A02A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294D2BB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69B1CA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215051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39E0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E7650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14D3D9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1A6C98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46476C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28CF787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5D8730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172A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BE1E4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055DB8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2BB091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5AFB0AF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12EE27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20C638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4034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66716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073FF9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36F605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190663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0F6633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75807C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r w14:paraId="0764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A34BF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2" w:type="dxa"/>
          </w:tcPr>
          <w:p w14:paraId="15913E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805" w:type="dxa"/>
          </w:tcPr>
          <w:p w14:paraId="48D292D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672" w:type="dxa"/>
          </w:tcPr>
          <w:p w14:paraId="5D29EF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1194D1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c>
          <w:tcPr>
            <w:tcW w:w="1421" w:type="dxa"/>
          </w:tcPr>
          <w:p w14:paraId="3E9231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vertAlign w:val="baseline"/>
                <w:lang w:val="en-US" w:eastAsia="zh-CN"/>
              </w:rPr>
            </w:pPr>
          </w:p>
        </w:tc>
      </w:tr>
    </w:tbl>
    <w:p w14:paraId="6B844B1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14:paraId="1A4E89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1.投标人应对采购文件第五章采购需求的内容给予逐条响应，以投标产品和服务所能达到的内容予以填写，而不得复制招标的技术要求作为响应内容，有具体参数的应填写具体参数。</w:t>
      </w:r>
    </w:p>
    <w:p w14:paraId="575015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2.在本表中未对采购文件第五章采购需求的内容给予逐条响应的视为没有实质上响应采购文件的要求，响应无效。 此表中仅标注“全部满足”、“全部响应”等，无法体现投标人实质性响应或者偏离技术要求的；或无任何文字说明，内容为空白的，其响应无效。</w:t>
      </w:r>
    </w:p>
    <w:p w14:paraId="274A2A7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3.投标人应按照采购文件第五章采购需求中要求提供投标产品技术支持资料（或证明材料），并在采购需求响应及偏离表中给予文件名称、所处响应文件页码或位置等必要说明。</w:t>
      </w:r>
    </w:p>
    <w:p w14:paraId="36BB170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4.“偏离情况”列应据实填写“正偏离”、“负偏离”或“无偏离”。</w:t>
      </w:r>
    </w:p>
    <w:p w14:paraId="119D90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投标人名称（加盖公章）：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年     月     日</w:t>
      </w:r>
    </w:p>
    <w:p w14:paraId="2CD52AA6">
      <w:pPr>
        <w:rPr>
          <w:rFonts w:hint="eastAsia" w:ascii="仿宋" w:hAnsi="仿宋" w:eastAsia="仿宋" w:cs="仿宋"/>
          <w:lang w:val="en-US" w:eastAsia="zh-CN"/>
        </w:rPr>
      </w:pPr>
      <w:r>
        <w:rPr>
          <w:rFonts w:hint="eastAsia" w:ascii="仿宋" w:hAnsi="仿宋" w:eastAsia="仿宋" w:cs="仿宋"/>
          <w:lang w:val="en-US" w:eastAsia="zh-CN"/>
        </w:rPr>
        <w:br w:type="page"/>
      </w:r>
    </w:p>
    <w:p w14:paraId="2A8F5371">
      <w:pPr>
        <w:widowControl w:val="0"/>
        <w:spacing w:line="360" w:lineRule="auto"/>
        <w:ind w:left="0" w:leftChars="0" w:firstLine="0" w:firstLineChars="0"/>
        <w:jc w:val="both"/>
        <w:rPr>
          <w:rFonts w:hint="eastAsia" w:ascii="仿宋" w:hAnsi="仿宋" w:eastAsia="仿宋" w:cs="仿宋"/>
          <w:kern w:val="2"/>
          <w:sz w:val="24"/>
          <w:szCs w:val="24"/>
          <w:lang w:val="en-US" w:eastAsia="zh-CN" w:bidi="zh-CN"/>
        </w:rPr>
      </w:pPr>
      <w:r>
        <w:rPr>
          <w:rFonts w:hint="eastAsia" w:ascii="仿宋" w:hAnsi="仿宋" w:eastAsia="仿宋" w:cs="仿宋"/>
          <w:kern w:val="2"/>
          <w:sz w:val="24"/>
          <w:szCs w:val="24"/>
          <w:lang w:val="en-US" w:eastAsia="zh-CN" w:bidi="zh-CN"/>
        </w:rPr>
        <w:t>10   采购文件要求提供或投标人认为应附的其他材料</w:t>
      </w:r>
    </w:p>
    <w:p w14:paraId="23EA54D0">
      <w:pPr>
        <w:pStyle w:val="22"/>
        <w:rPr>
          <w:rFonts w:hint="eastAsia" w:ascii="仿宋" w:hAnsi="仿宋" w:eastAsia="仿宋" w:cs="仿宋"/>
          <w:lang w:val="en-US" w:eastAsia="zh-CN"/>
        </w:rPr>
      </w:pPr>
    </w:p>
    <w:p w14:paraId="5F7A7A84">
      <w:pPr>
        <w:rPr>
          <w:rFonts w:hint="eastAsia" w:ascii="仿宋" w:hAnsi="仿宋" w:eastAsia="仿宋" w:cs="仿宋"/>
          <w:lang w:val="en-US" w:eastAsia="zh-CN"/>
        </w:rPr>
      </w:pPr>
    </w:p>
    <w:p w14:paraId="3C49BF1D">
      <w:pPr>
        <w:pStyle w:val="25"/>
        <w:rPr>
          <w:rFonts w:hint="eastAsia" w:ascii="仿宋" w:hAnsi="仿宋" w:eastAsia="仿宋" w:cs="仿宋"/>
          <w:lang w:val="en-US" w:eastAsia="zh-CN"/>
        </w:rPr>
      </w:pPr>
    </w:p>
    <w:sectPr>
      <w:footerReference r:id="rId6" w:type="default"/>
      <w:pgSz w:w="11906" w:h="16838"/>
      <w:pgMar w:top="1440" w:right="1800" w:bottom="1440" w:left="1800" w:header="851" w:footer="992" w:gutter="0"/>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CDF660-7A1E-4F9F-86DB-4CF2CC2B455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FD6EDB42-F2AE-4B2D-BD32-DAD76F96019A}"/>
  </w:font>
  <w:font w:name="微软雅黑">
    <w:panose1 w:val="020B0503020204020204"/>
    <w:charset w:val="86"/>
    <w:family w:val="auto"/>
    <w:pitch w:val="default"/>
    <w:sig w:usb0="80000287" w:usb1="2ACF3C50" w:usb2="00000016" w:usb3="00000000" w:csb0="0004001F" w:csb1="00000000"/>
    <w:embedRegular r:id="rId3" w:fontKey="{F0447859-5FE7-43D3-889D-AA27AF1C364E}"/>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4" w:fontKey="{BB6415D2-A3C2-4627-98FF-3F7AC7BE75EE}"/>
  </w:font>
  <w:font w:name="等线">
    <w:panose1 w:val="02010600030101010101"/>
    <w:charset w:val="86"/>
    <w:family w:val="auto"/>
    <w:pitch w:val="default"/>
    <w:sig w:usb0="A00002BF" w:usb1="38CF7CFA" w:usb2="00000016" w:usb3="00000000" w:csb0="0004000F" w:csb1="00000000"/>
  </w:font>
  <w:font w:name="Palatino Linotype">
    <w:panose1 w:val="02040502050505030304"/>
    <w:charset w:val="00"/>
    <w:family w:val="roman"/>
    <w:pitch w:val="default"/>
    <w:sig w:usb0="E0000287" w:usb1="40000013" w:usb2="00000000" w:usb3="00000000" w:csb0="2000019F" w:csb1="00000000"/>
  </w:font>
  <w:font w:name="Tahoma">
    <w:panose1 w:val="020B0604030504040204"/>
    <w:charset w:val="00"/>
    <w:family w:val="swiss"/>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embedRegular r:id="rId5" w:fontKey="{C3A92AEB-4A6D-4C16-8FB8-2DED26F3C1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2BD8F">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BA717">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ABA717">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EBD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531A3">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87372">
                          <w:pPr>
                            <w:pStyle w:val="19"/>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2287372">
                    <w:pPr>
                      <w:pStyle w:val="19"/>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DBB27">
    <w:pPr>
      <w:pStyle w:val="20"/>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47753E1C">
    <w:pPr>
      <w:pStyle w:val="20"/>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F7B77737"/>
    <w:multiLevelType w:val="singleLevel"/>
    <w:tmpl w:val="F7B77737"/>
    <w:lvl w:ilvl="0" w:tentative="0">
      <w:start w:val="5"/>
      <w:numFmt w:val="chineseCounting"/>
      <w:suff w:val="space"/>
      <w:lvlText w:val="第%1条"/>
      <w:lvlJc w:val="left"/>
      <w:rPr>
        <w:rFonts w:hint="eastAsia"/>
      </w:rPr>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1"/>
      <w:numFmt w:val="decimal"/>
      <w:isLgl/>
      <w:suff w:val="space"/>
      <w:lvlText w:val="%1.%2.%3 "/>
      <w:lvlJc w:val="left"/>
      <w:pPr>
        <w:ind w:left="907" w:hanging="907"/>
      </w:pPr>
      <w:rPr>
        <w:rFonts w:hint="eastAsia"/>
      </w:rPr>
    </w:lvl>
    <w:lvl w:ilvl="3" w:tentative="0">
      <w:start w:val="1"/>
      <w:numFmt w:val="decimal"/>
      <w:isLgl/>
      <w:suff w:val="space"/>
      <w:lvlText w:val="%1.%2.%3.%4 "/>
      <w:lvlJc w:val="left"/>
      <w:pPr>
        <w:ind w:left="1021" w:hanging="1021"/>
      </w:pPr>
      <w:rPr>
        <w:rFonts w:hint="eastAsia"/>
      </w:rPr>
    </w:lvl>
    <w:lvl w:ilvl="4" w:tentative="0">
      <w:start w:val="1"/>
      <w:numFmt w:val="decimal"/>
      <w:pStyle w:val="38"/>
      <w:isLgl/>
      <w:suff w:val="space"/>
      <w:lvlText w:val="%1.%2.%3.%4.%5 "/>
      <w:lvlJc w:val="left"/>
      <w:pPr>
        <w:ind w:left="1134" w:hanging="1134"/>
      </w:pPr>
      <w:rPr>
        <w:rFonts w:hint="eastAsia"/>
      </w:rPr>
    </w:lvl>
    <w:lvl w:ilvl="5" w:tentative="0">
      <w:start w:val="1"/>
      <w:numFmt w:val="decimal"/>
      <w:isLgl/>
      <w:suff w:val="space"/>
      <w:lvlText w:val="%1.%2.%3.%4.%5.%6 "/>
      <w:lvlJc w:val="left"/>
      <w:pPr>
        <w:ind w:left="1247" w:hanging="1247"/>
      </w:pPr>
      <w:rPr>
        <w:rFonts w:hint="eastAsia"/>
      </w:rPr>
    </w:lvl>
    <w:lvl w:ilvl="6" w:tentative="0">
      <w:start w:val="1"/>
      <w:numFmt w:val="decimal"/>
      <w:lvlRestart w:val="1"/>
      <w:isLgl/>
      <w:suff w:val="space"/>
      <w:lvlText w:val="图 %1.%7 "/>
      <w:lvlJc w:val="left"/>
      <w:pPr>
        <w:ind w:left="0" w:firstLine="0"/>
      </w:pPr>
      <w:rPr>
        <w:rFonts w:hint="eastAsia"/>
      </w:rPr>
    </w:lvl>
    <w:lvl w:ilvl="7" w:tentative="0">
      <w:start w:val="1"/>
      <w:numFmt w:val="decimal"/>
      <w:lvlRestart w:val="1"/>
      <w:isLgl/>
      <w:suff w:val="space"/>
      <w:lvlText w:val="表 %1.%8 "/>
      <w:lvlJc w:val="left"/>
      <w:pPr>
        <w:ind w:left="0" w:firstLine="0"/>
      </w:pPr>
      <w:rPr>
        <w:rFonts w:hint="eastAsia"/>
      </w:rPr>
    </w:lvl>
    <w:lvl w:ilvl="8" w:tentative="0">
      <w:start w:val="0"/>
      <w:numFmt w:val="decimal"/>
      <w:lvlText w:val=""/>
      <w:lvlJc w:val="left"/>
      <w:rPr>
        <w:rFonts w:cs="Times New Roman"/>
      </w:rPr>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97857C6"/>
    <w:multiLevelType w:val="singleLevel"/>
    <w:tmpl w:val="597857C6"/>
    <w:lvl w:ilvl="0" w:tentative="0">
      <w:start w:val="1"/>
      <w:numFmt w:val="chineseCounting"/>
      <w:suff w:val="nothing"/>
      <w:lvlText w:val="（%1）"/>
      <w:lvlJc w:val="left"/>
      <w:rPr>
        <w:rFonts w:hint="eastAsia"/>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7"/>
  </w:num>
  <w:num w:numId="2">
    <w:abstractNumId w:val="1"/>
  </w:num>
  <w:num w:numId="3">
    <w:abstractNumId w:val="12"/>
  </w:num>
  <w:num w:numId="4">
    <w:abstractNumId w:val="8"/>
  </w:num>
  <w:num w:numId="5">
    <w:abstractNumId w:val="13"/>
  </w:num>
  <w:num w:numId="6">
    <w:abstractNumId w:val="14"/>
  </w:num>
  <w:num w:numId="7">
    <w:abstractNumId w:val="11"/>
  </w:num>
  <w:num w:numId="8">
    <w:abstractNumId w:val="6"/>
  </w:num>
  <w:num w:numId="9">
    <w:abstractNumId w:val="2"/>
  </w:num>
  <w:num w:numId="10">
    <w:abstractNumId w:val="10"/>
  </w:num>
  <w:num w:numId="11">
    <w:abstractNumId w:val="4"/>
  </w:num>
  <w:num w:numId="12">
    <w:abstractNumId w:val="9"/>
  </w:num>
  <w:num w:numId="13">
    <w:abstractNumId w:val="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lOGZiMmIzZGVmZjc5ZjUxZDc2NTQxNThiZDU0NWMifQ=="/>
  </w:docVars>
  <w:rsids>
    <w:rsidRoot w:val="1AA24D9F"/>
    <w:rsid w:val="004227E4"/>
    <w:rsid w:val="005E1A1C"/>
    <w:rsid w:val="00B00BD6"/>
    <w:rsid w:val="00CF3752"/>
    <w:rsid w:val="00E60A9C"/>
    <w:rsid w:val="01BE3EA6"/>
    <w:rsid w:val="01E50E1F"/>
    <w:rsid w:val="02353A89"/>
    <w:rsid w:val="02571C51"/>
    <w:rsid w:val="027345B1"/>
    <w:rsid w:val="029F2306"/>
    <w:rsid w:val="03055D36"/>
    <w:rsid w:val="030A23FA"/>
    <w:rsid w:val="0321400D"/>
    <w:rsid w:val="034F484F"/>
    <w:rsid w:val="03960557"/>
    <w:rsid w:val="03F222A7"/>
    <w:rsid w:val="03F359AA"/>
    <w:rsid w:val="04071455"/>
    <w:rsid w:val="04100C9A"/>
    <w:rsid w:val="045251A7"/>
    <w:rsid w:val="04CA514B"/>
    <w:rsid w:val="051D1BC6"/>
    <w:rsid w:val="05D47115"/>
    <w:rsid w:val="061B1E9A"/>
    <w:rsid w:val="06C4362D"/>
    <w:rsid w:val="06C76C7A"/>
    <w:rsid w:val="06FF01C2"/>
    <w:rsid w:val="07011CC2"/>
    <w:rsid w:val="071751E8"/>
    <w:rsid w:val="07300CC3"/>
    <w:rsid w:val="07644792"/>
    <w:rsid w:val="07702E6D"/>
    <w:rsid w:val="07B40FAC"/>
    <w:rsid w:val="07BE71A8"/>
    <w:rsid w:val="0822060B"/>
    <w:rsid w:val="08E17110"/>
    <w:rsid w:val="09284798"/>
    <w:rsid w:val="09353BD7"/>
    <w:rsid w:val="09734E97"/>
    <w:rsid w:val="099153F6"/>
    <w:rsid w:val="09BC4A90"/>
    <w:rsid w:val="0BFA53FB"/>
    <w:rsid w:val="0C5D0751"/>
    <w:rsid w:val="0C6E02C3"/>
    <w:rsid w:val="0D51729D"/>
    <w:rsid w:val="0D523741"/>
    <w:rsid w:val="0D6A1561"/>
    <w:rsid w:val="0D8A6C86"/>
    <w:rsid w:val="0D9037A8"/>
    <w:rsid w:val="0D9F625A"/>
    <w:rsid w:val="0DD32F06"/>
    <w:rsid w:val="0E0407B3"/>
    <w:rsid w:val="0E4B798E"/>
    <w:rsid w:val="0F2B6FD9"/>
    <w:rsid w:val="0F6459AD"/>
    <w:rsid w:val="10240C99"/>
    <w:rsid w:val="10360F43"/>
    <w:rsid w:val="10376C1E"/>
    <w:rsid w:val="11286567"/>
    <w:rsid w:val="11C3468F"/>
    <w:rsid w:val="11FE3E97"/>
    <w:rsid w:val="120D5E88"/>
    <w:rsid w:val="1294398E"/>
    <w:rsid w:val="12993BC0"/>
    <w:rsid w:val="1321113E"/>
    <w:rsid w:val="1324792E"/>
    <w:rsid w:val="1393060F"/>
    <w:rsid w:val="145C30F7"/>
    <w:rsid w:val="14C111AC"/>
    <w:rsid w:val="15113EE2"/>
    <w:rsid w:val="153320AA"/>
    <w:rsid w:val="1585667E"/>
    <w:rsid w:val="158A4221"/>
    <w:rsid w:val="160550C9"/>
    <w:rsid w:val="16175528"/>
    <w:rsid w:val="162E0AC3"/>
    <w:rsid w:val="164C5DA1"/>
    <w:rsid w:val="16962461"/>
    <w:rsid w:val="1703785A"/>
    <w:rsid w:val="170B3BD8"/>
    <w:rsid w:val="17363E85"/>
    <w:rsid w:val="17463BEB"/>
    <w:rsid w:val="181A30AD"/>
    <w:rsid w:val="183C240D"/>
    <w:rsid w:val="189D783A"/>
    <w:rsid w:val="18EE62E8"/>
    <w:rsid w:val="19121FD6"/>
    <w:rsid w:val="19F8741E"/>
    <w:rsid w:val="1A7D3DC7"/>
    <w:rsid w:val="1A824F3A"/>
    <w:rsid w:val="1A8607B2"/>
    <w:rsid w:val="1AA24D9F"/>
    <w:rsid w:val="1AA9696A"/>
    <w:rsid w:val="1AD2194F"/>
    <w:rsid w:val="1B06659D"/>
    <w:rsid w:val="1B723BA2"/>
    <w:rsid w:val="1B7C7BDB"/>
    <w:rsid w:val="1B8D0258"/>
    <w:rsid w:val="1B950C9D"/>
    <w:rsid w:val="1B9C202B"/>
    <w:rsid w:val="1C6923AC"/>
    <w:rsid w:val="1C981C00"/>
    <w:rsid w:val="1CDA3272"/>
    <w:rsid w:val="1CFC5477"/>
    <w:rsid w:val="1DCB5CE7"/>
    <w:rsid w:val="1DCF493A"/>
    <w:rsid w:val="1ECE074D"/>
    <w:rsid w:val="1F3233D2"/>
    <w:rsid w:val="1F33719D"/>
    <w:rsid w:val="1FB05EDF"/>
    <w:rsid w:val="20182BD0"/>
    <w:rsid w:val="205E3D53"/>
    <w:rsid w:val="21A63C04"/>
    <w:rsid w:val="21A8797C"/>
    <w:rsid w:val="221479D2"/>
    <w:rsid w:val="22491B20"/>
    <w:rsid w:val="224A27E1"/>
    <w:rsid w:val="229D4BC1"/>
    <w:rsid w:val="22A27BFA"/>
    <w:rsid w:val="22C352AA"/>
    <w:rsid w:val="22CC769A"/>
    <w:rsid w:val="22ED287E"/>
    <w:rsid w:val="22FD7853"/>
    <w:rsid w:val="236B6EB3"/>
    <w:rsid w:val="23CF5A1D"/>
    <w:rsid w:val="23DE58D7"/>
    <w:rsid w:val="244200FD"/>
    <w:rsid w:val="250749B9"/>
    <w:rsid w:val="27B506FD"/>
    <w:rsid w:val="27EF36B5"/>
    <w:rsid w:val="285E4655"/>
    <w:rsid w:val="28A54C15"/>
    <w:rsid w:val="28DA2E89"/>
    <w:rsid w:val="28FA0C0F"/>
    <w:rsid w:val="2A3F37A7"/>
    <w:rsid w:val="2A4254F9"/>
    <w:rsid w:val="2A9036A3"/>
    <w:rsid w:val="2AEF2177"/>
    <w:rsid w:val="2B065713"/>
    <w:rsid w:val="2B42499D"/>
    <w:rsid w:val="2B7773DA"/>
    <w:rsid w:val="2C0C0B07"/>
    <w:rsid w:val="2D1F32F4"/>
    <w:rsid w:val="2DDA60A5"/>
    <w:rsid w:val="2DED6716"/>
    <w:rsid w:val="2E0979F4"/>
    <w:rsid w:val="2FAB3452"/>
    <w:rsid w:val="2FBB1B81"/>
    <w:rsid w:val="30C245D2"/>
    <w:rsid w:val="31BD2FCF"/>
    <w:rsid w:val="323B4D81"/>
    <w:rsid w:val="32742892"/>
    <w:rsid w:val="32DA370D"/>
    <w:rsid w:val="32E4458C"/>
    <w:rsid w:val="33234CBA"/>
    <w:rsid w:val="332D7CE1"/>
    <w:rsid w:val="337A3A69"/>
    <w:rsid w:val="33813B89"/>
    <w:rsid w:val="33A45AC9"/>
    <w:rsid w:val="342D5ABF"/>
    <w:rsid w:val="34B70380"/>
    <w:rsid w:val="350E58F0"/>
    <w:rsid w:val="35E13004"/>
    <w:rsid w:val="35E623C9"/>
    <w:rsid w:val="3613479B"/>
    <w:rsid w:val="36174C78"/>
    <w:rsid w:val="362D7FF8"/>
    <w:rsid w:val="365C69BF"/>
    <w:rsid w:val="366D4898"/>
    <w:rsid w:val="36714388"/>
    <w:rsid w:val="36C31C10"/>
    <w:rsid w:val="36C73E76"/>
    <w:rsid w:val="37477ACB"/>
    <w:rsid w:val="3783605E"/>
    <w:rsid w:val="390A4620"/>
    <w:rsid w:val="39F257E0"/>
    <w:rsid w:val="3A2C3249"/>
    <w:rsid w:val="3AE174A3"/>
    <w:rsid w:val="3AE72E6B"/>
    <w:rsid w:val="3B133C60"/>
    <w:rsid w:val="3B810614"/>
    <w:rsid w:val="3C10400B"/>
    <w:rsid w:val="3C6109FB"/>
    <w:rsid w:val="3CA61E79"/>
    <w:rsid w:val="3CD613E9"/>
    <w:rsid w:val="3CF4361D"/>
    <w:rsid w:val="3D1B32A0"/>
    <w:rsid w:val="3E9B1681"/>
    <w:rsid w:val="3ED454B4"/>
    <w:rsid w:val="3F172BE7"/>
    <w:rsid w:val="3F3314F0"/>
    <w:rsid w:val="3F6455D5"/>
    <w:rsid w:val="3F8A61EF"/>
    <w:rsid w:val="40B22BC4"/>
    <w:rsid w:val="40BE2AD0"/>
    <w:rsid w:val="41A73354"/>
    <w:rsid w:val="421107CE"/>
    <w:rsid w:val="42164036"/>
    <w:rsid w:val="421F113C"/>
    <w:rsid w:val="42AC04F6"/>
    <w:rsid w:val="42B71375"/>
    <w:rsid w:val="43446334"/>
    <w:rsid w:val="43657F58"/>
    <w:rsid w:val="43892534"/>
    <w:rsid w:val="448C5F4F"/>
    <w:rsid w:val="44A84E71"/>
    <w:rsid w:val="44D04970"/>
    <w:rsid w:val="45015357"/>
    <w:rsid w:val="462F3918"/>
    <w:rsid w:val="467400CF"/>
    <w:rsid w:val="46FB75DC"/>
    <w:rsid w:val="472D5710"/>
    <w:rsid w:val="477172B3"/>
    <w:rsid w:val="477DCE1E"/>
    <w:rsid w:val="478902C6"/>
    <w:rsid w:val="480F1C53"/>
    <w:rsid w:val="481334F1"/>
    <w:rsid w:val="4876238A"/>
    <w:rsid w:val="48D6451F"/>
    <w:rsid w:val="48EC5AF0"/>
    <w:rsid w:val="49E30CA1"/>
    <w:rsid w:val="4A0F1A96"/>
    <w:rsid w:val="4A2F20BE"/>
    <w:rsid w:val="4A3C6CC5"/>
    <w:rsid w:val="4A812DCC"/>
    <w:rsid w:val="4B7C315C"/>
    <w:rsid w:val="4C2061DD"/>
    <w:rsid w:val="4C577725"/>
    <w:rsid w:val="4C765DFD"/>
    <w:rsid w:val="4C806C7C"/>
    <w:rsid w:val="4E074EFB"/>
    <w:rsid w:val="4E9C3B15"/>
    <w:rsid w:val="4EC70B92"/>
    <w:rsid w:val="4EC72940"/>
    <w:rsid w:val="4F1418FD"/>
    <w:rsid w:val="4F171DF0"/>
    <w:rsid w:val="4F8847C5"/>
    <w:rsid w:val="4FEE65F2"/>
    <w:rsid w:val="5079410E"/>
    <w:rsid w:val="50CC0371"/>
    <w:rsid w:val="50D737EC"/>
    <w:rsid w:val="50E45C6A"/>
    <w:rsid w:val="51416E8D"/>
    <w:rsid w:val="51A52CE0"/>
    <w:rsid w:val="51D610EC"/>
    <w:rsid w:val="51E3650C"/>
    <w:rsid w:val="51EE6435"/>
    <w:rsid w:val="5253098E"/>
    <w:rsid w:val="525C3CE7"/>
    <w:rsid w:val="52643F89"/>
    <w:rsid w:val="52E41A3B"/>
    <w:rsid w:val="535C4392"/>
    <w:rsid w:val="536A4041"/>
    <w:rsid w:val="54581294"/>
    <w:rsid w:val="54A379AB"/>
    <w:rsid w:val="54E104D3"/>
    <w:rsid w:val="550348EE"/>
    <w:rsid w:val="55137AFA"/>
    <w:rsid w:val="55B6198C"/>
    <w:rsid w:val="55D911AB"/>
    <w:rsid w:val="563539F0"/>
    <w:rsid w:val="56557314"/>
    <w:rsid w:val="56E60023"/>
    <w:rsid w:val="56FB205F"/>
    <w:rsid w:val="57037009"/>
    <w:rsid w:val="570D1A54"/>
    <w:rsid w:val="573E1E21"/>
    <w:rsid w:val="57931F59"/>
    <w:rsid w:val="57F4253F"/>
    <w:rsid w:val="57F7435A"/>
    <w:rsid w:val="58B5554F"/>
    <w:rsid w:val="58C61EBA"/>
    <w:rsid w:val="58D36385"/>
    <w:rsid w:val="592A2449"/>
    <w:rsid w:val="593D0B75"/>
    <w:rsid w:val="59981BF0"/>
    <w:rsid w:val="5A571512"/>
    <w:rsid w:val="5B44356A"/>
    <w:rsid w:val="5B487E91"/>
    <w:rsid w:val="5BA0543E"/>
    <w:rsid w:val="5BDB7926"/>
    <w:rsid w:val="5C4B7407"/>
    <w:rsid w:val="5C553C81"/>
    <w:rsid w:val="5CB0535B"/>
    <w:rsid w:val="5CF9550F"/>
    <w:rsid w:val="5D6B74D4"/>
    <w:rsid w:val="5D943B8C"/>
    <w:rsid w:val="5DB402AB"/>
    <w:rsid w:val="5DFD456D"/>
    <w:rsid w:val="5E2D4995"/>
    <w:rsid w:val="5E4C10B3"/>
    <w:rsid w:val="5E7128C8"/>
    <w:rsid w:val="5E781EA8"/>
    <w:rsid w:val="5E7A5AC0"/>
    <w:rsid w:val="5E955F07"/>
    <w:rsid w:val="5EA84152"/>
    <w:rsid w:val="5EFEBDE8"/>
    <w:rsid w:val="5FBE1B3D"/>
    <w:rsid w:val="606A3A73"/>
    <w:rsid w:val="60755DA6"/>
    <w:rsid w:val="6085265B"/>
    <w:rsid w:val="60FD0443"/>
    <w:rsid w:val="6155202D"/>
    <w:rsid w:val="619B0311"/>
    <w:rsid w:val="623B56C7"/>
    <w:rsid w:val="62546789"/>
    <w:rsid w:val="625B691D"/>
    <w:rsid w:val="626369CC"/>
    <w:rsid w:val="626D784A"/>
    <w:rsid w:val="63155479"/>
    <w:rsid w:val="63213CF4"/>
    <w:rsid w:val="63BEED64"/>
    <w:rsid w:val="642B176B"/>
    <w:rsid w:val="64553B1D"/>
    <w:rsid w:val="64974F6B"/>
    <w:rsid w:val="64D5468F"/>
    <w:rsid w:val="64FD3107"/>
    <w:rsid w:val="656C403D"/>
    <w:rsid w:val="659D3FA3"/>
    <w:rsid w:val="6639539F"/>
    <w:rsid w:val="66497B55"/>
    <w:rsid w:val="66605293"/>
    <w:rsid w:val="66F67E0E"/>
    <w:rsid w:val="66F916AD"/>
    <w:rsid w:val="6793354D"/>
    <w:rsid w:val="67CE0D8B"/>
    <w:rsid w:val="67E61C31"/>
    <w:rsid w:val="68140955"/>
    <w:rsid w:val="68B43ADD"/>
    <w:rsid w:val="68CA2609"/>
    <w:rsid w:val="68CC1AED"/>
    <w:rsid w:val="692A0243"/>
    <w:rsid w:val="6942733B"/>
    <w:rsid w:val="69756874"/>
    <w:rsid w:val="69BB0F42"/>
    <w:rsid w:val="6A2C45BE"/>
    <w:rsid w:val="6A637494"/>
    <w:rsid w:val="6A892D47"/>
    <w:rsid w:val="6A8D2838"/>
    <w:rsid w:val="6A9F07BD"/>
    <w:rsid w:val="6AD23432"/>
    <w:rsid w:val="6AFE227D"/>
    <w:rsid w:val="6B1308BC"/>
    <w:rsid w:val="6B3E3B32"/>
    <w:rsid w:val="6BB81877"/>
    <w:rsid w:val="6BCF62E6"/>
    <w:rsid w:val="6C687768"/>
    <w:rsid w:val="6C8639E2"/>
    <w:rsid w:val="6CD3A16D"/>
    <w:rsid w:val="6D535020"/>
    <w:rsid w:val="6D6142C0"/>
    <w:rsid w:val="6D7950F8"/>
    <w:rsid w:val="6E3234E5"/>
    <w:rsid w:val="6E5F49A6"/>
    <w:rsid w:val="6EAD55EF"/>
    <w:rsid w:val="6EF64BA3"/>
    <w:rsid w:val="6F23376B"/>
    <w:rsid w:val="6F3F0FBC"/>
    <w:rsid w:val="6F6C6C4B"/>
    <w:rsid w:val="6FB76370"/>
    <w:rsid w:val="6FBE656C"/>
    <w:rsid w:val="6FE0165C"/>
    <w:rsid w:val="6FF637CB"/>
    <w:rsid w:val="6FFF37D2"/>
    <w:rsid w:val="700370F8"/>
    <w:rsid w:val="70042D45"/>
    <w:rsid w:val="70127B77"/>
    <w:rsid w:val="70294DB1"/>
    <w:rsid w:val="70A46B2D"/>
    <w:rsid w:val="70CE5958"/>
    <w:rsid w:val="70DA1D6D"/>
    <w:rsid w:val="70DE2EF1"/>
    <w:rsid w:val="711C3219"/>
    <w:rsid w:val="71520337"/>
    <w:rsid w:val="71AA1F21"/>
    <w:rsid w:val="7221658E"/>
    <w:rsid w:val="72DC0379"/>
    <w:rsid w:val="731A4E85"/>
    <w:rsid w:val="7349576A"/>
    <w:rsid w:val="735C724B"/>
    <w:rsid w:val="73BF43B6"/>
    <w:rsid w:val="75203B28"/>
    <w:rsid w:val="76057F95"/>
    <w:rsid w:val="76181E56"/>
    <w:rsid w:val="767B3E8C"/>
    <w:rsid w:val="767B4F55"/>
    <w:rsid w:val="76856AB9"/>
    <w:rsid w:val="769413F2"/>
    <w:rsid w:val="76952AF0"/>
    <w:rsid w:val="76AC03E7"/>
    <w:rsid w:val="76C40769"/>
    <w:rsid w:val="76CE1E3B"/>
    <w:rsid w:val="77242776"/>
    <w:rsid w:val="772C162A"/>
    <w:rsid w:val="780D6D66"/>
    <w:rsid w:val="79224A93"/>
    <w:rsid w:val="795E67FE"/>
    <w:rsid w:val="79817A0B"/>
    <w:rsid w:val="799A0446"/>
    <w:rsid w:val="79D815F5"/>
    <w:rsid w:val="7A6D3E2A"/>
    <w:rsid w:val="7B436597"/>
    <w:rsid w:val="7BB75966"/>
    <w:rsid w:val="7C5F4108"/>
    <w:rsid w:val="7CB579CC"/>
    <w:rsid w:val="7CCE6E9D"/>
    <w:rsid w:val="7CCF6CE0"/>
    <w:rsid w:val="7CD2057E"/>
    <w:rsid w:val="7CD73DE6"/>
    <w:rsid w:val="7D332F7E"/>
    <w:rsid w:val="7D380D29"/>
    <w:rsid w:val="7DB54128"/>
    <w:rsid w:val="7DF86D11"/>
    <w:rsid w:val="7E687DD8"/>
    <w:rsid w:val="7F6743AB"/>
    <w:rsid w:val="7F79C282"/>
    <w:rsid w:val="7F7B6CAE"/>
    <w:rsid w:val="7FB126CD"/>
    <w:rsid w:val="7FBD5515"/>
    <w:rsid w:val="7FBF6DD0"/>
    <w:rsid w:val="7FC63732"/>
    <w:rsid w:val="7FCD17FE"/>
    <w:rsid w:val="7FD7E9A0"/>
    <w:rsid w:val="7FE9FBB2"/>
    <w:rsid w:val="7FF01447"/>
    <w:rsid w:val="8FFFA67E"/>
    <w:rsid w:val="A5FAE280"/>
    <w:rsid w:val="A663E75D"/>
    <w:rsid w:val="A97F623E"/>
    <w:rsid w:val="AFBF8780"/>
    <w:rsid w:val="BEEFCB4B"/>
    <w:rsid w:val="BFE6F841"/>
    <w:rsid w:val="BFF9C4C4"/>
    <w:rsid w:val="D5DE8897"/>
    <w:rsid w:val="E7FE3684"/>
    <w:rsid w:val="EFFF70E4"/>
    <w:rsid w:val="F7EEC240"/>
    <w:rsid w:val="FBF75102"/>
    <w:rsid w:val="FDDC5620"/>
    <w:rsid w:val="FDEA700A"/>
    <w:rsid w:val="FDFB40B7"/>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4">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5">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6">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7">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8">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9">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0">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1">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9">
    <w:name w:val="Default Paragraph Font"/>
    <w:qFormat/>
    <w:uiPriority w:val="0"/>
    <w:rPr>
      <w:rFonts w:eastAsia="微软雅黑" w:asciiTheme="minorAscii" w:hAnsiTheme="minorAscii"/>
    </w:rPr>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2">
    <w:name w:val="Normal Indent"/>
    <w:next w:val="13"/>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3">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4">
    <w:name w:val="Body Text Indent"/>
    <w:next w:val="15"/>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5">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6">
    <w:name w:val="List 2"/>
    <w:basedOn w:val="1"/>
    <w:qFormat/>
    <w:uiPriority w:val="0"/>
    <w:pPr>
      <w:ind w:left="100" w:leftChars="200" w:hanging="200" w:hangingChars="200"/>
    </w:pPr>
  </w:style>
  <w:style w:type="paragraph" w:styleId="17">
    <w:name w:val="index 4"/>
    <w:basedOn w:val="1"/>
    <w:next w:val="1"/>
    <w:qFormat/>
    <w:uiPriority w:val="0"/>
    <w:pPr>
      <w:adjustRightInd/>
      <w:spacing w:line="240" w:lineRule="auto"/>
      <w:ind w:left="600" w:leftChars="600"/>
      <w:jc w:val="both"/>
      <w:textAlignment w:val="auto"/>
    </w:pPr>
    <w:rPr>
      <w:kern w:val="2"/>
      <w:sz w:val="21"/>
      <w:szCs w:val="24"/>
    </w:rPr>
  </w:style>
  <w:style w:type="paragraph" w:styleId="18">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9">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1">
    <w:name w:val="toc 1"/>
    <w:basedOn w:val="1"/>
    <w:next w:val="1"/>
    <w:qFormat/>
    <w:uiPriority w:val="0"/>
  </w:style>
  <w:style w:type="paragraph" w:styleId="22">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3">
    <w:name w:val="toc 2"/>
    <w:basedOn w:val="1"/>
    <w:next w:val="1"/>
    <w:qFormat/>
    <w:uiPriority w:val="0"/>
    <w:pPr>
      <w:ind w:left="420" w:leftChars="200"/>
    </w:pPr>
  </w:style>
  <w:style w:type="paragraph" w:styleId="24">
    <w:name w:val="Normal (Web)"/>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5">
    <w:name w:val="Body Text First Indent"/>
    <w:next w:val="22"/>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6">
    <w:name w:val="Body Text First Indent 2"/>
    <w:next w:val="25"/>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8">
    <w:name w:val="Table Grid"/>
    <w:basedOn w:val="27"/>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rPr>
  </w:style>
  <w:style w:type="paragraph" w:customStyle="1" w:styleId="31">
    <w:name w:val="No Spacing_a39d73bf-f57a-4181-9f18-01ceff1c2e24"/>
    <w:qFormat/>
    <w:uiPriority w:val="1"/>
    <w:pPr>
      <w:widowControl w:val="0"/>
      <w:jc w:val="both"/>
    </w:pPr>
    <w:rPr>
      <w:rFonts w:ascii="等线" w:hAnsi="等线" w:eastAsia="等线" w:cs="宋体"/>
      <w:kern w:val="2"/>
      <w:sz w:val="21"/>
      <w:szCs w:val="24"/>
      <w:lang w:val="en-US" w:eastAsia="zh-CN" w:bidi="ar-SA"/>
    </w:rPr>
  </w:style>
  <w:style w:type="paragraph" w:customStyle="1" w:styleId="32">
    <w:name w:val="Default"/>
    <w:next w:val="23"/>
    <w:qFormat/>
    <w:uiPriority w:val="0"/>
    <w:pPr>
      <w:widowControl w:val="0"/>
      <w:autoSpaceDE w:val="0"/>
      <w:autoSpaceDN w:val="0"/>
      <w:adjustRightInd w:val="0"/>
    </w:pPr>
    <w:rPr>
      <w:rFonts w:ascii="微软雅黑" w:hAnsi="Palatino Linotype" w:eastAsia="微软雅黑" w:cs="微软雅黑"/>
      <w:color w:val="000000"/>
      <w:sz w:val="24"/>
      <w:szCs w:val="24"/>
      <w:lang w:val="en-US" w:eastAsia="zh-CN" w:bidi="ar-SA"/>
    </w:rPr>
  </w:style>
  <w:style w:type="paragraph" w:customStyle="1" w:styleId="33">
    <w:name w:val="正文缩进1"/>
    <w:basedOn w:val="1"/>
    <w:qFormat/>
    <w:uiPriority w:val="0"/>
    <w:pPr>
      <w:ind w:firstLine="420"/>
    </w:pPr>
    <w:rPr>
      <w:szCs w:val="20"/>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customStyle="1" w:styleId="36">
    <w:name w:val="表格文字2"/>
    <w:basedOn w:val="37"/>
    <w:qFormat/>
    <w:uiPriority w:val="99"/>
    <w:pPr>
      <w:spacing w:before="25" w:after="25"/>
      <w:jc w:val="left"/>
    </w:pPr>
    <w:rPr>
      <w:bCs/>
      <w:spacing w:val="10"/>
      <w:kern w:val="0"/>
    </w:rPr>
  </w:style>
  <w:style w:type="paragraph" w:customStyle="1" w:styleId="37">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标题 5（有编号）（绿盟科技）"/>
    <w:basedOn w:val="1"/>
    <w:next w:val="39"/>
    <w:qFormat/>
    <w:uiPriority w:val="0"/>
    <w:pPr>
      <w:keepNext/>
      <w:keepLines/>
      <w:numPr>
        <w:ilvl w:val="4"/>
        <w:numId w:val="1"/>
      </w:numPr>
      <w:spacing w:before="280" w:after="156" w:line="377" w:lineRule="auto"/>
      <w:outlineLvl w:val="4"/>
    </w:pPr>
    <w:rPr>
      <w:rFonts w:ascii="Arial" w:hAnsi="Arial" w:eastAsia="黑体"/>
      <w:b/>
      <w:sz w:val="24"/>
      <w:szCs w:val="28"/>
    </w:rPr>
  </w:style>
  <w:style w:type="paragraph" w:customStyle="1" w:styleId="39">
    <w:name w:val="正文（绿盟科技）"/>
    <w:qFormat/>
    <w:uiPriority w:val="0"/>
    <w:pPr>
      <w:spacing w:line="300" w:lineRule="auto"/>
    </w:pPr>
    <w:rPr>
      <w:rFonts w:ascii="Arial" w:hAnsi="Arial" w:eastAsia="微软雅黑" w:cs="黑体"/>
      <w:sz w:val="21"/>
      <w:szCs w:val="21"/>
      <w:lang w:val="en-US" w:eastAsia="zh-CN" w:bidi="ar-SA"/>
    </w:rPr>
  </w:style>
  <w:style w:type="paragraph" w:customStyle="1" w:styleId="40">
    <w:name w:val="Char Char Char"/>
    <w:basedOn w:val="1"/>
    <w:qFormat/>
    <w:uiPriority w:val="0"/>
    <w:rPr>
      <w:rFonts w:ascii="Tahoma" w:hAnsi="Tahoma"/>
      <w:sz w:val="24"/>
      <w:szCs w:val="20"/>
    </w:rPr>
  </w:style>
  <w:style w:type="paragraph" w:customStyle="1" w:styleId="41">
    <w:name w:val="Table Text"/>
    <w:basedOn w:val="1"/>
    <w:semiHidden/>
    <w:qFormat/>
    <w:uiPriority w:val="0"/>
    <w:rPr>
      <w:rFonts w:ascii="宋体" w:hAnsi="宋体" w:eastAsia="宋体" w:cs="宋体"/>
      <w:sz w:val="24"/>
      <w:szCs w:val="24"/>
      <w:lang w:val="en-US" w:eastAsia="en-US" w:bidi="ar-SA"/>
    </w:r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Table Paragraph"/>
    <w:basedOn w:val="1"/>
    <w:qFormat/>
    <w:uiPriority w:val="1"/>
  </w:style>
  <w:style w:type="paragraph" w:customStyle="1" w:styleId="44">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home\scjdglj\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1610</Words>
  <Characters>1894</Characters>
  <Lines>0</Lines>
  <Paragraphs>0</Paragraphs>
  <TotalTime>23</TotalTime>
  <ScaleCrop>false</ScaleCrop>
  <LinksUpToDate>false</LinksUpToDate>
  <CharactersWithSpaces>2052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2018-05-28T17:24:00Z</dcterms:created>
  <dc:creator>lihang</dc:creator>
  <cp:lastModifiedBy>啦啦啦小葡萄</cp:lastModifiedBy>
  <dcterms:modified xsi:type="dcterms:W3CDTF">2025-07-07T06:06:09Z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F2A0C71E312C4A37BE6AC4D2D8198D16_13</vt:lpwstr>
  </property>
  <property fmtid="{D5CDD505-2E9C-101B-9397-08002B2CF9AE}" pid="6" name="KSOTemplateDocerSaveRecord">
    <vt:lpwstr>eyJoZGlkIjoiNWVjODczMWEyY2YxMDY4OWZmYjNlODYwNGM3NTBhMGQiLCJ1c2VySWQiOiI1MTk0NjIwNjIifQ==</vt:lpwstr>
  </property>
</Properties>
</file>